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093" w:rsidRPr="00104093" w:rsidRDefault="00104093" w:rsidP="00E628B4">
      <w:pPr>
        <w:ind w:left="4111" w:right="18"/>
        <w:jc w:val="both"/>
        <w:rPr>
          <w:rFonts w:ascii="Arial" w:hAnsi="Arial" w:cs="Arial"/>
        </w:rPr>
      </w:pPr>
      <w:bookmarkStart w:id="0" w:name="_GoBack"/>
      <w:bookmarkEnd w:id="0"/>
      <w:r w:rsidRPr="00104093">
        <w:rPr>
          <w:rFonts w:ascii="Arial" w:hAnsi="Arial" w:cs="Arial"/>
          <w:b/>
        </w:rPr>
        <w:t xml:space="preserve">COMISIÓN PERMANENTE DE PRESUPUESTO, PATRIMONIO ESTATAL Y MUNICIPAL. </w:t>
      </w:r>
      <w:r w:rsidRPr="00104093">
        <w:rPr>
          <w:rFonts w:ascii="Arial" w:hAnsi="Arial" w:cs="Arial"/>
        </w:rPr>
        <w:t xml:space="preserve">DIPUTADAS Y DIPUTADOS: JESÚS EFRÉN PÉREZ BALLOTE, HARRY GERARDO RODRÍGUEZ BOTELLO FIERRO, JOSÉ CRESCENCIO GUTIÉRREZ GONZÁLEZ, CARMEN GUADALUPE GONZÁLEZ MARTÍN, DAFNE CELINA LÓPEZ OSORIO, INGRID DEL PILAR SANTOS DÍAZ, ALEJANDRA DE LOS ÁNGELES NOVELO SEGURA, VÍCTOR HUGO LOZANO POVEDA Y FABIOLA LOEZA NOVELO. - - - </w:t>
      </w:r>
    </w:p>
    <w:p w:rsidR="00104093" w:rsidRPr="00104093" w:rsidRDefault="00104093" w:rsidP="00E628B4">
      <w:pPr>
        <w:spacing w:line="360" w:lineRule="auto"/>
        <w:ind w:left="3969" w:right="62" w:firstLine="708"/>
        <w:jc w:val="both"/>
        <w:rPr>
          <w:rFonts w:ascii="Arial" w:hAnsi="Arial" w:cs="Arial"/>
          <w:b/>
        </w:rPr>
      </w:pPr>
    </w:p>
    <w:p w:rsidR="00A94550" w:rsidRDefault="00104093" w:rsidP="00104093">
      <w:pPr>
        <w:pStyle w:val="NormalWeb"/>
        <w:spacing w:before="0" w:beforeAutospacing="0" w:after="0" w:afterAutospacing="0" w:line="360" w:lineRule="auto"/>
        <w:jc w:val="both"/>
        <w:rPr>
          <w:b/>
        </w:rPr>
      </w:pPr>
      <w:r w:rsidRPr="00104093">
        <w:rPr>
          <w:b/>
        </w:rPr>
        <w:t>HONORABLE CONGRESO DEL ESTADO:</w:t>
      </w:r>
    </w:p>
    <w:p w:rsidR="00104093" w:rsidRPr="00104093" w:rsidRDefault="00104093" w:rsidP="00104093">
      <w:pPr>
        <w:pStyle w:val="NormalWeb"/>
        <w:spacing w:before="0" w:beforeAutospacing="0" w:after="0" w:afterAutospacing="0" w:line="360" w:lineRule="auto"/>
        <w:jc w:val="both"/>
        <w:rPr>
          <w:b/>
          <w:lang w:val="es-MX"/>
        </w:rPr>
      </w:pPr>
    </w:p>
    <w:p w:rsidR="00A94550" w:rsidRPr="005E6466" w:rsidRDefault="00A94550" w:rsidP="00C66098">
      <w:pPr>
        <w:spacing w:line="360" w:lineRule="auto"/>
        <w:ind w:right="51" w:firstLine="708"/>
        <w:jc w:val="both"/>
        <w:rPr>
          <w:rFonts w:ascii="Arial" w:hAnsi="Arial" w:cs="Arial"/>
          <w:lang w:val="es-MX"/>
        </w:rPr>
      </w:pPr>
      <w:r w:rsidRPr="005E6466">
        <w:rPr>
          <w:rFonts w:ascii="Arial" w:hAnsi="Arial" w:cs="Arial"/>
          <w:lang w:val="es-MX"/>
        </w:rPr>
        <w:t xml:space="preserve">En sesión </w:t>
      </w:r>
      <w:r w:rsidR="00104093">
        <w:rPr>
          <w:rFonts w:ascii="Arial" w:hAnsi="Arial" w:cs="Arial"/>
          <w:lang w:val="es-MX"/>
        </w:rPr>
        <w:t>ordinaria de pleno de fecha 30</w:t>
      </w:r>
      <w:r w:rsidRPr="005E6466">
        <w:rPr>
          <w:rFonts w:ascii="Arial" w:hAnsi="Arial" w:cs="Arial"/>
          <w:lang w:val="es-MX"/>
        </w:rPr>
        <w:t xml:space="preserve"> de </w:t>
      </w:r>
      <w:r w:rsidR="007B469C" w:rsidRPr="005E6466">
        <w:rPr>
          <w:rFonts w:ascii="Arial" w:hAnsi="Arial" w:cs="Arial"/>
          <w:lang w:val="es-MX"/>
        </w:rPr>
        <w:t xml:space="preserve">noviembre </w:t>
      </w:r>
      <w:r w:rsidRPr="005E6466">
        <w:rPr>
          <w:rFonts w:ascii="Arial" w:hAnsi="Arial" w:cs="Arial"/>
          <w:lang w:val="es-MX"/>
        </w:rPr>
        <w:t>del año</w:t>
      </w:r>
      <w:r w:rsidR="007B469C" w:rsidRPr="005E6466">
        <w:rPr>
          <w:rFonts w:ascii="Arial" w:hAnsi="Arial" w:cs="Arial"/>
          <w:lang w:val="es-MX"/>
        </w:rPr>
        <w:t xml:space="preserve"> en curso</w:t>
      </w:r>
      <w:r w:rsidR="00A07378" w:rsidRPr="005E6466">
        <w:rPr>
          <w:rFonts w:ascii="Arial" w:hAnsi="Arial" w:cs="Arial"/>
          <w:lang w:val="es-MX"/>
        </w:rPr>
        <w:t xml:space="preserve">, </w:t>
      </w:r>
      <w:r w:rsidRPr="005E6466">
        <w:rPr>
          <w:rFonts w:ascii="Arial" w:hAnsi="Arial" w:cs="Arial"/>
          <w:lang w:val="es-MX"/>
        </w:rPr>
        <w:t>se turn</w:t>
      </w:r>
      <w:r w:rsidR="007F2D81" w:rsidRPr="005E6466">
        <w:rPr>
          <w:rFonts w:ascii="Arial" w:hAnsi="Arial" w:cs="Arial"/>
          <w:lang w:val="es-MX"/>
        </w:rPr>
        <w:t>ó</w:t>
      </w:r>
      <w:r w:rsidRPr="005E6466">
        <w:rPr>
          <w:rFonts w:ascii="Arial" w:hAnsi="Arial" w:cs="Arial"/>
          <w:lang w:val="es-MX"/>
        </w:rPr>
        <w:t xml:space="preserve"> a esta Comisión Permanente de Presupuesto, Patrimonio Estatal y Municipal</w:t>
      </w:r>
      <w:r w:rsidR="005A3D61" w:rsidRPr="005E6466">
        <w:rPr>
          <w:rFonts w:ascii="Arial" w:hAnsi="Arial" w:cs="Arial"/>
          <w:lang w:val="es-MX"/>
        </w:rPr>
        <w:t>,</w:t>
      </w:r>
      <w:r w:rsidRPr="005E6466">
        <w:rPr>
          <w:rFonts w:ascii="Arial" w:hAnsi="Arial" w:cs="Arial"/>
          <w:lang w:val="es-MX"/>
        </w:rPr>
        <w:t xml:space="preserve"> para su estudio, análisis y dictamen la iniciativa </w:t>
      </w:r>
      <w:r w:rsidR="007D7E0F" w:rsidRPr="005E6466">
        <w:rPr>
          <w:rFonts w:ascii="Arial" w:hAnsi="Arial" w:cs="Arial"/>
          <w:lang w:val="es-MX"/>
        </w:rPr>
        <w:t xml:space="preserve">de </w:t>
      </w:r>
      <w:r w:rsidRPr="005E6466">
        <w:rPr>
          <w:rFonts w:ascii="Arial" w:hAnsi="Arial" w:cs="Arial"/>
          <w:lang w:val="es-MX"/>
        </w:rPr>
        <w:t xml:space="preserve">Ley de </w:t>
      </w:r>
      <w:r w:rsidR="007D7E0F" w:rsidRPr="005E6466">
        <w:rPr>
          <w:rFonts w:ascii="Arial" w:hAnsi="Arial" w:cs="Arial"/>
          <w:lang w:val="es-MX"/>
        </w:rPr>
        <w:t xml:space="preserve">Ingresos </w:t>
      </w:r>
      <w:r w:rsidRPr="005E6466">
        <w:rPr>
          <w:rFonts w:ascii="Arial" w:hAnsi="Arial" w:cs="Arial"/>
          <w:lang w:val="es-MX"/>
        </w:rPr>
        <w:t>Estado de Yucatán</w:t>
      </w:r>
      <w:r w:rsidR="007D7E0F" w:rsidRPr="005E6466">
        <w:rPr>
          <w:rFonts w:ascii="Arial" w:hAnsi="Arial" w:cs="Arial"/>
          <w:lang w:val="es-MX"/>
        </w:rPr>
        <w:t xml:space="preserve"> para el Ejercicio Fiscal 2</w:t>
      </w:r>
      <w:r w:rsidR="00481461" w:rsidRPr="005E6466">
        <w:rPr>
          <w:rFonts w:ascii="Arial" w:hAnsi="Arial" w:cs="Arial"/>
          <w:lang w:val="es-MX"/>
        </w:rPr>
        <w:t>0</w:t>
      </w:r>
      <w:r w:rsidR="007D7E0F" w:rsidRPr="005E6466">
        <w:rPr>
          <w:rFonts w:ascii="Arial" w:hAnsi="Arial" w:cs="Arial"/>
          <w:lang w:val="es-MX"/>
        </w:rPr>
        <w:t>2</w:t>
      </w:r>
      <w:r w:rsidR="00E60222">
        <w:rPr>
          <w:rFonts w:ascii="Arial" w:hAnsi="Arial" w:cs="Arial"/>
          <w:lang w:val="es-MX"/>
        </w:rPr>
        <w:t>3</w:t>
      </w:r>
      <w:r w:rsidRPr="005E6466">
        <w:rPr>
          <w:rFonts w:ascii="Arial" w:hAnsi="Arial" w:cs="Arial"/>
          <w:lang w:val="es-MX"/>
        </w:rPr>
        <w:t xml:space="preserve">, suscrita por los ciudadanos Mauricio Vila </w:t>
      </w:r>
      <w:proofErr w:type="spellStart"/>
      <w:r w:rsidRPr="005E6466">
        <w:rPr>
          <w:rFonts w:ascii="Arial" w:hAnsi="Arial" w:cs="Arial"/>
          <w:lang w:val="es-MX"/>
        </w:rPr>
        <w:t>Dosal</w:t>
      </w:r>
      <w:proofErr w:type="spellEnd"/>
      <w:r w:rsidRPr="005E6466">
        <w:rPr>
          <w:rFonts w:ascii="Arial" w:hAnsi="Arial" w:cs="Arial"/>
          <w:lang w:val="es-MX"/>
        </w:rPr>
        <w:t xml:space="preserve"> y María Dolores Fritz Sierra, Gobernador Constitucional y Secretaria General de Go</w:t>
      </w:r>
      <w:r w:rsidR="003539D1" w:rsidRPr="005E6466">
        <w:rPr>
          <w:rFonts w:ascii="Arial" w:hAnsi="Arial" w:cs="Arial"/>
          <w:lang w:val="es-MX"/>
        </w:rPr>
        <w:t xml:space="preserve">bierno, ambos </w:t>
      </w:r>
      <w:r w:rsidR="00054B6E">
        <w:rPr>
          <w:rFonts w:ascii="Arial" w:hAnsi="Arial" w:cs="Arial"/>
          <w:lang w:val="es-MX"/>
        </w:rPr>
        <w:t>funcionarios del E</w:t>
      </w:r>
      <w:r w:rsidRPr="005E6466">
        <w:rPr>
          <w:rFonts w:ascii="Arial" w:hAnsi="Arial" w:cs="Arial"/>
          <w:lang w:val="es-MX"/>
        </w:rPr>
        <w:t>stado de Yucatán, respectivamente.</w:t>
      </w:r>
    </w:p>
    <w:p w:rsidR="00A94550" w:rsidRPr="005E6466" w:rsidRDefault="00A94550" w:rsidP="00C66098">
      <w:pPr>
        <w:spacing w:line="360" w:lineRule="auto"/>
        <w:ind w:right="51"/>
        <w:rPr>
          <w:rFonts w:ascii="Arial" w:hAnsi="Arial" w:cs="Arial"/>
          <w:lang w:val="es-MX"/>
        </w:rPr>
      </w:pPr>
    </w:p>
    <w:p w:rsidR="00A94550" w:rsidRPr="005E6466" w:rsidRDefault="00EB3CEC" w:rsidP="00C66098">
      <w:pPr>
        <w:pStyle w:val="NormalWeb"/>
        <w:spacing w:before="0" w:beforeAutospacing="0" w:after="0" w:afterAutospacing="0" w:line="360" w:lineRule="auto"/>
        <w:ind w:firstLine="709"/>
        <w:jc w:val="both"/>
        <w:rPr>
          <w:lang w:val="es-MX"/>
        </w:rPr>
      </w:pPr>
      <w:r w:rsidRPr="005E6466">
        <w:rPr>
          <w:lang w:val="es-MX"/>
        </w:rPr>
        <w:t xml:space="preserve">Las diputadas y diputados </w:t>
      </w:r>
      <w:r w:rsidR="00D9166C">
        <w:rPr>
          <w:lang w:val="es-MX"/>
        </w:rPr>
        <w:t>integrantes de esta Comisión P</w:t>
      </w:r>
      <w:r w:rsidR="00A94550" w:rsidRPr="005E6466">
        <w:rPr>
          <w:lang w:val="es-MX"/>
        </w:rPr>
        <w:t xml:space="preserve">ermanente, en los trabajos de estudio y análisis de la iniciativa mencionada, tomamos en consideración los siguientes, </w:t>
      </w:r>
    </w:p>
    <w:p w:rsidR="00E628B4" w:rsidRDefault="00E628B4" w:rsidP="00E628B4">
      <w:pPr>
        <w:jc w:val="center"/>
        <w:rPr>
          <w:rFonts w:ascii="Arial" w:hAnsi="Arial" w:cs="Arial"/>
          <w:b/>
          <w:lang w:val="es-MX"/>
        </w:rPr>
      </w:pPr>
    </w:p>
    <w:p w:rsidR="00A94550" w:rsidRPr="005E6466" w:rsidRDefault="00E628B4" w:rsidP="00643103">
      <w:pPr>
        <w:spacing w:line="360" w:lineRule="auto"/>
        <w:jc w:val="center"/>
        <w:rPr>
          <w:rFonts w:ascii="Arial" w:hAnsi="Arial" w:cs="Arial"/>
          <w:b/>
          <w:lang w:val="es-MX"/>
        </w:rPr>
      </w:pPr>
      <w:r>
        <w:rPr>
          <w:rFonts w:ascii="Arial" w:hAnsi="Arial" w:cs="Arial"/>
          <w:b/>
          <w:lang w:val="es-MX"/>
        </w:rPr>
        <w:t>A N T E C E D E N T E S</w:t>
      </w:r>
    </w:p>
    <w:p w:rsidR="00A94550" w:rsidRPr="005E6466" w:rsidRDefault="00A94550" w:rsidP="00E628B4">
      <w:pPr>
        <w:pStyle w:val="NormalWeb"/>
        <w:spacing w:before="0" w:beforeAutospacing="0" w:after="0" w:afterAutospacing="0"/>
        <w:ind w:firstLine="425"/>
        <w:jc w:val="center"/>
        <w:rPr>
          <w:b/>
          <w:lang w:val="es-MX"/>
        </w:rPr>
      </w:pPr>
    </w:p>
    <w:p w:rsidR="00A94550" w:rsidRPr="005E6466" w:rsidRDefault="00A94550" w:rsidP="00643103">
      <w:pPr>
        <w:pStyle w:val="NormalWeb"/>
        <w:spacing w:before="0" w:beforeAutospacing="0" w:after="0" w:afterAutospacing="0" w:line="360" w:lineRule="auto"/>
        <w:ind w:right="-142" w:firstLine="708"/>
        <w:jc w:val="both"/>
        <w:rPr>
          <w:lang w:val="es-MX"/>
        </w:rPr>
      </w:pPr>
      <w:r w:rsidRPr="005E6466">
        <w:rPr>
          <w:b/>
          <w:lang w:val="es-MX"/>
        </w:rPr>
        <w:t xml:space="preserve">PRIMERO. </w:t>
      </w:r>
      <w:r w:rsidRPr="005E6466">
        <w:rPr>
          <w:lang w:val="es-MX"/>
        </w:rPr>
        <w:t xml:space="preserve">En fecha </w:t>
      </w:r>
      <w:r w:rsidR="00583CAF" w:rsidRPr="005E6466">
        <w:rPr>
          <w:lang w:val="es-MX"/>
        </w:rPr>
        <w:t xml:space="preserve">25 de noviembre </w:t>
      </w:r>
      <w:r w:rsidRPr="005E6466">
        <w:rPr>
          <w:lang w:val="es-MX"/>
        </w:rPr>
        <w:t xml:space="preserve">del año en curso, fue presentada ante esta soberanía la iniciativa </w:t>
      </w:r>
      <w:r w:rsidR="00E628B4">
        <w:rPr>
          <w:lang w:val="es-MX"/>
        </w:rPr>
        <w:t>de</w:t>
      </w:r>
      <w:r w:rsidRPr="005E6466">
        <w:rPr>
          <w:lang w:val="es-MX"/>
        </w:rPr>
        <w:t xml:space="preserve"> Ley </w:t>
      </w:r>
      <w:r w:rsidR="00E628B4">
        <w:rPr>
          <w:lang w:val="es-MX"/>
        </w:rPr>
        <w:t>de Ingresos</w:t>
      </w:r>
      <w:r w:rsidR="00583CAF" w:rsidRPr="005E6466">
        <w:rPr>
          <w:lang w:val="es-MX"/>
        </w:rPr>
        <w:t xml:space="preserve"> del Estado de Yucatán</w:t>
      </w:r>
      <w:r w:rsidR="00054B6E">
        <w:rPr>
          <w:lang w:val="es-MX"/>
        </w:rPr>
        <w:t xml:space="preserve"> para el Ejercicio Fiscal 2023</w:t>
      </w:r>
      <w:r w:rsidR="00583CAF" w:rsidRPr="005E6466">
        <w:rPr>
          <w:lang w:val="es-MX"/>
        </w:rPr>
        <w:t>, suscrita por los ciudadanos Mauricio</w:t>
      </w:r>
      <w:r w:rsidR="00DD5994" w:rsidRPr="005E6466">
        <w:rPr>
          <w:lang w:val="es-MX"/>
        </w:rPr>
        <w:t xml:space="preserve"> Vila </w:t>
      </w:r>
      <w:proofErr w:type="spellStart"/>
      <w:r w:rsidR="00DD5994" w:rsidRPr="005E6466">
        <w:rPr>
          <w:lang w:val="es-MX"/>
        </w:rPr>
        <w:t>Dosal</w:t>
      </w:r>
      <w:proofErr w:type="spellEnd"/>
      <w:r w:rsidR="00DD5994" w:rsidRPr="005E6466">
        <w:rPr>
          <w:lang w:val="es-MX"/>
        </w:rPr>
        <w:t xml:space="preserve"> y María Dolores Fritz </w:t>
      </w:r>
      <w:r w:rsidR="00DD5994" w:rsidRPr="005E6466">
        <w:rPr>
          <w:lang w:val="es-MX"/>
        </w:rPr>
        <w:lastRenderedPageBreak/>
        <w:t>Sierra, Gobernador Constitucional y Secretaria General de Go</w:t>
      </w:r>
      <w:r w:rsidR="00054B6E">
        <w:rPr>
          <w:lang w:val="es-MX"/>
        </w:rPr>
        <w:t>bierno, ambos funcionarios del E</w:t>
      </w:r>
      <w:r w:rsidR="00DD5994" w:rsidRPr="005E6466">
        <w:rPr>
          <w:lang w:val="es-MX"/>
        </w:rPr>
        <w:t>stado de Yucatán, respectivamente.</w:t>
      </w:r>
    </w:p>
    <w:p w:rsidR="00A94550" w:rsidRPr="005E6466" w:rsidRDefault="00A94550" w:rsidP="00643103">
      <w:pPr>
        <w:pStyle w:val="NormalWeb"/>
        <w:spacing w:before="0" w:beforeAutospacing="0" w:after="0" w:afterAutospacing="0" w:line="360" w:lineRule="auto"/>
        <w:ind w:right="-142" w:firstLine="708"/>
        <w:jc w:val="both"/>
        <w:rPr>
          <w:lang w:val="es-MX"/>
        </w:rPr>
      </w:pPr>
    </w:p>
    <w:p w:rsidR="00A94550" w:rsidRPr="005E6466" w:rsidRDefault="00A94550" w:rsidP="00643103">
      <w:pPr>
        <w:autoSpaceDN w:val="0"/>
        <w:adjustRightInd w:val="0"/>
        <w:spacing w:line="360" w:lineRule="auto"/>
        <w:ind w:firstLine="709"/>
        <w:jc w:val="both"/>
        <w:rPr>
          <w:rFonts w:ascii="Arial" w:hAnsi="Arial" w:cs="Arial"/>
          <w:lang w:val="es-MX"/>
        </w:rPr>
      </w:pPr>
      <w:r w:rsidRPr="005E6466">
        <w:rPr>
          <w:rFonts w:ascii="Arial" w:hAnsi="Arial" w:cs="Arial"/>
          <w:lang w:val="es-MX"/>
        </w:rPr>
        <w:t xml:space="preserve">Esta iniciativa </w:t>
      </w:r>
      <w:r w:rsidR="0007144C" w:rsidRPr="005E6466">
        <w:rPr>
          <w:rFonts w:ascii="Arial" w:hAnsi="Arial" w:cs="Arial"/>
          <w:lang w:val="es-MX"/>
        </w:rPr>
        <w:t xml:space="preserve">fue presentada en ejercicio de la facultad que confiere el artículo </w:t>
      </w:r>
      <w:r w:rsidRPr="005E6466">
        <w:rPr>
          <w:rFonts w:ascii="Arial" w:hAnsi="Arial" w:cs="Arial"/>
          <w:lang w:val="es-MX"/>
        </w:rPr>
        <w:t>35</w:t>
      </w:r>
      <w:r w:rsidR="00746304" w:rsidRPr="005E6466">
        <w:rPr>
          <w:rFonts w:ascii="Arial" w:hAnsi="Arial" w:cs="Arial"/>
          <w:lang w:val="es-MX"/>
        </w:rPr>
        <w:t>,</w:t>
      </w:r>
      <w:r w:rsidRPr="005E6466">
        <w:rPr>
          <w:rFonts w:ascii="Arial" w:hAnsi="Arial" w:cs="Arial"/>
          <w:lang w:val="es-MX"/>
        </w:rPr>
        <w:t xml:space="preserve"> fracción II</w:t>
      </w:r>
      <w:r w:rsidR="00746304" w:rsidRPr="005E6466">
        <w:rPr>
          <w:rFonts w:ascii="Arial" w:hAnsi="Arial" w:cs="Arial"/>
          <w:lang w:val="es-MX"/>
        </w:rPr>
        <w:t>,</w:t>
      </w:r>
      <w:r w:rsidRPr="005E6466">
        <w:rPr>
          <w:rFonts w:ascii="Arial" w:hAnsi="Arial" w:cs="Arial"/>
          <w:lang w:val="es-MX"/>
        </w:rPr>
        <w:t xml:space="preserve"> de la Constitución Política del Estado de Yucatán, precepto</w:t>
      </w:r>
      <w:r w:rsidR="00AF7A60" w:rsidRPr="005E6466">
        <w:rPr>
          <w:rFonts w:ascii="Arial" w:hAnsi="Arial" w:cs="Arial"/>
          <w:lang w:val="es-MX"/>
        </w:rPr>
        <w:t xml:space="preserve"> que faculta</w:t>
      </w:r>
      <w:r w:rsidR="003D66D7" w:rsidRPr="005E6466">
        <w:rPr>
          <w:rFonts w:ascii="Arial" w:hAnsi="Arial" w:cs="Arial"/>
          <w:lang w:val="es-MX"/>
        </w:rPr>
        <w:t xml:space="preserve"> </w:t>
      </w:r>
      <w:r w:rsidRPr="005E6466">
        <w:rPr>
          <w:rFonts w:ascii="Arial" w:hAnsi="Arial" w:cs="Arial"/>
          <w:lang w:val="es-MX"/>
        </w:rPr>
        <w:t xml:space="preserve">al Gobernador del Estado para iniciar leyes y decretos. </w:t>
      </w:r>
    </w:p>
    <w:p w:rsidR="00A94550" w:rsidRPr="005E6466" w:rsidRDefault="00A94550" w:rsidP="00643103">
      <w:pPr>
        <w:pStyle w:val="NormalWeb"/>
        <w:spacing w:before="0" w:beforeAutospacing="0" w:after="0" w:afterAutospacing="0" w:line="360" w:lineRule="auto"/>
        <w:ind w:right="-283" w:firstLine="708"/>
        <w:jc w:val="both"/>
        <w:rPr>
          <w:b/>
          <w:lang w:val="es-MX"/>
        </w:rPr>
      </w:pPr>
    </w:p>
    <w:p w:rsidR="00B14ED2" w:rsidRPr="005E6466" w:rsidRDefault="00A94550" w:rsidP="00643103">
      <w:pPr>
        <w:pStyle w:val="NormalWeb"/>
        <w:spacing w:before="0" w:beforeAutospacing="0" w:after="0" w:afterAutospacing="0" w:line="360" w:lineRule="auto"/>
        <w:ind w:right="-283" w:firstLine="708"/>
        <w:jc w:val="both"/>
        <w:rPr>
          <w:lang w:val="es-MX"/>
        </w:rPr>
      </w:pPr>
      <w:r w:rsidRPr="005E6466">
        <w:rPr>
          <w:lang w:val="es-MX"/>
        </w:rPr>
        <w:t xml:space="preserve">La iniciativa en comento, en la parte correspondiente a la exposición de motivos, </w:t>
      </w:r>
      <w:r w:rsidR="00B07CB6" w:rsidRPr="005E6466">
        <w:rPr>
          <w:lang w:val="es-MX"/>
        </w:rPr>
        <w:t xml:space="preserve">se </w:t>
      </w:r>
      <w:r w:rsidRPr="005E6466">
        <w:rPr>
          <w:lang w:val="es-MX"/>
        </w:rPr>
        <w:t>expresó lo siguiente:</w:t>
      </w:r>
    </w:p>
    <w:p w:rsidR="00B14ED2" w:rsidRDefault="00B14ED2" w:rsidP="00463F25">
      <w:pPr>
        <w:pStyle w:val="NormalWeb"/>
        <w:spacing w:before="0" w:beforeAutospacing="0" w:after="0" w:afterAutospacing="0"/>
        <w:ind w:left="284" w:right="426" w:firstLine="283"/>
        <w:jc w:val="both"/>
        <w:rPr>
          <w:i/>
          <w:sz w:val="20"/>
          <w:szCs w:val="20"/>
          <w:lang w:val="es-MX"/>
        </w:rPr>
      </w:pPr>
    </w:p>
    <w:p w:rsidR="00E60222" w:rsidRDefault="00E60222" w:rsidP="00E60222">
      <w:pPr>
        <w:ind w:left="426" w:right="567"/>
        <w:jc w:val="both"/>
        <w:rPr>
          <w:rFonts w:ascii="Arial" w:hAnsi="Arial" w:cs="Arial"/>
          <w:i/>
          <w:sz w:val="20"/>
          <w:szCs w:val="20"/>
        </w:rPr>
      </w:pPr>
      <w:r>
        <w:rPr>
          <w:rFonts w:ascii="Arial" w:hAnsi="Arial" w:cs="Arial"/>
          <w:i/>
          <w:sz w:val="20"/>
          <w:szCs w:val="20"/>
        </w:rPr>
        <w:t>“</w:t>
      </w:r>
      <w:r w:rsidRPr="00E60222">
        <w:rPr>
          <w:rFonts w:ascii="Arial" w:hAnsi="Arial" w:cs="Arial"/>
          <w:i/>
          <w:sz w:val="20"/>
          <w:szCs w:val="20"/>
        </w:rPr>
        <w:t xml:space="preserve">La iniciativa para expedir la Ley de Ingresos del Estado de Yucatán tiene por objeto establecer los recursos que el estado, a través de diferentes rubros, estima percibir durante cierto ejercicio fiscal. </w:t>
      </w:r>
    </w:p>
    <w:p w:rsidR="00E60222" w:rsidRPr="00E60222" w:rsidRDefault="00E60222" w:rsidP="00E60222">
      <w:pPr>
        <w:ind w:left="426" w:right="567"/>
        <w:jc w:val="both"/>
        <w:rPr>
          <w:rFonts w:ascii="Arial" w:hAnsi="Arial" w:cs="Arial"/>
          <w:i/>
          <w:sz w:val="20"/>
          <w:szCs w:val="20"/>
        </w:rPr>
      </w:pPr>
    </w:p>
    <w:p w:rsidR="00E60222" w:rsidRDefault="00E60222" w:rsidP="00E60222">
      <w:pPr>
        <w:ind w:left="426" w:right="567"/>
        <w:jc w:val="both"/>
        <w:rPr>
          <w:rFonts w:ascii="Arial" w:hAnsi="Arial" w:cs="Arial"/>
          <w:i/>
          <w:sz w:val="20"/>
          <w:szCs w:val="20"/>
        </w:rPr>
      </w:pPr>
      <w:r w:rsidRPr="00E60222">
        <w:rPr>
          <w:rFonts w:ascii="Arial" w:hAnsi="Arial" w:cs="Arial"/>
          <w:i/>
          <w:sz w:val="20"/>
          <w:szCs w:val="20"/>
        </w:rPr>
        <w:t>La importancia de esta iniciativa radica en que la correcta determinación de los ingresos del ejercicio permite crear un balance presupuestario entre estos y los gastos previstos en el Presupuesto de Egresos del Gobierno del Estado de Yucatán para el Ejercicio Fiscal 2023.</w:t>
      </w:r>
    </w:p>
    <w:p w:rsidR="00E60222" w:rsidRPr="00E60222" w:rsidRDefault="00E60222" w:rsidP="00E60222">
      <w:pPr>
        <w:ind w:left="426" w:right="567"/>
        <w:jc w:val="both"/>
        <w:rPr>
          <w:rFonts w:ascii="Arial" w:hAnsi="Arial" w:cs="Arial"/>
          <w:i/>
          <w:sz w:val="20"/>
          <w:szCs w:val="20"/>
        </w:rPr>
      </w:pPr>
    </w:p>
    <w:p w:rsidR="00E60222" w:rsidRDefault="00E60222" w:rsidP="00E60222">
      <w:pPr>
        <w:ind w:left="426" w:right="567"/>
        <w:jc w:val="both"/>
        <w:rPr>
          <w:rFonts w:ascii="Arial" w:hAnsi="Arial" w:cs="Arial"/>
          <w:i/>
          <w:sz w:val="20"/>
          <w:szCs w:val="20"/>
        </w:rPr>
      </w:pPr>
      <w:r w:rsidRPr="00E60222">
        <w:rPr>
          <w:rFonts w:ascii="Arial" w:hAnsi="Arial" w:cs="Arial"/>
          <w:i/>
          <w:sz w:val="20"/>
          <w:szCs w:val="20"/>
        </w:rPr>
        <w:t>En este sentido, el proyecto de iniciativa que se somete a consideración constituye el instrumento jurídico que, en coordinación con las demás leyes fiscales federales y locales, establece la forma en la que el estado percibirá ingresos públicos durante el año 2023 para cumplir con sus funciones y para garantizar la continuación de bienes y servicios necesarios para los yucatecos.</w:t>
      </w:r>
    </w:p>
    <w:p w:rsidR="00E60222" w:rsidRPr="00E60222" w:rsidRDefault="00E60222" w:rsidP="00E60222">
      <w:pPr>
        <w:ind w:left="426" w:right="567"/>
        <w:jc w:val="both"/>
        <w:rPr>
          <w:rFonts w:ascii="Arial" w:hAnsi="Arial" w:cs="Arial"/>
          <w:i/>
          <w:sz w:val="20"/>
          <w:szCs w:val="20"/>
        </w:rPr>
      </w:pPr>
    </w:p>
    <w:p w:rsidR="00E60222" w:rsidRDefault="00E60222" w:rsidP="00E60222">
      <w:pPr>
        <w:ind w:left="426" w:right="567"/>
        <w:jc w:val="both"/>
        <w:rPr>
          <w:rFonts w:ascii="Arial" w:hAnsi="Arial" w:cs="Arial"/>
          <w:i/>
          <w:sz w:val="20"/>
          <w:szCs w:val="20"/>
        </w:rPr>
      </w:pPr>
      <w:r w:rsidRPr="00E60222">
        <w:rPr>
          <w:rFonts w:ascii="Arial" w:hAnsi="Arial" w:cs="Arial"/>
          <w:i/>
          <w:sz w:val="20"/>
          <w:szCs w:val="20"/>
        </w:rPr>
        <w:t>Para realizar los cálculos, y las proyecciones, y establecer algunos de los riesgos relevantes de las finanzas públicas del estado, se tomaron en consideración, entre otras variables, las establecidas en los Criterios Generales de Política Económica para la Iniciativa de Ley de Ingresos y el Proyecto de Presupuesto de Egresos de la Federación correspondientes al ejercicio fiscal de 2023.</w:t>
      </w:r>
    </w:p>
    <w:p w:rsidR="00E60222" w:rsidRPr="00E60222" w:rsidRDefault="00E60222" w:rsidP="00E60222">
      <w:pPr>
        <w:ind w:left="426" w:right="567"/>
        <w:jc w:val="both"/>
        <w:rPr>
          <w:rFonts w:ascii="Arial" w:hAnsi="Arial" w:cs="Arial"/>
          <w:i/>
          <w:sz w:val="20"/>
          <w:szCs w:val="20"/>
        </w:rPr>
      </w:pPr>
    </w:p>
    <w:p w:rsidR="00E60222" w:rsidRDefault="00E60222" w:rsidP="00E60222">
      <w:pPr>
        <w:ind w:left="426" w:right="567"/>
        <w:jc w:val="both"/>
        <w:rPr>
          <w:rFonts w:ascii="Arial" w:hAnsi="Arial" w:cs="Arial"/>
          <w:i/>
          <w:sz w:val="20"/>
          <w:szCs w:val="20"/>
        </w:rPr>
      </w:pPr>
      <w:r w:rsidRPr="00E60222">
        <w:rPr>
          <w:rFonts w:ascii="Arial" w:hAnsi="Arial" w:cs="Arial"/>
          <w:i/>
          <w:sz w:val="20"/>
          <w:szCs w:val="20"/>
        </w:rPr>
        <w:t>Para los efectos de esta exposición de motivos, las cifras referentes a los recursos financieros se señalan de manera redondeada y en millones de pesos. Esto, solo para facilitar su lectura y comprensión dentro del texto.</w:t>
      </w:r>
    </w:p>
    <w:p w:rsidR="00E60222" w:rsidRPr="00E60222" w:rsidRDefault="00E60222" w:rsidP="00E60222">
      <w:pPr>
        <w:ind w:left="426" w:right="567"/>
        <w:jc w:val="both"/>
        <w:rPr>
          <w:rFonts w:ascii="Arial" w:hAnsi="Arial" w:cs="Arial"/>
          <w:i/>
          <w:sz w:val="20"/>
          <w:szCs w:val="20"/>
        </w:rPr>
      </w:pPr>
    </w:p>
    <w:p w:rsidR="00E60222" w:rsidRPr="00E60222" w:rsidRDefault="00E60222" w:rsidP="00E60222">
      <w:pPr>
        <w:pStyle w:val="Prrafodelista"/>
        <w:numPr>
          <w:ilvl w:val="0"/>
          <w:numId w:val="34"/>
        </w:numPr>
        <w:ind w:right="567"/>
        <w:jc w:val="both"/>
        <w:rPr>
          <w:rFonts w:ascii="Arial" w:hAnsi="Arial" w:cs="Arial"/>
          <w:b/>
          <w:bCs/>
          <w:i/>
          <w:sz w:val="20"/>
          <w:szCs w:val="20"/>
          <w:lang w:val="es-ES_tradnl" w:eastAsia="es-ES_tradnl"/>
        </w:rPr>
      </w:pPr>
      <w:r w:rsidRPr="00E60222">
        <w:rPr>
          <w:rFonts w:ascii="Arial" w:hAnsi="Arial" w:cs="Arial"/>
          <w:b/>
          <w:bCs/>
          <w:i/>
          <w:sz w:val="20"/>
          <w:szCs w:val="20"/>
          <w:lang w:val="es-ES_tradnl" w:eastAsia="es-ES_tradnl"/>
        </w:rPr>
        <w:t>Contexto económico estatal</w:t>
      </w:r>
    </w:p>
    <w:p w:rsidR="00E60222" w:rsidRDefault="00E60222" w:rsidP="00E60222">
      <w:pPr>
        <w:ind w:left="426" w:right="567"/>
        <w:jc w:val="both"/>
        <w:rPr>
          <w:rFonts w:ascii="Arial" w:hAnsi="Arial" w:cs="Arial"/>
          <w:i/>
          <w:color w:val="000000"/>
          <w:sz w:val="20"/>
          <w:szCs w:val="20"/>
          <w:lang w:eastAsia="en-US"/>
        </w:rPr>
      </w:pPr>
      <w:r w:rsidRPr="00E60222">
        <w:rPr>
          <w:rFonts w:ascii="Arial" w:hAnsi="Arial" w:cs="Arial"/>
          <w:i/>
          <w:color w:val="000000"/>
          <w:sz w:val="20"/>
          <w:szCs w:val="20"/>
          <w:lang w:eastAsia="en-US"/>
        </w:rPr>
        <w:t>Como resultado de las políticas de reactivación y de la promoción económica que el gobierno estatal ha hecho a nivel nacional e internacional, en 2022, la economía del Estado de Yucatán continuó expandiéndose.</w:t>
      </w:r>
    </w:p>
    <w:p w:rsidR="00E60222" w:rsidRPr="00E60222" w:rsidRDefault="00E60222" w:rsidP="00E60222">
      <w:pPr>
        <w:ind w:left="426" w:right="567"/>
        <w:jc w:val="both"/>
        <w:rPr>
          <w:rFonts w:ascii="Arial" w:hAnsi="Arial" w:cs="Arial"/>
          <w:i/>
          <w:color w:val="000000"/>
          <w:sz w:val="20"/>
          <w:szCs w:val="20"/>
          <w:lang w:eastAsia="en-US"/>
        </w:rPr>
      </w:pPr>
    </w:p>
    <w:p w:rsidR="00E60222" w:rsidRDefault="00E60222" w:rsidP="00E60222">
      <w:pPr>
        <w:ind w:left="426" w:right="567"/>
        <w:jc w:val="both"/>
        <w:rPr>
          <w:rFonts w:ascii="Arial" w:hAnsi="Arial" w:cs="Arial"/>
          <w:i/>
          <w:color w:val="000000"/>
          <w:sz w:val="20"/>
          <w:szCs w:val="20"/>
          <w:lang w:eastAsia="en-US"/>
        </w:rPr>
      </w:pPr>
      <w:r w:rsidRPr="00E60222">
        <w:rPr>
          <w:rFonts w:ascii="Arial" w:hAnsi="Arial" w:cs="Arial"/>
          <w:i/>
          <w:color w:val="000000"/>
          <w:sz w:val="20"/>
          <w:szCs w:val="20"/>
          <w:lang w:eastAsia="en-US"/>
        </w:rPr>
        <w:t xml:space="preserve">Destaca que, desde el primer trimestre de 2021, la economía de Yucatán ya había recuperado el nivel que tenía previo a la pandemia. Y en 2022, la tendencia al alza de la </w:t>
      </w:r>
      <w:r w:rsidRPr="00E60222">
        <w:rPr>
          <w:rFonts w:ascii="Arial" w:hAnsi="Arial" w:cs="Arial"/>
          <w:i/>
          <w:color w:val="000000"/>
          <w:sz w:val="20"/>
          <w:szCs w:val="20"/>
          <w:lang w:eastAsia="en-US"/>
        </w:rPr>
        <w:lastRenderedPageBreak/>
        <w:t>actividad económica se ha mantenido, pese a la incertidumbre global ocasionada por la guerra entre Ucrania y Rusia.</w:t>
      </w:r>
    </w:p>
    <w:p w:rsidR="00E60222" w:rsidRPr="00E60222" w:rsidRDefault="00E60222" w:rsidP="00E60222">
      <w:pPr>
        <w:ind w:left="426" w:right="567"/>
        <w:jc w:val="both"/>
        <w:rPr>
          <w:rFonts w:ascii="Arial" w:hAnsi="Arial" w:cs="Arial"/>
          <w:i/>
          <w:color w:val="000000"/>
          <w:sz w:val="20"/>
          <w:szCs w:val="20"/>
          <w:lang w:eastAsia="en-US"/>
        </w:rPr>
      </w:pPr>
    </w:p>
    <w:p w:rsidR="00E60222" w:rsidRDefault="00E60222" w:rsidP="00E60222">
      <w:pPr>
        <w:ind w:left="426" w:right="567"/>
        <w:jc w:val="both"/>
        <w:rPr>
          <w:rFonts w:ascii="Arial" w:hAnsi="Arial" w:cs="Arial"/>
          <w:i/>
          <w:color w:val="000000"/>
          <w:sz w:val="20"/>
          <w:szCs w:val="20"/>
          <w:lang w:eastAsia="en-US"/>
        </w:rPr>
      </w:pPr>
      <w:r w:rsidRPr="00E60222">
        <w:rPr>
          <w:rFonts w:ascii="Arial" w:hAnsi="Arial" w:cs="Arial"/>
          <w:i/>
          <w:color w:val="000000"/>
          <w:sz w:val="20"/>
          <w:szCs w:val="20"/>
          <w:lang w:eastAsia="en-US"/>
        </w:rPr>
        <w:t>Este dinamismo económico se ha traducido en una generación histórica de empleo. En octubre de 2022, Yucatán generó 7,784 nuevos empleos</w:t>
      </w:r>
      <w:r w:rsidRPr="00E60222">
        <w:rPr>
          <w:rStyle w:val="Refdenotaalpie"/>
          <w:rFonts w:ascii="Arial" w:hAnsi="Arial" w:cs="Arial"/>
          <w:i/>
          <w:color w:val="000000"/>
          <w:sz w:val="20"/>
          <w:szCs w:val="20"/>
          <w:lang w:eastAsia="en-US"/>
        </w:rPr>
        <w:footnoteReference w:id="1"/>
      </w:r>
      <w:r w:rsidRPr="00E60222">
        <w:rPr>
          <w:rFonts w:ascii="Arial" w:hAnsi="Arial" w:cs="Arial"/>
          <w:i/>
          <w:color w:val="000000"/>
          <w:sz w:val="20"/>
          <w:szCs w:val="20"/>
          <w:lang w:eastAsia="en-US"/>
        </w:rPr>
        <w:t>, el número más alto de empleos generados en un mes, lo que permitió alcanzar un nuevo máximo histórico de 418 mil 066</w:t>
      </w:r>
      <w:r w:rsidRPr="00E60222">
        <w:rPr>
          <w:rStyle w:val="Refdenotaalpie"/>
          <w:rFonts w:ascii="Arial" w:hAnsi="Arial" w:cs="Arial"/>
          <w:i/>
          <w:color w:val="000000"/>
          <w:sz w:val="20"/>
          <w:szCs w:val="20"/>
          <w:lang w:eastAsia="en-US"/>
        </w:rPr>
        <w:footnoteReference w:id="2"/>
      </w:r>
      <w:r w:rsidRPr="00E60222">
        <w:rPr>
          <w:rFonts w:ascii="Arial" w:hAnsi="Arial" w:cs="Arial"/>
          <w:i/>
          <w:color w:val="000000"/>
          <w:sz w:val="20"/>
          <w:szCs w:val="20"/>
          <w:lang w:eastAsia="en-US"/>
        </w:rPr>
        <w:t xml:space="preserve"> trabajadores asegurados ante el Instituto Mexicano del Seguro Social. Con esto, Yucatán acumula 18 meses consecutivos generando empleos.</w:t>
      </w:r>
    </w:p>
    <w:p w:rsidR="00E60222" w:rsidRPr="00E60222" w:rsidRDefault="00E60222" w:rsidP="00E60222">
      <w:pPr>
        <w:ind w:left="426" w:right="567"/>
        <w:jc w:val="both"/>
        <w:rPr>
          <w:rFonts w:ascii="Arial" w:hAnsi="Arial" w:cs="Arial"/>
          <w:i/>
          <w:color w:val="000000"/>
          <w:sz w:val="20"/>
          <w:szCs w:val="20"/>
          <w:lang w:eastAsia="en-US"/>
        </w:rPr>
      </w:pPr>
    </w:p>
    <w:p w:rsidR="00E60222" w:rsidRDefault="00E60222" w:rsidP="00E60222">
      <w:pPr>
        <w:ind w:left="426" w:right="567"/>
        <w:jc w:val="both"/>
        <w:rPr>
          <w:rFonts w:ascii="Arial" w:hAnsi="Arial" w:cs="Arial"/>
          <w:i/>
          <w:color w:val="000000"/>
          <w:sz w:val="20"/>
          <w:szCs w:val="20"/>
          <w:lang w:eastAsia="en-US"/>
        </w:rPr>
      </w:pPr>
      <w:r w:rsidRPr="00E60222">
        <w:rPr>
          <w:rFonts w:ascii="Arial" w:hAnsi="Arial" w:cs="Arial"/>
          <w:i/>
          <w:color w:val="000000"/>
          <w:sz w:val="20"/>
          <w:szCs w:val="20"/>
          <w:lang w:eastAsia="en-US"/>
        </w:rPr>
        <w:t>La mayor actividad económica también se ha reflejado en mayores ingresos de los trabajadores del sector formal del estado, que crecieron 10.7% durante los primeros nueve meses de 2022. Este incremento fue mayor a la inflación (8.4%)</w:t>
      </w:r>
      <w:r w:rsidRPr="00E60222">
        <w:rPr>
          <w:rStyle w:val="Refdenotaalpie"/>
          <w:rFonts w:ascii="Arial" w:hAnsi="Arial" w:cs="Arial"/>
          <w:i/>
          <w:color w:val="000000"/>
          <w:sz w:val="20"/>
          <w:szCs w:val="20"/>
          <w:lang w:eastAsia="en-US"/>
        </w:rPr>
        <w:footnoteReference w:id="3"/>
      </w:r>
      <w:r w:rsidRPr="00E60222">
        <w:rPr>
          <w:rFonts w:ascii="Arial" w:hAnsi="Arial" w:cs="Arial"/>
          <w:i/>
          <w:color w:val="000000"/>
          <w:sz w:val="20"/>
          <w:szCs w:val="20"/>
          <w:lang w:eastAsia="en-US"/>
        </w:rPr>
        <w:t>, lo que ha permitido mantener el poder adquisitivo de las familias.</w:t>
      </w:r>
    </w:p>
    <w:p w:rsidR="00E60222" w:rsidRPr="00E60222" w:rsidRDefault="00E60222" w:rsidP="00E60222">
      <w:pPr>
        <w:ind w:left="426" w:right="567"/>
        <w:jc w:val="both"/>
        <w:rPr>
          <w:rFonts w:ascii="Arial" w:hAnsi="Arial" w:cs="Arial"/>
          <w:i/>
          <w:color w:val="000000"/>
          <w:sz w:val="20"/>
          <w:szCs w:val="20"/>
          <w:lang w:eastAsia="en-US"/>
        </w:rPr>
      </w:pPr>
    </w:p>
    <w:p w:rsidR="00E60222" w:rsidRPr="00E60222" w:rsidRDefault="00E60222" w:rsidP="00E60222">
      <w:pPr>
        <w:ind w:left="426" w:right="567"/>
        <w:jc w:val="both"/>
        <w:rPr>
          <w:rFonts w:ascii="Arial" w:hAnsi="Arial" w:cs="Arial"/>
          <w:b/>
          <w:bCs/>
          <w:i/>
          <w:sz w:val="20"/>
          <w:szCs w:val="20"/>
          <w:lang w:val="es-ES_tradnl" w:eastAsia="es-ES_tradnl"/>
        </w:rPr>
      </w:pPr>
      <w:r w:rsidRPr="00E60222">
        <w:rPr>
          <w:rFonts w:ascii="Arial" w:hAnsi="Arial" w:cs="Arial"/>
          <w:b/>
          <w:bCs/>
          <w:i/>
          <w:sz w:val="20"/>
          <w:szCs w:val="20"/>
          <w:lang w:val="es-ES_tradnl" w:eastAsia="es-ES_tradnl"/>
        </w:rPr>
        <w:t>2. Estimación de los ingresos al cierre del ejercicio fiscal 2022</w:t>
      </w:r>
    </w:p>
    <w:p w:rsidR="00E60222" w:rsidRDefault="00E60222" w:rsidP="00E60222">
      <w:pPr>
        <w:ind w:left="426" w:right="567"/>
        <w:jc w:val="both"/>
        <w:rPr>
          <w:rFonts w:ascii="Arial" w:hAnsi="Arial" w:cs="Arial"/>
          <w:i/>
          <w:sz w:val="20"/>
          <w:szCs w:val="20"/>
          <w:lang w:eastAsia="es-ES_tradnl"/>
        </w:rPr>
      </w:pPr>
    </w:p>
    <w:p w:rsidR="00E60222" w:rsidRPr="00E60222" w:rsidRDefault="00E60222" w:rsidP="00E60222">
      <w:pPr>
        <w:ind w:left="426" w:right="567"/>
        <w:jc w:val="both"/>
        <w:rPr>
          <w:rFonts w:ascii="Arial" w:hAnsi="Arial" w:cs="Arial"/>
          <w:i/>
          <w:sz w:val="20"/>
          <w:szCs w:val="20"/>
          <w:lang w:eastAsia="es-ES_tradnl"/>
        </w:rPr>
      </w:pPr>
      <w:r w:rsidRPr="00E60222">
        <w:rPr>
          <w:rFonts w:ascii="Arial" w:hAnsi="Arial" w:cs="Arial"/>
          <w:i/>
          <w:sz w:val="20"/>
          <w:szCs w:val="20"/>
          <w:lang w:eastAsia="es-ES_tradnl"/>
        </w:rPr>
        <w:t>Para el ejercicio 2022 se presentó un paquete fiscal balanceado en el que se esperaba un total de $46,038 millones de pesos, de los cuales $3,402 millones de pesos serían recursos recaudados directamente por las entidades a través de los conceptos de Venta de Bienes y Servicios y Cuotas de Aportación de Seguridad Social. Los $42,636 millones de pesos restantes correspondieron a la expectativa de recaudación del sector centralizado, de los cuales $22,398 serían de origen no etiquetado (ingresos propios fiscales, Participaciones federales e incentivos de colaboración fiscal) y $20,237 millones de pesos, de origen etiquetado (convenios y subsidios federales, así como Aportaciones del Ramo 33).</w:t>
      </w:r>
    </w:p>
    <w:p w:rsidR="00E60222" w:rsidRDefault="00E60222" w:rsidP="00E60222">
      <w:pPr>
        <w:ind w:left="426" w:right="567"/>
        <w:jc w:val="both"/>
        <w:rPr>
          <w:rFonts w:ascii="Arial" w:hAnsi="Arial" w:cs="Arial"/>
          <w:i/>
          <w:sz w:val="20"/>
          <w:szCs w:val="20"/>
          <w:lang w:eastAsia="es-ES_tradnl"/>
        </w:rPr>
      </w:pPr>
    </w:p>
    <w:p w:rsidR="00E60222" w:rsidRPr="00E60222" w:rsidRDefault="00E60222" w:rsidP="00E60222">
      <w:pPr>
        <w:ind w:left="426" w:right="567"/>
        <w:jc w:val="both"/>
        <w:rPr>
          <w:rFonts w:ascii="Arial" w:hAnsi="Arial" w:cs="Arial"/>
          <w:i/>
          <w:sz w:val="20"/>
          <w:szCs w:val="20"/>
          <w:lang w:eastAsia="es-ES_tradnl"/>
        </w:rPr>
      </w:pPr>
      <w:r w:rsidRPr="00E60222">
        <w:rPr>
          <w:rFonts w:ascii="Arial" w:hAnsi="Arial" w:cs="Arial"/>
          <w:i/>
          <w:sz w:val="20"/>
          <w:szCs w:val="20"/>
          <w:lang w:eastAsia="es-ES_tradnl"/>
        </w:rPr>
        <w:t xml:space="preserve">Tras el análisis de desempeño de la recaudación al tercer trimestre de 2022, se proyecta una recaudación de ingresos no etiquetados de $23,198 millones de pesos; es decir, $800 millones de pesos por encima de lo previsto en la Ley de Ingresos del Estado de Yucatán para el Ejercicio Fiscal 2022, principalmente debido al desempeño de la recaudación local y a una mejora en el coeficiente de distribución de las Participaciones del Ramo 28, a su vez derivado del crecimiento poblacional y esfuerzo recaudatorio de 2021. </w:t>
      </w:r>
    </w:p>
    <w:p w:rsidR="00E60222" w:rsidRDefault="00E60222" w:rsidP="00E60222">
      <w:pPr>
        <w:ind w:left="426" w:right="567"/>
        <w:jc w:val="both"/>
        <w:rPr>
          <w:rFonts w:ascii="Arial" w:hAnsi="Arial" w:cs="Arial"/>
          <w:i/>
          <w:sz w:val="20"/>
          <w:szCs w:val="20"/>
          <w:lang w:eastAsia="es-ES_tradnl"/>
        </w:rPr>
      </w:pPr>
    </w:p>
    <w:p w:rsidR="00E60222" w:rsidRDefault="00E60222" w:rsidP="00E60222">
      <w:pPr>
        <w:ind w:left="426" w:right="567"/>
        <w:jc w:val="both"/>
        <w:rPr>
          <w:rFonts w:ascii="Arial" w:hAnsi="Arial" w:cs="Arial"/>
          <w:i/>
          <w:sz w:val="20"/>
          <w:szCs w:val="20"/>
          <w:lang w:eastAsia="es-ES_tradnl"/>
        </w:rPr>
      </w:pPr>
      <w:r w:rsidRPr="00E60222">
        <w:rPr>
          <w:rFonts w:ascii="Arial" w:hAnsi="Arial" w:cs="Arial"/>
          <w:i/>
          <w:sz w:val="20"/>
          <w:szCs w:val="20"/>
          <w:lang w:eastAsia="es-ES_tradnl"/>
        </w:rPr>
        <w:t>Con base en los convenios de descentralización vigentes y la publicación oficial de los acuerdos federales para las ministraciones del Ramo 33 en el ejercicio fiscal en curso, se estima que los recursos etiquetados al cierre del año serán de $20,617 millones de pesos; es decir, $378 millones de pesos más que lo contemplado inicialmente en la Ley de Ingresos del ejercicio fiscal en curso. Lo anterior, debido principalmente a que, en el Presupuesto de Egresos de la Federación se confirmaron recursos adicionales a los previstos en el Proyecto de Presupuesto de Egresos Federal por $255 millones de pesos para el Fondo de Aportaciones para el Fortalecimiento de los Municipios. También se cuenta con recursos no previstos en el paquete fiscal, como de aproximadamente $29 millones de pesos para la Implementación de la Reforma al Sistema de Justicia Laboral en el estado, entre otros.</w:t>
      </w:r>
    </w:p>
    <w:p w:rsidR="00E60222" w:rsidRPr="00E60222" w:rsidRDefault="00E60222" w:rsidP="00E60222">
      <w:pPr>
        <w:ind w:left="426" w:right="567"/>
        <w:jc w:val="both"/>
        <w:rPr>
          <w:rFonts w:ascii="Arial" w:hAnsi="Arial" w:cs="Arial"/>
          <w:i/>
          <w:sz w:val="20"/>
          <w:szCs w:val="20"/>
          <w:lang w:eastAsia="es-ES_tradnl"/>
        </w:rPr>
      </w:pPr>
    </w:p>
    <w:p w:rsidR="00E60222" w:rsidRDefault="00E60222" w:rsidP="00E60222">
      <w:pPr>
        <w:ind w:left="426" w:right="567"/>
        <w:jc w:val="both"/>
        <w:rPr>
          <w:rFonts w:ascii="Arial" w:hAnsi="Arial" w:cs="Arial"/>
          <w:i/>
          <w:sz w:val="20"/>
          <w:szCs w:val="20"/>
          <w:lang w:eastAsia="es-ES_tradnl"/>
        </w:rPr>
      </w:pPr>
      <w:r w:rsidRPr="00E60222">
        <w:rPr>
          <w:rFonts w:ascii="Arial" w:hAnsi="Arial" w:cs="Arial"/>
          <w:i/>
          <w:sz w:val="20"/>
          <w:szCs w:val="20"/>
          <w:lang w:eastAsia="es-ES_tradnl"/>
        </w:rPr>
        <w:lastRenderedPageBreak/>
        <w:t xml:space="preserve">Excluyendo los recursos que recaudan directamente las entidades y los ingresos por disposiciones del financiamiento de largo plazo autorizado en 2022, se proyecta cerrar este ejercicio fiscal con una recaudación de $43,815 millones de pesos. </w:t>
      </w:r>
    </w:p>
    <w:p w:rsidR="00E60222" w:rsidRDefault="00E60222" w:rsidP="00E60222">
      <w:pPr>
        <w:ind w:left="426" w:right="567"/>
        <w:jc w:val="both"/>
        <w:rPr>
          <w:rFonts w:ascii="Arial" w:hAnsi="Arial" w:cs="Arial"/>
          <w:i/>
          <w:sz w:val="20"/>
          <w:szCs w:val="20"/>
          <w:lang w:eastAsia="es-ES_tradnl"/>
        </w:rPr>
      </w:pPr>
    </w:p>
    <w:p w:rsidR="00E60222" w:rsidRPr="00E60222" w:rsidRDefault="00E60222" w:rsidP="00E60222">
      <w:pPr>
        <w:ind w:left="426" w:right="567"/>
        <w:jc w:val="both"/>
        <w:rPr>
          <w:rFonts w:ascii="Arial" w:hAnsi="Arial" w:cs="Arial"/>
          <w:i/>
          <w:sz w:val="20"/>
          <w:szCs w:val="20"/>
          <w:lang w:eastAsia="es-ES_tradnl"/>
        </w:rPr>
      </w:pPr>
      <w:r>
        <w:rPr>
          <w:rFonts w:ascii="Arial" w:hAnsi="Arial" w:cs="Arial"/>
          <w:i/>
          <w:sz w:val="20"/>
          <w:szCs w:val="20"/>
          <w:lang w:eastAsia="es-ES_tradnl"/>
        </w:rPr>
        <w:t>…”</w:t>
      </w:r>
    </w:p>
    <w:p w:rsidR="00E60222" w:rsidRPr="00463F25" w:rsidRDefault="00E60222" w:rsidP="00E60222">
      <w:pPr>
        <w:pStyle w:val="NormalWeb"/>
        <w:spacing w:before="0" w:beforeAutospacing="0" w:after="0" w:afterAutospacing="0" w:line="360" w:lineRule="auto"/>
        <w:ind w:left="284" w:right="426" w:firstLine="283"/>
        <w:jc w:val="both"/>
        <w:rPr>
          <w:i/>
          <w:sz w:val="20"/>
          <w:szCs w:val="20"/>
          <w:lang w:val="es-MX"/>
        </w:rPr>
      </w:pPr>
    </w:p>
    <w:p w:rsidR="007E7A3B" w:rsidRPr="005E6466" w:rsidRDefault="00337909" w:rsidP="008A1C9A">
      <w:pPr>
        <w:pStyle w:val="NormalWeb"/>
        <w:spacing w:before="0" w:beforeAutospacing="0" w:after="0" w:afterAutospacing="0" w:line="360" w:lineRule="auto"/>
        <w:ind w:firstLine="709"/>
        <w:jc w:val="both"/>
        <w:rPr>
          <w:lang w:val="es-MX"/>
        </w:rPr>
      </w:pPr>
      <w:r w:rsidRPr="005E6466">
        <w:rPr>
          <w:b/>
          <w:lang w:val="es-MX"/>
        </w:rPr>
        <w:t xml:space="preserve">SEGUNDO. </w:t>
      </w:r>
      <w:r w:rsidRPr="005E6466">
        <w:rPr>
          <w:lang w:val="es-MX"/>
        </w:rPr>
        <w:t>Como se hizo referencia, en sesión</w:t>
      </w:r>
      <w:r w:rsidR="00781DAB" w:rsidRPr="005E6466">
        <w:rPr>
          <w:lang w:val="es-MX"/>
        </w:rPr>
        <w:t xml:space="preserve"> ordinaria de </w:t>
      </w:r>
      <w:r w:rsidRPr="005E6466">
        <w:rPr>
          <w:lang w:val="es-MX"/>
        </w:rPr>
        <w:t xml:space="preserve">fecha </w:t>
      </w:r>
      <w:r w:rsidR="00E628B4">
        <w:rPr>
          <w:lang w:val="es-MX"/>
        </w:rPr>
        <w:t>30</w:t>
      </w:r>
      <w:r w:rsidRPr="005E6466">
        <w:rPr>
          <w:lang w:val="es-MX"/>
        </w:rPr>
        <w:t xml:space="preserve"> de </w:t>
      </w:r>
      <w:r w:rsidR="00781DAB" w:rsidRPr="005E6466">
        <w:rPr>
          <w:lang w:val="es-MX"/>
        </w:rPr>
        <w:t xml:space="preserve">noviembre </w:t>
      </w:r>
      <w:r w:rsidRPr="005E6466">
        <w:rPr>
          <w:lang w:val="es-MX"/>
        </w:rPr>
        <w:t>del año en curso, se turnó la iniciativa antes citad</w:t>
      </w:r>
      <w:r w:rsidR="00891E48">
        <w:rPr>
          <w:lang w:val="es-MX"/>
        </w:rPr>
        <w:t>a a esta C</w:t>
      </w:r>
      <w:r w:rsidR="00163EEE" w:rsidRPr="005E6466">
        <w:rPr>
          <w:lang w:val="es-MX"/>
        </w:rPr>
        <w:t>omisión dictaminadora</w:t>
      </w:r>
      <w:r w:rsidRPr="005E6466">
        <w:rPr>
          <w:lang w:val="es-MX"/>
        </w:rPr>
        <w:t>; posteriormente</w:t>
      </w:r>
      <w:r w:rsidR="00E628B4">
        <w:rPr>
          <w:lang w:val="es-MX"/>
        </w:rPr>
        <w:t xml:space="preserve"> el 1</w:t>
      </w:r>
      <w:r w:rsidR="0033169C" w:rsidRPr="005E6466">
        <w:rPr>
          <w:lang w:val="es-MX"/>
        </w:rPr>
        <w:t xml:space="preserve"> de </w:t>
      </w:r>
      <w:r w:rsidR="00E628B4">
        <w:rPr>
          <w:lang w:val="es-MX"/>
        </w:rPr>
        <w:t>diciembre</w:t>
      </w:r>
      <w:r w:rsidR="0033169C" w:rsidRPr="005E6466">
        <w:rPr>
          <w:lang w:val="es-MX"/>
        </w:rPr>
        <w:t xml:space="preserve"> del año en curso, fue </w:t>
      </w:r>
      <w:r w:rsidR="00E628B4">
        <w:rPr>
          <w:lang w:val="es-MX"/>
        </w:rPr>
        <w:t>distribuido</w:t>
      </w:r>
      <w:r w:rsidR="0033169C" w:rsidRPr="005E6466">
        <w:rPr>
          <w:lang w:val="es-MX"/>
        </w:rPr>
        <w:t xml:space="preserve"> a </w:t>
      </w:r>
      <w:r w:rsidR="00EB3CEC" w:rsidRPr="005E6466">
        <w:t>l</w:t>
      </w:r>
      <w:r w:rsidR="00EB3CEC" w:rsidRPr="005E6466">
        <w:rPr>
          <w:lang w:val="es-MX"/>
        </w:rPr>
        <w:t xml:space="preserve">as diputadas y diputados </w:t>
      </w:r>
      <w:r w:rsidR="00F17EE6" w:rsidRPr="005E6466">
        <w:rPr>
          <w:lang w:val="es-MX"/>
        </w:rPr>
        <w:t xml:space="preserve">integrantes de esta </w:t>
      </w:r>
      <w:r w:rsidR="00D9166C">
        <w:rPr>
          <w:lang w:val="es-MX"/>
        </w:rPr>
        <w:t>C</w:t>
      </w:r>
      <w:r w:rsidR="00F17EE6" w:rsidRPr="005E6466">
        <w:rPr>
          <w:lang w:val="es-MX"/>
        </w:rPr>
        <w:t xml:space="preserve">omisión para su debido análisis, estudio y dictamen respectivo. </w:t>
      </w:r>
    </w:p>
    <w:p w:rsidR="007E7A3B" w:rsidRPr="005E6466" w:rsidRDefault="007E7A3B" w:rsidP="007E7A3B">
      <w:pPr>
        <w:pStyle w:val="NormalWeb"/>
        <w:spacing w:before="0" w:beforeAutospacing="0" w:after="0" w:afterAutospacing="0" w:line="360" w:lineRule="auto"/>
        <w:ind w:firstLine="708"/>
        <w:jc w:val="both"/>
        <w:rPr>
          <w:lang w:val="es-MX"/>
        </w:rPr>
      </w:pPr>
    </w:p>
    <w:p w:rsidR="007E7A3B" w:rsidRPr="005E6466" w:rsidRDefault="007E7A3B" w:rsidP="007E7A3B">
      <w:pPr>
        <w:pStyle w:val="NormalWeb"/>
        <w:spacing w:before="0" w:beforeAutospacing="0" w:after="0" w:afterAutospacing="0" w:line="360" w:lineRule="auto"/>
        <w:ind w:firstLine="708"/>
        <w:jc w:val="both"/>
        <w:rPr>
          <w:color w:val="000000"/>
          <w:shd w:val="clear" w:color="auto" w:fill="FFFFFF"/>
        </w:rPr>
      </w:pPr>
      <w:r w:rsidRPr="00D736EC">
        <w:rPr>
          <w:b/>
          <w:lang w:val="es-MX"/>
        </w:rPr>
        <w:t>TERCERO</w:t>
      </w:r>
      <w:r w:rsidRPr="00D736EC">
        <w:rPr>
          <w:b/>
        </w:rPr>
        <w:t>.</w:t>
      </w:r>
      <w:r w:rsidRPr="00D736EC">
        <w:rPr>
          <w:color w:val="000000"/>
          <w:shd w:val="clear" w:color="auto" w:fill="FFFFFF"/>
        </w:rPr>
        <w:t xml:space="preserve"> Es preciso mencionar, que el </w:t>
      </w:r>
      <w:r w:rsidR="004A6631" w:rsidRPr="00D736EC">
        <w:rPr>
          <w:color w:val="000000"/>
          <w:shd w:val="clear" w:color="auto" w:fill="FFFFFF"/>
        </w:rPr>
        <w:t>1</w:t>
      </w:r>
      <w:r w:rsidRPr="00D736EC">
        <w:rPr>
          <w:color w:val="000000"/>
          <w:shd w:val="clear" w:color="auto" w:fill="FFFFFF"/>
        </w:rPr>
        <w:t xml:space="preserve"> de </w:t>
      </w:r>
      <w:r w:rsidR="004A6631" w:rsidRPr="00D736EC">
        <w:rPr>
          <w:color w:val="000000"/>
          <w:shd w:val="clear" w:color="auto" w:fill="FFFFFF"/>
        </w:rPr>
        <w:t>diciembre</w:t>
      </w:r>
      <w:r w:rsidRPr="00D736EC">
        <w:rPr>
          <w:color w:val="000000"/>
          <w:shd w:val="clear" w:color="auto" w:fill="FFFFFF"/>
        </w:rPr>
        <w:t xml:space="preserve"> del año en curso, como parte de la implementación del </w:t>
      </w:r>
      <w:r w:rsidR="00734B74" w:rsidRPr="00D736EC">
        <w:rPr>
          <w:color w:val="000000"/>
          <w:shd w:val="clear" w:color="auto" w:fill="FFFFFF"/>
        </w:rPr>
        <w:t>p</w:t>
      </w:r>
      <w:r w:rsidRPr="00D736EC">
        <w:rPr>
          <w:color w:val="000000"/>
          <w:shd w:val="clear" w:color="auto" w:fill="FFFFFF"/>
        </w:rPr>
        <w:t xml:space="preserve">arlamento </w:t>
      </w:r>
      <w:r w:rsidR="00734B74" w:rsidRPr="00D736EC">
        <w:rPr>
          <w:color w:val="000000"/>
          <w:shd w:val="clear" w:color="auto" w:fill="FFFFFF"/>
        </w:rPr>
        <w:t>a</w:t>
      </w:r>
      <w:r w:rsidRPr="00D736EC">
        <w:rPr>
          <w:color w:val="000000"/>
          <w:shd w:val="clear" w:color="auto" w:fill="FFFFFF"/>
        </w:rPr>
        <w:t xml:space="preserve">bierto, se solicitó </w:t>
      </w:r>
      <w:r w:rsidR="00FB2823" w:rsidRPr="00D736EC">
        <w:rPr>
          <w:color w:val="000000"/>
          <w:shd w:val="clear" w:color="auto" w:fill="FFFFFF"/>
        </w:rPr>
        <w:t>subir</w:t>
      </w:r>
      <w:r w:rsidR="00054B6E">
        <w:rPr>
          <w:color w:val="000000"/>
          <w:shd w:val="clear" w:color="auto" w:fill="FFFFFF"/>
        </w:rPr>
        <w:t xml:space="preserve"> en la página web de este Congreso E</w:t>
      </w:r>
      <w:r w:rsidRPr="00D736EC">
        <w:rPr>
          <w:color w:val="000000"/>
          <w:shd w:val="clear" w:color="auto" w:fill="FFFFFF"/>
        </w:rPr>
        <w:t>statal</w:t>
      </w:r>
      <w:r w:rsidR="00054B6E">
        <w:rPr>
          <w:color w:val="000000"/>
          <w:shd w:val="clear" w:color="auto" w:fill="FFFFFF"/>
        </w:rPr>
        <w:t xml:space="preserve"> todo lo concerniente al Paquete Fiscal E</w:t>
      </w:r>
      <w:r w:rsidR="00FB2823" w:rsidRPr="00D736EC">
        <w:rPr>
          <w:color w:val="000000"/>
          <w:shd w:val="clear" w:color="auto" w:fill="FFFFFF"/>
        </w:rPr>
        <w:t>statal correspo</w:t>
      </w:r>
      <w:r w:rsidR="00E60222" w:rsidRPr="00D736EC">
        <w:rPr>
          <w:color w:val="000000"/>
          <w:shd w:val="clear" w:color="auto" w:fill="FFFFFF"/>
        </w:rPr>
        <w:t xml:space="preserve">ndiente al </w:t>
      </w:r>
      <w:r w:rsidR="00054B6E">
        <w:rPr>
          <w:color w:val="000000"/>
          <w:shd w:val="clear" w:color="auto" w:fill="FFFFFF"/>
        </w:rPr>
        <w:t>Ejercicio F</w:t>
      </w:r>
      <w:r w:rsidR="00E60222" w:rsidRPr="00D736EC">
        <w:rPr>
          <w:color w:val="000000"/>
          <w:shd w:val="clear" w:color="auto" w:fill="FFFFFF"/>
        </w:rPr>
        <w:t>iscal 2023</w:t>
      </w:r>
      <w:r w:rsidRPr="00D736EC">
        <w:rPr>
          <w:color w:val="000000"/>
          <w:shd w:val="clear" w:color="auto" w:fill="FFFFFF"/>
        </w:rPr>
        <w:t xml:space="preserve">, </w:t>
      </w:r>
      <w:r w:rsidR="00FB2823" w:rsidRPr="00D736EC">
        <w:rPr>
          <w:color w:val="000000"/>
          <w:shd w:val="clear" w:color="auto" w:fill="FFFFFF"/>
        </w:rPr>
        <w:t>para que</w:t>
      </w:r>
      <w:r w:rsidRPr="00D736EC">
        <w:rPr>
          <w:color w:val="000000"/>
          <w:shd w:val="clear" w:color="auto" w:fill="FFFFFF"/>
        </w:rPr>
        <w:t xml:space="preserve"> </w:t>
      </w:r>
      <w:r w:rsidR="00891E48" w:rsidRPr="00D736EC">
        <w:rPr>
          <w:color w:val="000000"/>
          <w:shd w:val="clear" w:color="auto" w:fill="FFFFFF"/>
        </w:rPr>
        <w:t>esté</w:t>
      </w:r>
      <w:r w:rsidRPr="00D736EC">
        <w:rPr>
          <w:color w:val="000000"/>
          <w:shd w:val="clear" w:color="auto" w:fill="FFFFFF"/>
        </w:rPr>
        <w:t xml:space="preserve"> </w:t>
      </w:r>
      <w:r w:rsidR="00891E48" w:rsidRPr="00D736EC">
        <w:rPr>
          <w:color w:val="000000"/>
          <w:shd w:val="clear" w:color="auto" w:fill="FFFFFF"/>
        </w:rPr>
        <w:t>a</w:t>
      </w:r>
      <w:r w:rsidRPr="00D736EC">
        <w:rPr>
          <w:color w:val="000000"/>
          <w:shd w:val="clear" w:color="auto" w:fill="FFFFFF"/>
        </w:rPr>
        <w:t xml:space="preserve"> disposición de la ciudadanía yucateca.</w:t>
      </w:r>
    </w:p>
    <w:p w:rsidR="007612E5" w:rsidRPr="005E6466" w:rsidRDefault="007612E5" w:rsidP="007E7A3B">
      <w:pPr>
        <w:pStyle w:val="NormalWeb"/>
        <w:spacing w:before="0" w:beforeAutospacing="0" w:after="0" w:afterAutospacing="0" w:line="360" w:lineRule="auto"/>
        <w:ind w:firstLine="708"/>
        <w:jc w:val="both"/>
        <w:rPr>
          <w:color w:val="000000"/>
          <w:shd w:val="clear" w:color="auto" w:fill="FFFFFF"/>
        </w:rPr>
      </w:pPr>
    </w:p>
    <w:p w:rsidR="00206E62" w:rsidRPr="005E6466" w:rsidRDefault="00C540A4" w:rsidP="002F3F05">
      <w:pPr>
        <w:pStyle w:val="NormalWeb"/>
        <w:spacing w:before="0" w:beforeAutospacing="0" w:after="0" w:afterAutospacing="0" w:line="360" w:lineRule="auto"/>
        <w:ind w:firstLine="709"/>
        <w:jc w:val="both"/>
        <w:rPr>
          <w:color w:val="000000"/>
          <w:shd w:val="clear" w:color="auto" w:fill="FFFFFF"/>
        </w:rPr>
      </w:pPr>
      <w:r w:rsidRPr="00FB2823">
        <w:rPr>
          <w:b/>
          <w:color w:val="000000"/>
          <w:shd w:val="clear" w:color="auto" w:fill="FFFFFF"/>
        </w:rPr>
        <w:t>CUARTO.</w:t>
      </w:r>
      <w:r w:rsidRPr="00FB2823">
        <w:rPr>
          <w:color w:val="000000"/>
          <w:shd w:val="clear" w:color="auto" w:fill="FFFFFF"/>
        </w:rPr>
        <w:t xml:space="preserve"> </w:t>
      </w:r>
      <w:r w:rsidR="00206E62" w:rsidRPr="00FB2823">
        <w:rPr>
          <w:color w:val="000000"/>
          <w:shd w:val="clear" w:color="auto" w:fill="FFFFFF"/>
        </w:rPr>
        <w:t>De igual forma, y de común acuerdo e</w:t>
      </w:r>
      <w:r w:rsidR="00891E48">
        <w:rPr>
          <w:color w:val="000000"/>
          <w:shd w:val="clear" w:color="auto" w:fill="FFFFFF"/>
        </w:rPr>
        <w:t>ntre los que integramos esta Comisión P</w:t>
      </w:r>
      <w:r w:rsidR="00206E62" w:rsidRPr="00FB2823">
        <w:rPr>
          <w:color w:val="000000"/>
          <w:shd w:val="clear" w:color="auto" w:fill="FFFFFF"/>
        </w:rPr>
        <w:t xml:space="preserve">ermanente, coincidimos en invitar a </w:t>
      </w:r>
      <w:r w:rsidR="00891E48">
        <w:rPr>
          <w:color w:val="000000"/>
          <w:shd w:val="clear" w:color="auto" w:fill="FFFFFF"/>
        </w:rPr>
        <w:t>participar</w:t>
      </w:r>
      <w:r w:rsidR="00206E62" w:rsidRPr="00FB2823">
        <w:rPr>
          <w:color w:val="000000"/>
          <w:shd w:val="clear" w:color="auto" w:fill="FFFFFF"/>
        </w:rPr>
        <w:t xml:space="preserve"> a diversos funcionarios del Estado, </w:t>
      </w:r>
      <w:r w:rsidR="00891E48">
        <w:rPr>
          <w:color w:val="000000"/>
          <w:shd w:val="clear" w:color="auto" w:fill="FFFFFF"/>
        </w:rPr>
        <w:t xml:space="preserve">en una reunión de trabajo a efecto de ahondar, aclarar y en su caso dilucidar sobre algunas temas </w:t>
      </w:r>
      <w:r w:rsidR="00206E62" w:rsidRPr="00FB2823">
        <w:rPr>
          <w:color w:val="000000"/>
          <w:shd w:val="clear" w:color="auto" w:fill="FFFFFF"/>
        </w:rPr>
        <w:t>con respecto al anál</w:t>
      </w:r>
      <w:r w:rsidR="00054B6E">
        <w:rPr>
          <w:color w:val="000000"/>
          <w:shd w:val="clear" w:color="auto" w:fill="FFFFFF"/>
        </w:rPr>
        <w:t>isis del Paquete Fiscal E</w:t>
      </w:r>
      <w:r w:rsidR="00891E48">
        <w:rPr>
          <w:color w:val="000000"/>
          <w:shd w:val="clear" w:color="auto" w:fill="FFFFFF"/>
        </w:rPr>
        <w:t>statal;</w:t>
      </w:r>
      <w:r w:rsidR="00206E62" w:rsidRPr="00FB2823">
        <w:rPr>
          <w:color w:val="000000"/>
          <w:shd w:val="clear" w:color="auto" w:fill="FFFFFF"/>
        </w:rPr>
        <w:t xml:space="preserve"> en ese </w:t>
      </w:r>
      <w:r w:rsidR="00206E62" w:rsidRPr="002629FC">
        <w:rPr>
          <w:color w:val="000000"/>
          <w:shd w:val="clear" w:color="auto" w:fill="FFFFFF"/>
        </w:rPr>
        <w:t xml:space="preserve">sentido el día </w:t>
      </w:r>
      <w:r w:rsidR="005A6C9D" w:rsidRPr="002629FC">
        <w:rPr>
          <w:color w:val="000000"/>
          <w:shd w:val="clear" w:color="auto" w:fill="FFFFFF"/>
        </w:rPr>
        <w:t>sábado 3</w:t>
      </w:r>
      <w:r w:rsidR="00206E62" w:rsidRPr="002629FC">
        <w:rPr>
          <w:color w:val="000000"/>
          <w:shd w:val="clear" w:color="auto" w:fill="FFFFFF"/>
        </w:rPr>
        <w:t xml:space="preserve"> de diciembre del año en curso, se llevó a cabo la </w:t>
      </w:r>
      <w:r w:rsidR="00891E48" w:rsidRPr="002629FC">
        <w:rPr>
          <w:color w:val="000000"/>
          <w:shd w:val="clear" w:color="auto" w:fill="FFFFFF"/>
        </w:rPr>
        <w:t xml:space="preserve">reunión de trabajo con </w:t>
      </w:r>
      <w:r w:rsidR="00206E62" w:rsidRPr="002629FC">
        <w:rPr>
          <w:color w:val="000000"/>
          <w:shd w:val="clear" w:color="auto" w:fill="FFFFFF"/>
        </w:rPr>
        <w:t>los funcionarios estatales</w:t>
      </w:r>
      <w:r w:rsidR="003C7808" w:rsidRPr="002629FC">
        <w:rPr>
          <w:color w:val="000000"/>
          <w:shd w:val="clear" w:color="auto" w:fill="FFFFFF"/>
        </w:rPr>
        <w:t xml:space="preserve">, la </w:t>
      </w:r>
      <w:proofErr w:type="spellStart"/>
      <w:r w:rsidR="003C7808" w:rsidRPr="002629FC">
        <w:rPr>
          <w:color w:val="000000"/>
          <w:shd w:val="clear" w:color="auto" w:fill="FFFFFF"/>
        </w:rPr>
        <w:t>Abog</w:t>
      </w:r>
      <w:proofErr w:type="spellEnd"/>
      <w:r w:rsidR="003C7808" w:rsidRPr="002629FC">
        <w:rPr>
          <w:color w:val="000000"/>
          <w:shd w:val="clear" w:color="auto" w:fill="FFFFFF"/>
        </w:rPr>
        <w:t xml:space="preserve">. María Dolores Fritz Sierra, </w:t>
      </w:r>
      <w:r w:rsidR="000335BB">
        <w:rPr>
          <w:color w:val="000000"/>
          <w:shd w:val="clear" w:color="auto" w:fill="FFFFFF"/>
        </w:rPr>
        <w:t>Secretari</w:t>
      </w:r>
      <w:r w:rsidR="00C100C0" w:rsidRPr="002629FC">
        <w:rPr>
          <w:color w:val="000000"/>
          <w:shd w:val="clear" w:color="auto" w:fill="FFFFFF"/>
        </w:rPr>
        <w:t>a General de Gobierno</w:t>
      </w:r>
      <w:r w:rsidR="00307F91" w:rsidRPr="002629FC">
        <w:rPr>
          <w:color w:val="000000"/>
          <w:shd w:val="clear" w:color="auto" w:fill="FFFFFF"/>
        </w:rPr>
        <w:t>;</w:t>
      </w:r>
      <w:r w:rsidR="00C100C0" w:rsidRPr="002629FC">
        <w:rPr>
          <w:color w:val="000000"/>
          <w:shd w:val="clear" w:color="auto" w:fill="FFFFFF"/>
        </w:rPr>
        <w:t xml:space="preserve"> </w:t>
      </w:r>
      <w:r w:rsidR="003C7808" w:rsidRPr="002629FC">
        <w:rPr>
          <w:color w:val="000000"/>
          <w:shd w:val="clear" w:color="auto" w:fill="FFFFFF"/>
        </w:rPr>
        <w:t>la Mtra. Olga Rosas Moya,</w:t>
      </w:r>
      <w:r w:rsidR="000335BB">
        <w:rPr>
          <w:color w:val="000000"/>
          <w:shd w:val="clear" w:color="auto" w:fill="FFFFFF"/>
        </w:rPr>
        <w:t xml:space="preserve"> Secretari</w:t>
      </w:r>
      <w:r w:rsidR="00206E62" w:rsidRPr="002629FC">
        <w:rPr>
          <w:color w:val="000000"/>
          <w:shd w:val="clear" w:color="auto" w:fill="FFFFFF"/>
        </w:rPr>
        <w:t xml:space="preserve">a de Administración y </w:t>
      </w:r>
      <w:r w:rsidR="00FB2823" w:rsidRPr="002629FC">
        <w:rPr>
          <w:color w:val="000000"/>
          <w:shd w:val="clear" w:color="auto" w:fill="FFFFFF"/>
        </w:rPr>
        <w:t xml:space="preserve">Finanzas y </w:t>
      </w:r>
      <w:r w:rsidR="002629FC" w:rsidRPr="002629FC">
        <w:rPr>
          <w:color w:val="000000"/>
          <w:shd w:val="clear" w:color="auto" w:fill="FFFFFF"/>
        </w:rPr>
        <w:t xml:space="preserve">la </w:t>
      </w:r>
      <w:r w:rsidR="003C7808" w:rsidRPr="002629FC">
        <w:rPr>
          <w:color w:val="000000"/>
          <w:shd w:val="clear" w:color="auto" w:fill="FFFFFF"/>
        </w:rPr>
        <w:t xml:space="preserve">C.P. </w:t>
      </w:r>
      <w:r w:rsidR="002629FC" w:rsidRPr="002629FC">
        <w:rPr>
          <w:color w:val="000000"/>
          <w:shd w:val="clear" w:color="auto" w:fill="FFFFFF"/>
        </w:rPr>
        <w:t xml:space="preserve">Ofelia </w:t>
      </w:r>
      <w:r w:rsidR="002629FC">
        <w:rPr>
          <w:color w:val="000000"/>
          <w:shd w:val="clear" w:color="auto" w:fill="FFFFFF"/>
        </w:rPr>
        <w:t xml:space="preserve">Elena </w:t>
      </w:r>
      <w:proofErr w:type="spellStart"/>
      <w:r w:rsidR="002629FC" w:rsidRPr="002629FC">
        <w:rPr>
          <w:color w:val="000000"/>
          <w:shd w:val="clear" w:color="auto" w:fill="FFFFFF"/>
        </w:rPr>
        <w:t>Ricalde</w:t>
      </w:r>
      <w:proofErr w:type="spellEnd"/>
      <w:r w:rsidR="002629FC">
        <w:rPr>
          <w:color w:val="000000"/>
          <w:shd w:val="clear" w:color="auto" w:fill="FFFFFF"/>
        </w:rPr>
        <w:t xml:space="preserve"> Onofre</w:t>
      </w:r>
      <w:r w:rsidR="002629FC" w:rsidRPr="002629FC">
        <w:rPr>
          <w:color w:val="000000"/>
          <w:shd w:val="clear" w:color="auto" w:fill="FFFFFF"/>
        </w:rPr>
        <w:t xml:space="preserve">, Directora de Recaudación por parte </w:t>
      </w:r>
      <w:r w:rsidR="00206E62" w:rsidRPr="002629FC">
        <w:rPr>
          <w:color w:val="000000"/>
          <w:shd w:val="clear" w:color="auto" w:fill="FFFFFF"/>
        </w:rPr>
        <w:t>de la Agencia de Administración Fiscal de Yucatán</w:t>
      </w:r>
      <w:r w:rsidR="00206E62" w:rsidRPr="002629FC">
        <w:rPr>
          <w:bCs/>
          <w:color w:val="000000"/>
        </w:rPr>
        <w:t xml:space="preserve">, </w:t>
      </w:r>
      <w:r w:rsidR="00206E62" w:rsidRPr="002629FC">
        <w:rPr>
          <w:color w:val="000000"/>
          <w:shd w:val="clear" w:color="auto" w:fill="FFFFFF"/>
        </w:rPr>
        <w:t>quienes de manera puntual tuvieron a bien expo</w:t>
      </w:r>
      <w:r w:rsidR="00891E48" w:rsidRPr="002629FC">
        <w:rPr>
          <w:color w:val="000000"/>
          <w:shd w:val="clear" w:color="auto" w:fill="FFFFFF"/>
        </w:rPr>
        <w:t>ner lo conducente; así como de aclarar</w:t>
      </w:r>
      <w:r w:rsidR="00206E62" w:rsidRPr="002629FC">
        <w:rPr>
          <w:color w:val="000000"/>
          <w:shd w:val="clear" w:color="auto" w:fill="FFFFFF"/>
        </w:rPr>
        <w:t xml:space="preserve"> las dudas generadas por l</w:t>
      </w:r>
      <w:r w:rsidR="00206E62" w:rsidRPr="002629FC">
        <w:rPr>
          <w:lang w:val="es-MX"/>
        </w:rPr>
        <w:t>as diputadas y diputados</w:t>
      </w:r>
      <w:r w:rsidR="00206E62" w:rsidRPr="002629FC">
        <w:rPr>
          <w:color w:val="000000"/>
          <w:shd w:val="clear" w:color="auto" w:fill="FFFFFF"/>
        </w:rPr>
        <w:t>.</w:t>
      </w:r>
    </w:p>
    <w:p w:rsidR="00E83B4B" w:rsidRPr="005E6466" w:rsidRDefault="00E83B4B" w:rsidP="00E83B4B">
      <w:pPr>
        <w:pStyle w:val="NormalWeb"/>
        <w:spacing w:before="0" w:beforeAutospacing="0" w:after="0" w:afterAutospacing="0" w:line="360" w:lineRule="auto"/>
        <w:ind w:firstLine="708"/>
        <w:jc w:val="both"/>
      </w:pPr>
    </w:p>
    <w:p w:rsidR="00337909" w:rsidRPr="005E6466" w:rsidRDefault="00337909" w:rsidP="000A069E">
      <w:pPr>
        <w:spacing w:line="360" w:lineRule="auto"/>
        <w:ind w:firstLine="708"/>
        <w:jc w:val="both"/>
        <w:rPr>
          <w:rFonts w:ascii="Arial" w:hAnsi="Arial" w:cs="Arial"/>
          <w:lang w:val="es-MX"/>
        </w:rPr>
      </w:pPr>
      <w:r w:rsidRPr="005E6466">
        <w:rPr>
          <w:rFonts w:ascii="Arial" w:hAnsi="Arial" w:cs="Arial"/>
          <w:lang w:val="es-MX"/>
        </w:rPr>
        <w:t>Con base en los antecedentes mencion</w:t>
      </w:r>
      <w:r w:rsidR="00F67474" w:rsidRPr="005E6466">
        <w:rPr>
          <w:rFonts w:ascii="Arial" w:hAnsi="Arial" w:cs="Arial"/>
          <w:lang w:val="es-MX"/>
        </w:rPr>
        <w:t xml:space="preserve">ados, </w:t>
      </w:r>
      <w:r w:rsidR="00EB3CEC" w:rsidRPr="005E6466">
        <w:rPr>
          <w:rFonts w:ascii="Arial" w:hAnsi="Arial" w:cs="Arial"/>
        </w:rPr>
        <w:t>l</w:t>
      </w:r>
      <w:r w:rsidR="00EB3CEC" w:rsidRPr="005E6466">
        <w:rPr>
          <w:rFonts w:ascii="Arial" w:hAnsi="Arial" w:cs="Arial"/>
          <w:lang w:val="es-MX"/>
        </w:rPr>
        <w:t xml:space="preserve">as diputadas y diputados </w:t>
      </w:r>
      <w:r w:rsidR="00F67474" w:rsidRPr="005E6466">
        <w:rPr>
          <w:rFonts w:ascii="Arial" w:hAnsi="Arial" w:cs="Arial"/>
          <w:lang w:val="es-MX"/>
        </w:rPr>
        <w:t xml:space="preserve">integrantes </w:t>
      </w:r>
      <w:r w:rsidRPr="005E6466">
        <w:rPr>
          <w:rFonts w:ascii="Arial" w:hAnsi="Arial" w:cs="Arial"/>
          <w:lang w:val="es-MX"/>
        </w:rPr>
        <w:t>de esta comisión permanente, realizamos la</w:t>
      </w:r>
      <w:r w:rsidR="007C7363" w:rsidRPr="005E6466">
        <w:rPr>
          <w:rFonts w:ascii="Arial" w:hAnsi="Arial" w:cs="Arial"/>
          <w:lang w:val="es-MX"/>
        </w:rPr>
        <w:t xml:space="preserve"> siguiente,</w:t>
      </w:r>
    </w:p>
    <w:p w:rsidR="00FB2823" w:rsidRDefault="00FB2823" w:rsidP="000A069E">
      <w:pPr>
        <w:spacing w:line="360" w:lineRule="auto"/>
        <w:ind w:firstLine="708"/>
        <w:jc w:val="center"/>
        <w:rPr>
          <w:rFonts w:ascii="Arial" w:hAnsi="Arial" w:cs="Arial"/>
          <w:b/>
          <w:lang w:val="es-MX"/>
        </w:rPr>
      </w:pPr>
    </w:p>
    <w:p w:rsidR="00337909" w:rsidRPr="005E6466" w:rsidRDefault="00F634F0" w:rsidP="000A069E">
      <w:pPr>
        <w:spacing w:line="360" w:lineRule="auto"/>
        <w:ind w:firstLine="708"/>
        <w:jc w:val="center"/>
        <w:rPr>
          <w:rFonts w:ascii="Arial" w:hAnsi="Arial" w:cs="Arial"/>
          <w:b/>
          <w:lang w:val="es-MX"/>
        </w:rPr>
      </w:pPr>
      <w:r w:rsidRPr="005E6466">
        <w:rPr>
          <w:rFonts w:ascii="Arial" w:hAnsi="Arial" w:cs="Arial"/>
          <w:b/>
          <w:lang w:val="es-MX"/>
        </w:rPr>
        <w:t xml:space="preserve">E X P O S I C I </w:t>
      </w:r>
      <w:proofErr w:type="spellStart"/>
      <w:r w:rsidRPr="005E6466">
        <w:rPr>
          <w:rFonts w:ascii="Arial" w:hAnsi="Arial" w:cs="Arial"/>
          <w:b/>
          <w:lang w:val="es-MX"/>
        </w:rPr>
        <w:t>Ó</w:t>
      </w:r>
      <w:proofErr w:type="spellEnd"/>
      <w:r w:rsidRPr="005E6466">
        <w:rPr>
          <w:rFonts w:ascii="Arial" w:hAnsi="Arial" w:cs="Arial"/>
          <w:b/>
          <w:lang w:val="es-MX"/>
        </w:rPr>
        <w:t xml:space="preserve"> </w:t>
      </w:r>
      <w:proofErr w:type="gramStart"/>
      <w:r w:rsidRPr="005E6466">
        <w:rPr>
          <w:rFonts w:ascii="Arial" w:hAnsi="Arial" w:cs="Arial"/>
          <w:b/>
          <w:lang w:val="es-MX"/>
        </w:rPr>
        <w:t>N  D</w:t>
      </w:r>
      <w:proofErr w:type="gramEnd"/>
      <w:r w:rsidRPr="005E6466">
        <w:rPr>
          <w:rFonts w:ascii="Arial" w:hAnsi="Arial" w:cs="Arial"/>
          <w:b/>
          <w:lang w:val="es-MX"/>
        </w:rPr>
        <w:t xml:space="preserve"> E </w:t>
      </w:r>
      <w:r w:rsidR="000E110F">
        <w:rPr>
          <w:rFonts w:ascii="Arial" w:hAnsi="Arial" w:cs="Arial"/>
          <w:b/>
          <w:lang w:val="es-MX"/>
        </w:rPr>
        <w:t xml:space="preserve"> </w:t>
      </w:r>
      <w:r w:rsidRPr="005E6466">
        <w:rPr>
          <w:rFonts w:ascii="Arial" w:hAnsi="Arial" w:cs="Arial"/>
          <w:b/>
          <w:lang w:val="es-MX"/>
        </w:rPr>
        <w:t>M O T I V O S</w:t>
      </w:r>
    </w:p>
    <w:p w:rsidR="00337909" w:rsidRPr="005E6466" w:rsidRDefault="00337909" w:rsidP="000A069E">
      <w:pPr>
        <w:spacing w:line="360" w:lineRule="auto"/>
        <w:ind w:firstLine="708"/>
        <w:jc w:val="center"/>
        <w:rPr>
          <w:rFonts w:ascii="Arial" w:hAnsi="Arial" w:cs="Arial"/>
          <w:b/>
          <w:lang w:val="es-MX"/>
        </w:rPr>
      </w:pPr>
    </w:p>
    <w:p w:rsidR="00EC5414" w:rsidRPr="005E6466" w:rsidRDefault="002A1661" w:rsidP="00943B44">
      <w:pPr>
        <w:autoSpaceDN w:val="0"/>
        <w:adjustRightInd w:val="0"/>
        <w:spacing w:line="360" w:lineRule="auto"/>
        <w:ind w:firstLine="709"/>
        <w:jc w:val="both"/>
        <w:rPr>
          <w:rFonts w:ascii="Arial" w:hAnsi="Arial" w:cs="Arial"/>
          <w:lang w:val="es-MX"/>
        </w:rPr>
      </w:pPr>
      <w:r w:rsidRPr="005E6466">
        <w:rPr>
          <w:rFonts w:ascii="Arial" w:hAnsi="Arial" w:cs="Arial"/>
          <w:b/>
          <w:lang w:val="es-MX"/>
        </w:rPr>
        <w:t>PRIMERA.</w:t>
      </w:r>
      <w:r w:rsidR="00337909" w:rsidRPr="005E6466">
        <w:rPr>
          <w:rFonts w:ascii="Arial" w:hAnsi="Arial" w:cs="Arial"/>
          <w:b/>
          <w:lang w:val="es-MX"/>
        </w:rPr>
        <w:t xml:space="preserve"> </w:t>
      </w:r>
      <w:r w:rsidR="00943B44" w:rsidRPr="005E6466">
        <w:rPr>
          <w:rFonts w:ascii="Arial" w:hAnsi="Arial" w:cs="Arial"/>
        </w:rPr>
        <w:t xml:space="preserve">La iniciativa en estudio, fue presentada en ejercicio de la facultad que le concede al Poder Ejecutivo del Estado el artículo </w:t>
      </w:r>
      <w:r w:rsidR="00943B44" w:rsidRPr="005E6466">
        <w:rPr>
          <w:rFonts w:ascii="Arial" w:hAnsi="Arial" w:cs="Arial"/>
          <w:lang w:val="es-MX"/>
        </w:rPr>
        <w:t xml:space="preserve">35 fracción II de la Constitución Política del Estado de Yucatán, </w:t>
      </w:r>
      <w:r w:rsidR="0066081B" w:rsidRPr="005E6466">
        <w:rPr>
          <w:rFonts w:ascii="Arial" w:hAnsi="Arial" w:cs="Arial"/>
          <w:lang w:val="es-MX"/>
        </w:rPr>
        <w:t>con</w:t>
      </w:r>
      <w:r w:rsidR="00943B44" w:rsidRPr="005E6466">
        <w:rPr>
          <w:rFonts w:ascii="Arial" w:hAnsi="Arial" w:cs="Arial"/>
          <w:lang w:val="es-MX"/>
        </w:rPr>
        <w:t xml:space="preserve"> relación con lo dispuesto por el artículo 30 fracción VI </w:t>
      </w:r>
      <w:r w:rsidR="00F141E3" w:rsidRPr="005E6466">
        <w:rPr>
          <w:rFonts w:ascii="Arial" w:hAnsi="Arial" w:cs="Arial"/>
          <w:lang w:val="es-MX"/>
        </w:rPr>
        <w:t>primer</w:t>
      </w:r>
      <w:r w:rsidR="00943B44" w:rsidRPr="005E6466">
        <w:rPr>
          <w:rFonts w:ascii="Arial" w:hAnsi="Arial" w:cs="Arial"/>
          <w:lang w:val="es-MX"/>
        </w:rPr>
        <w:t xml:space="preserve"> párrafo, y en cumplimiento de lo establecido por el artículo 55 fracción XIV </w:t>
      </w:r>
      <w:r w:rsidR="003947E3" w:rsidRPr="005E6466">
        <w:rPr>
          <w:rFonts w:ascii="Arial" w:hAnsi="Arial" w:cs="Arial"/>
          <w:lang w:val="es-MX"/>
        </w:rPr>
        <w:t xml:space="preserve">primer </w:t>
      </w:r>
      <w:r w:rsidR="00943B44" w:rsidRPr="005E6466">
        <w:rPr>
          <w:rFonts w:ascii="Arial" w:hAnsi="Arial" w:cs="Arial"/>
          <w:lang w:val="es-MX"/>
        </w:rPr>
        <w:t>párrafo del mismo ordenamiento legal.</w:t>
      </w:r>
    </w:p>
    <w:p w:rsidR="00943B44" w:rsidRPr="005E6466" w:rsidRDefault="00943B44" w:rsidP="00943B44">
      <w:pPr>
        <w:autoSpaceDN w:val="0"/>
        <w:adjustRightInd w:val="0"/>
        <w:spacing w:line="360" w:lineRule="auto"/>
        <w:ind w:firstLine="709"/>
        <w:jc w:val="both"/>
        <w:rPr>
          <w:rFonts w:ascii="Arial" w:hAnsi="Arial" w:cs="Arial"/>
          <w:b/>
          <w:lang w:val="es-MX"/>
        </w:rPr>
      </w:pPr>
      <w:r w:rsidRPr="005E6466">
        <w:rPr>
          <w:rFonts w:ascii="Arial" w:hAnsi="Arial" w:cs="Arial"/>
          <w:lang w:val="es-MX"/>
        </w:rPr>
        <w:t xml:space="preserve"> </w:t>
      </w:r>
    </w:p>
    <w:p w:rsidR="00337909" w:rsidRPr="005E6466" w:rsidRDefault="00EC5414" w:rsidP="000A069E">
      <w:pPr>
        <w:autoSpaceDN w:val="0"/>
        <w:adjustRightInd w:val="0"/>
        <w:spacing w:line="360" w:lineRule="auto"/>
        <w:ind w:firstLine="709"/>
        <w:jc w:val="both"/>
        <w:rPr>
          <w:rFonts w:ascii="Arial" w:hAnsi="Arial" w:cs="Arial"/>
          <w:lang w:val="es-MX"/>
        </w:rPr>
      </w:pPr>
      <w:r w:rsidRPr="005E6466">
        <w:rPr>
          <w:rFonts w:ascii="Arial" w:hAnsi="Arial" w:cs="Arial"/>
          <w:lang w:val="es-MX"/>
        </w:rPr>
        <w:t xml:space="preserve">Asimismo, </w:t>
      </w:r>
      <w:r w:rsidR="00822978" w:rsidRPr="005E6466">
        <w:rPr>
          <w:rFonts w:ascii="Arial" w:hAnsi="Arial" w:cs="Arial"/>
          <w:lang w:val="es-MX"/>
        </w:rPr>
        <w:t>el contenido de la iniciativa</w:t>
      </w:r>
      <w:r w:rsidR="00337909" w:rsidRPr="005E6466">
        <w:rPr>
          <w:rFonts w:ascii="Arial" w:hAnsi="Arial" w:cs="Arial"/>
          <w:lang w:val="es-MX"/>
        </w:rPr>
        <w:t xml:space="preserve"> en </w:t>
      </w:r>
      <w:r w:rsidR="00DB7DD8" w:rsidRPr="005E6466">
        <w:rPr>
          <w:rFonts w:ascii="Arial" w:hAnsi="Arial" w:cs="Arial"/>
          <w:lang w:val="es-MX"/>
        </w:rPr>
        <w:t>turno</w:t>
      </w:r>
      <w:r w:rsidR="00337909" w:rsidRPr="005E6466">
        <w:rPr>
          <w:rFonts w:ascii="Arial" w:hAnsi="Arial" w:cs="Arial"/>
          <w:lang w:val="es-MX"/>
        </w:rPr>
        <w:t xml:space="preserve">, se estima que este cuerpo colegiado </w:t>
      </w:r>
      <w:r w:rsidR="00F32270" w:rsidRPr="005E6466">
        <w:rPr>
          <w:rFonts w:ascii="Arial" w:hAnsi="Arial" w:cs="Arial"/>
          <w:lang w:val="es-MX"/>
        </w:rPr>
        <w:t>es competente para dictaminarla</w:t>
      </w:r>
      <w:r w:rsidR="00337909" w:rsidRPr="005E6466">
        <w:rPr>
          <w:rFonts w:ascii="Arial" w:hAnsi="Arial" w:cs="Arial"/>
          <w:lang w:val="es-MX"/>
        </w:rPr>
        <w:t>, según lo establecido el artículo 43</w:t>
      </w:r>
      <w:r w:rsidR="00746304" w:rsidRPr="005E6466">
        <w:rPr>
          <w:rFonts w:ascii="Arial" w:hAnsi="Arial" w:cs="Arial"/>
          <w:lang w:val="es-MX"/>
        </w:rPr>
        <w:t>,</w:t>
      </w:r>
      <w:r w:rsidR="00337909" w:rsidRPr="005E6466">
        <w:rPr>
          <w:rFonts w:ascii="Arial" w:hAnsi="Arial" w:cs="Arial"/>
          <w:lang w:val="es-MX"/>
        </w:rPr>
        <w:t xml:space="preserve"> fracción IV</w:t>
      </w:r>
      <w:r w:rsidR="00746304" w:rsidRPr="005E6466">
        <w:rPr>
          <w:rFonts w:ascii="Arial" w:hAnsi="Arial" w:cs="Arial"/>
          <w:lang w:val="es-MX"/>
        </w:rPr>
        <w:t>,</w:t>
      </w:r>
      <w:r w:rsidR="00337909" w:rsidRPr="005E6466">
        <w:rPr>
          <w:rFonts w:ascii="Arial" w:hAnsi="Arial" w:cs="Arial"/>
          <w:lang w:val="es-MX"/>
        </w:rPr>
        <w:t xml:space="preserve"> inciso a)</w:t>
      </w:r>
      <w:r w:rsidR="00746304" w:rsidRPr="005E6466">
        <w:rPr>
          <w:rFonts w:ascii="Arial" w:hAnsi="Arial" w:cs="Arial"/>
          <w:lang w:val="es-MX"/>
        </w:rPr>
        <w:t>,</w:t>
      </w:r>
      <w:r w:rsidR="00337909" w:rsidRPr="005E6466">
        <w:rPr>
          <w:rFonts w:ascii="Arial" w:hAnsi="Arial" w:cs="Arial"/>
          <w:lang w:val="es-MX"/>
        </w:rPr>
        <w:t xml:space="preserve"> de la Ley de Gobierno del Poder Legislativo del Estado de Yucatán, toda vez que las adecuaciones legales propuestas versan sobre asuntos relacionados </w:t>
      </w:r>
      <w:r w:rsidR="00060C22" w:rsidRPr="005E6466">
        <w:rPr>
          <w:rFonts w:ascii="Arial" w:hAnsi="Arial" w:cs="Arial"/>
          <w:lang w:val="es-MX"/>
        </w:rPr>
        <w:t xml:space="preserve">en </w:t>
      </w:r>
      <w:r w:rsidR="00337909" w:rsidRPr="005E6466">
        <w:rPr>
          <w:rFonts w:ascii="Arial" w:hAnsi="Arial" w:cs="Arial"/>
          <w:lang w:val="es-MX"/>
        </w:rPr>
        <w:t xml:space="preserve">materia fiscal y hacendaria. </w:t>
      </w:r>
    </w:p>
    <w:p w:rsidR="00337909" w:rsidRPr="005E6466" w:rsidRDefault="00337909" w:rsidP="000A069E">
      <w:pPr>
        <w:autoSpaceDN w:val="0"/>
        <w:adjustRightInd w:val="0"/>
        <w:spacing w:line="360" w:lineRule="auto"/>
        <w:ind w:firstLine="709"/>
        <w:jc w:val="both"/>
        <w:rPr>
          <w:rFonts w:ascii="Arial" w:hAnsi="Arial" w:cs="Arial"/>
          <w:lang w:val="es-MX"/>
        </w:rPr>
      </w:pPr>
    </w:p>
    <w:p w:rsidR="001D46D3" w:rsidRPr="005E6466" w:rsidRDefault="00891E48" w:rsidP="00891E48">
      <w:pPr>
        <w:autoSpaceDN w:val="0"/>
        <w:adjustRightInd w:val="0"/>
        <w:spacing w:line="360" w:lineRule="auto"/>
        <w:ind w:firstLine="709"/>
        <w:jc w:val="both"/>
        <w:rPr>
          <w:rFonts w:ascii="Arial" w:hAnsi="Arial" w:cs="Arial"/>
          <w:lang w:val="es-MX"/>
        </w:rPr>
      </w:pPr>
      <w:r>
        <w:rPr>
          <w:rFonts w:ascii="Arial" w:hAnsi="Arial" w:cs="Arial"/>
          <w:lang w:val="es-MX"/>
        </w:rPr>
        <w:t>En tal contexto, la C</w:t>
      </w:r>
      <w:r w:rsidR="00337909" w:rsidRPr="005E6466">
        <w:rPr>
          <w:rFonts w:ascii="Arial" w:hAnsi="Arial" w:cs="Arial"/>
          <w:lang w:val="es-MX"/>
        </w:rPr>
        <w:t xml:space="preserve">omisión dictaminadora se encuentra facultada constitucionalmente </w:t>
      </w:r>
      <w:r w:rsidR="00DB5A80" w:rsidRPr="005E6466">
        <w:rPr>
          <w:rFonts w:ascii="Arial" w:hAnsi="Arial" w:cs="Arial"/>
          <w:lang w:val="es-MX"/>
        </w:rPr>
        <w:t>para entrar al estudio</w:t>
      </w:r>
      <w:r w:rsidR="00746304" w:rsidRPr="005E6466">
        <w:rPr>
          <w:rFonts w:ascii="Arial" w:hAnsi="Arial" w:cs="Arial"/>
          <w:lang w:val="es-MX"/>
        </w:rPr>
        <w:t>,</w:t>
      </w:r>
      <w:r w:rsidR="00337909" w:rsidRPr="005E6466">
        <w:rPr>
          <w:rFonts w:ascii="Arial" w:hAnsi="Arial" w:cs="Arial"/>
          <w:lang w:val="es-MX"/>
        </w:rPr>
        <w:t xml:space="preserve"> en términos del</w:t>
      </w:r>
      <w:r w:rsidR="007F1D07" w:rsidRPr="005E6466">
        <w:rPr>
          <w:rFonts w:ascii="Arial" w:hAnsi="Arial" w:cs="Arial"/>
          <w:lang w:val="es-MX"/>
        </w:rPr>
        <w:t xml:space="preserve"> artículo 31</w:t>
      </w:r>
      <w:r w:rsidR="00746304" w:rsidRPr="005E6466">
        <w:rPr>
          <w:rFonts w:ascii="Arial" w:hAnsi="Arial" w:cs="Arial"/>
          <w:lang w:val="es-MX"/>
        </w:rPr>
        <w:t>,</w:t>
      </w:r>
      <w:r w:rsidR="007F1D07" w:rsidRPr="005E6466">
        <w:rPr>
          <w:rFonts w:ascii="Arial" w:hAnsi="Arial" w:cs="Arial"/>
          <w:lang w:val="es-MX"/>
        </w:rPr>
        <w:t xml:space="preserve"> fracción IV</w:t>
      </w:r>
      <w:r w:rsidR="00746304" w:rsidRPr="005E6466">
        <w:rPr>
          <w:rFonts w:ascii="Arial" w:hAnsi="Arial" w:cs="Arial"/>
          <w:lang w:val="es-MX"/>
        </w:rPr>
        <w:t>,</w:t>
      </w:r>
      <w:r>
        <w:rPr>
          <w:rFonts w:ascii="Arial" w:hAnsi="Arial" w:cs="Arial"/>
          <w:lang w:val="es-MX"/>
        </w:rPr>
        <w:t xml:space="preserve"> de la Carta M</w:t>
      </w:r>
      <w:r w:rsidR="00337909" w:rsidRPr="005E6466">
        <w:rPr>
          <w:rFonts w:ascii="Arial" w:hAnsi="Arial" w:cs="Arial"/>
          <w:lang w:val="es-MX"/>
        </w:rPr>
        <w:t>agna, cuya esencia señala la obligación de todos los mexicanos para contribuir a</w:t>
      </w:r>
      <w:r w:rsidR="00811FD0" w:rsidRPr="005E6466">
        <w:rPr>
          <w:rFonts w:ascii="Arial" w:hAnsi="Arial" w:cs="Arial"/>
          <w:lang w:val="es-MX"/>
        </w:rPr>
        <w:t>l gasto público</w:t>
      </w:r>
      <w:r w:rsidR="00337909" w:rsidRPr="005E6466">
        <w:rPr>
          <w:rFonts w:ascii="Arial" w:hAnsi="Arial" w:cs="Arial"/>
          <w:lang w:val="es-MX"/>
        </w:rPr>
        <w:t xml:space="preserve"> en los tres órdenes de gobierno de una manera proporcional y equitativa. </w:t>
      </w:r>
    </w:p>
    <w:p w:rsidR="001D46D3" w:rsidRPr="005E6466" w:rsidRDefault="001D46D3" w:rsidP="00332525">
      <w:pPr>
        <w:autoSpaceDN w:val="0"/>
        <w:adjustRightInd w:val="0"/>
        <w:spacing w:line="360" w:lineRule="auto"/>
        <w:ind w:firstLine="709"/>
        <w:jc w:val="both"/>
        <w:rPr>
          <w:rFonts w:ascii="Arial" w:hAnsi="Arial" w:cs="Arial"/>
          <w:lang w:val="es-MX"/>
        </w:rPr>
      </w:pPr>
    </w:p>
    <w:p w:rsidR="006F1FC3" w:rsidRPr="005E6466" w:rsidRDefault="00337909" w:rsidP="0011574A">
      <w:pPr>
        <w:autoSpaceDN w:val="0"/>
        <w:adjustRightInd w:val="0"/>
        <w:spacing w:line="360" w:lineRule="auto"/>
        <w:ind w:firstLine="708"/>
        <w:jc w:val="both"/>
        <w:rPr>
          <w:rFonts w:ascii="Arial" w:hAnsi="Arial" w:cs="Arial"/>
        </w:rPr>
      </w:pPr>
      <w:r w:rsidRPr="005E6466">
        <w:rPr>
          <w:rFonts w:ascii="Arial" w:hAnsi="Arial" w:cs="Arial"/>
          <w:b/>
          <w:lang w:val="es-MX"/>
        </w:rPr>
        <w:t>SEGUNDA.</w:t>
      </w:r>
      <w:r w:rsidR="00A86569" w:rsidRPr="005E6466">
        <w:rPr>
          <w:rFonts w:ascii="Arial" w:hAnsi="Arial" w:cs="Arial"/>
          <w:b/>
          <w:lang w:val="es-MX"/>
        </w:rPr>
        <w:t xml:space="preserve"> </w:t>
      </w:r>
      <w:r w:rsidR="00A86569" w:rsidRPr="005E6466">
        <w:rPr>
          <w:rFonts w:ascii="Arial" w:hAnsi="Arial" w:cs="Arial"/>
          <w:lang w:val="es-MX"/>
        </w:rPr>
        <w:t>La propuesta de Ley de Ingresos del Estado de Yucat</w:t>
      </w:r>
      <w:r w:rsidR="00463F25">
        <w:rPr>
          <w:rFonts w:ascii="Arial" w:hAnsi="Arial" w:cs="Arial"/>
          <w:lang w:val="es-MX"/>
        </w:rPr>
        <w:t>án para el Ejercicio Fiscal 202</w:t>
      </w:r>
      <w:r w:rsidR="00E60222">
        <w:rPr>
          <w:rFonts w:ascii="Arial" w:hAnsi="Arial" w:cs="Arial"/>
          <w:lang w:val="es-MX"/>
        </w:rPr>
        <w:t>3</w:t>
      </w:r>
      <w:r w:rsidR="00A86569" w:rsidRPr="005E6466">
        <w:rPr>
          <w:rFonts w:ascii="Arial" w:hAnsi="Arial" w:cs="Arial"/>
          <w:lang w:val="es-MX"/>
        </w:rPr>
        <w:t>,</w:t>
      </w:r>
      <w:r w:rsidR="00A86569" w:rsidRPr="005E6466">
        <w:rPr>
          <w:rFonts w:ascii="Arial" w:hAnsi="Arial" w:cs="Arial"/>
          <w:b/>
          <w:lang w:val="es-MX"/>
        </w:rPr>
        <w:t xml:space="preserve"> </w:t>
      </w:r>
      <w:r w:rsidR="00A86569" w:rsidRPr="005E6466">
        <w:rPr>
          <w:rFonts w:ascii="Arial" w:hAnsi="Arial" w:cs="Arial"/>
        </w:rPr>
        <w:t xml:space="preserve">que se somete a consideración constituye </w:t>
      </w:r>
      <w:r w:rsidR="00E912AB">
        <w:rPr>
          <w:rFonts w:ascii="Arial" w:hAnsi="Arial" w:cs="Arial"/>
        </w:rPr>
        <w:t>un instrumento jurídico que</w:t>
      </w:r>
      <w:r w:rsidR="00A86569" w:rsidRPr="005E6466">
        <w:rPr>
          <w:rFonts w:ascii="Arial" w:hAnsi="Arial" w:cs="Arial"/>
        </w:rPr>
        <w:t xml:space="preserve"> en coordinación con las demás leyes tributarias federales y locales, e</w:t>
      </w:r>
      <w:r w:rsidR="00891E48">
        <w:rPr>
          <w:rFonts w:ascii="Arial" w:hAnsi="Arial" w:cs="Arial"/>
        </w:rPr>
        <w:t>stablece la forma en la que el E</w:t>
      </w:r>
      <w:r w:rsidR="00A86569" w:rsidRPr="005E6466">
        <w:rPr>
          <w:rFonts w:ascii="Arial" w:hAnsi="Arial" w:cs="Arial"/>
        </w:rPr>
        <w:t xml:space="preserve">stado percibirá ingresos públicos durante el año </w:t>
      </w:r>
      <w:r w:rsidR="001B621C" w:rsidRPr="005E6466">
        <w:rPr>
          <w:rFonts w:ascii="Arial" w:hAnsi="Arial" w:cs="Arial"/>
        </w:rPr>
        <w:t>previsto</w:t>
      </w:r>
      <w:r w:rsidR="00A86569" w:rsidRPr="005E6466">
        <w:rPr>
          <w:rFonts w:ascii="Arial" w:hAnsi="Arial" w:cs="Arial"/>
        </w:rPr>
        <w:t>, para cumplir con sus funciones y garantizar la continuación de bienes y servicios necesarios para los yucatecos.</w:t>
      </w:r>
    </w:p>
    <w:p w:rsidR="006F1FC3" w:rsidRDefault="006F1FC3" w:rsidP="0011574A">
      <w:pPr>
        <w:autoSpaceDN w:val="0"/>
        <w:adjustRightInd w:val="0"/>
        <w:spacing w:line="360" w:lineRule="auto"/>
        <w:ind w:firstLine="708"/>
        <w:jc w:val="both"/>
        <w:rPr>
          <w:rFonts w:ascii="Arial" w:hAnsi="Arial" w:cs="Arial"/>
        </w:rPr>
      </w:pPr>
    </w:p>
    <w:p w:rsidR="006A3B68" w:rsidRDefault="000B1028" w:rsidP="006A3B68">
      <w:pPr>
        <w:spacing w:line="360" w:lineRule="auto"/>
        <w:ind w:firstLine="708"/>
        <w:jc w:val="both"/>
        <w:rPr>
          <w:rFonts w:ascii="Arial" w:hAnsi="Arial" w:cs="Arial"/>
        </w:rPr>
      </w:pPr>
      <w:r>
        <w:rPr>
          <w:rFonts w:ascii="Arial" w:hAnsi="Arial" w:cs="Arial"/>
        </w:rPr>
        <w:t>Esta L</w:t>
      </w:r>
      <w:r w:rsidR="006A3B68">
        <w:rPr>
          <w:rFonts w:ascii="Arial" w:hAnsi="Arial" w:cs="Arial"/>
        </w:rPr>
        <w:t>ey tiene por o</w:t>
      </w:r>
      <w:r w:rsidR="006A3B68" w:rsidRPr="00B55E5E">
        <w:rPr>
          <w:rFonts w:ascii="Arial" w:hAnsi="Arial" w:cs="Arial"/>
        </w:rPr>
        <w:t>bjeto,</w:t>
      </w:r>
      <w:r w:rsidR="006A3B68">
        <w:rPr>
          <w:rFonts w:ascii="Arial" w:hAnsi="Arial" w:cs="Arial"/>
        </w:rPr>
        <w:t xml:space="preserve"> </w:t>
      </w:r>
      <w:r w:rsidR="006A3B68" w:rsidRPr="00B55E5E">
        <w:rPr>
          <w:rFonts w:ascii="Arial" w:hAnsi="Arial" w:cs="Arial"/>
        </w:rPr>
        <w:t xml:space="preserve">establecer los ingresos que </w:t>
      </w:r>
      <w:r w:rsidR="006A3B68">
        <w:rPr>
          <w:rFonts w:ascii="Arial" w:hAnsi="Arial" w:cs="Arial"/>
        </w:rPr>
        <w:t>por concepto de contribuciones val</w:t>
      </w:r>
      <w:r w:rsidR="00054B6E">
        <w:rPr>
          <w:rFonts w:ascii="Arial" w:hAnsi="Arial" w:cs="Arial"/>
        </w:rPr>
        <w:t>ore percibir el estado para el Ejercicio F</w:t>
      </w:r>
      <w:r w:rsidR="006A3B68">
        <w:rPr>
          <w:rFonts w:ascii="Arial" w:hAnsi="Arial" w:cs="Arial"/>
        </w:rPr>
        <w:t xml:space="preserve">iscal correspondiente, mismo que permitirá mantener un equilibrio en las finanzas públicas, proporcionando el respaldo a todos los programas presupuestarios cimentados en el Proyecto de </w:t>
      </w:r>
      <w:r w:rsidR="00C77818">
        <w:rPr>
          <w:rFonts w:ascii="Arial" w:hAnsi="Arial" w:cs="Arial"/>
        </w:rPr>
        <w:t xml:space="preserve">Presupuesto de </w:t>
      </w:r>
      <w:r w:rsidR="006A3B68">
        <w:rPr>
          <w:rFonts w:ascii="Arial" w:hAnsi="Arial" w:cs="Arial"/>
        </w:rPr>
        <w:t xml:space="preserve">Egresos del Estado; componiéndose de esta forma, </w:t>
      </w:r>
      <w:r w:rsidR="006A3B68" w:rsidRPr="00B55E5E">
        <w:rPr>
          <w:rFonts w:ascii="Arial" w:hAnsi="Arial" w:cs="Arial"/>
        </w:rPr>
        <w:t xml:space="preserve">una proyección o estimación de </w:t>
      </w:r>
      <w:r w:rsidR="006A3B68">
        <w:rPr>
          <w:rFonts w:ascii="Arial" w:hAnsi="Arial" w:cs="Arial"/>
        </w:rPr>
        <w:t xml:space="preserve">los </w:t>
      </w:r>
      <w:r w:rsidR="006A3B68" w:rsidRPr="00B55E5E">
        <w:rPr>
          <w:rFonts w:ascii="Arial" w:hAnsi="Arial" w:cs="Arial"/>
        </w:rPr>
        <w:t xml:space="preserve">ingresos que </w:t>
      </w:r>
      <w:r w:rsidR="006A3B68">
        <w:rPr>
          <w:rFonts w:ascii="Arial" w:hAnsi="Arial" w:cs="Arial"/>
        </w:rPr>
        <w:t xml:space="preserve">calcula </w:t>
      </w:r>
      <w:r w:rsidR="006A3B68" w:rsidRPr="00B55E5E">
        <w:rPr>
          <w:rFonts w:ascii="Arial" w:hAnsi="Arial" w:cs="Arial"/>
        </w:rPr>
        <w:t xml:space="preserve">recaudar con respecto al ejercicio inmediato anterior, mismos que serán destinados para la consecución de </w:t>
      </w:r>
      <w:r w:rsidR="006A3B68">
        <w:rPr>
          <w:rFonts w:ascii="Arial" w:hAnsi="Arial" w:cs="Arial"/>
        </w:rPr>
        <w:t xml:space="preserve">las metas y </w:t>
      </w:r>
      <w:r w:rsidR="006A3B68" w:rsidRPr="00B55E5E">
        <w:rPr>
          <w:rFonts w:ascii="Arial" w:hAnsi="Arial" w:cs="Arial"/>
        </w:rPr>
        <w:t xml:space="preserve">objetivos </w:t>
      </w:r>
      <w:r w:rsidR="006A3B68">
        <w:rPr>
          <w:rFonts w:ascii="Arial" w:hAnsi="Arial" w:cs="Arial"/>
        </w:rPr>
        <w:t>planteados</w:t>
      </w:r>
      <w:r w:rsidR="006A3B68" w:rsidRPr="00B55E5E">
        <w:rPr>
          <w:rFonts w:ascii="Arial" w:hAnsi="Arial" w:cs="Arial"/>
        </w:rPr>
        <w:t xml:space="preserve"> en el Plan Estatal</w:t>
      </w:r>
      <w:r w:rsidR="006A3B68">
        <w:rPr>
          <w:rFonts w:ascii="Arial" w:hAnsi="Arial" w:cs="Arial"/>
        </w:rPr>
        <w:t xml:space="preserve"> de Desarrollo 2018-202</w:t>
      </w:r>
      <w:r w:rsidR="00D60ED9">
        <w:rPr>
          <w:rFonts w:ascii="Arial" w:hAnsi="Arial" w:cs="Arial"/>
        </w:rPr>
        <w:t>4</w:t>
      </w:r>
      <w:r w:rsidR="006A3B68">
        <w:rPr>
          <w:rFonts w:ascii="Arial" w:hAnsi="Arial" w:cs="Arial"/>
        </w:rPr>
        <w:t>.</w:t>
      </w:r>
    </w:p>
    <w:p w:rsidR="006A3B68" w:rsidRDefault="006A3B68" w:rsidP="006A3B68">
      <w:pPr>
        <w:spacing w:line="360" w:lineRule="auto"/>
        <w:ind w:firstLine="709"/>
        <w:jc w:val="both"/>
        <w:rPr>
          <w:rFonts w:ascii="Arial" w:hAnsi="Arial" w:cs="Arial"/>
        </w:rPr>
      </w:pPr>
    </w:p>
    <w:p w:rsidR="006A3B68" w:rsidRDefault="006A3B68" w:rsidP="006A3B68">
      <w:pPr>
        <w:spacing w:line="360" w:lineRule="auto"/>
        <w:ind w:firstLine="709"/>
        <w:jc w:val="both"/>
        <w:rPr>
          <w:rFonts w:ascii="Arial" w:hAnsi="Arial" w:cs="Arial"/>
        </w:rPr>
      </w:pPr>
      <w:r>
        <w:rPr>
          <w:rFonts w:ascii="Arial" w:hAnsi="Arial" w:cs="Arial"/>
        </w:rPr>
        <w:t>De esta forma, es de destacar que el Plan antes mencionado contiene entre otros objetivos, estrategias definidas, compromisos y proyectos encaminados a elevar la calidad en el gasto público, así como a fortalecer los mecanismos de rendición de cuentas y racionalización en el mismo, tomando en consideración que para ello se requiere de un financiamiento específico para poder detonar los grandes ejes rectores del Plan Estatal de Desarrollo.</w:t>
      </w:r>
    </w:p>
    <w:p w:rsidR="006A3B68" w:rsidRDefault="006A3B68" w:rsidP="006A3B68">
      <w:pPr>
        <w:spacing w:line="360" w:lineRule="auto"/>
        <w:ind w:firstLine="709"/>
        <w:jc w:val="both"/>
        <w:rPr>
          <w:rFonts w:ascii="Arial" w:hAnsi="Arial" w:cs="Arial"/>
        </w:rPr>
      </w:pPr>
    </w:p>
    <w:p w:rsidR="006A3B68" w:rsidRDefault="006A3B68" w:rsidP="006A3B68">
      <w:pPr>
        <w:spacing w:line="360" w:lineRule="auto"/>
        <w:ind w:firstLine="709"/>
        <w:jc w:val="both"/>
        <w:rPr>
          <w:rFonts w:ascii="Arial" w:hAnsi="Arial" w:cs="Arial"/>
          <w:spacing w:val="-4"/>
        </w:rPr>
      </w:pPr>
      <w:r>
        <w:rPr>
          <w:rFonts w:ascii="Arial" w:hAnsi="Arial" w:cs="Arial"/>
        </w:rPr>
        <w:t>La acción de mantener una armonía en las finanzas públic</w:t>
      </w:r>
      <w:r w:rsidR="00054B6E">
        <w:rPr>
          <w:rFonts w:ascii="Arial" w:hAnsi="Arial" w:cs="Arial"/>
        </w:rPr>
        <w:t>as, como consecuencia, trae al E</w:t>
      </w:r>
      <w:r>
        <w:rPr>
          <w:rFonts w:ascii="Arial" w:hAnsi="Arial" w:cs="Arial"/>
        </w:rPr>
        <w:t>stado el beneficio de contar con un respaldo financiero que le permita responder a</w:t>
      </w:r>
      <w:r>
        <w:rPr>
          <w:rFonts w:ascii="Arial" w:hAnsi="Arial" w:cs="Arial"/>
          <w:spacing w:val="-4"/>
        </w:rPr>
        <w:t xml:space="preserve"> la</w:t>
      </w:r>
      <w:r w:rsidRPr="00B55E5E">
        <w:rPr>
          <w:rFonts w:ascii="Arial" w:hAnsi="Arial" w:cs="Arial"/>
          <w:spacing w:val="-4"/>
        </w:rPr>
        <w:t xml:space="preserve"> </w:t>
      </w:r>
      <w:r>
        <w:rPr>
          <w:rFonts w:ascii="Arial" w:hAnsi="Arial" w:cs="Arial"/>
          <w:spacing w:val="-4"/>
        </w:rPr>
        <w:t>creciente demanda social de bienes y servicios públicos, impulsando a servir con mayor capacidad e inteligencia</w:t>
      </w:r>
      <w:r w:rsidRPr="00B55E5E">
        <w:rPr>
          <w:rFonts w:ascii="Arial" w:hAnsi="Arial" w:cs="Arial"/>
          <w:spacing w:val="-4"/>
        </w:rPr>
        <w:t xml:space="preserve">, </w:t>
      </w:r>
      <w:r>
        <w:rPr>
          <w:rFonts w:ascii="Arial" w:hAnsi="Arial" w:cs="Arial"/>
          <w:spacing w:val="-4"/>
        </w:rPr>
        <w:t>a fin de brindar mejor calidad de vida a todos sus habitantes.</w:t>
      </w:r>
    </w:p>
    <w:p w:rsidR="006A3B68" w:rsidRPr="00B55E5E" w:rsidRDefault="006A3B68" w:rsidP="006A3B68">
      <w:pPr>
        <w:spacing w:line="360" w:lineRule="auto"/>
        <w:jc w:val="both"/>
        <w:rPr>
          <w:rFonts w:ascii="Arial" w:hAnsi="Arial" w:cs="Arial"/>
          <w:iCs/>
        </w:rPr>
      </w:pPr>
    </w:p>
    <w:p w:rsidR="006A3B68" w:rsidRDefault="006A3B68" w:rsidP="006A3B68">
      <w:pPr>
        <w:spacing w:line="360" w:lineRule="auto"/>
        <w:ind w:firstLine="708"/>
        <w:jc w:val="both"/>
        <w:rPr>
          <w:rFonts w:ascii="Arial" w:hAnsi="Arial" w:cs="Arial"/>
        </w:rPr>
      </w:pPr>
      <w:r>
        <w:rPr>
          <w:rFonts w:ascii="Arial" w:hAnsi="Arial" w:cs="Arial"/>
          <w:iCs/>
        </w:rPr>
        <w:t>Bajo</w:t>
      </w:r>
      <w:r w:rsidRPr="00B55E5E">
        <w:rPr>
          <w:rFonts w:ascii="Arial" w:hAnsi="Arial" w:cs="Arial"/>
          <w:iCs/>
        </w:rPr>
        <w:t xml:space="preserve"> este </w:t>
      </w:r>
      <w:r>
        <w:rPr>
          <w:rFonts w:ascii="Arial" w:hAnsi="Arial" w:cs="Arial"/>
          <w:iCs/>
        </w:rPr>
        <w:t>tenor</w:t>
      </w:r>
      <w:r w:rsidRPr="00B55E5E">
        <w:rPr>
          <w:rFonts w:ascii="Arial" w:hAnsi="Arial" w:cs="Arial"/>
          <w:iCs/>
        </w:rPr>
        <w:t xml:space="preserve">, es </w:t>
      </w:r>
      <w:r>
        <w:rPr>
          <w:rFonts w:ascii="Arial" w:hAnsi="Arial" w:cs="Arial"/>
          <w:iCs/>
        </w:rPr>
        <w:t>importante menciona</w:t>
      </w:r>
      <w:r w:rsidRPr="00B55E5E">
        <w:rPr>
          <w:rFonts w:ascii="Arial" w:hAnsi="Arial" w:cs="Arial"/>
          <w:iCs/>
        </w:rPr>
        <w:t>r que</w:t>
      </w:r>
      <w:r>
        <w:rPr>
          <w:rFonts w:ascii="Arial" w:hAnsi="Arial" w:cs="Arial"/>
          <w:iCs/>
        </w:rPr>
        <w:t xml:space="preserve"> lo anterior encuentra </w:t>
      </w:r>
      <w:r w:rsidRPr="00B55E5E">
        <w:rPr>
          <w:rFonts w:ascii="Arial" w:hAnsi="Arial" w:cs="Arial"/>
          <w:iCs/>
        </w:rPr>
        <w:t xml:space="preserve">fundamento en el artículo 31 fracción IV de la Constitución Política de los Estados Unidos Mexicanos, </w:t>
      </w:r>
      <w:r>
        <w:rPr>
          <w:rFonts w:ascii="Arial" w:hAnsi="Arial" w:cs="Arial"/>
          <w:iCs/>
        </w:rPr>
        <w:t>así como en el artículo 3 de la Constitución del Estado, en donde se establece</w:t>
      </w:r>
      <w:r w:rsidRPr="00B55E5E">
        <w:rPr>
          <w:rFonts w:ascii="Arial" w:hAnsi="Arial" w:cs="Arial"/>
          <w:iCs/>
        </w:rPr>
        <w:t xml:space="preserve"> </w:t>
      </w:r>
      <w:r w:rsidRPr="00B55E5E">
        <w:rPr>
          <w:rFonts w:ascii="Arial" w:hAnsi="Arial" w:cs="Arial"/>
        </w:rPr>
        <w:t xml:space="preserve">la obligación de los mexicanos a contribuir para los gastos públicos </w:t>
      </w:r>
      <w:r>
        <w:rPr>
          <w:rFonts w:ascii="Arial" w:hAnsi="Arial" w:cs="Arial"/>
        </w:rPr>
        <w:t>en el e</w:t>
      </w:r>
      <w:r w:rsidRPr="00B55E5E">
        <w:rPr>
          <w:rFonts w:ascii="Arial" w:hAnsi="Arial" w:cs="Arial"/>
        </w:rPr>
        <w:t xml:space="preserve">stado </w:t>
      </w:r>
      <w:r>
        <w:rPr>
          <w:rFonts w:ascii="Arial" w:hAnsi="Arial" w:cs="Arial"/>
        </w:rPr>
        <w:t>en que residan, de</w:t>
      </w:r>
      <w:r w:rsidRPr="00B55E5E">
        <w:rPr>
          <w:rFonts w:ascii="Arial" w:hAnsi="Arial" w:cs="Arial"/>
        </w:rPr>
        <w:t xml:space="preserve"> manera proporcional y equitativa que dispongan las leyes respectivas.</w:t>
      </w:r>
    </w:p>
    <w:p w:rsidR="006A3B68" w:rsidRPr="00B55E5E" w:rsidRDefault="006A3B68" w:rsidP="006A3B68">
      <w:pPr>
        <w:spacing w:line="360" w:lineRule="auto"/>
        <w:jc w:val="both"/>
        <w:rPr>
          <w:rFonts w:ascii="Arial" w:hAnsi="Arial" w:cs="Arial"/>
        </w:rPr>
      </w:pPr>
    </w:p>
    <w:p w:rsidR="006A3B68" w:rsidRDefault="006A3B68" w:rsidP="006A3B68">
      <w:pPr>
        <w:spacing w:line="360" w:lineRule="auto"/>
        <w:ind w:firstLine="709"/>
        <w:jc w:val="both"/>
        <w:rPr>
          <w:rFonts w:ascii="Arial" w:hAnsi="Arial" w:cs="Arial"/>
        </w:rPr>
      </w:pPr>
      <w:r>
        <w:rPr>
          <w:rFonts w:ascii="Arial" w:hAnsi="Arial" w:cs="Arial"/>
        </w:rPr>
        <w:t xml:space="preserve">En ese sentido de la normatividad expuesta, </w:t>
      </w:r>
      <w:r w:rsidRPr="00B55E5E">
        <w:rPr>
          <w:rFonts w:ascii="Arial" w:hAnsi="Arial" w:cs="Arial"/>
        </w:rPr>
        <w:t xml:space="preserve">se </w:t>
      </w:r>
      <w:r>
        <w:rPr>
          <w:rFonts w:ascii="Arial" w:hAnsi="Arial" w:cs="Arial"/>
        </w:rPr>
        <w:t>derivan fundamentalmente</w:t>
      </w:r>
      <w:r w:rsidRPr="00B55E5E">
        <w:rPr>
          <w:rFonts w:ascii="Arial" w:hAnsi="Arial" w:cs="Arial"/>
        </w:rPr>
        <w:t xml:space="preserve"> los principios </w:t>
      </w:r>
      <w:r>
        <w:rPr>
          <w:rFonts w:ascii="Arial" w:hAnsi="Arial" w:cs="Arial"/>
        </w:rPr>
        <w:t xml:space="preserve">de justicia fiscal o tributaria, mismos que </w:t>
      </w:r>
      <w:r w:rsidRPr="00B55E5E">
        <w:rPr>
          <w:rFonts w:ascii="Arial" w:hAnsi="Arial" w:cs="Arial"/>
        </w:rPr>
        <w:t xml:space="preserve">se deben ceñir </w:t>
      </w:r>
      <w:r>
        <w:rPr>
          <w:rFonts w:ascii="Arial" w:hAnsi="Arial" w:cs="Arial"/>
        </w:rPr>
        <w:t xml:space="preserve">a </w:t>
      </w:r>
      <w:r w:rsidRPr="00B55E5E">
        <w:rPr>
          <w:rFonts w:ascii="Arial" w:hAnsi="Arial" w:cs="Arial"/>
        </w:rPr>
        <w:t xml:space="preserve">todas las contribuciones, </w:t>
      </w:r>
      <w:r>
        <w:rPr>
          <w:rFonts w:ascii="Arial" w:hAnsi="Arial" w:cs="Arial"/>
        </w:rPr>
        <w:t>teniendo en cuenta los principios de generalidad, obligatoriedad</w:t>
      </w:r>
      <w:r w:rsidRPr="00B55E5E">
        <w:rPr>
          <w:rFonts w:ascii="Arial" w:hAnsi="Arial" w:cs="Arial"/>
        </w:rPr>
        <w:t>, proporcionalidad, equidad y legalidad tributaria.</w:t>
      </w:r>
    </w:p>
    <w:p w:rsidR="006A3B68" w:rsidRPr="00B55E5E" w:rsidRDefault="006A3B68" w:rsidP="006A3B68">
      <w:pPr>
        <w:spacing w:line="360" w:lineRule="auto"/>
        <w:ind w:firstLine="709"/>
        <w:jc w:val="both"/>
        <w:rPr>
          <w:rFonts w:ascii="Arial" w:hAnsi="Arial" w:cs="Arial"/>
        </w:rPr>
      </w:pPr>
    </w:p>
    <w:p w:rsidR="006A3B68" w:rsidRDefault="006A3B68" w:rsidP="006A3B68">
      <w:pPr>
        <w:tabs>
          <w:tab w:val="left" w:pos="2796"/>
        </w:tabs>
        <w:spacing w:line="360" w:lineRule="auto"/>
        <w:ind w:firstLine="709"/>
        <w:jc w:val="both"/>
        <w:rPr>
          <w:rFonts w:ascii="Arial" w:hAnsi="Arial" w:cs="Arial"/>
        </w:rPr>
      </w:pPr>
      <w:r>
        <w:rPr>
          <w:rFonts w:ascii="Arial" w:hAnsi="Arial" w:cs="Arial"/>
        </w:rPr>
        <w:t>Por tanto es en la Ley de Ingresos,</w:t>
      </w:r>
      <w:r w:rsidRPr="001F7173">
        <w:rPr>
          <w:rFonts w:ascii="Arial" w:hAnsi="Arial" w:cs="Arial"/>
        </w:rPr>
        <w:t xml:space="preserve"> el instrumento jurídico a través del cual se establece la forma en la que el </w:t>
      </w:r>
      <w:r w:rsidR="00054B6E">
        <w:rPr>
          <w:rFonts w:ascii="Arial" w:hAnsi="Arial" w:cs="Arial"/>
        </w:rPr>
        <w:t>E</w:t>
      </w:r>
      <w:r w:rsidRPr="001F7173">
        <w:rPr>
          <w:rFonts w:ascii="Arial" w:hAnsi="Arial" w:cs="Arial"/>
        </w:rPr>
        <w:t xml:space="preserve">stado va a percibir ingresos públicos, </w:t>
      </w:r>
      <w:r>
        <w:rPr>
          <w:rFonts w:ascii="Arial" w:hAnsi="Arial" w:cs="Arial"/>
        </w:rPr>
        <w:t xml:space="preserve">al establecer </w:t>
      </w:r>
      <w:r w:rsidRPr="001F7173">
        <w:rPr>
          <w:rFonts w:ascii="Arial" w:hAnsi="Arial" w:cs="Arial"/>
        </w:rPr>
        <w:t>los montos y formas para cobrar impuestos, derechos y todas las diversas formas con las que el gobierno se hace de recursos para cumplir con sus funciones y garantizar el desarrollo económ</w:t>
      </w:r>
      <w:r w:rsidR="00054B6E">
        <w:rPr>
          <w:rFonts w:ascii="Arial" w:hAnsi="Arial" w:cs="Arial"/>
        </w:rPr>
        <w:t>ico y funcionamiento del E</w:t>
      </w:r>
      <w:r>
        <w:rPr>
          <w:rFonts w:ascii="Arial" w:hAnsi="Arial" w:cs="Arial"/>
        </w:rPr>
        <w:t>stado, t</w:t>
      </w:r>
      <w:r w:rsidRPr="004717D4">
        <w:rPr>
          <w:rFonts w:ascii="Arial" w:hAnsi="Arial" w:cs="Arial"/>
        </w:rPr>
        <w:t xml:space="preserve">omando en consideración las circunstancias en las que se encuentra inmersa hoy en día la sociedad yucateca, a efecto de concientizar las entradas económicas, calculando una captación de ingresos </w:t>
      </w:r>
      <w:r>
        <w:rPr>
          <w:rFonts w:ascii="Arial" w:hAnsi="Arial" w:cs="Arial"/>
        </w:rPr>
        <w:t xml:space="preserve">con un enfoque </w:t>
      </w:r>
      <w:r w:rsidRPr="004717D4">
        <w:rPr>
          <w:rFonts w:ascii="Arial" w:hAnsi="Arial" w:cs="Arial"/>
        </w:rPr>
        <w:t xml:space="preserve">moderado así como </w:t>
      </w:r>
      <w:r>
        <w:rPr>
          <w:rFonts w:ascii="Arial" w:hAnsi="Arial" w:cs="Arial"/>
        </w:rPr>
        <w:t>la racionalización en</w:t>
      </w:r>
      <w:r w:rsidRPr="004717D4">
        <w:rPr>
          <w:rFonts w:ascii="Arial" w:hAnsi="Arial" w:cs="Arial"/>
        </w:rPr>
        <w:t xml:space="preserve"> el gasto público</w:t>
      </w:r>
      <w:r>
        <w:rPr>
          <w:rFonts w:ascii="Arial" w:hAnsi="Arial" w:cs="Arial"/>
        </w:rPr>
        <w:t>.</w:t>
      </w:r>
    </w:p>
    <w:p w:rsidR="006A3B68" w:rsidRPr="005E6466" w:rsidRDefault="006A3B68" w:rsidP="0011574A">
      <w:pPr>
        <w:autoSpaceDN w:val="0"/>
        <w:adjustRightInd w:val="0"/>
        <w:spacing w:line="360" w:lineRule="auto"/>
        <w:ind w:firstLine="708"/>
        <w:jc w:val="both"/>
        <w:rPr>
          <w:rFonts w:ascii="Arial" w:hAnsi="Arial" w:cs="Arial"/>
        </w:rPr>
      </w:pPr>
    </w:p>
    <w:p w:rsidR="006A3B68" w:rsidRDefault="003912AF" w:rsidP="006A3B68">
      <w:pPr>
        <w:spacing w:line="360" w:lineRule="auto"/>
        <w:ind w:firstLine="708"/>
        <w:jc w:val="both"/>
        <w:rPr>
          <w:rFonts w:ascii="Arial" w:hAnsi="Arial" w:cs="Arial"/>
        </w:rPr>
      </w:pPr>
      <w:r w:rsidRPr="005E6466">
        <w:rPr>
          <w:rFonts w:ascii="Arial" w:hAnsi="Arial" w:cs="Arial"/>
          <w:b/>
        </w:rPr>
        <w:t xml:space="preserve">TERCERA. </w:t>
      </w:r>
      <w:r w:rsidR="004D6CDC" w:rsidRPr="004D6CDC">
        <w:rPr>
          <w:rFonts w:ascii="Arial" w:hAnsi="Arial" w:cs="Arial"/>
        </w:rPr>
        <w:t>Es importante mencionar que l</w:t>
      </w:r>
      <w:r w:rsidR="006A3B68" w:rsidRPr="004D6CDC">
        <w:rPr>
          <w:rFonts w:ascii="Arial" w:hAnsi="Arial" w:cs="Arial"/>
        </w:rPr>
        <w:t>a</w:t>
      </w:r>
      <w:r w:rsidR="006A3B68" w:rsidRPr="00572813">
        <w:rPr>
          <w:rFonts w:ascii="Arial" w:hAnsi="Arial" w:cs="Arial"/>
        </w:rPr>
        <w:t xml:space="preserve"> política de ingresos </w:t>
      </w:r>
      <w:r w:rsidR="006A3B68">
        <w:rPr>
          <w:rFonts w:ascii="Arial" w:hAnsi="Arial" w:cs="Arial"/>
        </w:rPr>
        <w:t>presentada por el Ejecutivo del Estado está enfocada en</w:t>
      </w:r>
      <w:r w:rsidR="006A3B68" w:rsidRPr="00572813">
        <w:rPr>
          <w:rFonts w:ascii="Arial" w:hAnsi="Arial" w:cs="Arial"/>
        </w:rPr>
        <w:t xml:space="preserve"> </w:t>
      </w:r>
      <w:r w:rsidR="006A3B68" w:rsidRPr="00572813">
        <w:rPr>
          <w:rFonts w:ascii="Arial" w:hAnsi="Arial" w:cs="Arial"/>
          <w:szCs w:val="28"/>
        </w:rPr>
        <w:t>mantener unas fi</w:t>
      </w:r>
      <w:r w:rsidR="00BE63A6">
        <w:rPr>
          <w:rFonts w:ascii="Arial" w:hAnsi="Arial" w:cs="Arial"/>
          <w:szCs w:val="28"/>
        </w:rPr>
        <w:t>nanzas públicas sanas, para el Ejercicio F</w:t>
      </w:r>
      <w:r w:rsidR="006A3B68" w:rsidRPr="00572813">
        <w:rPr>
          <w:rFonts w:ascii="Arial" w:hAnsi="Arial" w:cs="Arial"/>
          <w:szCs w:val="28"/>
        </w:rPr>
        <w:t>iscal 2023 y continuar contribuyendo</w:t>
      </w:r>
      <w:r w:rsidR="006A3B68" w:rsidRPr="00572813">
        <w:rPr>
          <w:rFonts w:ascii="Arial" w:hAnsi="Arial" w:cs="Arial"/>
        </w:rPr>
        <w:t xml:space="preserve"> a </w:t>
      </w:r>
      <w:r w:rsidR="006A3B68" w:rsidRPr="00572813">
        <w:rPr>
          <w:rFonts w:ascii="Arial" w:hAnsi="Arial" w:cs="Arial"/>
          <w:szCs w:val="28"/>
        </w:rPr>
        <w:t>la sostenibilidad del espacio fiscal a través de una mayor eficiencia tributaria</w:t>
      </w:r>
      <w:r w:rsidR="006A3B68" w:rsidRPr="00572813">
        <w:rPr>
          <w:rFonts w:ascii="Arial" w:hAnsi="Arial" w:cs="Arial"/>
        </w:rPr>
        <w:t xml:space="preserve"> y </w:t>
      </w:r>
      <w:r w:rsidR="006A3B68" w:rsidRPr="00572813">
        <w:rPr>
          <w:rFonts w:ascii="Arial" w:hAnsi="Arial" w:cs="Arial"/>
          <w:szCs w:val="28"/>
        </w:rPr>
        <w:t>el fortalecimiento de la coordinación fiscal en el marco</w:t>
      </w:r>
      <w:r w:rsidR="006A3B68" w:rsidRPr="00572813">
        <w:rPr>
          <w:rFonts w:ascii="Arial" w:hAnsi="Arial" w:cs="Arial"/>
        </w:rPr>
        <w:t xml:space="preserve"> </w:t>
      </w:r>
      <w:r w:rsidR="006A3B68">
        <w:rPr>
          <w:rFonts w:ascii="Arial" w:hAnsi="Arial" w:cs="Arial"/>
        </w:rPr>
        <w:t>del Pacto Fiscal Federal.</w:t>
      </w:r>
    </w:p>
    <w:p w:rsidR="006A3B68" w:rsidRDefault="006A3B68" w:rsidP="006A3B68">
      <w:pPr>
        <w:spacing w:line="360" w:lineRule="auto"/>
        <w:ind w:firstLine="708"/>
        <w:jc w:val="both"/>
        <w:rPr>
          <w:rFonts w:ascii="Arial" w:hAnsi="Arial" w:cs="Arial"/>
        </w:rPr>
      </w:pPr>
    </w:p>
    <w:p w:rsidR="006A3B68" w:rsidRPr="00572813" w:rsidRDefault="006A3B68" w:rsidP="006A3B68">
      <w:pPr>
        <w:spacing w:line="360" w:lineRule="auto"/>
        <w:ind w:firstLine="708"/>
        <w:jc w:val="both"/>
        <w:rPr>
          <w:rFonts w:ascii="Arial" w:hAnsi="Arial" w:cs="Arial"/>
        </w:rPr>
      </w:pPr>
      <w:r w:rsidRPr="00572813">
        <w:rPr>
          <w:rFonts w:ascii="Arial" w:hAnsi="Arial" w:cs="Arial"/>
          <w:szCs w:val="28"/>
        </w:rPr>
        <w:t>Para ello,</w:t>
      </w:r>
      <w:r w:rsidRPr="00572813">
        <w:rPr>
          <w:rFonts w:ascii="Arial" w:hAnsi="Arial" w:cs="Arial"/>
        </w:rPr>
        <w:t xml:space="preserve"> la administración tr</w:t>
      </w:r>
      <w:r w:rsidR="004D6CDC">
        <w:rPr>
          <w:rFonts w:ascii="Arial" w:hAnsi="Arial" w:cs="Arial"/>
        </w:rPr>
        <w:t>ibutaria de la entidad en esta L</w:t>
      </w:r>
      <w:r w:rsidRPr="00572813">
        <w:rPr>
          <w:rFonts w:ascii="Arial" w:hAnsi="Arial" w:cs="Arial"/>
        </w:rPr>
        <w:t>ey prevé las siguientes acciones</w:t>
      </w:r>
      <w:r>
        <w:rPr>
          <w:rFonts w:ascii="Arial" w:hAnsi="Arial" w:cs="Arial"/>
          <w:szCs w:val="28"/>
        </w:rPr>
        <w:t>: f</w:t>
      </w:r>
      <w:r w:rsidRPr="00572813">
        <w:rPr>
          <w:rFonts w:ascii="Arial" w:hAnsi="Arial" w:cs="Arial"/>
          <w:szCs w:val="28"/>
        </w:rPr>
        <w:t>avorecer la consolidación de los ingresos fiscales locales mediante</w:t>
      </w:r>
      <w:r w:rsidRPr="00572813">
        <w:rPr>
          <w:rFonts w:ascii="Arial" w:hAnsi="Arial" w:cs="Arial"/>
        </w:rPr>
        <w:t xml:space="preserve"> un incremento de </w:t>
      </w:r>
      <w:r w:rsidRPr="00572813">
        <w:rPr>
          <w:rFonts w:ascii="Arial" w:hAnsi="Arial" w:cs="Arial"/>
          <w:szCs w:val="28"/>
        </w:rPr>
        <w:t>15%</w:t>
      </w:r>
      <w:r w:rsidRPr="00572813">
        <w:rPr>
          <w:rFonts w:ascii="Arial" w:hAnsi="Arial" w:cs="Arial"/>
        </w:rPr>
        <w:t xml:space="preserve"> en la recaudación de </w:t>
      </w:r>
      <w:r w:rsidRPr="00572813">
        <w:rPr>
          <w:rFonts w:ascii="Arial" w:hAnsi="Arial" w:cs="Arial"/>
          <w:szCs w:val="28"/>
        </w:rPr>
        <w:t>este rubro respecto a lo proyectado para</w:t>
      </w:r>
      <w:r w:rsidRPr="00572813">
        <w:rPr>
          <w:rFonts w:ascii="Arial" w:hAnsi="Arial" w:cs="Arial"/>
        </w:rPr>
        <w:t xml:space="preserve"> el ejercicio </w:t>
      </w:r>
      <w:r>
        <w:rPr>
          <w:rFonts w:ascii="Arial" w:hAnsi="Arial" w:cs="Arial"/>
          <w:szCs w:val="28"/>
        </w:rPr>
        <w:t>2022, m</w:t>
      </w:r>
      <w:r w:rsidRPr="00572813">
        <w:rPr>
          <w:rFonts w:ascii="Arial" w:hAnsi="Arial" w:cs="Arial"/>
          <w:szCs w:val="28"/>
        </w:rPr>
        <w:t>antener</w:t>
      </w:r>
      <w:r w:rsidRPr="00572813">
        <w:rPr>
          <w:rFonts w:ascii="Arial" w:hAnsi="Arial" w:cs="Arial"/>
        </w:rPr>
        <w:t xml:space="preserve"> un trabajo coordinado con </w:t>
      </w:r>
      <w:r w:rsidRPr="00572813">
        <w:rPr>
          <w:rFonts w:ascii="Arial" w:hAnsi="Arial" w:cs="Arial"/>
          <w:szCs w:val="28"/>
        </w:rPr>
        <w:t>los</w:t>
      </w:r>
      <w:r w:rsidRPr="00572813">
        <w:rPr>
          <w:rFonts w:ascii="Arial" w:hAnsi="Arial" w:cs="Arial"/>
        </w:rPr>
        <w:t xml:space="preserve"> diferentes </w:t>
      </w:r>
      <w:r w:rsidRPr="00572813">
        <w:rPr>
          <w:rFonts w:ascii="Arial" w:hAnsi="Arial" w:cs="Arial"/>
          <w:szCs w:val="28"/>
        </w:rPr>
        <w:t>entes</w:t>
      </w:r>
      <w:r w:rsidRPr="00572813">
        <w:rPr>
          <w:rFonts w:ascii="Arial" w:hAnsi="Arial" w:cs="Arial"/>
        </w:rPr>
        <w:t xml:space="preserve"> de la</w:t>
      </w:r>
      <w:r w:rsidR="00054B6E">
        <w:rPr>
          <w:rFonts w:ascii="Arial" w:hAnsi="Arial" w:cs="Arial"/>
        </w:rPr>
        <w:t xml:space="preserve"> Administración Pública E</w:t>
      </w:r>
      <w:r w:rsidRPr="00572813">
        <w:rPr>
          <w:rFonts w:ascii="Arial" w:hAnsi="Arial" w:cs="Arial"/>
        </w:rPr>
        <w:t>statal, así como facilitar e incentivar al contribuyente a cumplir con sus obligaciones fiscales, ofreciendo más canales de atención</w:t>
      </w:r>
      <w:r w:rsidRPr="00572813">
        <w:rPr>
          <w:rFonts w:ascii="Arial" w:hAnsi="Arial" w:cs="Arial"/>
          <w:szCs w:val="28"/>
        </w:rPr>
        <w:t xml:space="preserve"> de la man</w:t>
      </w:r>
      <w:r>
        <w:rPr>
          <w:rFonts w:ascii="Arial" w:hAnsi="Arial" w:cs="Arial"/>
          <w:szCs w:val="28"/>
        </w:rPr>
        <w:t>o con herramientas tecnológicas, p</w:t>
      </w:r>
      <w:r w:rsidRPr="00572813">
        <w:rPr>
          <w:rFonts w:ascii="Arial" w:hAnsi="Arial" w:cs="Arial"/>
        </w:rPr>
        <w:t>rivilegiar el acercamiento y cumplimiento voluntario de los contribuyentes, con un enfoque en la vigilancia, control y fiscalizaci</w:t>
      </w:r>
      <w:r>
        <w:rPr>
          <w:rFonts w:ascii="Arial" w:hAnsi="Arial" w:cs="Arial"/>
        </w:rPr>
        <w:t>ón de sus obligaciones fiscales e i</w:t>
      </w:r>
      <w:r w:rsidRPr="00572813">
        <w:rPr>
          <w:rFonts w:ascii="Arial" w:hAnsi="Arial" w:cs="Arial"/>
          <w:szCs w:val="28"/>
        </w:rPr>
        <w:t>mpulsar</w:t>
      </w:r>
      <w:r w:rsidRPr="00572813">
        <w:rPr>
          <w:rFonts w:ascii="Arial" w:hAnsi="Arial" w:cs="Arial"/>
        </w:rPr>
        <w:t xml:space="preserve"> acciones coordinadas con </w:t>
      </w:r>
      <w:r w:rsidRPr="00572813">
        <w:rPr>
          <w:rFonts w:ascii="Arial" w:hAnsi="Arial" w:cs="Arial"/>
          <w:szCs w:val="28"/>
        </w:rPr>
        <w:t>todos los niveles de gobierno</w:t>
      </w:r>
      <w:r w:rsidRPr="00572813">
        <w:rPr>
          <w:rFonts w:ascii="Arial" w:hAnsi="Arial" w:cs="Arial"/>
        </w:rPr>
        <w:t xml:space="preserve"> para lograr </w:t>
      </w:r>
      <w:r w:rsidRPr="00572813">
        <w:rPr>
          <w:rFonts w:ascii="Arial" w:hAnsi="Arial" w:cs="Arial"/>
          <w:szCs w:val="28"/>
        </w:rPr>
        <w:t xml:space="preserve">el cumplimiento de </w:t>
      </w:r>
      <w:r w:rsidRPr="00572813">
        <w:rPr>
          <w:rFonts w:ascii="Arial" w:hAnsi="Arial" w:cs="Arial"/>
        </w:rPr>
        <w:t xml:space="preserve">los objetivos </w:t>
      </w:r>
      <w:r w:rsidRPr="00572813">
        <w:rPr>
          <w:rFonts w:ascii="Arial" w:hAnsi="Arial" w:cs="Arial"/>
          <w:szCs w:val="28"/>
        </w:rPr>
        <w:t>de fiscalización a través</w:t>
      </w:r>
      <w:r w:rsidRPr="00572813">
        <w:rPr>
          <w:rFonts w:ascii="Arial" w:hAnsi="Arial" w:cs="Arial"/>
        </w:rPr>
        <w:t xml:space="preserve"> del Convenio de Colaboración Administrativa en Materia Fiscal Federal.</w:t>
      </w:r>
    </w:p>
    <w:p w:rsidR="006A3B68" w:rsidRDefault="006A3B68" w:rsidP="006A3B68">
      <w:pPr>
        <w:spacing w:line="360" w:lineRule="auto"/>
        <w:ind w:firstLine="708"/>
        <w:jc w:val="both"/>
        <w:rPr>
          <w:rFonts w:ascii="Arial" w:hAnsi="Arial" w:cs="Arial"/>
        </w:rPr>
      </w:pPr>
    </w:p>
    <w:p w:rsidR="006A3B68" w:rsidRPr="00572813" w:rsidRDefault="006A3B68" w:rsidP="006A3B68">
      <w:pPr>
        <w:spacing w:line="360" w:lineRule="auto"/>
        <w:ind w:firstLine="708"/>
        <w:jc w:val="both"/>
        <w:rPr>
          <w:rFonts w:ascii="Arial" w:hAnsi="Arial" w:cs="Arial"/>
        </w:rPr>
      </w:pPr>
      <w:r>
        <w:rPr>
          <w:rFonts w:ascii="Arial" w:hAnsi="Arial" w:cs="Arial"/>
        </w:rPr>
        <w:t>Por otra parte, es importante señalar que p</w:t>
      </w:r>
      <w:r w:rsidRPr="00572813">
        <w:rPr>
          <w:rFonts w:ascii="Arial" w:hAnsi="Arial" w:cs="Arial"/>
        </w:rPr>
        <w:t xml:space="preserve">ara el </w:t>
      </w:r>
      <w:r w:rsidR="00907177">
        <w:rPr>
          <w:rFonts w:ascii="Arial" w:hAnsi="Arial" w:cs="Arial"/>
        </w:rPr>
        <w:t>e</w:t>
      </w:r>
      <w:r w:rsidRPr="00572813">
        <w:rPr>
          <w:rFonts w:ascii="Arial" w:hAnsi="Arial" w:cs="Arial"/>
        </w:rPr>
        <w:t>jercici</w:t>
      </w:r>
      <w:r w:rsidR="00907177">
        <w:rPr>
          <w:rFonts w:ascii="Arial" w:hAnsi="Arial" w:cs="Arial"/>
        </w:rPr>
        <w:t>o f</w:t>
      </w:r>
      <w:r w:rsidR="004D6CDC">
        <w:rPr>
          <w:rFonts w:ascii="Arial" w:hAnsi="Arial" w:cs="Arial"/>
        </w:rPr>
        <w:t>iscal 2023, el Gobierno del E</w:t>
      </w:r>
      <w:r w:rsidRPr="00572813">
        <w:rPr>
          <w:rFonts w:ascii="Arial" w:hAnsi="Arial" w:cs="Arial"/>
        </w:rPr>
        <w:t xml:space="preserve">stado, no prevé la implementación de nuevos impuestos, ni </w:t>
      </w:r>
      <w:r w:rsidR="00C77818">
        <w:rPr>
          <w:rFonts w:ascii="Arial" w:hAnsi="Arial" w:cs="Arial"/>
        </w:rPr>
        <w:t>productos, ni aprovechamientos, así se desprende del clasificador por rubro de ingresos en donde se advierte el desglose de las diversas contribuciones que se pretende recaudar.</w:t>
      </w:r>
    </w:p>
    <w:p w:rsidR="006A3B68" w:rsidRDefault="006A3B68" w:rsidP="006A3B68">
      <w:pPr>
        <w:suppressAutoHyphens/>
        <w:spacing w:line="360" w:lineRule="auto"/>
        <w:jc w:val="both"/>
        <w:rPr>
          <w:rFonts w:ascii="Arial" w:hAnsi="Arial" w:cs="Arial"/>
        </w:rPr>
      </w:pPr>
    </w:p>
    <w:p w:rsidR="006A3B68" w:rsidRDefault="006A3B68" w:rsidP="006A3B68">
      <w:pPr>
        <w:suppressAutoHyphens/>
        <w:spacing w:line="360" w:lineRule="auto"/>
        <w:ind w:firstLine="708"/>
        <w:jc w:val="both"/>
        <w:rPr>
          <w:rFonts w:ascii="Arial" w:hAnsi="Arial" w:cs="Arial"/>
        </w:rPr>
      </w:pPr>
      <w:r>
        <w:rPr>
          <w:rFonts w:ascii="Arial" w:hAnsi="Arial" w:cs="Arial"/>
        </w:rPr>
        <w:t>El objetivo</w:t>
      </w:r>
      <w:r w:rsidR="00C77818">
        <w:rPr>
          <w:rFonts w:ascii="Arial" w:hAnsi="Arial" w:cs="Arial"/>
        </w:rPr>
        <w:t>, en consecuencia,</w:t>
      </w:r>
      <w:r w:rsidRPr="00572813">
        <w:rPr>
          <w:rFonts w:ascii="Arial" w:hAnsi="Arial" w:cs="Arial"/>
        </w:rPr>
        <w:t xml:space="preserve"> es mejorar la eficiencia recaudatoria sobre la base de los impuestos, derechos, productos y aprovechamientos que actualmente existen. Esto a través de mecanismos de vigilancia y control para el cumplimiento de las obligaciones</w:t>
      </w:r>
      <w:r>
        <w:rPr>
          <w:rFonts w:ascii="Arial" w:hAnsi="Arial" w:cs="Arial"/>
        </w:rPr>
        <w:t>,</w:t>
      </w:r>
      <w:r w:rsidRPr="00572813">
        <w:rPr>
          <w:rFonts w:ascii="Arial" w:hAnsi="Arial" w:cs="Arial"/>
        </w:rPr>
        <w:t xml:space="preserve"> </w:t>
      </w:r>
      <w:r>
        <w:rPr>
          <w:rFonts w:ascii="Arial" w:hAnsi="Arial" w:cs="Arial"/>
        </w:rPr>
        <w:t>l</w:t>
      </w:r>
      <w:r w:rsidRPr="00572813">
        <w:rPr>
          <w:rFonts w:ascii="Arial" w:hAnsi="Arial" w:cs="Arial"/>
        </w:rPr>
        <w:t>o cual permitirá identificar omisiones o variaciones relevantes, y en su caso, invitar a los contribuyentes a que corrijan las inconsistencias mediante los diversos medios para su regularización.</w:t>
      </w:r>
    </w:p>
    <w:p w:rsidR="006A3B68" w:rsidRPr="00572813" w:rsidRDefault="006A3B68" w:rsidP="006A3B68">
      <w:pPr>
        <w:suppressAutoHyphens/>
        <w:spacing w:line="360" w:lineRule="auto"/>
        <w:ind w:firstLine="708"/>
        <w:jc w:val="both"/>
        <w:rPr>
          <w:rFonts w:ascii="Arial" w:hAnsi="Arial" w:cs="Arial"/>
        </w:rPr>
      </w:pPr>
    </w:p>
    <w:p w:rsidR="006A3B68" w:rsidRPr="00572813" w:rsidRDefault="006A3B68" w:rsidP="006A3B68">
      <w:pPr>
        <w:suppressAutoHyphens/>
        <w:spacing w:line="360" w:lineRule="auto"/>
        <w:ind w:firstLine="708"/>
        <w:jc w:val="both"/>
        <w:rPr>
          <w:rFonts w:ascii="Arial" w:hAnsi="Arial" w:cs="Arial"/>
        </w:rPr>
      </w:pPr>
      <w:r w:rsidRPr="00572813">
        <w:rPr>
          <w:rFonts w:ascii="Arial" w:hAnsi="Arial" w:cs="Arial"/>
        </w:rPr>
        <w:t xml:space="preserve">En materia de derechos se armoniza y actualiza este rubro para efecto de homogenizar conceptos con las diferentes normativas. Asimismo, se precisan términos para dar </w:t>
      </w:r>
      <w:r w:rsidRPr="00572813">
        <w:rPr>
          <w:rFonts w:ascii="Arial" w:hAnsi="Arial" w:cs="Arial"/>
          <w:bCs/>
          <w:color w:val="000000" w:themeColor="text1"/>
        </w:rPr>
        <w:t>seguridad y certeza jurídica a los sujetos obligados</w:t>
      </w:r>
      <w:r w:rsidRPr="00572813">
        <w:rPr>
          <w:rFonts w:ascii="Arial" w:hAnsi="Arial" w:cs="Arial"/>
        </w:rPr>
        <w:t xml:space="preserve">.  </w:t>
      </w:r>
    </w:p>
    <w:p w:rsidR="006A3B68" w:rsidRPr="005E6466" w:rsidRDefault="006A3B68" w:rsidP="006A3B68">
      <w:pPr>
        <w:autoSpaceDN w:val="0"/>
        <w:adjustRightInd w:val="0"/>
        <w:spacing w:line="360" w:lineRule="auto"/>
        <w:ind w:firstLine="708"/>
        <w:jc w:val="both"/>
        <w:rPr>
          <w:rFonts w:ascii="Arial" w:hAnsi="Arial" w:cs="Arial"/>
        </w:rPr>
      </w:pPr>
    </w:p>
    <w:p w:rsidR="003912AF" w:rsidRPr="005E6466" w:rsidRDefault="00D41175" w:rsidP="007A18EB">
      <w:pPr>
        <w:spacing w:line="360" w:lineRule="auto"/>
        <w:ind w:firstLine="709"/>
        <w:jc w:val="both"/>
        <w:rPr>
          <w:rFonts w:ascii="Arial" w:hAnsi="Arial" w:cs="Arial"/>
        </w:rPr>
      </w:pPr>
      <w:r w:rsidRPr="005E6466">
        <w:rPr>
          <w:rFonts w:ascii="Arial" w:hAnsi="Arial" w:cs="Arial"/>
          <w:b/>
          <w:iCs/>
          <w:color w:val="000000"/>
          <w:spacing w:val="-2"/>
        </w:rPr>
        <w:t xml:space="preserve">CUARTA. </w:t>
      </w:r>
      <w:r w:rsidR="00877CB6" w:rsidRPr="005E6466">
        <w:rPr>
          <w:rFonts w:ascii="Arial" w:hAnsi="Arial" w:cs="Arial"/>
          <w:iCs/>
          <w:color w:val="000000"/>
          <w:spacing w:val="-2"/>
        </w:rPr>
        <w:t>En efecto, l</w:t>
      </w:r>
      <w:r w:rsidR="003912AF" w:rsidRPr="005E6466">
        <w:rPr>
          <w:rFonts w:ascii="Arial" w:hAnsi="Arial" w:cs="Arial"/>
          <w:iCs/>
        </w:rPr>
        <w:t xml:space="preserve">a estimación de los ingresos que se </w:t>
      </w:r>
      <w:r w:rsidR="00877CB6" w:rsidRPr="005E6466">
        <w:rPr>
          <w:rFonts w:ascii="Arial" w:hAnsi="Arial" w:cs="Arial"/>
          <w:iCs/>
        </w:rPr>
        <w:t>obtendrán en el estado de Yucatán del 1 de enero de 202</w:t>
      </w:r>
      <w:r w:rsidR="00E60222">
        <w:rPr>
          <w:rFonts w:ascii="Arial" w:hAnsi="Arial" w:cs="Arial"/>
          <w:iCs/>
        </w:rPr>
        <w:t>3</w:t>
      </w:r>
      <w:r w:rsidR="00877CB6" w:rsidRPr="005E6466">
        <w:rPr>
          <w:rFonts w:ascii="Arial" w:hAnsi="Arial" w:cs="Arial"/>
          <w:iCs/>
        </w:rPr>
        <w:t xml:space="preserve"> al 31 de diciembre de 202</w:t>
      </w:r>
      <w:r w:rsidR="00463F25">
        <w:rPr>
          <w:rFonts w:ascii="Arial" w:hAnsi="Arial" w:cs="Arial"/>
          <w:iCs/>
        </w:rPr>
        <w:t>3</w:t>
      </w:r>
      <w:r w:rsidR="00877CB6" w:rsidRPr="005E6466">
        <w:rPr>
          <w:rFonts w:ascii="Arial" w:hAnsi="Arial" w:cs="Arial"/>
          <w:iCs/>
        </w:rPr>
        <w:t xml:space="preserve">, </w:t>
      </w:r>
      <w:r w:rsidR="00574052" w:rsidRPr="005E6466">
        <w:rPr>
          <w:rFonts w:ascii="Arial" w:hAnsi="Arial" w:cs="Arial"/>
          <w:iCs/>
        </w:rPr>
        <w:t xml:space="preserve">derivados </w:t>
      </w:r>
      <w:r w:rsidR="003912AF" w:rsidRPr="005E6466">
        <w:rPr>
          <w:rFonts w:ascii="Arial" w:hAnsi="Arial" w:cs="Arial"/>
          <w:iCs/>
        </w:rPr>
        <w:t>directamente por fuentes de carácter estatal, así como por la transferencia de recursos provenientes del Gobierno Feder</w:t>
      </w:r>
      <w:r w:rsidR="00574052" w:rsidRPr="005E6466">
        <w:rPr>
          <w:rFonts w:ascii="Arial" w:hAnsi="Arial" w:cs="Arial"/>
          <w:iCs/>
        </w:rPr>
        <w:t>al para el ejercicio fiscal 202</w:t>
      </w:r>
      <w:r w:rsidR="00E60222">
        <w:rPr>
          <w:rFonts w:ascii="Arial" w:hAnsi="Arial" w:cs="Arial"/>
          <w:iCs/>
        </w:rPr>
        <w:t>3</w:t>
      </w:r>
      <w:r w:rsidR="003912AF" w:rsidRPr="005E6466">
        <w:rPr>
          <w:rFonts w:ascii="Arial" w:hAnsi="Arial" w:cs="Arial"/>
          <w:iCs/>
        </w:rPr>
        <w:t xml:space="preserve">, </w:t>
      </w:r>
      <w:r w:rsidR="003912AF" w:rsidRPr="005E6466">
        <w:rPr>
          <w:rFonts w:ascii="Arial" w:hAnsi="Arial" w:cs="Arial"/>
        </w:rPr>
        <w:t xml:space="preserve">se ubican en </w:t>
      </w:r>
      <w:r w:rsidR="003912AF" w:rsidRPr="005E6466">
        <w:rPr>
          <w:rFonts w:ascii="Arial" w:hAnsi="Arial" w:cs="Arial"/>
          <w:b/>
        </w:rPr>
        <w:t>$</w:t>
      </w:r>
      <w:r w:rsidR="00E60222">
        <w:rPr>
          <w:rFonts w:ascii="Arial" w:hAnsi="Arial" w:cs="Arial"/>
          <w:b/>
        </w:rPr>
        <w:t>54</w:t>
      </w:r>
      <w:r w:rsidR="003912AF" w:rsidRPr="005E6466">
        <w:rPr>
          <w:rFonts w:ascii="Arial" w:hAnsi="Arial" w:cs="Arial"/>
          <w:b/>
          <w:bCs/>
        </w:rPr>
        <w:t>,</w:t>
      </w:r>
      <w:r w:rsidR="00E60222">
        <w:rPr>
          <w:rFonts w:ascii="Arial" w:hAnsi="Arial" w:cs="Arial"/>
          <w:b/>
          <w:bCs/>
        </w:rPr>
        <w:t>305</w:t>
      </w:r>
      <w:r w:rsidR="003912AF" w:rsidRPr="005E6466">
        <w:rPr>
          <w:rFonts w:ascii="Arial" w:hAnsi="Arial" w:cs="Arial"/>
          <w:b/>
          <w:bCs/>
        </w:rPr>
        <w:t>,</w:t>
      </w:r>
      <w:r w:rsidR="00E60222">
        <w:rPr>
          <w:rFonts w:ascii="Arial" w:hAnsi="Arial" w:cs="Arial"/>
          <w:b/>
          <w:bCs/>
        </w:rPr>
        <w:t>193</w:t>
      </w:r>
      <w:r w:rsidR="009A7CAE">
        <w:rPr>
          <w:rFonts w:ascii="Arial" w:hAnsi="Arial" w:cs="Arial"/>
          <w:b/>
          <w:bCs/>
        </w:rPr>
        <w:t>,</w:t>
      </w:r>
      <w:r w:rsidR="00E60222">
        <w:rPr>
          <w:rFonts w:ascii="Arial" w:hAnsi="Arial" w:cs="Arial"/>
          <w:b/>
          <w:bCs/>
        </w:rPr>
        <w:t>143</w:t>
      </w:r>
      <w:r w:rsidR="003912AF" w:rsidRPr="005E6466">
        <w:rPr>
          <w:rFonts w:ascii="Arial" w:hAnsi="Arial" w:cs="Arial"/>
          <w:b/>
          <w:bCs/>
        </w:rPr>
        <w:t xml:space="preserve">.00 </w:t>
      </w:r>
      <w:r w:rsidR="003912AF" w:rsidRPr="005E6466">
        <w:rPr>
          <w:rFonts w:ascii="Arial" w:hAnsi="Arial" w:cs="Arial"/>
        </w:rPr>
        <w:t xml:space="preserve">de los cuales </w:t>
      </w:r>
      <w:r w:rsidR="003912AF" w:rsidRPr="005E6466">
        <w:rPr>
          <w:rFonts w:ascii="Arial" w:hAnsi="Arial" w:cs="Arial"/>
          <w:b/>
        </w:rPr>
        <w:t>$</w:t>
      </w:r>
      <w:r w:rsidR="00E60222">
        <w:rPr>
          <w:rFonts w:ascii="Arial" w:hAnsi="Arial" w:cs="Arial"/>
          <w:b/>
        </w:rPr>
        <w:t>3</w:t>
      </w:r>
      <w:r w:rsidR="003912AF" w:rsidRPr="005E6466">
        <w:rPr>
          <w:rFonts w:ascii="Arial" w:hAnsi="Arial" w:cs="Arial"/>
          <w:b/>
        </w:rPr>
        <w:t>,</w:t>
      </w:r>
      <w:r w:rsidR="00E60222">
        <w:rPr>
          <w:rFonts w:ascii="Arial" w:hAnsi="Arial" w:cs="Arial"/>
          <w:b/>
        </w:rPr>
        <w:t>329</w:t>
      </w:r>
      <w:r w:rsidR="009D6669" w:rsidRPr="005E6466">
        <w:rPr>
          <w:rFonts w:ascii="Arial" w:hAnsi="Arial" w:cs="Arial"/>
          <w:b/>
        </w:rPr>
        <w:t>,</w:t>
      </w:r>
      <w:r w:rsidR="00E60222">
        <w:rPr>
          <w:rFonts w:ascii="Arial" w:hAnsi="Arial" w:cs="Arial"/>
          <w:b/>
        </w:rPr>
        <w:t>627</w:t>
      </w:r>
      <w:r w:rsidR="009D6669" w:rsidRPr="005E6466">
        <w:rPr>
          <w:rFonts w:ascii="Arial" w:hAnsi="Arial" w:cs="Arial"/>
          <w:b/>
        </w:rPr>
        <w:t>,</w:t>
      </w:r>
      <w:r w:rsidR="00E60222">
        <w:rPr>
          <w:rFonts w:ascii="Arial" w:hAnsi="Arial" w:cs="Arial"/>
          <w:b/>
        </w:rPr>
        <w:t>742</w:t>
      </w:r>
      <w:r w:rsidR="003912AF" w:rsidRPr="005E6466">
        <w:rPr>
          <w:rFonts w:ascii="Arial" w:hAnsi="Arial" w:cs="Arial"/>
          <w:b/>
        </w:rPr>
        <w:t>.00</w:t>
      </w:r>
      <w:r w:rsidR="003912AF" w:rsidRPr="005E6466">
        <w:rPr>
          <w:rFonts w:ascii="Arial" w:hAnsi="Arial" w:cs="Arial"/>
        </w:rPr>
        <w:t xml:space="preserve"> serán captados a través de impuestos; </w:t>
      </w:r>
      <w:r w:rsidR="003912AF" w:rsidRPr="005E6466">
        <w:rPr>
          <w:rFonts w:ascii="Arial" w:hAnsi="Arial" w:cs="Arial"/>
          <w:b/>
        </w:rPr>
        <w:t>$</w:t>
      </w:r>
      <w:r w:rsidR="00E60222">
        <w:rPr>
          <w:rFonts w:ascii="Arial" w:hAnsi="Arial" w:cs="Arial"/>
          <w:b/>
        </w:rPr>
        <w:t>2</w:t>
      </w:r>
      <w:r w:rsidR="003912AF" w:rsidRPr="005E6466">
        <w:rPr>
          <w:rFonts w:ascii="Arial" w:hAnsi="Arial" w:cs="Arial"/>
          <w:b/>
        </w:rPr>
        <w:t>,</w:t>
      </w:r>
      <w:r w:rsidR="00E60222">
        <w:rPr>
          <w:rFonts w:ascii="Arial" w:hAnsi="Arial" w:cs="Arial"/>
          <w:b/>
        </w:rPr>
        <w:t>015</w:t>
      </w:r>
      <w:r w:rsidR="003912AF" w:rsidRPr="005E6466">
        <w:rPr>
          <w:rFonts w:ascii="Arial" w:hAnsi="Arial" w:cs="Arial"/>
          <w:b/>
        </w:rPr>
        <w:t>,</w:t>
      </w:r>
      <w:r w:rsidR="00E60222">
        <w:rPr>
          <w:rFonts w:ascii="Arial" w:hAnsi="Arial" w:cs="Arial"/>
          <w:b/>
        </w:rPr>
        <w:t>803</w:t>
      </w:r>
      <w:r w:rsidR="003912AF" w:rsidRPr="005E6466">
        <w:rPr>
          <w:rFonts w:ascii="Arial" w:hAnsi="Arial" w:cs="Arial"/>
          <w:b/>
        </w:rPr>
        <w:t>,</w:t>
      </w:r>
      <w:r w:rsidR="00E60222">
        <w:rPr>
          <w:rFonts w:ascii="Arial" w:hAnsi="Arial" w:cs="Arial"/>
          <w:b/>
        </w:rPr>
        <w:t>265</w:t>
      </w:r>
      <w:r w:rsidR="003912AF" w:rsidRPr="005E6466">
        <w:rPr>
          <w:rFonts w:ascii="Arial" w:hAnsi="Arial" w:cs="Arial"/>
          <w:b/>
        </w:rPr>
        <w:t>.00</w:t>
      </w:r>
      <w:r w:rsidR="003912AF" w:rsidRPr="005E6466">
        <w:rPr>
          <w:rFonts w:ascii="Arial" w:hAnsi="Arial" w:cs="Arial"/>
        </w:rPr>
        <w:t xml:space="preserve"> corresponden a derechos; </w:t>
      </w:r>
      <w:r w:rsidR="003912AF" w:rsidRPr="005E6466">
        <w:rPr>
          <w:rFonts w:ascii="Arial" w:hAnsi="Arial" w:cs="Arial"/>
          <w:b/>
        </w:rPr>
        <w:t>$</w:t>
      </w:r>
      <w:r w:rsidR="0046710B">
        <w:rPr>
          <w:rFonts w:ascii="Arial" w:hAnsi="Arial" w:cs="Arial"/>
          <w:b/>
        </w:rPr>
        <w:t>200</w:t>
      </w:r>
      <w:r w:rsidR="003912AF" w:rsidRPr="005E6466">
        <w:rPr>
          <w:rFonts w:ascii="Arial" w:hAnsi="Arial" w:cs="Arial"/>
          <w:b/>
        </w:rPr>
        <w:t>,</w:t>
      </w:r>
      <w:r w:rsidR="0046710B">
        <w:rPr>
          <w:rFonts w:ascii="Arial" w:hAnsi="Arial" w:cs="Arial"/>
          <w:b/>
        </w:rPr>
        <w:t>869</w:t>
      </w:r>
      <w:r w:rsidR="003912AF" w:rsidRPr="005E6466">
        <w:rPr>
          <w:rFonts w:ascii="Arial" w:hAnsi="Arial" w:cs="Arial"/>
          <w:b/>
        </w:rPr>
        <w:t>,</w:t>
      </w:r>
      <w:r w:rsidR="0046710B">
        <w:rPr>
          <w:rFonts w:ascii="Arial" w:hAnsi="Arial" w:cs="Arial"/>
          <w:b/>
        </w:rPr>
        <w:t>801</w:t>
      </w:r>
      <w:r w:rsidR="003912AF" w:rsidRPr="005E6466">
        <w:rPr>
          <w:rFonts w:ascii="Arial" w:hAnsi="Arial" w:cs="Arial"/>
          <w:b/>
        </w:rPr>
        <w:t>.00</w:t>
      </w:r>
      <w:r w:rsidR="003912AF" w:rsidRPr="005E6466">
        <w:rPr>
          <w:rFonts w:ascii="Arial" w:hAnsi="Arial" w:cs="Arial"/>
        </w:rPr>
        <w:t xml:space="preserve"> a productos; </w:t>
      </w:r>
      <w:r w:rsidR="003912AF" w:rsidRPr="005E6466">
        <w:rPr>
          <w:rFonts w:ascii="Arial" w:hAnsi="Arial" w:cs="Arial"/>
          <w:b/>
        </w:rPr>
        <w:t>$</w:t>
      </w:r>
      <w:r w:rsidR="0046710B">
        <w:rPr>
          <w:rFonts w:ascii="Arial" w:hAnsi="Arial" w:cs="Arial"/>
          <w:b/>
        </w:rPr>
        <w:t>323</w:t>
      </w:r>
      <w:r w:rsidR="003912AF" w:rsidRPr="005E6466">
        <w:rPr>
          <w:rFonts w:ascii="Arial" w:hAnsi="Arial" w:cs="Arial"/>
          <w:b/>
        </w:rPr>
        <w:t>,</w:t>
      </w:r>
      <w:r w:rsidR="0046710B">
        <w:rPr>
          <w:rFonts w:ascii="Arial" w:hAnsi="Arial" w:cs="Arial"/>
          <w:b/>
        </w:rPr>
        <w:t>671</w:t>
      </w:r>
      <w:r w:rsidR="003912AF" w:rsidRPr="005E6466">
        <w:rPr>
          <w:rFonts w:ascii="Arial" w:hAnsi="Arial" w:cs="Arial"/>
          <w:b/>
        </w:rPr>
        <w:t>,</w:t>
      </w:r>
      <w:r w:rsidR="0046710B">
        <w:rPr>
          <w:rFonts w:ascii="Arial" w:hAnsi="Arial" w:cs="Arial"/>
          <w:b/>
        </w:rPr>
        <w:t>692</w:t>
      </w:r>
      <w:r w:rsidR="003912AF" w:rsidRPr="005E6466">
        <w:rPr>
          <w:rFonts w:ascii="Arial" w:hAnsi="Arial" w:cs="Arial"/>
          <w:b/>
        </w:rPr>
        <w:t>.00</w:t>
      </w:r>
      <w:r w:rsidR="003912AF" w:rsidRPr="005E6466">
        <w:rPr>
          <w:rFonts w:ascii="Arial" w:hAnsi="Arial" w:cs="Arial"/>
        </w:rPr>
        <w:t xml:space="preserve"> a los aprovechamientos; </w:t>
      </w:r>
      <w:r w:rsidR="006267F7" w:rsidRPr="005E6466">
        <w:rPr>
          <w:rFonts w:ascii="Arial" w:hAnsi="Arial" w:cs="Arial"/>
          <w:b/>
        </w:rPr>
        <w:t>$</w:t>
      </w:r>
      <w:r w:rsidR="002017B0">
        <w:rPr>
          <w:rFonts w:ascii="Arial" w:hAnsi="Arial" w:cs="Arial"/>
          <w:b/>
        </w:rPr>
        <w:t>2</w:t>
      </w:r>
      <w:r w:rsidR="006267F7" w:rsidRPr="005E6466">
        <w:rPr>
          <w:rFonts w:ascii="Arial" w:hAnsi="Arial" w:cs="Arial"/>
          <w:b/>
        </w:rPr>
        <w:t>,</w:t>
      </w:r>
      <w:r w:rsidR="0046710B">
        <w:rPr>
          <w:rFonts w:ascii="Arial" w:hAnsi="Arial" w:cs="Arial"/>
          <w:b/>
        </w:rPr>
        <w:t>841</w:t>
      </w:r>
      <w:r w:rsidR="006267F7" w:rsidRPr="005E6466">
        <w:rPr>
          <w:rFonts w:ascii="Arial" w:hAnsi="Arial" w:cs="Arial"/>
          <w:b/>
        </w:rPr>
        <w:t>,</w:t>
      </w:r>
      <w:r w:rsidR="0046710B">
        <w:rPr>
          <w:rFonts w:ascii="Arial" w:hAnsi="Arial" w:cs="Arial"/>
          <w:b/>
        </w:rPr>
        <w:t>004</w:t>
      </w:r>
      <w:r w:rsidR="006267F7" w:rsidRPr="005E6466">
        <w:rPr>
          <w:rFonts w:ascii="Arial" w:hAnsi="Arial" w:cs="Arial"/>
          <w:b/>
        </w:rPr>
        <w:t>,</w:t>
      </w:r>
      <w:r w:rsidR="0046710B">
        <w:rPr>
          <w:rFonts w:ascii="Arial" w:hAnsi="Arial" w:cs="Arial"/>
          <w:b/>
        </w:rPr>
        <w:t>855</w:t>
      </w:r>
      <w:r w:rsidR="006267F7" w:rsidRPr="005E6466">
        <w:rPr>
          <w:rFonts w:ascii="Arial" w:hAnsi="Arial" w:cs="Arial"/>
          <w:b/>
        </w:rPr>
        <w:t>.00</w:t>
      </w:r>
      <w:r w:rsidR="006267F7" w:rsidRPr="005E6466">
        <w:rPr>
          <w:rFonts w:ascii="Arial" w:hAnsi="Arial" w:cs="Arial"/>
        </w:rPr>
        <w:t xml:space="preserve"> </w:t>
      </w:r>
      <w:r w:rsidR="00865C95" w:rsidRPr="005E6466">
        <w:rPr>
          <w:rFonts w:ascii="Arial" w:hAnsi="Arial" w:cs="Arial"/>
        </w:rPr>
        <w:t xml:space="preserve">a los ingresos por venta de bienes y servicios, </w:t>
      </w:r>
      <w:r w:rsidR="003912AF" w:rsidRPr="005E6466">
        <w:rPr>
          <w:rFonts w:ascii="Arial" w:hAnsi="Arial" w:cs="Arial"/>
          <w:b/>
        </w:rPr>
        <w:t>$</w:t>
      </w:r>
      <w:r w:rsidR="0046710B">
        <w:rPr>
          <w:rFonts w:ascii="Arial" w:hAnsi="Arial" w:cs="Arial"/>
          <w:b/>
        </w:rPr>
        <w:t>41</w:t>
      </w:r>
      <w:r w:rsidR="003912AF" w:rsidRPr="005E6466">
        <w:rPr>
          <w:rFonts w:ascii="Arial" w:hAnsi="Arial" w:cs="Arial"/>
          <w:b/>
        </w:rPr>
        <w:t>,</w:t>
      </w:r>
      <w:r w:rsidR="0046710B">
        <w:rPr>
          <w:rFonts w:ascii="Arial" w:hAnsi="Arial" w:cs="Arial"/>
          <w:b/>
        </w:rPr>
        <w:t>712</w:t>
      </w:r>
      <w:r w:rsidR="003912AF" w:rsidRPr="005E6466">
        <w:rPr>
          <w:rFonts w:ascii="Arial" w:hAnsi="Arial" w:cs="Arial"/>
          <w:b/>
        </w:rPr>
        <w:t>,</w:t>
      </w:r>
      <w:r w:rsidR="0046710B">
        <w:rPr>
          <w:rFonts w:ascii="Arial" w:hAnsi="Arial" w:cs="Arial"/>
          <w:b/>
        </w:rPr>
        <w:t>654</w:t>
      </w:r>
      <w:r w:rsidR="00DA0EAD" w:rsidRPr="005E6466">
        <w:rPr>
          <w:rFonts w:ascii="Arial" w:hAnsi="Arial" w:cs="Arial"/>
          <w:b/>
        </w:rPr>
        <w:t>,</w:t>
      </w:r>
      <w:r w:rsidR="0046710B">
        <w:rPr>
          <w:rFonts w:ascii="Arial" w:hAnsi="Arial" w:cs="Arial"/>
          <w:b/>
        </w:rPr>
        <w:t>596</w:t>
      </w:r>
      <w:r w:rsidR="003912AF" w:rsidRPr="005E6466">
        <w:rPr>
          <w:rFonts w:ascii="Arial" w:hAnsi="Arial" w:cs="Arial"/>
          <w:b/>
        </w:rPr>
        <w:t>.00</w:t>
      </w:r>
      <w:r w:rsidR="003912AF" w:rsidRPr="005E6466">
        <w:rPr>
          <w:rFonts w:ascii="Arial" w:hAnsi="Arial" w:cs="Arial"/>
        </w:rPr>
        <w:t xml:space="preserve"> a participaciones, aportaci</w:t>
      </w:r>
      <w:r w:rsidR="00C77818">
        <w:rPr>
          <w:rFonts w:ascii="Arial" w:hAnsi="Arial" w:cs="Arial"/>
        </w:rPr>
        <w:t>ones, convenios e incentivos;</w:t>
      </w:r>
      <w:r w:rsidR="003912AF" w:rsidRPr="005E6466">
        <w:rPr>
          <w:rFonts w:ascii="Arial" w:hAnsi="Arial" w:cs="Arial"/>
        </w:rPr>
        <w:t xml:space="preserve"> </w:t>
      </w:r>
      <w:r w:rsidR="003912AF" w:rsidRPr="005E6466">
        <w:rPr>
          <w:rFonts w:ascii="Arial" w:hAnsi="Arial" w:cs="Arial"/>
          <w:b/>
        </w:rPr>
        <w:t>$2,</w:t>
      </w:r>
      <w:r w:rsidR="0046710B">
        <w:rPr>
          <w:rFonts w:ascii="Arial" w:hAnsi="Arial" w:cs="Arial"/>
          <w:b/>
        </w:rPr>
        <w:t>295</w:t>
      </w:r>
      <w:r w:rsidR="003912AF" w:rsidRPr="005E6466">
        <w:rPr>
          <w:rFonts w:ascii="Arial" w:hAnsi="Arial" w:cs="Arial"/>
          <w:b/>
        </w:rPr>
        <w:t>,</w:t>
      </w:r>
      <w:r w:rsidR="0046710B">
        <w:rPr>
          <w:rFonts w:ascii="Arial" w:hAnsi="Arial" w:cs="Arial"/>
          <w:b/>
        </w:rPr>
        <w:t>606</w:t>
      </w:r>
      <w:r w:rsidR="003912AF" w:rsidRPr="005E6466">
        <w:rPr>
          <w:rFonts w:ascii="Arial" w:hAnsi="Arial" w:cs="Arial"/>
          <w:b/>
        </w:rPr>
        <w:t>,</w:t>
      </w:r>
      <w:r w:rsidR="0046710B">
        <w:rPr>
          <w:rFonts w:ascii="Arial" w:hAnsi="Arial" w:cs="Arial"/>
          <w:b/>
        </w:rPr>
        <w:t>860</w:t>
      </w:r>
      <w:r w:rsidR="003912AF" w:rsidRPr="005E6466">
        <w:rPr>
          <w:rFonts w:ascii="Arial" w:hAnsi="Arial" w:cs="Arial"/>
          <w:b/>
        </w:rPr>
        <w:t>.00</w:t>
      </w:r>
      <w:r w:rsidR="003912AF" w:rsidRPr="005E6466">
        <w:rPr>
          <w:rFonts w:ascii="Arial" w:hAnsi="Arial" w:cs="Arial"/>
        </w:rPr>
        <w:t xml:space="preserve"> a transferencias, asignaci</w:t>
      </w:r>
      <w:r w:rsidR="00C77818">
        <w:rPr>
          <w:rFonts w:ascii="Arial" w:hAnsi="Arial" w:cs="Arial"/>
        </w:rPr>
        <w:t xml:space="preserve">ones, subsidios y otras ayudas; y </w:t>
      </w:r>
      <w:r w:rsidR="00C77818">
        <w:rPr>
          <w:rFonts w:ascii="Arial" w:hAnsi="Arial" w:cs="Arial"/>
          <w:b/>
        </w:rPr>
        <w:t>$1</w:t>
      </w:r>
      <w:r w:rsidR="00C77818" w:rsidRPr="005E6466">
        <w:rPr>
          <w:rFonts w:ascii="Arial" w:hAnsi="Arial" w:cs="Arial"/>
          <w:b/>
        </w:rPr>
        <w:t>,</w:t>
      </w:r>
      <w:r w:rsidR="00C77818">
        <w:rPr>
          <w:rFonts w:ascii="Arial" w:hAnsi="Arial" w:cs="Arial"/>
          <w:b/>
        </w:rPr>
        <w:t>585</w:t>
      </w:r>
      <w:r w:rsidR="00C77818" w:rsidRPr="005E6466">
        <w:rPr>
          <w:rFonts w:ascii="Arial" w:hAnsi="Arial" w:cs="Arial"/>
          <w:b/>
        </w:rPr>
        <w:t>,</w:t>
      </w:r>
      <w:r w:rsidR="00C77818">
        <w:rPr>
          <w:rFonts w:ascii="Arial" w:hAnsi="Arial" w:cs="Arial"/>
          <w:b/>
        </w:rPr>
        <w:t>954</w:t>
      </w:r>
      <w:r w:rsidR="00C77818" w:rsidRPr="005E6466">
        <w:rPr>
          <w:rFonts w:ascii="Arial" w:hAnsi="Arial" w:cs="Arial"/>
          <w:b/>
        </w:rPr>
        <w:t>,</w:t>
      </w:r>
      <w:r w:rsidR="00C77818">
        <w:rPr>
          <w:rFonts w:ascii="Arial" w:hAnsi="Arial" w:cs="Arial"/>
          <w:b/>
        </w:rPr>
        <w:t>331</w:t>
      </w:r>
      <w:r w:rsidR="00C77818" w:rsidRPr="005E6466">
        <w:rPr>
          <w:rFonts w:ascii="Arial" w:hAnsi="Arial" w:cs="Arial"/>
          <w:b/>
        </w:rPr>
        <w:t>.00</w:t>
      </w:r>
      <w:r w:rsidR="00C77818" w:rsidRPr="005E6466">
        <w:rPr>
          <w:rFonts w:ascii="Arial" w:hAnsi="Arial" w:cs="Arial"/>
        </w:rPr>
        <w:t xml:space="preserve"> a </w:t>
      </w:r>
      <w:r w:rsidR="00C77818">
        <w:rPr>
          <w:rFonts w:ascii="Arial" w:hAnsi="Arial" w:cs="Arial"/>
        </w:rPr>
        <w:t>cuotas y aportaciones de seguridad social</w:t>
      </w:r>
      <w:r w:rsidR="00C77818">
        <w:rPr>
          <w:rFonts w:ascii="Arial" w:hAnsi="Arial" w:cs="Arial"/>
        </w:rPr>
        <w:t>;</w:t>
      </w:r>
    </w:p>
    <w:p w:rsidR="003912AF" w:rsidRPr="005E6466" w:rsidRDefault="003912AF" w:rsidP="00C77F40">
      <w:pPr>
        <w:spacing w:line="360" w:lineRule="auto"/>
        <w:ind w:firstLine="709"/>
        <w:jc w:val="both"/>
        <w:rPr>
          <w:rFonts w:ascii="Arial" w:hAnsi="Arial" w:cs="Arial"/>
        </w:rPr>
      </w:pPr>
    </w:p>
    <w:p w:rsidR="00C77F40" w:rsidRPr="00572813" w:rsidRDefault="003912AF" w:rsidP="00C77F40">
      <w:pPr>
        <w:suppressAutoHyphens/>
        <w:spacing w:line="360" w:lineRule="auto"/>
        <w:jc w:val="both"/>
        <w:rPr>
          <w:rFonts w:ascii="Arial" w:hAnsi="Arial" w:cs="Arial"/>
        </w:rPr>
      </w:pPr>
      <w:r w:rsidRPr="005E6466">
        <w:rPr>
          <w:rFonts w:ascii="Arial" w:hAnsi="Arial" w:cs="Arial"/>
        </w:rPr>
        <w:tab/>
        <w:t xml:space="preserve">El proyecto de </w:t>
      </w:r>
      <w:r w:rsidRPr="005E6466">
        <w:rPr>
          <w:rFonts w:ascii="Arial" w:hAnsi="Arial" w:cs="Arial"/>
          <w:lang w:val="es-MX"/>
        </w:rPr>
        <w:t xml:space="preserve">Ley de Ingresos del Estado de Yucatán para el </w:t>
      </w:r>
      <w:r w:rsidR="00397435" w:rsidRPr="005E6466">
        <w:rPr>
          <w:rFonts w:ascii="Arial" w:hAnsi="Arial" w:cs="Arial"/>
          <w:lang w:val="es-MX"/>
        </w:rPr>
        <w:t>E</w:t>
      </w:r>
      <w:r w:rsidRPr="005E6466">
        <w:rPr>
          <w:rFonts w:ascii="Arial" w:hAnsi="Arial" w:cs="Arial"/>
          <w:lang w:val="es-MX"/>
        </w:rPr>
        <w:t xml:space="preserve">jercicio </w:t>
      </w:r>
      <w:r w:rsidR="00397435" w:rsidRPr="005E6466">
        <w:rPr>
          <w:rFonts w:ascii="Arial" w:hAnsi="Arial" w:cs="Arial"/>
          <w:lang w:val="es-MX"/>
        </w:rPr>
        <w:t>Fiscal 202</w:t>
      </w:r>
      <w:r w:rsidR="00C77F40">
        <w:rPr>
          <w:rFonts w:ascii="Arial" w:hAnsi="Arial" w:cs="Arial"/>
          <w:lang w:val="es-MX"/>
        </w:rPr>
        <w:t>3</w:t>
      </w:r>
      <w:r w:rsidRPr="005E6466">
        <w:rPr>
          <w:rFonts w:ascii="Arial" w:hAnsi="Arial" w:cs="Arial"/>
          <w:lang w:val="es-MX"/>
        </w:rPr>
        <w:t xml:space="preserve">, </w:t>
      </w:r>
      <w:r w:rsidR="00C77F40" w:rsidRPr="00572813">
        <w:rPr>
          <w:rFonts w:ascii="Arial" w:hAnsi="Arial" w:cs="Arial"/>
        </w:rPr>
        <w:t>se conforma por treinta y dos artículos, divididos en cuatro capítulos y cinco transitorios. El capítulo I, denominado “Ingresos”, es el más relevante del documento y establece la estimación de los ingresos que el Gobierno del estado, en todos sus ámbi</w:t>
      </w:r>
      <w:r w:rsidR="00054B6E">
        <w:rPr>
          <w:rFonts w:ascii="Arial" w:hAnsi="Arial" w:cs="Arial"/>
        </w:rPr>
        <w:t>tos, considera obtener para el Ejercicio F</w:t>
      </w:r>
      <w:r w:rsidR="00C77F40" w:rsidRPr="00572813">
        <w:rPr>
          <w:rFonts w:ascii="Arial" w:hAnsi="Arial" w:cs="Arial"/>
        </w:rPr>
        <w:t>iscal 2023. El capítulo II, denominado “Recaudación y concentración de ingresos”, se refiere a la manera en que se hará la recaudación y cómo se concentrarán los recursos públicos del estado por diversos rubros. El capítulo III, denominado “Sujetos públicos obligados”, únicamente contiene un artículo que refiere a los sujetos públicos obligados al pago de contribuciones. El capítulo IV, denominado “Facilidades a los contribuyentes”, señala las herramientas y los mecanismos encaminados a facilitar el correcto y responsable cumplimiento de las obligaciones tributarias. Finalmente, se incluyen cinco artículos transitorios con disposiciones que permitirán una efectiva entrada en vigor y aplicación de la ley.</w:t>
      </w:r>
    </w:p>
    <w:p w:rsidR="00463F25" w:rsidRDefault="00463F25" w:rsidP="00C77F40">
      <w:pPr>
        <w:suppressAutoHyphens/>
        <w:spacing w:line="360" w:lineRule="auto"/>
        <w:jc w:val="both"/>
        <w:rPr>
          <w:rFonts w:ascii="Arial" w:hAnsi="Arial" w:cs="Arial"/>
        </w:rPr>
      </w:pPr>
    </w:p>
    <w:p w:rsidR="00C77818" w:rsidRDefault="00C77818" w:rsidP="001732BC">
      <w:pPr>
        <w:spacing w:line="360" w:lineRule="auto"/>
        <w:ind w:firstLine="708"/>
        <w:jc w:val="both"/>
        <w:rPr>
          <w:rFonts w:ascii="Arial" w:hAnsi="Arial" w:cs="Arial"/>
          <w:b/>
        </w:rPr>
      </w:pPr>
    </w:p>
    <w:p w:rsidR="00C77818" w:rsidRDefault="00C77818" w:rsidP="001732BC">
      <w:pPr>
        <w:spacing w:line="360" w:lineRule="auto"/>
        <w:ind w:firstLine="708"/>
        <w:jc w:val="both"/>
        <w:rPr>
          <w:rFonts w:ascii="Arial" w:hAnsi="Arial" w:cs="Arial"/>
          <w:b/>
        </w:rPr>
      </w:pPr>
    </w:p>
    <w:p w:rsidR="007A0B9A" w:rsidRDefault="00CB1D73" w:rsidP="001732BC">
      <w:pPr>
        <w:spacing w:line="360" w:lineRule="auto"/>
        <w:ind w:firstLine="708"/>
        <w:jc w:val="both"/>
        <w:rPr>
          <w:rFonts w:ascii="Arial" w:hAnsi="Arial" w:cs="Arial"/>
        </w:rPr>
      </w:pPr>
      <w:r>
        <w:rPr>
          <w:rFonts w:ascii="Arial" w:hAnsi="Arial" w:cs="Arial"/>
          <w:b/>
        </w:rPr>
        <w:t>QUINTA</w:t>
      </w:r>
      <w:r w:rsidR="003E5208" w:rsidRPr="005E6466">
        <w:rPr>
          <w:rFonts w:ascii="Arial" w:hAnsi="Arial" w:cs="Arial"/>
          <w:b/>
        </w:rPr>
        <w:t xml:space="preserve">. </w:t>
      </w:r>
      <w:r w:rsidR="00276E0D" w:rsidRPr="005E6466">
        <w:rPr>
          <w:rFonts w:ascii="Arial" w:hAnsi="Arial" w:cs="Arial"/>
        </w:rPr>
        <w:t xml:space="preserve">Por otra parte, </w:t>
      </w:r>
      <w:r w:rsidR="002017B0">
        <w:rPr>
          <w:rFonts w:ascii="Arial" w:hAnsi="Arial" w:cs="Arial"/>
        </w:rPr>
        <w:t>conformidad con</w:t>
      </w:r>
      <w:r w:rsidR="002017B0" w:rsidRPr="00D93F7E">
        <w:rPr>
          <w:rFonts w:ascii="Arial" w:hAnsi="Arial" w:cs="Arial"/>
        </w:rPr>
        <w:t xml:space="preserve"> lo </w:t>
      </w:r>
      <w:r w:rsidR="00C77F40">
        <w:rPr>
          <w:rFonts w:ascii="Arial" w:eastAsia="Arial" w:hAnsi="Arial" w:cs="Arial"/>
        </w:rPr>
        <w:t xml:space="preserve">establecido en el artículo 52, fracción V, de la Ley del Presupuesto y Contabilidad Gubernamental del Estado de Yucatán, para el programa anual de financiamiento 2023, la estimación de las amortizaciones y el costo del servicio de la deuda de largo plazo que se cubrirán durante este ejercicio fiscal es </w:t>
      </w:r>
      <w:r w:rsidR="00C77F40" w:rsidRPr="00075B55">
        <w:rPr>
          <w:rFonts w:ascii="Arial" w:eastAsia="Arial" w:hAnsi="Arial" w:cs="Arial"/>
        </w:rPr>
        <w:t>de $80,775,955.00 y de $862,968,960.00, respectivamente. Las cifras señaladas corresponden</w:t>
      </w:r>
      <w:r w:rsidR="00C77F40">
        <w:rPr>
          <w:rFonts w:ascii="Arial" w:eastAsia="Arial" w:hAnsi="Arial" w:cs="Arial"/>
        </w:rPr>
        <w:t xml:space="preserve"> a los seis financiamientos de largo plazo vigentes identificados con las siguientes claves de inscripción en el Registro Público Único de Financiamientos y Obligaciones de Entidades Federativas y Municipios a cargo de la Secretaría de Hacienda y Crédito Público: P31-0413037, P31-1119054, P31-1020086, P31-1020087, P31-1020088 y </w:t>
      </w:r>
      <w:r w:rsidR="00C77F40" w:rsidRPr="00311574">
        <w:rPr>
          <w:rFonts w:ascii="Arial" w:eastAsia="Arial" w:hAnsi="Arial" w:cs="Arial"/>
        </w:rPr>
        <w:t>P31-0922035</w:t>
      </w:r>
      <w:r w:rsidR="002017B0">
        <w:rPr>
          <w:rFonts w:ascii="Arial" w:hAnsi="Arial" w:cs="Arial"/>
        </w:rPr>
        <w:t>.</w:t>
      </w:r>
    </w:p>
    <w:p w:rsidR="007A0B9A" w:rsidRPr="005E6466" w:rsidRDefault="007A0B9A" w:rsidP="001732BC">
      <w:pPr>
        <w:spacing w:line="360" w:lineRule="auto"/>
        <w:ind w:firstLine="708"/>
        <w:jc w:val="both"/>
        <w:rPr>
          <w:rFonts w:ascii="Arial" w:hAnsi="Arial" w:cs="Arial"/>
        </w:rPr>
      </w:pPr>
    </w:p>
    <w:p w:rsidR="001732BC" w:rsidRDefault="00CE18BB" w:rsidP="001732BC">
      <w:pPr>
        <w:spacing w:line="360" w:lineRule="auto"/>
        <w:ind w:firstLine="708"/>
        <w:jc w:val="both"/>
        <w:rPr>
          <w:rFonts w:ascii="Arial" w:hAnsi="Arial" w:cs="Arial"/>
        </w:rPr>
      </w:pPr>
      <w:r w:rsidRPr="005E6466">
        <w:rPr>
          <w:rFonts w:ascii="Arial" w:hAnsi="Arial" w:cs="Arial"/>
        </w:rPr>
        <w:t xml:space="preserve">Es preciso indicar que lo anterior, es parte del procedimiento que se viene realizando, de acuerdo a la autorización otorgada </w:t>
      </w:r>
      <w:r w:rsidR="00A11A4A" w:rsidRPr="005E6466">
        <w:rPr>
          <w:rFonts w:ascii="Arial" w:hAnsi="Arial" w:cs="Arial"/>
        </w:rPr>
        <w:t>en el artículo 5 de la Ley de Ingresos del Estado de Yucatán para el Ejercicio Fiscal 202</w:t>
      </w:r>
      <w:r w:rsidR="00C77F40">
        <w:rPr>
          <w:rFonts w:ascii="Arial" w:hAnsi="Arial" w:cs="Arial"/>
        </w:rPr>
        <w:t>2</w:t>
      </w:r>
      <w:r w:rsidR="00A11A4A" w:rsidRPr="005E6466">
        <w:rPr>
          <w:rFonts w:ascii="Arial" w:hAnsi="Arial" w:cs="Arial"/>
        </w:rPr>
        <w:t xml:space="preserve">, </w:t>
      </w:r>
      <w:r w:rsidRPr="005E6466">
        <w:rPr>
          <w:rFonts w:ascii="Arial" w:hAnsi="Arial" w:cs="Arial"/>
        </w:rPr>
        <w:t xml:space="preserve">por lo </w:t>
      </w:r>
      <w:r w:rsidR="00A11A4A" w:rsidRPr="005E6466">
        <w:rPr>
          <w:rFonts w:ascii="Arial" w:hAnsi="Arial" w:cs="Arial"/>
        </w:rPr>
        <w:t xml:space="preserve">se </w:t>
      </w:r>
      <w:r w:rsidRPr="005E6466">
        <w:rPr>
          <w:rFonts w:ascii="Arial" w:hAnsi="Arial" w:cs="Arial"/>
        </w:rPr>
        <w:t xml:space="preserve">pretende concretar dicho </w:t>
      </w:r>
      <w:r w:rsidR="00A11A4A" w:rsidRPr="005E6466">
        <w:rPr>
          <w:rFonts w:ascii="Arial" w:hAnsi="Arial" w:cs="Arial"/>
        </w:rPr>
        <w:t xml:space="preserve">proceso de reestructura de la deuda pública amortizable contraída por administraciones anteriores, </w:t>
      </w:r>
      <w:r w:rsidRPr="005E6466">
        <w:rPr>
          <w:rFonts w:ascii="Arial" w:hAnsi="Arial" w:cs="Arial"/>
        </w:rPr>
        <w:t xml:space="preserve">con miras de lograr </w:t>
      </w:r>
      <w:r w:rsidR="00A11A4A" w:rsidRPr="005E6466">
        <w:rPr>
          <w:rFonts w:ascii="Arial" w:hAnsi="Arial" w:cs="Arial"/>
        </w:rPr>
        <w:t>atenuar el servicio de la deuda para el estado y la liberación de garantías.</w:t>
      </w:r>
    </w:p>
    <w:p w:rsidR="007959A7" w:rsidRPr="005E6466" w:rsidRDefault="007959A7" w:rsidP="001732BC">
      <w:pPr>
        <w:spacing w:line="360" w:lineRule="auto"/>
        <w:ind w:firstLine="708"/>
        <w:jc w:val="both"/>
        <w:rPr>
          <w:rFonts w:ascii="Arial" w:hAnsi="Arial" w:cs="Arial"/>
        </w:rPr>
      </w:pPr>
    </w:p>
    <w:p w:rsidR="007959A7" w:rsidRDefault="007959A7" w:rsidP="007959A7">
      <w:pPr>
        <w:suppressAutoHyphens/>
        <w:spacing w:line="360" w:lineRule="auto"/>
        <w:ind w:firstLine="708"/>
        <w:jc w:val="both"/>
        <w:rPr>
          <w:rFonts w:ascii="Arial" w:hAnsi="Arial" w:cs="Arial"/>
        </w:rPr>
      </w:pPr>
      <w:r>
        <w:rPr>
          <w:rFonts w:ascii="Arial" w:hAnsi="Arial" w:cs="Arial"/>
        </w:rPr>
        <w:t xml:space="preserve">Por otra parte, </w:t>
      </w:r>
      <w:r w:rsidR="00C77818">
        <w:rPr>
          <w:rFonts w:ascii="Arial" w:hAnsi="Arial" w:cs="Arial"/>
        </w:rPr>
        <w:t>se menciona</w:t>
      </w:r>
      <w:r>
        <w:rPr>
          <w:rFonts w:ascii="Arial" w:hAnsi="Arial" w:cs="Arial"/>
        </w:rPr>
        <w:t xml:space="preserve"> que</w:t>
      </w:r>
      <w:r w:rsidRPr="007959A7">
        <w:rPr>
          <w:rFonts w:ascii="Arial" w:hAnsi="Arial" w:cs="Arial"/>
        </w:rPr>
        <w:t xml:space="preserve"> en cumplimiento de lo establecido</w:t>
      </w:r>
      <w:r w:rsidR="00C77818">
        <w:rPr>
          <w:rFonts w:ascii="Arial" w:hAnsi="Arial" w:cs="Arial"/>
        </w:rPr>
        <w:t xml:space="preserve"> en el artículo 5, fracción III</w:t>
      </w:r>
      <w:r w:rsidRPr="007959A7">
        <w:rPr>
          <w:rFonts w:ascii="Arial" w:hAnsi="Arial" w:cs="Arial"/>
        </w:rPr>
        <w:t xml:space="preserve"> de la Ley de Disciplina Financiera de las Entidades Federativas y los Municipios, y en el artículo 20, fracción III de la Ley del Presupuesto y Contabilidad Gubernamental del Estado de Yucatán, se presentan los principales riesgos que se detectan para los ingresos que estima percibir el estado en el ejercicio fiscal 202</w:t>
      </w:r>
      <w:r w:rsidR="00C77F40">
        <w:rPr>
          <w:rFonts w:ascii="Arial" w:hAnsi="Arial" w:cs="Arial"/>
        </w:rPr>
        <w:t>3</w:t>
      </w:r>
      <w:r w:rsidRPr="007959A7">
        <w:rPr>
          <w:rFonts w:ascii="Arial" w:hAnsi="Arial" w:cs="Arial"/>
        </w:rPr>
        <w:t>:</w:t>
      </w:r>
    </w:p>
    <w:p w:rsidR="004851E2" w:rsidRPr="00C77F40" w:rsidRDefault="004851E2" w:rsidP="00C77F40">
      <w:pPr>
        <w:suppressAutoHyphens/>
        <w:spacing w:line="360" w:lineRule="auto"/>
        <w:ind w:firstLine="708"/>
        <w:jc w:val="both"/>
        <w:rPr>
          <w:rFonts w:ascii="Arial" w:hAnsi="Arial" w:cs="Arial"/>
        </w:rPr>
      </w:pPr>
    </w:p>
    <w:p w:rsidR="00C77F40" w:rsidRDefault="00C77F40" w:rsidP="00C77F40">
      <w:pPr>
        <w:suppressAutoHyphens/>
        <w:spacing w:line="360" w:lineRule="auto"/>
        <w:ind w:firstLine="708"/>
        <w:jc w:val="both"/>
        <w:rPr>
          <w:rFonts w:ascii="Arial" w:hAnsi="Arial" w:cs="Arial"/>
        </w:rPr>
      </w:pPr>
      <w:r w:rsidRPr="00C77F40">
        <w:rPr>
          <w:rFonts w:ascii="Arial" w:hAnsi="Arial" w:cs="Arial"/>
          <w:iCs/>
        </w:rPr>
        <w:t>a) Nueva ola de la pandemia ocasionada por el virus SARS-CoV-2 y su aparejada desaceleración económica</w:t>
      </w:r>
      <w:r w:rsidRPr="00C77F40">
        <w:rPr>
          <w:rFonts w:ascii="Arial" w:hAnsi="Arial" w:cs="Arial"/>
        </w:rPr>
        <w:t>. De presentarse una nueva ola de COVID, que impacte la actividad económica, implicaría como vimos en el año 2020, una baja recaudación a nivel local y federal, aunada a mayores necesidades de gasto para la atención hospitalaria, prevención y subsidios dirigidos a la población en mayor riesgo.</w:t>
      </w:r>
    </w:p>
    <w:p w:rsidR="00C77F40" w:rsidRPr="00C77F40" w:rsidRDefault="00C77F40" w:rsidP="00C77F40">
      <w:pPr>
        <w:suppressAutoHyphens/>
        <w:spacing w:line="360" w:lineRule="auto"/>
        <w:ind w:firstLine="708"/>
        <w:jc w:val="both"/>
        <w:rPr>
          <w:rFonts w:ascii="Arial" w:hAnsi="Arial" w:cs="Arial"/>
        </w:rPr>
      </w:pPr>
    </w:p>
    <w:p w:rsidR="00C77F40" w:rsidRPr="00C77F40" w:rsidRDefault="00C77F40" w:rsidP="00C77F40">
      <w:pPr>
        <w:suppressAutoHyphens/>
        <w:spacing w:line="360" w:lineRule="auto"/>
        <w:ind w:firstLine="708"/>
        <w:jc w:val="both"/>
        <w:rPr>
          <w:rFonts w:ascii="Arial" w:hAnsi="Arial" w:cs="Arial"/>
          <w:iCs/>
        </w:rPr>
      </w:pPr>
      <w:r w:rsidRPr="00C77F40">
        <w:rPr>
          <w:rFonts w:ascii="Arial" w:hAnsi="Arial" w:cs="Arial"/>
          <w:iCs/>
        </w:rPr>
        <w:t>b) Recaudación Federal Participable (RFP). En caso de presentarse un entorno económico con mayor inflación y menor crecimiento que el estimado por la Secretaría de Hacienda y Crédito Público (SHCP), existe el riesgo que esta coyuntura no permita el logro de las metas de recaudación federal planteadas en el Proyecto de Presupuesto de Egresos de la Federación. En este c</w:t>
      </w:r>
      <w:r w:rsidR="00907177">
        <w:rPr>
          <w:rFonts w:ascii="Arial" w:hAnsi="Arial" w:cs="Arial"/>
          <w:iCs/>
        </w:rPr>
        <w:t>aso, los ingresos de fondos de p</w:t>
      </w:r>
      <w:r w:rsidRPr="00C77F40">
        <w:rPr>
          <w:rFonts w:ascii="Arial" w:hAnsi="Arial" w:cs="Arial"/>
          <w:iCs/>
        </w:rPr>
        <w:t xml:space="preserve">articipaciones referenciados a la RFP podrían ser menores a lo estimado. </w:t>
      </w:r>
    </w:p>
    <w:p w:rsidR="00C77F40" w:rsidRDefault="00C77F40" w:rsidP="00C77F40">
      <w:pPr>
        <w:suppressAutoHyphens/>
        <w:spacing w:line="360" w:lineRule="auto"/>
        <w:ind w:firstLine="708"/>
        <w:jc w:val="both"/>
        <w:rPr>
          <w:rFonts w:ascii="Arial" w:hAnsi="Arial" w:cs="Arial"/>
          <w:iCs/>
        </w:rPr>
      </w:pPr>
    </w:p>
    <w:p w:rsidR="00C77F40" w:rsidRPr="00C77F40" w:rsidRDefault="00C77F40" w:rsidP="00C77F40">
      <w:pPr>
        <w:suppressAutoHyphens/>
        <w:spacing w:line="360" w:lineRule="auto"/>
        <w:ind w:firstLine="708"/>
        <w:jc w:val="both"/>
        <w:rPr>
          <w:rFonts w:ascii="Arial" w:hAnsi="Arial" w:cs="Arial"/>
        </w:rPr>
      </w:pPr>
      <w:r w:rsidRPr="00C77F40">
        <w:rPr>
          <w:rFonts w:ascii="Arial" w:hAnsi="Arial" w:cs="Arial"/>
          <w:iCs/>
        </w:rPr>
        <w:t>c) Ajustes a las participaciones por el cálculo del coeficiente de participaciones 2023.</w:t>
      </w:r>
      <w:r w:rsidRPr="00C77F40">
        <w:rPr>
          <w:rFonts w:ascii="Arial" w:hAnsi="Arial" w:cs="Arial"/>
          <w:i/>
        </w:rPr>
        <w:t xml:space="preserve"> </w:t>
      </w:r>
      <w:r w:rsidRPr="00C77F40">
        <w:rPr>
          <w:rFonts w:ascii="Arial" w:hAnsi="Arial" w:cs="Arial"/>
        </w:rPr>
        <w:t xml:space="preserve">El coeficiente aplicado para la distribución de recursos del Fondo General de Participaciones se modifica cada año en función de los resultados de recaudación publicados en las Cuentas Públicas previas inmediatas. </w:t>
      </w:r>
    </w:p>
    <w:p w:rsidR="00C77F40" w:rsidRDefault="00C77F40" w:rsidP="00C77F40">
      <w:pPr>
        <w:suppressAutoHyphens/>
        <w:spacing w:line="360" w:lineRule="auto"/>
        <w:ind w:firstLine="708"/>
        <w:jc w:val="both"/>
        <w:rPr>
          <w:rFonts w:ascii="Arial" w:hAnsi="Arial" w:cs="Arial"/>
          <w:iCs/>
        </w:rPr>
      </w:pPr>
    </w:p>
    <w:p w:rsidR="00C77F40" w:rsidRPr="00C77F40" w:rsidRDefault="00C77F40" w:rsidP="00C77F40">
      <w:pPr>
        <w:suppressAutoHyphens/>
        <w:spacing w:line="360" w:lineRule="auto"/>
        <w:ind w:firstLine="708"/>
        <w:jc w:val="both"/>
        <w:rPr>
          <w:rFonts w:ascii="Arial" w:hAnsi="Arial" w:cs="Arial"/>
        </w:rPr>
      </w:pPr>
      <w:r w:rsidRPr="00C77F40">
        <w:rPr>
          <w:rFonts w:ascii="Arial" w:hAnsi="Arial" w:cs="Arial"/>
          <w:iCs/>
        </w:rPr>
        <w:t>d)</w:t>
      </w:r>
      <w:r w:rsidRPr="00C77F40">
        <w:rPr>
          <w:rFonts w:ascii="Arial" w:hAnsi="Arial" w:cs="Arial"/>
          <w:i/>
        </w:rPr>
        <w:t xml:space="preserve"> </w:t>
      </w:r>
      <w:r w:rsidRPr="00C77F40">
        <w:rPr>
          <w:rFonts w:ascii="Arial" w:hAnsi="Arial" w:cs="Arial"/>
          <w:iCs/>
        </w:rPr>
        <w:t>Modificaciones fiscales</w:t>
      </w:r>
      <w:r w:rsidR="00054B6E">
        <w:rPr>
          <w:rFonts w:ascii="Arial" w:hAnsi="Arial" w:cs="Arial"/>
          <w:iCs/>
        </w:rPr>
        <w:t xml:space="preserve"> y presupuestales del Gobierno F</w:t>
      </w:r>
      <w:r w:rsidRPr="00C77F40">
        <w:rPr>
          <w:rFonts w:ascii="Arial" w:hAnsi="Arial" w:cs="Arial"/>
          <w:iCs/>
        </w:rPr>
        <w:t>ederal.</w:t>
      </w:r>
      <w:r w:rsidRPr="00C77F40">
        <w:rPr>
          <w:rFonts w:ascii="Arial" w:hAnsi="Arial" w:cs="Arial"/>
          <w:i/>
        </w:rPr>
        <w:t xml:space="preserve"> </w:t>
      </w:r>
      <w:r w:rsidRPr="00C77F40">
        <w:rPr>
          <w:rFonts w:ascii="Arial" w:hAnsi="Arial" w:cs="Arial"/>
        </w:rPr>
        <w:t>Este riesgo se refiere a los recursos que operan las entidades federativas a través de la firma de convenios de colaboración con la federación. Existe incertidumbre sobre si habrá cambios significativos en el marco fiscal vigente o en los programas federales que actual</w:t>
      </w:r>
      <w:r w:rsidR="00054B6E">
        <w:rPr>
          <w:rFonts w:ascii="Arial" w:hAnsi="Arial" w:cs="Arial"/>
        </w:rPr>
        <w:t>mente existen. El Gobierno del E</w:t>
      </w:r>
      <w:r w:rsidRPr="00C77F40">
        <w:rPr>
          <w:rFonts w:ascii="Arial" w:hAnsi="Arial" w:cs="Arial"/>
        </w:rPr>
        <w:t>stado ha seguido la estrategia de gestionar y dar cumplimiento a los requisitos para la firma de convenios para la obtención de recursos. En este sentido, el paquete económico 2023 propuesto al H. Congreso del estado ha estimado los ingresos únicamente de aquellos convenios para los que se asignaron recursos en el Presupuesto de Egresos de la Federación 2023.</w:t>
      </w:r>
    </w:p>
    <w:p w:rsidR="00C77F40" w:rsidRDefault="00C77F40" w:rsidP="00C77F40">
      <w:pPr>
        <w:suppressAutoHyphens/>
        <w:spacing w:line="360" w:lineRule="auto"/>
        <w:ind w:firstLine="708"/>
        <w:jc w:val="both"/>
        <w:rPr>
          <w:rFonts w:ascii="Arial" w:hAnsi="Arial" w:cs="Arial"/>
          <w:iCs/>
        </w:rPr>
      </w:pPr>
    </w:p>
    <w:p w:rsidR="00C77F40" w:rsidRPr="00C77F40" w:rsidRDefault="00C77F40" w:rsidP="00C77F40">
      <w:pPr>
        <w:suppressAutoHyphens/>
        <w:spacing w:line="360" w:lineRule="auto"/>
        <w:ind w:firstLine="708"/>
        <w:jc w:val="both"/>
        <w:rPr>
          <w:rFonts w:ascii="Arial" w:hAnsi="Arial" w:cs="Arial"/>
        </w:rPr>
      </w:pPr>
      <w:r w:rsidRPr="00C77F40">
        <w:rPr>
          <w:rFonts w:ascii="Arial" w:hAnsi="Arial" w:cs="Arial"/>
          <w:iCs/>
        </w:rPr>
        <w:t>e)</w:t>
      </w:r>
      <w:r w:rsidRPr="00C77F40">
        <w:rPr>
          <w:rFonts w:ascii="Arial" w:hAnsi="Arial" w:cs="Arial"/>
          <w:i/>
        </w:rPr>
        <w:t xml:space="preserve"> </w:t>
      </w:r>
      <w:r w:rsidRPr="00C77F40">
        <w:rPr>
          <w:rFonts w:ascii="Arial" w:hAnsi="Arial" w:cs="Arial"/>
          <w:iCs/>
        </w:rPr>
        <w:t>Modificación de la tasa de referencia.</w:t>
      </w:r>
      <w:r w:rsidRPr="00C77F40">
        <w:rPr>
          <w:rFonts w:ascii="Arial" w:hAnsi="Arial" w:cs="Arial"/>
          <w:i/>
        </w:rPr>
        <w:t xml:space="preserve"> </w:t>
      </w:r>
      <w:r w:rsidRPr="00C77F40">
        <w:rPr>
          <w:rFonts w:ascii="Arial" w:hAnsi="Arial" w:cs="Arial"/>
        </w:rPr>
        <w:t xml:space="preserve">Un escenario con inflación mayor a la estimada por SHCP, podría resultar en políticas monetarias restrictivas con aumentos a las tasas de interés de referencia fijadas por el Banco Central por encima de lo esperado. </w:t>
      </w:r>
    </w:p>
    <w:p w:rsidR="00C77F40" w:rsidRDefault="00C77F40" w:rsidP="00C77F40">
      <w:pPr>
        <w:suppressAutoHyphens/>
        <w:spacing w:line="360" w:lineRule="auto"/>
        <w:jc w:val="both"/>
        <w:rPr>
          <w:rFonts w:ascii="Arial" w:hAnsi="Arial" w:cs="Arial"/>
        </w:rPr>
      </w:pPr>
    </w:p>
    <w:p w:rsidR="00C77F40" w:rsidRPr="00C77F40" w:rsidRDefault="00C77F40" w:rsidP="00C77F40">
      <w:pPr>
        <w:suppressAutoHyphens/>
        <w:spacing w:line="360" w:lineRule="auto"/>
        <w:ind w:firstLine="708"/>
        <w:jc w:val="both"/>
        <w:rPr>
          <w:rFonts w:ascii="Arial" w:hAnsi="Arial" w:cs="Arial"/>
        </w:rPr>
      </w:pPr>
      <w:r w:rsidRPr="00C77F40">
        <w:rPr>
          <w:rFonts w:ascii="Arial" w:hAnsi="Arial" w:cs="Arial"/>
        </w:rPr>
        <w:t xml:space="preserve">De presentarse esta situación, las entidades federativas enfrentarían un mayor costo del servicio de la deuda y condiciones menos favorables para acceder o reestructurar los financiamientos. </w:t>
      </w:r>
    </w:p>
    <w:p w:rsidR="00321887" w:rsidRPr="007959A7" w:rsidRDefault="00321887" w:rsidP="007959A7">
      <w:pPr>
        <w:spacing w:line="360" w:lineRule="auto"/>
        <w:ind w:firstLine="708"/>
        <w:jc w:val="both"/>
        <w:rPr>
          <w:rFonts w:ascii="Arial" w:hAnsi="Arial" w:cs="Arial"/>
        </w:rPr>
      </w:pPr>
    </w:p>
    <w:p w:rsidR="003912AF" w:rsidRPr="005E6466" w:rsidRDefault="002A39D4" w:rsidP="007A18EB">
      <w:pPr>
        <w:spacing w:line="360" w:lineRule="auto"/>
        <w:ind w:firstLine="708"/>
        <w:jc w:val="both"/>
        <w:rPr>
          <w:rFonts w:ascii="Arial" w:hAnsi="Arial" w:cs="Arial"/>
          <w:iCs/>
          <w:lang w:val="es-ES_tradnl"/>
        </w:rPr>
      </w:pPr>
      <w:r w:rsidRPr="005E6466">
        <w:rPr>
          <w:rFonts w:ascii="Arial" w:hAnsi="Arial" w:cs="Arial"/>
          <w:b/>
          <w:iCs/>
        </w:rPr>
        <w:t xml:space="preserve">SEXTA. </w:t>
      </w:r>
      <w:r w:rsidR="00BE63A6">
        <w:rPr>
          <w:rFonts w:ascii="Arial" w:hAnsi="Arial" w:cs="Arial"/>
          <w:iCs/>
          <w:lang w:val="es-MX"/>
        </w:rPr>
        <w:t>Esta C</w:t>
      </w:r>
      <w:r w:rsidR="003912AF" w:rsidRPr="005E6466">
        <w:rPr>
          <w:rFonts w:ascii="Arial" w:hAnsi="Arial" w:cs="Arial"/>
          <w:iCs/>
          <w:lang w:val="es-MX"/>
        </w:rPr>
        <w:t xml:space="preserve">omisión </w:t>
      </w:r>
      <w:r w:rsidR="00BE63A6">
        <w:rPr>
          <w:rFonts w:ascii="Arial" w:hAnsi="Arial" w:cs="Arial"/>
          <w:iCs/>
          <w:lang w:val="es-MX"/>
        </w:rPr>
        <w:t>P</w:t>
      </w:r>
      <w:r w:rsidR="003912AF" w:rsidRPr="005E6466">
        <w:rPr>
          <w:rFonts w:ascii="Arial" w:hAnsi="Arial" w:cs="Arial"/>
          <w:iCs/>
          <w:lang w:val="es-MX"/>
        </w:rPr>
        <w:t xml:space="preserve">ermanente, ha analizado la legalidad y constitucionalidad de cada uno de los distintos </w:t>
      </w:r>
      <w:r w:rsidR="00C77818">
        <w:rPr>
          <w:rFonts w:ascii="Arial" w:hAnsi="Arial" w:cs="Arial"/>
          <w:iCs/>
          <w:lang w:val="es-MX"/>
        </w:rPr>
        <w:t>ingresos</w:t>
      </w:r>
      <w:r w:rsidR="003912AF" w:rsidRPr="005E6466">
        <w:rPr>
          <w:rFonts w:ascii="Arial" w:hAnsi="Arial" w:cs="Arial"/>
          <w:iCs/>
          <w:lang w:val="es-MX"/>
        </w:rPr>
        <w:t xml:space="preserve"> tributarios que establece la iniciativa objeto de este dictamen; así como, la armonización y correlación normativa entre la Ley General de Hacienda del Estado de Yucatán, con la respectiva Ley de Ingresos Estatal propuesta para su aprobación; considerándose que los conceptos por los cuales el Estado pretende obtener recursos en el próximo ejercicio fiscal, debe necesariamente coincidir con lo señalado en la </w:t>
      </w:r>
      <w:r w:rsidR="00E963F6" w:rsidRPr="005E6466">
        <w:rPr>
          <w:rFonts w:ascii="Arial" w:hAnsi="Arial" w:cs="Arial"/>
          <w:iCs/>
          <w:lang w:val="es-MX"/>
        </w:rPr>
        <w:t xml:space="preserve">Ley </w:t>
      </w:r>
      <w:r w:rsidR="00891E48" w:rsidRPr="005E6466">
        <w:rPr>
          <w:rFonts w:ascii="Arial" w:hAnsi="Arial" w:cs="Arial"/>
          <w:iCs/>
          <w:lang w:val="es-MX"/>
        </w:rPr>
        <w:t xml:space="preserve">General </w:t>
      </w:r>
      <w:r w:rsidR="00E963F6" w:rsidRPr="005E6466">
        <w:rPr>
          <w:rFonts w:ascii="Arial" w:hAnsi="Arial" w:cs="Arial"/>
          <w:iCs/>
          <w:lang w:val="es-MX"/>
        </w:rPr>
        <w:t>de Hacienda del Estado</w:t>
      </w:r>
      <w:r w:rsidR="003912AF" w:rsidRPr="005E6466">
        <w:rPr>
          <w:rFonts w:ascii="Arial" w:hAnsi="Arial" w:cs="Arial"/>
          <w:iCs/>
          <w:lang w:val="es-MX"/>
        </w:rPr>
        <w:t>.</w:t>
      </w:r>
    </w:p>
    <w:p w:rsidR="003912AF" w:rsidRPr="005E6466" w:rsidRDefault="003912AF" w:rsidP="007A18EB">
      <w:pPr>
        <w:spacing w:line="360" w:lineRule="auto"/>
        <w:ind w:firstLine="708"/>
        <w:jc w:val="both"/>
        <w:rPr>
          <w:rFonts w:ascii="Arial" w:hAnsi="Arial" w:cs="Arial"/>
          <w:iCs/>
          <w:lang w:val="es-ES_tradnl"/>
        </w:rPr>
      </w:pPr>
    </w:p>
    <w:p w:rsidR="003912AF" w:rsidRPr="005E6466" w:rsidRDefault="003912AF" w:rsidP="007A18EB">
      <w:pPr>
        <w:spacing w:line="360" w:lineRule="auto"/>
        <w:ind w:firstLine="708"/>
        <w:jc w:val="both"/>
        <w:rPr>
          <w:rFonts w:ascii="Arial" w:hAnsi="Arial" w:cs="Arial"/>
          <w:iCs/>
          <w:lang w:val="es-ES_tradnl"/>
        </w:rPr>
      </w:pPr>
      <w:r w:rsidRPr="005E6466">
        <w:rPr>
          <w:rFonts w:ascii="Arial" w:hAnsi="Arial" w:cs="Arial"/>
          <w:iCs/>
          <w:lang w:val="es-ES_tradnl"/>
        </w:rPr>
        <w:t>Por lo que se estima que los preceptos legales que contiene la iniciativa de Ley de Ingresos del Estado de Yucat</w:t>
      </w:r>
      <w:r w:rsidR="00D83C50" w:rsidRPr="005E6466">
        <w:rPr>
          <w:rFonts w:ascii="Arial" w:hAnsi="Arial" w:cs="Arial"/>
          <w:iCs/>
          <w:lang w:val="es-ES_tradnl"/>
        </w:rPr>
        <w:t>án para el Ejercicio Fiscal 202</w:t>
      </w:r>
      <w:r w:rsidR="00C77F40">
        <w:rPr>
          <w:rFonts w:ascii="Arial" w:hAnsi="Arial" w:cs="Arial"/>
          <w:iCs/>
          <w:lang w:val="es-ES_tradnl"/>
        </w:rPr>
        <w:t>3</w:t>
      </w:r>
      <w:r w:rsidRPr="005E6466">
        <w:rPr>
          <w:rFonts w:ascii="Arial" w:hAnsi="Arial" w:cs="Arial"/>
          <w:iCs/>
          <w:lang w:val="es-ES_tradnl"/>
        </w:rPr>
        <w:t>, son congruentes con las disposiciones fiscales federales y estatales, con los preceptos relativos y aplicables de la Constitución Política de los Estados Unidos Mexicanos, y acorde con la realidad económica del Estado, por lo que estimamos que debe aprobarse.</w:t>
      </w:r>
    </w:p>
    <w:p w:rsidR="003912AF" w:rsidRPr="005E6466" w:rsidRDefault="003912AF" w:rsidP="007A18EB">
      <w:pPr>
        <w:spacing w:line="360" w:lineRule="auto"/>
        <w:ind w:firstLine="708"/>
        <w:jc w:val="both"/>
        <w:rPr>
          <w:rFonts w:ascii="Arial" w:hAnsi="Arial" w:cs="Arial"/>
          <w:iCs/>
          <w:lang w:val="es-ES_tradnl"/>
        </w:rPr>
      </w:pPr>
    </w:p>
    <w:p w:rsidR="00941071" w:rsidRPr="005E6466" w:rsidRDefault="003912AF" w:rsidP="007A18EB">
      <w:pPr>
        <w:spacing w:line="360" w:lineRule="auto"/>
        <w:ind w:firstLine="708"/>
        <w:jc w:val="both"/>
        <w:rPr>
          <w:rFonts w:ascii="Arial" w:hAnsi="Arial" w:cs="Arial"/>
          <w:iCs/>
          <w:lang w:val="es-MX"/>
        </w:rPr>
      </w:pPr>
      <w:r w:rsidRPr="005E6466">
        <w:rPr>
          <w:rFonts w:ascii="Arial" w:hAnsi="Arial" w:cs="Arial"/>
          <w:iCs/>
          <w:lang w:val="es-MX"/>
        </w:rPr>
        <w:t xml:space="preserve">Asimismo, es importante mencionar que en </w:t>
      </w:r>
      <w:r w:rsidR="00C77818">
        <w:rPr>
          <w:rFonts w:ascii="Arial" w:hAnsi="Arial" w:cs="Arial"/>
          <w:iCs/>
          <w:lang w:val="es-MX"/>
        </w:rPr>
        <w:t>reuniones</w:t>
      </w:r>
      <w:r w:rsidRPr="005E6466">
        <w:rPr>
          <w:rFonts w:ascii="Arial" w:hAnsi="Arial" w:cs="Arial"/>
          <w:iCs/>
          <w:lang w:val="es-MX"/>
        </w:rPr>
        <w:t xml:space="preserve"> de trabajo de esta </w:t>
      </w:r>
      <w:r w:rsidR="003721D1" w:rsidRPr="005E6466">
        <w:rPr>
          <w:rFonts w:ascii="Arial" w:hAnsi="Arial" w:cs="Arial"/>
          <w:iCs/>
          <w:lang w:val="es-MX"/>
        </w:rPr>
        <w:t>c</w:t>
      </w:r>
      <w:r w:rsidRPr="005E6466">
        <w:rPr>
          <w:rFonts w:ascii="Arial" w:hAnsi="Arial" w:cs="Arial"/>
          <w:iCs/>
          <w:lang w:val="es-MX"/>
        </w:rPr>
        <w:t xml:space="preserve">omisión dictaminadora, </w:t>
      </w:r>
      <w:r w:rsidR="007A4DD3" w:rsidRPr="005E6466">
        <w:rPr>
          <w:rFonts w:ascii="Arial" w:hAnsi="Arial" w:cs="Arial"/>
        </w:rPr>
        <w:t>l</w:t>
      </w:r>
      <w:r w:rsidR="007A4DD3" w:rsidRPr="005E6466">
        <w:rPr>
          <w:rFonts w:ascii="Arial" w:hAnsi="Arial" w:cs="Arial"/>
          <w:lang w:val="es-MX"/>
        </w:rPr>
        <w:t>as diputadas y diputados</w:t>
      </w:r>
      <w:r w:rsidR="000A31DC" w:rsidRPr="005E6466">
        <w:rPr>
          <w:rFonts w:ascii="Arial" w:hAnsi="Arial" w:cs="Arial"/>
          <w:lang w:val="es-MX"/>
        </w:rPr>
        <w:t xml:space="preserve"> </w:t>
      </w:r>
      <w:r w:rsidR="00182150">
        <w:rPr>
          <w:rFonts w:ascii="Arial" w:hAnsi="Arial" w:cs="Arial"/>
          <w:iCs/>
          <w:lang w:val="es-MX"/>
        </w:rPr>
        <w:t>integrantes realizaron diverso</w:t>
      </w:r>
      <w:r w:rsidRPr="005E6466">
        <w:rPr>
          <w:rFonts w:ascii="Arial" w:hAnsi="Arial" w:cs="Arial"/>
          <w:iCs/>
          <w:lang w:val="es-MX"/>
        </w:rPr>
        <w:t xml:space="preserve">s </w:t>
      </w:r>
      <w:r w:rsidR="00182150">
        <w:rPr>
          <w:rFonts w:ascii="Arial" w:hAnsi="Arial" w:cs="Arial"/>
          <w:iCs/>
          <w:lang w:val="es-MX"/>
        </w:rPr>
        <w:t xml:space="preserve">comentarios a la iniciativa con la finalidad de enriquecer la discusión y el análisis de la misma, todos en busca de mejorar las necesidades de nuestro </w:t>
      </w:r>
      <w:r w:rsidRPr="005E6466">
        <w:rPr>
          <w:rFonts w:ascii="Arial" w:hAnsi="Arial" w:cs="Arial"/>
          <w:iCs/>
          <w:lang w:val="es-MX"/>
        </w:rPr>
        <w:t>Esta</w:t>
      </w:r>
      <w:r w:rsidR="00182150">
        <w:rPr>
          <w:rFonts w:ascii="Arial" w:hAnsi="Arial" w:cs="Arial"/>
          <w:iCs/>
          <w:lang w:val="es-MX"/>
        </w:rPr>
        <w:t>do.</w:t>
      </w:r>
    </w:p>
    <w:p w:rsidR="00941071" w:rsidRPr="005E6466" w:rsidRDefault="00941071" w:rsidP="007A18EB">
      <w:pPr>
        <w:spacing w:line="360" w:lineRule="auto"/>
        <w:ind w:firstLine="708"/>
        <w:jc w:val="both"/>
        <w:rPr>
          <w:rFonts w:ascii="Arial" w:hAnsi="Arial" w:cs="Arial"/>
          <w:iCs/>
          <w:lang w:val="es-MX"/>
        </w:rPr>
      </w:pPr>
    </w:p>
    <w:p w:rsidR="003912AF" w:rsidRPr="005E6466" w:rsidRDefault="00941071" w:rsidP="007A18EB">
      <w:pPr>
        <w:spacing w:line="360" w:lineRule="auto"/>
        <w:ind w:firstLine="708"/>
        <w:jc w:val="both"/>
        <w:rPr>
          <w:rFonts w:ascii="Arial" w:hAnsi="Arial" w:cs="Arial"/>
          <w:iCs/>
          <w:lang w:val="es-MX"/>
        </w:rPr>
      </w:pPr>
      <w:r w:rsidRPr="005E6466">
        <w:rPr>
          <w:rFonts w:ascii="Arial" w:hAnsi="Arial" w:cs="Arial"/>
          <w:iCs/>
          <w:lang w:val="es-MX"/>
        </w:rPr>
        <w:t>L</w:t>
      </w:r>
      <w:r w:rsidR="003912AF" w:rsidRPr="005E6466">
        <w:rPr>
          <w:rFonts w:ascii="Arial" w:hAnsi="Arial" w:cs="Arial"/>
          <w:iCs/>
          <w:lang w:val="es-MX"/>
        </w:rPr>
        <w:t xml:space="preserve">uego de un análisis pormenorizado a la </w:t>
      </w:r>
      <w:r w:rsidR="00BE63A6">
        <w:rPr>
          <w:rFonts w:ascii="Arial" w:hAnsi="Arial" w:cs="Arial"/>
          <w:iCs/>
          <w:lang w:val="es-MX"/>
        </w:rPr>
        <w:t>L</w:t>
      </w:r>
      <w:r w:rsidR="003912AF" w:rsidRPr="005E6466">
        <w:rPr>
          <w:rFonts w:ascii="Arial" w:hAnsi="Arial" w:cs="Arial"/>
          <w:iCs/>
          <w:lang w:val="es-MX"/>
        </w:rPr>
        <w:t xml:space="preserve">ey, los integrantes que conformamos esta </w:t>
      </w:r>
      <w:r w:rsidR="00054B6E">
        <w:rPr>
          <w:rFonts w:ascii="Arial" w:hAnsi="Arial" w:cs="Arial"/>
          <w:iCs/>
          <w:lang w:val="es-MX"/>
        </w:rPr>
        <w:t>C</w:t>
      </w:r>
      <w:r w:rsidR="003912AF" w:rsidRPr="005E6466">
        <w:rPr>
          <w:rFonts w:ascii="Arial" w:hAnsi="Arial" w:cs="Arial"/>
          <w:iCs/>
          <w:lang w:val="es-MX"/>
        </w:rPr>
        <w:t>omisión</w:t>
      </w:r>
      <w:r w:rsidR="00054B6E">
        <w:rPr>
          <w:rFonts w:ascii="Arial" w:hAnsi="Arial" w:cs="Arial"/>
          <w:iCs/>
          <w:lang w:val="es-MX"/>
        </w:rPr>
        <w:t xml:space="preserve"> Permanente</w:t>
      </w:r>
      <w:r w:rsidR="003912AF" w:rsidRPr="005E6466">
        <w:rPr>
          <w:rFonts w:ascii="Arial" w:hAnsi="Arial" w:cs="Arial"/>
          <w:iCs/>
          <w:lang w:val="es-MX"/>
        </w:rPr>
        <w:t xml:space="preserve">, y conscientes que el objetivo de la iniciativa, es establecer una política fiscal que conceda mayor seguridad jurídica al contribuyente, facilitando su aplicación con eficiencia administrativa y congruencia para ejercer la potestad tributaria de modo responsable, fomentando la inversión tanto pública como privada, permitiendo la redistribución del ingreso en el Estado de manera que resulte más justa y equitativa, asegurando una eficaz coordinación tributaria así como con la federación, las entidades federativas y con nuestros municipios, nos pronunciamos a favor del proyecto de </w:t>
      </w:r>
      <w:r w:rsidR="00BE63A6">
        <w:rPr>
          <w:rFonts w:ascii="Arial" w:hAnsi="Arial" w:cs="Arial"/>
          <w:iCs/>
          <w:lang w:val="es-MX"/>
        </w:rPr>
        <w:t>L</w:t>
      </w:r>
      <w:r w:rsidR="003912AF" w:rsidRPr="005E6466">
        <w:rPr>
          <w:rFonts w:ascii="Arial" w:hAnsi="Arial" w:cs="Arial"/>
          <w:iCs/>
          <w:lang w:val="es-MX"/>
        </w:rPr>
        <w:t>ey.</w:t>
      </w:r>
    </w:p>
    <w:p w:rsidR="003912AF" w:rsidRPr="005E6466" w:rsidRDefault="003912AF" w:rsidP="007A18EB">
      <w:pPr>
        <w:spacing w:line="360" w:lineRule="auto"/>
        <w:ind w:firstLine="708"/>
        <w:jc w:val="both"/>
        <w:rPr>
          <w:rFonts w:ascii="Arial" w:hAnsi="Arial" w:cs="Arial"/>
          <w:iCs/>
          <w:lang w:val="es-MX"/>
        </w:rPr>
      </w:pPr>
    </w:p>
    <w:p w:rsidR="000B0F29" w:rsidRDefault="00D54F75" w:rsidP="00BE63A6">
      <w:pPr>
        <w:pStyle w:val="NormalWeb"/>
        <w:spacing w:before="0" w:beforeAutospacing="0" w:after="0" w:afterAutospacing="0" w:line="360" w:lineRule="auto"/>
        <w:ind w:firstLine="709"/>
        <w:jc w:val="both"/>
        <w:rPr>
          <w:b/>
        </w:rPr>
      </w:pPr>
      <w:r w:rsidRPr="005E6466">
        <w:rPr>
          <w:lang w:val="es-MX"/>
        </w:rPr>
        <w:t>Por todo lo anterior expuesto, c</w:t>
      </w:r>
      <w:r w:rsidR="00A94550" w:rsidRPr="005E6466">
        <w:rPr>
          <w:lang w:val="es-MX"/>
        </w:rPr>
        <w:t>on fundamento en los artículos 30</w:t>
      </w:r>
      <w:r w:rsidR="00C928CD" w:rsidRPr="005E6466">
        <w:rPr>
          <w:lang w:val="es-MX"/>
        </w:rPr>
        <w:t>,</w:t>
      </w:r>
      <w:r w:rsidR="00A94550" w:rsidRPr="005E6466">
        <w:rPr>
          <w:lang w:val="es-MX"/>
        </w:rPr>
        <w:t xml:space="preserve"> fracci</w:t>
      </w:r>
      <w:r w:rsidR="00D4329D" w:rsidRPr="005E6466">
        <w:rPr>
          <w:lang w:val="es-MX"/>
        </w:rPr>
        <w:t>ones</w:t>
      </w:r>
      <w:r w:rsidR="00A94550" w:rsidRPr="005E6466">
        <w:rPr>
          <w:lang w:val="es-MX"/>
        </w:rPr>
        <w:t xml:space="preserve"> V</w:t>
      </w:r>
      <w:r w:rsidR="00D4329D" w:rsidRPr="005E6466">
        <w:rPr>
          <w:lang w:val="es-MX"/>
        </w:rPr>
        <w:t xml:space="preserve"> y VI</w:t>
      </w:r>
      <w:r w:rsidR="00A94550" w:rsidRPr="005E6466">
        <w:rPr>
          <w:lang w:val="es-MX"/>
        </w:rPr>
        <w:t xml:space="preserve"> de la Constitución Política, 18 y 43</w:t>
      </w:r>
      <w:r w:rsidR="00C928CD" w:rsidRPr="005E6466">
        <w:rPr>
          <w:lang w:val="es-MX"/>
        </w:rPr>
        <w:t>,</w:t>
      </w:r>
      <w:r w:rsidR="00A94550" w:rsidRPr="005E6466">
        <w:rPr>
          <w:lang w:val="es-MX"/>
        </w:rPr>
        <w:t xml:space="preserve"> fracción IV</w:t>
      </w:r>
      <w:r w:rsidR="00C928CD" w:rsidRPr="005E6466">
        <w:rPr>
          <w:lang w:val="es-MX"/>
        </w:rPr>
        <w:t>,</w:t>
      </w:r>
      <w:r w:rsidR="00A94550" w:rsidRPr="005E6466">
        <w:rPr>
          <w:lang w:val="es-MX"/>
        </w:rPr>
        <w:t xml:space="preserve"> inciso a)</w:t>
      </w:r>
      <w:r w:rsidR="00C928CD" w:rsidRPr="005E6466">
        <w:rPr>
          <w:lang w:val="es-MX"/>
        </w:rPr>
        <w:t>,</w:t>
      </w:r>
      <w:r w:rsidR="00A94550" w:rsidRPr="005E6466">
        <w:rPr>
          <w:lang w:val="es-MX"/>
        </w:rPr>
        <w:t xml:space="preserve"> de la Ley de Gobierno del Poder Legislativo y 71</w:t>
      </w:r>
      <w:r w:rsidR="00C928CD" w:rsidRPr="005E6466">
        <w:rPr>
          <w:lang w:val="es-MX"/>
        </w:rPr>
        <w:t>,</w:t>
      </w:r>
      <w:r w:rsidR="00A94550" w:rsidRPr="005E6466">
        <w:rPr>
          <w:lang w:val="es-MX"/>
        </w:rPr>
        <w:t xml:space="preserve"> fracción II</w:t>
      </w:r>
      <w:r w:rsidR="00C928CD" w:rsidRPr="005E6466">
        <w:rPr>
          <w:lang w:val="es-MX"/>
        </w:rPr>
        <w:t>,</w:t>
      </w:r>
      <w:r w:rsidR="00A94550" w:rsidRPr="005E6466">
        <w:rPr>
          <w:lang w:val="es-MX"/>
        </w:rPr>
        <w:t xml:space="preserve"> del Reglamento de la Ley de Gobierno de</w:t>
      </w:r>
      <w:r w:rsidR="00080502" w:rsidRPr="005E6466">
        <w:rPr>
          <w:lang w:val="es-MX"/>
        </w:rPr>
        <w:t>l Poder Legislativo, todos del e</w:t>
      </w:r>
      <w:r w:rsidR="00A94550" w:rsidRPr="005E6466">
        <w:rPr>
          <w:lang w:val="es-MX"/>
        </w:rPr>
        <w:t>stado de Yucatán, sometemos a consideración del Pleno del Congreso del Estado de Yucatán, el siguiente proyecto de,</w:t>
      </w:r>
      <w:r w:rsidR="002017B0">
        <w:rPr>
          <w:b/>
        </w:rPr>
        <w:br w:type="page"/>
      </w:r>
    </w:p>
    <w:p w:rsidR="001B04B6" w:rsidRDefault="00BA6439" w:rsidP="000B0F29">
      <w:pPr>
        <w:tabs>
          <w:tab w:val="right" w:pos="8498"/>
        </w:tabs>
        <w:spacing w:line="360" w:lineRule="auto"/>
        <w:jc w:val="center"/>
        <w:rPr>
          <w:rFonts w:ascii="Arial" w:hAnsi="Arial" w:cs="Arial"/>
          <w:b/>
        </w:rPr>
      </w:pPr>
      <w:r w:rsidRPr="00D93F7E">
        <w:rPr>
          <w:rFonts w:ascii="Arial" w:hAnsi="Arial" w:cs="Arial"/>
          <w:b/>
        </w:rPr>
        <w:t>LEY DE INGRESOS DEL ESTADO DE YUCATÁN PARA</w:t>
      </w:r>
      <w:r w:rsidR="00C77F40">
        <w:rPr>
          <w:rFonts w:ascii="Arial" w:hAnsi="Arial" w:cs="Arial"/>
          <w:b/>
        </w:rPr>
        <w:t xml:space="preserve"> EL EJERCICIO FISCAL 2023</w:t>
      </w:r>
    </w:p>
    <w:p w:rsidR="001B04B6" w:rsidRPr="00D93F7E" w:rsidRDefault="001B04B6" w:rsidP="001B04B6">
      <w:pPr>
        <w:tabs>
          <w:tab w:val="right" w:pos="8498"/>
        </w:tabs>
        <w:spacing w:line="360" w:lineRule="auto"/>
        <w:jc w:val="center"/>
        <w:rPr>
          <w:rFonts w:ascii="Arial" w:hAnsi="Arial" w:cs="Arial"/>
          <w:b/>
        </w:rPr>
      </w:pPr>
    </w:p>
    <w:p w:rsidR="001B04B6" w:rsidRPr="00CC6076" w:rsidRDefault="001B04B6" w:rsidP="00CC6076">
      <w:pPr>
        <w:spacing w:line="360" w:lineRule="auto"/>
        <w:jc w:val="both"/>
        <w:rPr>
          <w:rFonts w:ascii="Arial" w:hAnsi="Arial" w:cs="Arial"/>
        </w:rPr>
      </w:pPr>
      <w:r w:rsidRPr="00D93F7E">
        <w:rPr>
          <w:rFonts w:ascii="Arial" w:hAnsi="Arial" w:cs="Arial"/>
          <w:b/>
        </w:rPr>
        <w:t xml:space="preserve">Artículo </w:t>
      </w:r>
      <w:r w:rsidR="00BA6439" w:rsidRPr="00D93F7E">
        <w:rPr>
          <w:rFonts w:ascii="Arial" w:hAnsi="Arial" w:cs="Arial"/>
          <w:b/>
        </w:rPr>
        <w:t>Único.</w:t>
      </w:r>
      <w:r w:rsidR="00BA6439" w:rsidRPr="00D93F7E">
        <w:rPr>
          <w:rFonts w:ascii="Arial" w:hAnsi="Arial" w:cs="Arial"/>
        </w:rPr>
        <w:t xml:space="preserve"> </w:t>
      </w:r>
      <w:r w:rsidRPr="00D93F7E">
        <w:rPr>
          <w:rFonts w:ascii="Arial" w:hAnsi="Arial" w:cs="Arial"/>
        </w:rPr>
        <w:t>Se expide la Ley de Ingresos del Estado de Yucat</w:t>
      </w:r>
      <w:r w:rsidR="00C77F40">
        <w:rPr>
          <w:rFonts w:ascii="Arial" w:hAnsi="Arial" w:cs="Arial"/>
        </w:rPr>
        <w:t xml:space="preserve">án para el Ejercicio Fiscal </w:t>
      </w:r>
      <w:r w:rsidR="00C77F40" w:rsidRPr="00CC6076">
        <w:rPr>
          <w:rFonts w:ascii="Arial" w:hAnsi="Arial" w:cs="Arial"/>
        </w:rPr>
        <w:t>2023</w:t>
      </w:r>
      <w:r w:rsidRPr="00CC6076">
        <w:rPr>
          <w:rFonts w:ascii="Arial" w:hAnsi="Arial" w:cs="Arial"/>
        </w:rPr>
        <w:t>.</w:t>
      </w:r>
    </w:p>
    <w:p w:rsidR="001B04B6" w:rsidRPr="00CC6076" w:rsidRDefault="001B04B6" w:rsidP="00CC6076">
      <w:pPr>
        <w:spacing w:line="360" w:lineRule="auto"/>
        <w:jc w:val="both"/>
        <w:rPr>
          <w:rFonts w:ascii="Arial" w:hAnsi="Arial" w:cs="Arial"/>
        </w:rPr>
      </w:pPr>
    </w:p>
    <w:p w:rsidR="00CC6076" w:rsidRPr="00CC6076" w:rsidRDefault="00CC6076" w:rsidP="00CC6076">
      <w:pPr>
        <w:spacing w:line="360" w:lineRule="auto"/>
        <w:jc w:val="center"/>
        <w:rPr>
          <w:rFonts w:ascii="Arial" w:hAnsi="Arial" w:cs="Arial"/>
          <w:b/>
        </w:rPr>
      </w:pPr>
      <w:r w:rsidRPr="00CC6076">
        <w:rPr>
          <w:rFonts w:ascii="Arial" w:hAnsi="Arial" w:cs="Arial"/>
          <w:b/>
        </w:rPr>
        <w:t>Ley de Ingresos del Estado de Yucatán para el Ejercicio Fiscal 2023</w:t>
      </w:r>
    </w:p>
    <w:p w:rsidR="00BE5335" w:rsidRDefault="00BE5335" w:rsidP="00CC6076">
      <w:pPr>
        <w:spacing w:line="360" w:lineRule="auto"/>
        <w:jc w:val="center"/>
        <w:rPr>
          <w:rFonts w:ascii="Arial" w:hAnsi="Arial" w:cs="Arial"/>
          <w:b/>
        </w:rPr>
      </w:pPr>
    </w:p>
    <w:p w:rsidR="00CC6076" w:rsidRPr="00CC6076" w:rsidRDefault="00CC6076" w:rsidP="00CC6076">
      <w:pPr>
        <w:spacing w:line="360" w:lineRule="auto"/>
        <w:jc w:val="center"/>
        <w:rPr>
          <w:rFonts w:ascii="Arial" w:hAnsi="Arial" w:cs="Arial"/>
          <w:b/>
        </w:rPr>
      </w:pPr>
      <w:r w:rsidRPr="00CC6076">
        <w:rPr>
          <w:rFonts w:ascii="Arial" w:hAnsi="Arial" w:cs="Arial"/>
          <w:b/>
        </w:rPr>
        <w:t>Capítulo I</w:t>
      </w:r>
    </w:p>
    <w:p w:rsidR="00CC6076" w:rsidRPr="00CC6076" w:rsidRDefault="00CC6076" w:rsidP="00CC6076">
      <w:pPr>
        <w:spacing w:line="360" w:lineRule="auto"/>
        <w:jc w:val="center"/>
        <w:rPr>
          <w:rFonts w:ascii="Arial" w:hAnsi="Arial" w:cs="Arial"/>
          <w:b/>
        </w:rPr>
      </w:pPr>
      <w:r w:rsidRPr="00CC6076">
        <w:rPr>
          <w:rFonts w:ascii="Arial" w:hAnsi="Arial" w:cs="Arial"/>
          <w:b/>
        </w:rPr>
        <w:t>Ingresos</w:t>
      </w:r>
    </w:p>
    <w:p w:rsidR="00BE5335" w:rsidRDefault="00BE5335"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1. Objeto</w:t>
      </w:r>
    </w:p>
    <w:p w:rsidR="00CC6076" w:rsidRPr="00CC6076" w:rsidRDefault="00CC6076" w:rsidP="00CC6076">
      <w:pPr>
        <w:spacing w:line="360" w:lineRule="auto"/>
        <w:jc w:val="both"/>
        <w:rPr>
          <w:rFonts w:ascii="Arial" w:hAnsi="Arial" w:cs="Arial"/>
        </w:rPr>
      </w:pPr>
      <w:r w:rsidRPr="00CC6076">
        <w:rPr>
          <w:rFonts w:ascii="Arial" w:hAnsi="Arial" w:cs="Arial"/>
        </w:rPr>
        <w:t>Esta ley tiene por objeto establecer las estimaciones de los ingresos que percibirá el estado de Yucatán durante el ejercicio fiscal comprendido del 1 de enero de 2023 al 31 de diciembre de 2023, que permitirán atender y financiar, entre otros rubros, los gastos, las inversiones públicas, la organización y la prestación de servicios públicos y los proyectos estratégicos, así como trabajar en el cumplimiento de las metas y objetivos del Plan Estatal de Desarrollo 2018-2024.</w:t>
      </w:r>
    </w:p>
    <w:p w:rsidR="00BB2C10" w:rsidRDefault="00BB2C10"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Los ingresos referidos en el párrafo anterior se integrarán, de manera enunciativa, mas no limitativa, con los recursos provenientes de impuestos, cuotas y aportaciones de seguridad social, derechos, productos, aprovechamientos, ingresos por venta de bienes y servicios, participaciones, aportaciones, financiamientos, convenios, incentivos derivados de la colaboración fiscal, fondos distintos de aportaciones y subsidios y subvenciones que determinen esta ley y las demás leyes fiscales aplicables.</w:t>
      </w:r>
    </w:p>
    <w:p w:rsidR="00BB2C10" w:rsidRDefault="00BB2C10" w:rsidP="00CC6076">
      <w:pPr>
        <w:spacing w:line="360" w:lineRule="auto"/>
        <w:jc w:val="both"/>
        <w:rPr>
          <w:rFonts w:ascii="Arial" w:hAnsi="Arial" w:cs="Arial"/>
          <w:b/>
        </w:rPr>
      </w:pPr>
    </w:p>
    <w:p w:rsidR="00222D73" w:rsidRDefault="00222D73">
      <w:pPr>
        <w:rPr>
          <w:rFonts w:ascii="Arial" w:hAnsi="Arial" w:cs="Arial"/>
          <w:b/>
        </w:rPr>
      </w:pPr>
      <w:r>
        <w:rPr>
          <w:rFonts w:ascii="Arial" w:hAnsi="Arial" w:cs="Arial"/>
          <w:b/>
        </w:rPr>
        <w:br w:type="page"/>
      </w:r>
    </w:p>
    <w:p w:rsidR="00CC6076" w:rsidRPr="00CC6076" w:rsidRDefault="00CC6076" w:rsidP="00CC6076">
      <w:pPr>
        <w:spacing w:line="360" w:lineRule="auto"/>
        <w:jc w:val="both"/>
        <w:rPr>
          <w:rFonts w:ascii="Arial" w:hAnsi="Arial" w:cs="Arial"/>
          <w:b/>
        </w:rPr>
      </w:pPr>
      <w:r w:rsidRPr="00CC6076">
        <w:rPr>
          <w:rFonts w:ascii="Arial" w:hAnsi="Arial" w:cs="Arial"/>
          <w:b/>
        </w:rPr>
        <w:t>Artículo 2. Ingresos</w:t>
      </w:r>
    </w:p>
    <w:p w:rsidR="00CC6076" w:rsidRPr="00CC6076" w:rsidRDefault="00CC6076" w:rsidP="00CC6076">
      <w:pPr>
        <w:spacing w:line="360" w:lineRule="auto"/>
        <w:jc w:val="both"/>
        <w:rPr>
          <w:rFonts w:ascii="Arial" w:hAnsi="Arial" w:cs="Arial"/>
        </w:rPr>
      </w:pPr>
      <w:r w:rsidRPr="00CC6076">
        <w:rPr>
          <w:rFonts w:ascii="Arial" w:hAnsi="Arial" w:cs="Arial"/>
        </w:rPr>
        <w:t xml:space="preserve">Los ingresos que el estado de Yucatán percibirá durante el ejercicio fiscal 2023 serán los provenientes de los rubros, tipos y en las cantidades estimadas que a continuación se enumeran: </w:t>
      </w:r>
    </w:p>
    <w:p w:rsidR="00BE5335" w:rsidRDefault="00BE5335" w:rsidP="00CC6076">
      <w:pPr>
        <w:pBdr>
          <w:between w:val="single" w:sz="4" w:space="1" w:color="auto"/>
        </w:pBdr>
        <w:spacing w:line="360" w:lineRule="auto"/>
        <w:jc w:val="center"/>
        <w:rPr>
          <w:rFonts w:ascii="Arial" w:hAnsi="Arial" w:cs="Arial"/>
          <w:b/>
        </w:rPr>
      </w:pPr>
    </w:p>
    <w:p w:rsidR="00CC6076" w:rsidRPr="00CC6076" w:rsidRDefault="00CC6076" w:rsidP="00CC6076">
      <w:pPr>
        <w:pBdr>
          <w:between w:val="single" w:sz="4" w:space="1" w:color="auto"/>
        </w:pBdr>
        <w:spacing w:line="360" w:lineRule="auto"/>
        <w:jc w:val="center"/>
        <w:rPr>
          <w:rFonts w:ascii="Arial" w:hAnsi="Arial" w:cs="Arial"/>
          <w:b/>
        </w:rPr>
      </w:pPr>
      <w:r w:rsidRPr="00CC6076">
        <w:rPr>
          <w:rFonts w:ascii="Arial" w:hAnsi="Arial" w:cs="Arial"/>
          <w:b/>
        </w:rPr>
        <w:t>Tabla 1. Clasificador por rubro de ingresos</w:t>
      </w:r>
    </w:p>
    <w:tbl>
      <w:tblPr>
        <w:tblW w:w="8820" w:type="dxa"/>
        <w:jc w:val="center"/>
        <w:tblLayout w:type="fixed"/>
        <w:tblCellMar>
          <w:left w:w="70" w:type="dxa"/>
          <w:right w:w="70" w:type="dxa"/>
        </w:tblCellMar>
        <w:tblLook w:val="04A0" w:firstRow="1" w:lastRow="0" w:firstColumn="1" w:lastColumn="0" w:noHBand="0" w:noVBand="1"/>
      </w:tblPr>
      <w:tblGrid>
        <w:gridCol w:w="993"/>
        <w:gridCol w:w="6237"/>
        <w:gridCol w:w="1590"/>
      </w:tblGrid>
      <w:tr w:rsidR="00CC6076" w:rsidRPr="00CC6076" w:rsidTr="00992C29">
        <w:trPr>
          <w:trHeight w:val="20"/>
          <w:jc w:val="center"/>
        </w:trPr>
        <w:tc>
          <w:tcPr>
            <w:tcW w:w="993" w:type="dxa"/>
            <w:tcBorders>
              <w:top w:val="single" w:sz="4" w:space="0" w:color="404040"/>
              <w:left w:val="nil"/>
              <w:bottom w:val="single" w:sz="4" w:space="0" w:color="404040"/>
              <w:right w:val="nil"/>
            </w:tcBorders>
            <w:shd w:val="clear" w:color="000000" w:fill="000000"/>
            <w:hideMark/>
          </w:tcPr>
          <w:p w:rsidR="00CC6076" w:rsidRPr="00CC6076" w:rsidRDefault="00CC6076" w:rsidP="00BE5335">
            <w:pPr>
              <w:spacing w:line="360" w:lineRule="auto"/>
              <w:rPr>
                <w:rFonts w:ascii="Arial" w:hAnsi="Arial" w:cs="Arial"/>
                <w:b/>
                <w:bCs/>
                <w:color w:val="FFFFFF"/>
                <w:sz w:val="20"/>
                <w:szCs w:val="20"/>
              </w:rPr>
            </w:pPr>
            <w:r w:rsidRPr="00CC6076">
              <w:rPr>
                <w:rFonts w:ascii="Arial" w:hAnsi="Arial" w:cs="Arial"/>
                <w:b/>
                <w:bCs/>
                <w:color w:val="FFFFFF"/>
                <w:sz w:val="20"/>
                <w:szCs w:val="20"/>
              </w:rPr>
              <w:t>C.R.I.</w:t>
            </w:r>
          </w:p>
        </w:tc>
        <w:tc>
          <w:tcPr>
            <w:tcW w:w="6237" w:type="dxa"/>
            <w:tcBorders>
              <w:top w:val="single" w:sz="4" w:space="0" w:color="404040"/>
              <w:left w:val="nil"/>
              <w:bottom w:val="single" w:sz="4" w:space="0" w:color="404040"/>
              <w:right w:val="nil"/>
            </w:tcBorders>
            <w:shd w:val="clear" w:color="000000" w:fill="000000"/>
            <w:hideMark/>
          </w:tcPr>
          <w:p w:rsidR="00CC6076" w:rsidRPr="00CC6076" w:rsidRDefault="00CC6076" w:rsidP="00BE5335">
            <w:pPr>
              <w:spacing w:line="360" w:lineRule="auto"/>
              <w:rPr>
                <w:rFonts w:ascii="Arial" w:hAnsi="Arial" w:cs="Arial"/>
                <w:b/>
                <w:bCs/>
                <w:color w:val="FFFFFF"/>
                <w:sz w:val="20"/>
                <w:szCs w:val="20"/>
              </w:rPr>
            </w:pPr>
            <w:r w:rsidRPr="00CC6076">
              <w:rPr>
                <w:rFonts w:ascii="Arial" w:hAnsi="Arial" w:cs="Arial"/>
                <w:b/>
                <w:bCs/>
                <w:color w:val="FFFFFF"/>
                <w:sz w:val="20"/>
                <w:szCs w:val="20"/>
              </w:rPr>
              <w:t>Concepto</w:t>
            </w:r>
          </w:p>
        </w:tc>
        <w:tc>
          <w:tcPr>
            <w:tcW w:w="1590" w:type="dxa"/>
            <w:tcBorders>
              <w:top w:val="single" w:sz="4" w:space="0" w:color="404040"/>
              <w:left w:val="nil"/>
              <w:bottom w:val="single" w:sz="4" w:space="0" w:color="404040"/>
              <w:right w:val="nil"/>
            </w:tcBorders>
            <w:shd w:val="clear" w:color="000000" w:fill="000000"/>
            <w:hideMark/>
          </w:tcPr>
          <w:p w:rsidR="00CC6076" w:rsidRPr="00CC6076" w:rsidRDefault="00CC6076" w:rsidP="00BE5335">
            <w:pPr>
              <w:spacing w:line="360" w:lineRule="auto"/>
              <w:jc w:val="right"/>
              <w:rPr>
                <w:rFonts w:ascii="Arial" w:hAnsi="Arial" w:cs="Arial"/>
                <w:b/>
                <w:bCs/>
                <w:color w:val="FFFFFF"/>
                <w:sz w:val="20"/>
                <w:szCs w:val="20"/>
              </w:rPr>
            </w:pPr>
            <w:r w:rsidRPr="00CC6076">
              <w:rPr>
                <w:rFonts w:ascii="Arial" w:hAnsi="Arial" w:cs="Arial"/>
                <w:b/>
                <w:bCs/>
                <w:color w:val="FFFFFF"/>
                <w:sz w:val="20"/>
                <w:szCs w:val="20"/>
              </w:rPr>
              <w:t>Totales</w:t>
            </w:r>
          </w:p>
        </w:tc>
      </w:tr>
      <w:tr w:rsidR="00CC6076" w:rsidRPr="00CC6076" w:rsidTr="00992C29">
        <w:trPr>
          <w:trHeight w:val="20"/>
          <w:jc w:val="center"/>
        </w:trPr>
        <w:tc>
          <w:tcPr>
            <w:tcW w:w="993" w:type="dxa"/>
            <w:tcBorders>
              <w:top w:val="nil"/>
              <w:left w:val="nil"/>
              <w:bottom w:val="single" w:sz="4" w:space="0" w:color="404040"/>
              <w:right w:val="nil"/>
            </w:tcBorders>
            <w:shd w:val="clear" w:color="000000" w:fill="BFBFBF"/>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w:t>
            </w:r>
          </w:p>
        </w:tc>
        <w:tc>
          <w:tcPr>
            <w:tcW w:w="6237" w:type="dxa"/>
            <w:tcBorders>
              <w:top w:val="nil"/>
              <w:left w:val="nil"/>
              <w:bottom w:val="single" w:sz="4" w:space="0" w:color="404040"/>
              <w:right w:val="nil"/>
            </w:tcBorders>
            <w:shd w:val="clear" w:color="000000" w:fill="BFBFBF"/>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Total</w:t>
            </w:r>
          </w:p>
        </w:tc>
        <w:tc>
          <w:tcPr>
            <w:tcW w:w="1590" w:type="dxa"/>
            <w:tcBorders>
              <w:top w:val="nil"/>
              <w:left w:val="nil"/>
              <w:bottom w:val="single" w:sz="4" w:space="0" w:color="404040"/>
              <w:right w:val="nil"/>
            </w:tcBorders>
            <w:shd w:val="clear" w:color="000000" w:fill="BFBFBF"/>
            <w:hideMark/>
          </w:tcPr>
          <w:p w:rsidR="00CC6076" w:rsidRPr="00CC6076" w:rsidRDefault="00CC6076" w:rsidP="00BE5335">
            <w:pPr>
              <w:spacing w:line="360" w:lineRule="auto"/>
              <w:jc w:val="right"/>
              <w:rPr>
                <w:rFonts w:ascii="Arial" w:hAnsi="Arial" w:cs="Arial"/>
                <w:b/>
                <w:bCs/>
                <w:sz w:val="20"/>
                <w:szCs w:val="20"/>
              </w:rPr>
            </w:pPr>
            <w:r w:rsidRPr="00CC6076">
              <w:rPr>
                <w:rFonts w:ascii="Arial" w:hAnsi="Arial" w:cs="Arial"/>
                <w:b/>
                <w:bCs/>
                <w:sz w:val="20"/>
                <w:szCs w:val="20"/>
              </w:rPr>
              <w:t xml:space="preserve">54,305,193,143 </w:t>
            </w:r>
          </w:p>
        </w:tc>
      </w:tr>
      <w:tr w:rsidR="00CC6076" w:rsidRPr="00CC6076" w:rsidTr="00992C29">
        <w:trPr>
          <w:trHeight w:val="20"/>
          <w:jc w:val="center"/>
        </w:trPr>
        <w:tc>
          <w:tcPr>
            <w:tcW w:w="993" w:type="dxa"/>
            <w:tcBorders>
              <w:top w:val="nil"/>
              <w:left w:val="nil"/>
              <w:bottom w:val="single" w:sz="4" w:space="0" w:color="404040"/>
              <w:right w:val="nil"/>
            </w:tcBorders>
            <w:shd w:val="clear" w:color="000000" w:fill="D9D9D9"/>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1</w:t>
            </w:r>
          </w:p>
        </w:tc>
        <w:tc>
          <w:tcPr>
            <w:tcW w:w="6237" w:type="dxa"/>
            <w:tcBorders>
              <w:top w:val="nil"/>
              <w:left w:val="nil"/>
              <w:bottom w:val="single" w:sz="4" w:space="0" w:color="404040"/>
              <w:right w:val="nil"/>
            </w:tcBorders>
            <w:shd w:val="clear" w:color="000000" w:fill="D9D9D9"/>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Impuestos</w:t>
            </w:r>
          </w:p>
        </w:tc>
        <w:tc>
          <w:tcPr>
            <w:tcW w:w="1590" w:type="dxa"/>
            <w:tcBorders>
              <w:top w:val="nil"/>
              <w:left w:val="nil"/>
              <w:bottom w:val="single" w:sz="4" w:space="0" w:color="404040"/>
              <w:right w:val="nil"/>
            </w:tcBorders>
            <w:shd w:val="clear" w:color="000000" w:fill="D9D9D9"/>
            <w:hideMark/>
          </w:tcPr>
          <w:p w:rsidR="00CC6076" w:rsidRPr="00CC6076" w:rsidRDefault="00CC6076" w:rsidP="00BE5335">
            <w:pPr>
              <w:spacing w:line="360" w:lineRule="auto"/>
              <w:jc w:val="right"/>
              <w:rPr>
                <w:rFonts w:ascii="Arial" w:hAnsi="Arial" w:cs="Arial"/>
                <w:b/>
                <w:bCs/>
                <w:sz w:val="20"/>
                <w:szCs w:val="20"/>
              </w:rPr>
            </w:pPr>
            <w:r w:rsidRPr="00CC6076">
              <w:rPr>
                <w:rFonts w:ascii="Arial" w:hAnsi="Arial" w:cs="Arial"/>
                <w:b/>
                <w:bCs/>
                <w:sz w:val="20"/>
                <w:szCs w:val="20"/>
              </w:rPr>
              <w:t xml:space="preserve">3,329,627,742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1.1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 xml:space="preserve"> Impuestos sobre los Ingresos</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b/>
                <w:bCs/>
                <w:sz w:val="20"/>
                <w:szCs w:val="20"/>
              </w:rPr>
            </w:pPr>
            <w:r w:rsidRPr="00CC6076">
              <w:rPr>
                <w:rFonts w:ascii="Arial" w:hAnsi="Arial" w:cs="Arial"/>
                <w:b/>
                <w:bCs/>
                <w:sz w:val="20"/>
                <w:szCs w:val="20"/>
              </w:rPr>
              <w:t xml:space="preserve">386,956,294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1.1.1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Sobre loterías, rifas, sorteos, concursos y juegos con cruce de apuestas legalmente permitidos</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83,253,784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1.1.2</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Sobre el ejercicio profesional</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31,911,777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1.1.3</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Cedular sobre la obtención de ingresos por actividades empresariales.</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91,381,553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1.1.4</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Cedular por la enajenación de bienes inmuebles.</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180,409,180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1.2</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 xml:space="preserve"> Impuesto sobre el patrimonio</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b/>
                <w:bCs/>
                <w:sz w:val="20"/>
                <w:szCs w:val="20"/>
              </w:rPr>
            </w:pPr>
            <w:r w:rsidRPr="00CC6076">
              <w:rPr>
                <w:rFonts w:ascii="Arial" w:hAnsi="Arial" w:cs="Arial"/>
                <w:b/>
                <w:bCs/>
                <w:sz w:val="20"/>
                <w:szCs w:val="20"/>
              </w:rPr>
              <w:t xml:space="preserve">0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1.2.1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Sobre Tenencia o Uso de Vehículos</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0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1.3</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 xml:space="preserve"> Impuesto sobre la producción, el consumo y las transacciones</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b/>
                <w:bCs/>
                <w:sz w:val="20"/>
                <w:szCs w:val="20"/>
              </w:rPr>
            </w:pPr>
            <w:r w:rsidRPr="00CC6076">
              <w:rPr>
                <w:rFonts w:ascii="Arial" w:hAnsi="Arial" w:cs="Arial"/>
                <w:b/>
                <w:bCs/>
                <w:sz w:val="20"/>
                <w:szCs w:val="20"/>
              </w:rPr>
              <w:t xml:space="preserve">543,799,151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1.3.1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Sobre Hospedaje</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138,315,551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1.3.2</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Sobre enajenación de vehículos usados</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15,074,932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1.3.3</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Adicional para la ejecución de obras materiales y asistencia social</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196,852,178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1.3.4</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A las erogaciones en juegos y concursos</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161,023,249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1.3.5</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A Casas de Empeño</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338,213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1.3.6</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A la venta final de bebidas con contenido alcohólico</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32,195,028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1.4</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 xml:space="preserve"> Impuestos al comercio exterior</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1.4.1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Al comercio exterior</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1.5</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 xml:space="preserve"> Impuestos sobre Nóminas y Asimilables</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b/>
                <w:bCs/>
                <w:sz w:val="20"/>
                <w:szCs w:val="20"/>
              </w:rPr>
            </w:pPr>
            <w:r w:rsidRPr="00CC6076">
              <w:rPr>
                <w:rFonts w:ascii="Arial" w:hAnsi="Arial" w:cs="Arial"/>
                <w:b/>
                <w:bCs/>
                <w:sz w:val="20"/>
                <w:szCs w:val="20"/>
              </w:rPr>
              <w:t xml:space="preserve">2,226,980,561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1.5.1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Sobre erogaciones por remuneración al trabajo personal</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2,226,980,561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1.6</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 xml:space="preserve"> Impuestos ecológicos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b/>
                <w:bCs/>
                <w:sz w:val="20"/>
                <w:szCs w:val="20"/>
              </w:rPr>
            </w:pPr>
            <w:r w:rsidRPr="00CC6076">
              <w:rPr>
                <w:rFonts w:ascii="Arial" w:hAnsi="Arial" w:cs="Arial"/>
                <w:b/>
                <w:bCs/>
                <w:sz w:val="20"/>
                <w:szCs w:val="20"/>
              </w:rPr>
              <w:t>149,990,000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1.6.1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A la Emisión de Contaminantes al Suelo, Subsuelo y Agua</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96,930,000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1.6.2</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A la Emisión de Gases a la Atmósfera</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53,060,000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1.7</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 xml:space="preserve"> Accesorios de Impuestos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b/>
                <w:bCs/>
                <w:sz w:val="20"/>
                <w:szCs w:val="20"/>
              </w:rPr>
            </w:pPr>
            <w:r w:rsidRPr="00CC6076">
              <w:rPr>
                <w:rFonts w:ascii="Arial" w:hAnsi="Arial" w:cs="Arial"/>
                <w:b/>
                <w:bCs/>
                <w:sz w:val="20"/>
                <w:szCs w:val="20"/>
              </w:rPr>
              <w:t>21,860,762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1.7.1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Multas, recargos, gastos extraordinarios y otros accesorios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21,860,762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1.7.2</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Indemnizaciones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1.8</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 xml:space="preserve"> Otros impuestos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1.8.1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Otros impuestos varios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1.9</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 xml:space="preserve"> Impuestos no comprendidos en la Ley de Ingresos vigente, causadas en ejercicios fiscales anteriores pendientes de liquidación o pago</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b/>
                <w:bCs/>
                <w:sz w:val="20"/>
                <w:szCs w:val="20"/>
              </w:rPr>
            </w:pPr>
            <w:r w:rsidRPr="00CC6076">
              <w:rPr>
                <w:rFonts w:ascii="Arial" w:hAnsi="Arial" w:cs="Arial"/>
                <w:b/>
                <w:bCs/>
                <w:sz w:val="20"/>
                <w:szCs w:val="20"/>
              </w:rPr>
              <w:t>40,974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1.9.1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Sobre tenencia o uso de vehículos.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40,974</w:t>
            </w:r>
          </w:p>
        </w:tc>
      </w:tr>
      <w:tr w:rsidR="00CC6076" w:rsidRPr="00CC6076" w:rsidTr="00992C29">
        <w:trPr>
          <w:trHeight w:val="20"/>
          <w:jc w:val="center"/>
        </w:trPr>
        <w:tc>
          <w:tcPr>
            <w:tcW w:w="993" w:type="dxa"/>
            <w:tcBorders>
              <w:top w:val="nil"/>
              <w:left w:val="nil"/>
              <w:bottom w:val="single" w:sz="4" w:space="0" w:color="404040"/>
              <w:right w:val="nil"/>
            </w:tcBorders>
            <w:shd w:val="clear" w:color="000000" w:fill="D9D9D9"/>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2</w:t>
            </w:r>
          </w:p>
        </w:tc>
        <w:tc>
          <w:tcPr>
            <w:tcW w:w="6237" w:type="dxa"/>
            <w:tcBorders>
              <w:top w:val="nil"/>
              <w:left w:val="nil"/>
              <w:bottom w:val="single" w:sz="4" w:space="0" w:color="404040"/>
              <w:right w:val="nil"/>
            </w:tcBorders>
            <w:shd w:val="clear" w:color="000000" w:fill="D9D9D9"/>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Cuotas y Aportaciones de Seguridad Social</w:t>
            </w:r>
          </w:p>
        </w:tc>
        <w:tc>
          <w:tcPr>
            <w:tcW w:w="1590" w:type="dxa"/>
            <w:tcBorders>
              <w:top w:val="nil"/>
              <w:left w:val="nil"/>
              <w:bottom w:val="single" w:sz="4" w:space="0" w:color="404040"/>
              <w:right w:val="nil"/>
            </w:tcBorders>
            <w:shd w:val="clear" w:color="000000" w:fill="D9D9D9"/>
            <w:hideMark/>
          </w:tcPr>
          <w:p w:rsidR="00CC6076" w:rsidRPr="00CC6076" w:rsidRDefault="00CC6076" w:rsidP="00F254C9">
            <w:pPr>
              <w:spacing w:line="360" w:lineRule="auto"/>
              <w:jc w:val="right"/>
              <w:rPr>
                <w:rFonts w:ascii="Arial" w:hAnsi="Arial" w:cs="Arial"/>
                <w:b/>
                <w:bCs/>
                <w:sz w:val="20"/>
                <w:szCs w:val="20"/>
              </w:rPr>
            </w:pPr>
            <w:r w:rsidRPr="00CC6076">
              <w:rPr>
                <w:rFonts w:ascii="Arial" w:hAnsi="Arial" w:cs="Arial"/>
                <w:b/>
                <w:bCs/>
                <w:sz w:val="20"/>
                <w:szCs w:val="20"/>
              </w:rPr>
              <w:t>1,585,954,331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2.1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Aportaciones para Fondos de Vivienda</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2.1.1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Aportaciones para Fondos de Vivienda</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2.2</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Cuotas para la Seguridad Social</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1,585,954,331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2.2.1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Cuotas para la Seguridad Social de los Trabajadores del Estado</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1,585,954,331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2.3</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Cuotas de Ahorro para el Retiro</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2.3.1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Cuotas de Ahorro para el Retiro</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2.4</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Otras Cuotas y Aportaciones para la Seguridad Social</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2.4.1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Otras Cuotas y Aportaciones para la Seguridad Social</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2.5</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Accesorios de Cuotas y Aportaciones de Seguridad Social</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2.5.1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Accesorios de Cuotas y Aportaciones de Seguridad Social</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000000" w:fill="D9D9D9"/>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3</w:t>
            </w:r>
          </w:p>
        </w:tc>
        <w:tc>
          <w:tcPr>
            <w:tcW w:w="6237" w:type="dxa"/>
            <w:tcBorders>
              <w:top w:val="nil"/>
              <w:left w:val="nil"/>
              <w:bottom w:val="single" w:sz="4" w:space="0" w:color="404040"/>
              <w:right w:val="nil"/>
            </w:tcBorders>
            <w:shd w:val="clear" w:color="000000" w:fill="D9D9D9"/>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Contribuciones de Mejoras</w:t>
            </w:r>
          </w:p>
        </w:tc>
        <w:tc>
          <w:tcPr>
            <w:tcW w:w="1590" w:type="dxa"/>
            <w:tcBorders>
              <w:top w:val="nil"/>
              <w:left w:val="nil"/>
              <w:bottom w:val="single" w:sz="4" w:space="0" w:color="404040"/>
              <w:right w:val="nil"/>
            </w:tcBorders>
            <w:shd w:val="clear" w:color="000000" w:fill="D9D9D9"/>
            <w:hideMark/>
          </w:tcPr>
          <w:p w:rsidR="00CC6076" w:rsidRPr="00CC6076" w:rsidRDefault="00CC6076" w:rsidP="00F254C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3.1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Contribuciones de Mejoras por Obras Públicas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3.1.1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Otras contribuciones de mejoras por obras públicas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3.9</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Contribuciones de Mejoras no comprendidas en la Ley de Ingresos vigente, causadas en ejercicios fiscales anteriores pendientes de liquidación o pago</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3.9.1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Contribuciones de Mejoras no comprendidas en la Ley de Ingresos vigente, causadas en ejercicios fiscales anteriores pendientes de liquidación o pago</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000000" w:fill="D9D9D9"/>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4</w:t>
            </w:r>
          </w:p>
        </w:tc>
        <w:tc>
          <w:tcPr>
            <w:tcW w:w="6237" w:type="dxa"/>
            <w:tcBorders>
              <w:top w:val="nil"/>
              <w:left w:val="nil"/>
              <w:bottom w:val="single" w:sz="4" w:space="0" w:color="404040"/>
              <w:right w:val="nil"/>
            </w:tcBorders>
            <w:shd w:val="clear" w:color="000000" w:fill="D9D9D9"/>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Derechos</w:t>
            </w:r>
          </w:p>
        </w:tc>
        <w:tc>
          <w:tcPr>
            <w:tcW w:w="1590" w:type="dxa"/>
            <w:tcBorders>
              <w:top w:val="nil"/>
              <w:left w:val="nil"/>
              <w:bottom w:val="single" w:sz="4" w:space="0" w:color="404040"/>
              <w:right w:val="nil"/>
            </w:tcBorders>
            <w:shd w:val="clear" w:color="000000" w:fill="D9D9D9"/>
            <w:hideMark/>
          </w:tcPr>
          <w:p w:rsidR="00CC6076" w:rsidRPr="00CC6076" w:rsidRDefault="00CC6076" w:rsidP="00F254C9">
            <w:pPr>
              <w:spacing w:line="360" w:lineRule="auto"/>
              <w:jc w:val="right"/>
              <w:rPr>
                <w:rFonts w:ascii="Arial" w:hAnsi="Arial" w:cs="Arial"/>
                <w:b/>
                <w:bCs/>
                <w:sz w:val="20"/>
                <w:szCs w:val="20"/>
              </w:rPr>
            </w:pPr>
            <w:r w:rsidRPr="00CC6076">
              <w:rPr>
                <w:rFonts w:ascii="Arial" w:hAnsi="Arial" w:cs="Arial"/>
                <w:b/>
                <w:bCs/>
                <w:sz w:val="20"/>
                <w:szCs w:val="20"/>
              </w:rPr>
              <w:t>2,015,803,265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4.1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 xml:space="preserve"> Derechos por el uso, goce, aprovechamiento o explotación de bienes del dominio público</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b/>
                <w:bCs/>
                <w:sz w:val="20"/>
                <w:szCs w:val="20"/>
              </w:rPr>
            </w:pPr>
            <w:r w:rsidRPr="00CC6076">
              <w:rPr>
                <w:rFonts w:ascii="Arial" w:hAnsi="Arial" w:cs="Arial"/>
                <w:b/>
                <w:bCs/>
                <w:sz w:val="20"/>
                <w:szCs w:val="20"/>
              </w:rPr>
              <w:t>1,011,361,231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4.1.1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Por el uso, goce o aprovechamiento de bienes de dominio público del Estado</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221,142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4.1.2</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Por el uso de cementerios y prestación de servicios conexos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4.1.3</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Por el Uso de Bienes del Dominio Público del Estado de Yucatán que operen como Paradores Turísticos de Zonas Arqueológicas y Turísticas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1,011,140,089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4.3</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 xml:space="preserve"> Derechos por prestación de servicios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b/>
                <w:bCs/>
                <w:sz w:val="20"/>
                <w:szCs w:val="20"/>
              </w:rPr>
            </w:pPr>
            <w:r w:rsidRPr="00CC6076">
              <w:rPr>
                <w:rFonts w:ascii="Arial" w:hAnsi="Arial" w:cs="Arial"/>
                <w:b/>
                <w:bCs/>
                <w:sz w:val="20"/>
                <w:szCs w:val="20"/>
              </w:rPr>
              <w:t>1,003,662,121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Servicios que presta la Administración Pública en general</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7,214,891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4.3.2</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Servicios que presta la Secretaría de Seguridad Pública</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226,726,101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4.3.2.1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Dotación, canje, reposición y baja de placas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85,329,610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4.3.2.2</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Tarjetas de circulación</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20,287,493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4.3.2.3</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Expedición de licencias de manejo</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80,474,952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4.3.2.4</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Otros servicios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5,651,754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4.3.2.5</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Relacionados con vialidad de vehículos de carga</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31,817,558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4.3.2.6</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Relacionados con la policía auxiliar y la policía bancaria, industrial y comercial</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2,718,567</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4.3.2.7</w:t>
            </w:r>
          </w:p>
        </w:tc>
        <w:tc>
          <w:tcPr>
            <w:tcW w:w="6237" w:type="dxa"/>
            <w:tcBorders>
              <w:top w:val="nil"/>
              <w:left w:val="nil"/>
              <w:bottom w:val="single" w:sz="4" w:space="0" w:color="404040"/>
              <w:right w:val="nil"/>
            </w:tcBorders>
            <w:shd w:val="clear" w:color="auto" w:fill="auto"/>
            <w:noWrap/>
            <w:hideMark/>
          </w:tcPr>
          <w:p w:rsidR="00CC6076" w:rsidRPr="00CC6076" w:rsidRDefault="00CC6076" w:rsidP="00F254C9">
            <w:pPr>
              <w:spacing w:line="360" w:lineRule="auto"/>
              <w:jc w:val="both"/>
              <w:rPr>
                <w:rFonts w:ascii="Arial" w:hAnsi="Arial" w:cs="Arial"/>
                <w:color w:val="000000"/>
                <w:sz w:val="20"/>
                <w:szCs w:val="20"/>
              </w:rPr>
            </w:pPr>
            <w:r w:rsidRPr="00CC6076">
              <w:rPr>
                <w:rFonts w:ascii="Arial" w:hAnsi="Arial" w:cs="Arial"/>
                <w:color w:val="000000"/>
                <w:sz w:val="20"/>
                <w:szCs w:val="20"/>
              </w:rPr>
              <w:t xml:space="preserve"> Seguridad externa en las vialidades y espacios públicos adyacentes en los que se lleven a cabo exposiciones, asambleas, espectáculos públicos, eventos artísticos y demás eventos análogos en general, de conformidad con el aforo de cada uno de ellos. </w:t>
            </w:r>
          </w:p>
        </w:tc>
        <w:tc>
          <w:tcPr>
            <w:tcW w:w="1590" w:type="dxa"/>
            <w:tcBorders>
              <w:top w:val="nil"/>
              <w:left w:val="nil"/>
              <w:bottom w:val="single" w:sz="4" w:space="0" w:color="404040"/>
              <w:right w:val="nil"/>
            </w:tcBorders>
            <w:shd w:val="clear" w:color="auto" w:fill="auto"/>
            <w:noWrap/>
            <w:hideMark/>
          </w:tcPr>
          <w:p w:rsidR="00CC6076" w:rsidRPr="00CC6076" w:rsidRDefault="00CC6076" w:rsidP="00F254C9">
            <w:pPr>
              <w:spacing w:line="360" w:lineRule="auto"/>
              <w:jc w:val="right"/>
              <w:rPr>
                <w:rFonts w:ascii="Arial" w:hAnsi="Arial" w:cs="Arial"/>
                <w:color w:val="000000"/>
                <w:sz w:val="20"/>
                <w:szCs w:val="20"/>
              </w:rPr>
            </w:pPr>
            <w:r w:rsidRPr="00CC6076">
              <w:rPr>
                <w:rFonts w:ascii="Arial" w:hAnsi="Arial" w:cs="Arial"/>
                <w:color w:val="000000"/>
                <w:sz w:val="20"/>
                <w:szCs w:val="20"/>
              </w:rPr>
              <w:t>30,409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4.3.2.8</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Seguridad Privada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415,758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4.3.3</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Derechos por los servicios que presta la Consejería Jurídica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94,704,591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4.3.3.1</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Dirección del Registro Civil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88,404,772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4.3.3.2</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Diario Oficial del Gobierno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3,189,239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4.3.3.3</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Otros Servicios que presta la Consejería Jurídica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1,232,766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4.3.3.4</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Dirección del Archivo Notarial del Estado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1,877,814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4.3.4</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Servicios que presta el Instituto de Seguridad Jurídica Patrimonial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419,444,092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4.3.4.1</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Dirección del Registro Público de la Propiedad y del Comercio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257,213,394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4.3.4.2</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Servicios que prestan los Fedatarios a quienes el Estado les haya concedido Fe Pública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144,128,247</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4.3.4.3</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Dirección de Catastro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18,102,451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4.3.5</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Servicios que presta la Fiscalía General del Estado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6,944,381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4.3.6</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Servicios que presta la Secretaría de Educación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10,746,055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4.3.7</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Servicios que presta la Secretaría de Desarrollo Sustentable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59,388,472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4.3.8</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Servicios que presta la Secretaría de Salud</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81,339,865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4.3.9</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Servicios que presta la Coordinación Estatal de Protección Civil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1,390,504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4.3.10</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Servicios que presta el Instituto de Movilidad y Desarrollo Urbano Territorial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11,253,345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4.3.11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Acceso a la información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73,768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4.3.12</w:t>
            </w:r>
          </w:p>
        </w:tc>
        <w:tc>
          <w:tcPr>
            <w:tcW w:w="6237" w:type="dxa"/>
            <w:tcBorders>
              <w:top w:val="nil"/>
              <w:left w:val="nil"/>
              <w:bottom w:val="single" w:sz="4" w:space="0" w:color="404040"/>
              <w:right w:val="nil"/>
            </w:tcBorders>
            <w:shd w:val="clear" w:color="auto" w:fill="auto"/>
            <w:noWrap/>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Por los servicios de inspección, control y fiscalización que realiza la Secretaría de la Contraloría General</w:t>
            </w:r>
          </w:p>
        </w:tc>
        <w:tc>
          <w:tcPr>
            <w:tcW w:w="1590" w:type="dxa"/>
            <w:tcBorders>
              <w:top w:val="nil"/>
              <w:left w:val="nil"/>
              <w:bottom w:val="single" w:sz="4" w:space="0" w:color="404040"/>
              <w:right w:val="nil"/>
            </w:tcBorders>
            <w:shd w:val="clear" w:color="auto" w:fill="auto"/>
            <w:noWrap/>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6,600,000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4.3.13</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Por los servicios de supervisión, vigilancia y registro de máquinas de juegos y apuestas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52,551,151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4.3.14</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Por los servicios que presta el Poder Judicial del Estado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4.3.15</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Por los servicios de permiso, registro y supervisión para la instalación y operación de casas de empeño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480,509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4.3.16</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Servicios que presta la Secretaría de Investigación, Innovación y Educación Superior</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24,804,395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4.4</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b/>
                <w:bCs/>
                <w:sz w:val="20"/>
                <w:szCs w:val="20"/>
              </w:rPr>
            </w:pPr>
            <w:r w:rsidRPr="00CC6076">
              <w:rPr>
                <w:rFonts w:ascii="Arial" w:hAnsi="Arial" w:cs="Arial"/>
                <w:b/>
                <w:bCs/>
                <w:sz w:val="20"/>
                <w:szCs w:val="20"/>
              </w:rPr>
              <w:t xml:space="preserve"> Otros Derechos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4.4.1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Otros Derechos no contemplados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4.5</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b/>
                <w:bCs/>
                <w:sz w:val="20"/>
                <w:szCs w:val="20"/>
              </w:rPr>
            </w:pPr>
            <w:r w:rsidRPr="00CC6076">
              <w:rPr>
                <w:rFonts w:ascii="Arial" w:hAnsi="Arial" w:cs="Arial"/>
                <w:b/>
                <w:bCs/>
                <w:sz w:val="20"/>
                <w:szCs w:val="20"/>
              </w:rPr>
              <w:t xml:space="preserve"> Accesorios de Derechos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779,913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4.5.1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Multas, recargos, gastos extraordinarios y otros accesorios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779,912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4.5.2</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Indemnizaciones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4.9</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b/>
                <w:bCs/>
                <w:sz w:val="20"/>
                <w:szCs w:val="20"/>
              </w:rPr>
            </w:pPr>
            <w:r w:rsidRPr="00CC6076">
              <w:rPr>
                <w:rFonts w:ascii="Arial" w:hAnsi="Arial" w:cs="Arial"/>
                <w:b/>
                <w:bCs/>
                <w:sz w:val="20"/>
                <w:szCs w:val="20"/>
              </w:rPr>
              <w:t xml:space="preserve"> Derechos no comprendidos en la Ley de Ingresos Vigente, causadas en ejercicios fiscales anteriores pendientes de liquidación o pago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4.9.1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Derechos no comprendidos en la Ley de Ingresos Vigente, causadas en ejercicios fiscales anteriores pendientes de liquidación o pago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000000" w:fill="D9D9D9"/>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5</w:t>
            </w:r>
          </w:p>
        </w:tc>
        <w:tc>
          <w:tcPr>
            <w:tcW w:w="6237" w:type="dxa"/>
            <w:tcBorders>
              <w:top w:val="nil"/>
              <w:left w:val="nil"/>
              <w:bottom w:val="single" w:sz="4" w:space="0" w:color="404040"/>
              <w:right w:val="nil"/>
            </w:tcBorders>
            <w:shd w:val="clear" w:color="000000" w:fill="D9D9D9"/>
            <w:hideMark/>
          </w:tcPr>
          <w:p w:rsidR="00CC6076" w:rsidRPr="00CC6076" w:rsidRDefault="00CC6076" w:rsidP="00992C29">
            <w:pPr>
              <w:spacing w:line="360" w:lineRule="auto"/>
              <w:jc w:val="both"/>
              <w:rPr>
                <w:rFonts w:ascii="Arial" w:hAnsi="Arial" w:cs="Arial"/>
                <w:b/>
                <w:bCs/>
                <w:sz w:val="20"/>
                <w:szCs w:val="20"/>
              </w:rPr>
            </w:pPr>
            <w:r w:rsidRPr="00CC6076">
              <w:rPr>
                <w:rFonts w:ascii="Arial" w:hAnsi="Arial" w:cs="Arial"/>
                <w:b/>
                <w:bCs/>
                <w:sz w:val="20"/>
                <w:szCs w:val="20"/>
              </w:rPr>
              <w:t>Productos</w:t>
            </w:r>
          </w:p>
        </w:tc>
        <w:tc>
          <w:tcPr>
            <w:tcW w:w="1590" w:type="dxa"/>
            <w:tcBorders>
              <w:top w:val="nil"/>
              <w:left w:val="nil"/>
              <w:bottom w:val="single" w:sz="4" w:space="0" w:color="404040"/>
              <w:right w:val="nil"/>
            </w:tcBorders>
            <w:shd w:val="clear" w:color="000000" w:fill="D9D9D9"/>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200,869,801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5.1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b/>
                <w:bCs/>
                <w:sz w:val="20"/>
                <w:szCs w:val="20"/>
              </w:rPr>
            </w:pPr>
            <w:r w:rsidRPr="00CC6076">
              <w:rPr>
                <w:rFonts w:ascii="Arial" w:hAnsi="Arial" w:cs="Arial"/>
                <w:b/>
                <w:bCs/>
                <w:sz w:val="20"/>
                <w:szCs w:val="20"/>
              </w:rPr>
              <w:t xml:space="preserve"> Productos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200,869,801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5.1.1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Uso, aprovechamiento o enajenación de bienes de dominio privado del Estado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11,292,980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5.1.2</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Enajenación de bienes muebles no sujetos a ser inventariados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5.1.3</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Accesorios de los Productos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5.1.4</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Rendimientos de capitales y valores del Estado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189,431,360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5.1.4.1</w:t>
            </w:r>
          </w:p>
        </w:tc>
        <w:tc>
          <w:tcPr>
            <w:tcW w:w="6237"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Rendimientos Propios</w:t>
            </w:r>
          </w:p>
        </w:tc>
        <w:tc>
          <w:tcPr>
            <w:tcW w:w="1590" w:type="dxa"/>
            <w:tcBorders>
              <w:top w:val="nil"/>
              <w:left w:val="nil"/>
              <w:bottom w:val="single" w:sz="4" w:space="0" w:color="404040"/>
              <w:right w:val="nil"/>
            </w:tcBorders>
            <w:shd w:val="clear" w:color="auto" w:fill="auto"/>
            <w:noWrap/>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189,431,360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5.1.4.2</w:t>
            </w:r>
          </w:p>
        </w:tc>
        <w:tc>
          <w:tcPr>
            <w:tcW w:w="6237"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Rendimientos Federales</w:t>
            </w:r>
          </w:p>
        </w:tc>
        <w:tc>
          <w:tcPr>
            <w:tcW w:w="1590" w:type="dxa"/>
            <w:tcBorders>
              <w:top w:val="nil"/>
              <w:left w:val="nil"/>
              <w:bottom w:val="single" w:sz="4" w:space="0" w:color="404040"/>
              <w:right w:val="nil"/>
            </w:tcBorders>
            <w:shd w:val="clear" w:color="auto" w:fill="auto"/>
            <w:noWrap/>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5.1.9</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Otros productos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145,461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5.9</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b/>
                <w:bCs/>
                <w:sz w:val="20"/>
                <w:szCs w:val="20"/>
              </w:rPr>
            </w:pPr>
            <w:r w:rsidRPr="00CC6076">
              <w:rPr>
                <w:rFonts w:ascii="Arial" w:hAnsi="Arial" w:cs="Arial"/>
                <w:b/>
                <w:bCs/>
                <w:sz w:val="20"/>
                <w:szCs w:val="20"/>
              </w:rPr>
              <w:t xml:space="preserve"> Productos no comprendidos en la Ley de Ingresos Vigente, causadas en ejercicios fiscales anteriores pendientes de liquidación o pago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5.9.1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Productos no comprendidos en la Ley de Ingresos Vigente, causadas en ejercicios fiscales anteriores pendientes de liquidación o pago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000000" w:fill="D9D9D9"/>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6</w:t>
            </w:r>
          </w:p>
        </w:tc>
        <w:tc>
          <w:tcPr>
            <w:tcW w:w="6237" w:type="dxa"/>
            <w:tcBorders>
              <w:top w:val="nil"/>
              <w:left w:val="nil"/>
              <w:bottom w:val="single" w:sz="4" w:space="0" w:color="404040"/>
              <w:right w:val="nil"/>
            </w:tcBorders>
            <w:shd w:val="clear" w:color="000000" w:fill="D9D9D9"/>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Aprovechamientos</w:t>
            </w:r>
          </w:p>
        </w:tc>
        <w:tc>
          <w:tcPr>
            <w:tcW w:w="1590" w:type="dxa"/>
            <w:tcBorders>
              <w:top w:val="nil"/>
              <w:left w:val="nil"/>
              <w:bottom w:val="single" w:sz="4" w:space="0" w:color="404040"/>
              <w:right w:val="nil"/>
            </w:tcBorders>
            <w:shd w:val="clear" w:color="000000" w:fill="D9D9D9"/>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323,671,692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6.1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b/>
                <w:bCs/>
                <w:sz w:val="20"/>
                <w:szCs w:val="20"/>
              </w:rPr>
            </w:pPr>
            <w:r w:rsidRPr="00CC6076">
              <w:rPr>
                <w:rFonts w:ascii="Arial" w:hAnsi="Arial" w:cs="Arial"/>
                <w:b/>
                <w:bCs/>
                <w:sz w:val="20"/>
                <w:szCs w:val="20"/>
              </w:rPr>
              <w:t xml:space="preserve"> Aprovechamientos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322,251,108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6.1.1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Recargos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6.1.2</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Indemnizaciones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259,178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6.1.3</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Multas administrativas y multas impuestas por autoridades judiciales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86,490,430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6.1.4</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Otros aprovechamientos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235,501,500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6.1.4.1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Otros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235,501,500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6.2</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b/>
                <w:bCs/>
                <w:sz w:val="20"/>
                <w:szCs w:val="20"/>
              </w:rPr>
            </w:pPr>
            <w:r w:rsidRPr="00CC6076">
              <w:rPr>
                <w:rFonts w:ascii="Arial" w:hAnsi="Arial" w:cs="Arial"/>
                <w:b/>
                <w:bCs/>
                <w:sz w:val="20"/>
                <w:szCs w:val="20"/>
              </w:rPr>
              <w:t xml:space="preserve"> Aprovechamientos Patrimoniales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6.2.1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Herencias, legados y donaciones que se hagan a favor del estado o instituciones que dependan de él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6.3</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b/>
                <w:bCs/>
                <w:sz w:val="20"/>
                <w:szCs w:val="20"/>
              </w:rPr>
            </w:pPr>
            <w:r w:rsidRPr="00CC6076">
              <w:rPr>
                <w:rFonts w:ascii="Arial" w:hAnsi="Arial" w:cs="Arial"/>
                <w:b/>
                <w:bCs/>
                <w:sz w:val="20"/>
                <w:szCs w:val="20"/>
              </w:rPr>
              <w:t xml:space="preserve"> Accesorios de Aprovechamientos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1,420,584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6.3.1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Multas, recargos, gastos extraordinarios y otros accesorios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1,420,583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6.3.2</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Indemnizaciones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6.9</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b/>
                <w:bCs/>
                <w:sz w:val="20"/>
                <w:szCs w:val="20"/>
              </w:rPr>
            </w:pPr>
            <w:r w:rsidRPr="00CC6076">
              <w:rPr>
                <w:rFonts w:ascii="Arial" w:hAnsi="Arial" w:cs="Arial"/>
                <w:b/>
                <w:bCs/>
                <w:sz w:val="20"/>
                <w:szCs w:val="20"/>
              </w:rPr>
              <w:t xml:space="preserve"> Aprovechamientos no comprendidos en las fracciones de la Ley de Ingresos vigente, causadas en ejercicios fiscales anteriores pendientes de liquidación o pago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6.9.1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Aprovechamientos no comprendidos en las fracciones de la Ley de Ingresos vigente, causadas en ejercicios fiscales anteriores pendientes de liquidación o pago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000000" w:fill="D9D9D9"/>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7</w:t>
            </w:r>
          </w:p>
        </w:tc>
        <w:tc>
          <w:tcPr>
            <w:tcW w:w="6237" w:type="dxa"/>
            <w:tcBorders>
              <w:top w:val="nil"/>
              <w:left w:val="nil"/>
              <w:bottom w:val="single" w:sz="4" w:space="0" w:color="404040"/>
              <w:right w:val="nil"/>
            </w:tcBorders>
            <w:shd w:val="clear" w:color="000000" w:fill="D9D9D9"/>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Ingresos por ventas de bienes y servicios</w:t>
            </w:r>
          </w:p>
        </w:tc>
        <w:tc>
          <w:tcPr>
            <w:tcW w:w="1590" w:type="dxa"/>
            <w:tcBorders>
              <w:top w:val="nil"/>
              <w:left w:val="nil"/>
              <w:bottom w:val="single" w:sz="4" w:space="0" w:color="404040"/>
              <w:right w:val="nil"/>
            </w:tcBorders>
            <w:shd w:val="clear" w:color="000000" w:fill="D9D9D9"/>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2,841,004,855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7.1</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Ingresos por Venta de Bienes y Prestación de Servicios de Instituciones Públicas de Seguridad Social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265,080,792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7.1.1</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Ingreso por Venta de Bienes y Prestación de Servicios del Instituto de Seguridad Social de los Trabajadores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105,104,103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7.1.2</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Aplicación de reservas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159,976,689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7.2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Ingresos por Venta de Bienes y Prestación de Servicios de Empresas Productivas del Estado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7.2.1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Ingresos por Venta de Bienes de Empresas Productivas del Estado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7.2.2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Ingresos por Prestación de Servicios de Empresas Productivas del Estado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7.3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Ingresos por Venta de Bienes y Prestación de Servicios de Entidades Paraestatales y Fideicomisos No Empresariales y No Financieros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2,368,731,536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para el Desarrollo de la Cultura Maya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Comisión Ejecutiva de Atención a Victimas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para el Desarrollo y Certificación de la Infraestructura Física Educativa y Eléctrica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600,000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de Infraestructura Carretera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12,953,595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Junta de Agua Potable y Alcantarillado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507,537,579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para la Construcción y Conservación de Obra Pública en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115,000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de Vivienda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204,753,655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del Deporte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8,345,302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Colegio de Bachilleres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39,285,500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7.3.10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Colegio de Estudios Científicos y Tecnológicos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2,023,200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7.3.11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Colegio de Educación Profesional Técnica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12,500,000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7.3.12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de Educación para Adultos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7.3.13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de Becas y Crédito Educativo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7.3.14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Yucateco de Emprendedores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5,456,400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7.3.15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Casa de las Artesanías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7.3.16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Promotor de Ferias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91,882,312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7.3.17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Patronato de las Unidades de Servicios Culturales y Turísticos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66,707,250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7.3.18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Fideicomiso Público para el Desarrollo del Turismo de Reuniones en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30,540,474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7.3.19</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Instituto de Movilidad y Desarrollo Urbano Territorial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1,232,695,520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7.3.20</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Sistema para el Desarrollo Integral de la Familia en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9,142,869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7.3.21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Junta de Asistencia Privada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7.3.22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Hospital General de </w:t>
            </w:r>
            <w:proofErr w:type="spellStart"/>
            <w:r w:rsidRPr="00CC6076">
              <w:rPr>
                <w:rFonts w:ascii="Arial" w:hAnsi="Arial" w:cs="Arial"/>
                <w:sz w:val="20"/>
                <w:szCs w:val="20"/>
              </w:rPr>
              <w:t>Tekax</w:t>
            </w:r>
            <w:proofErr w:type="spellEnd"/>
            <w:r w:rsidRPr="00CC6076">
              <w:rPr>
                <w:rFonts w:ascii="Arial" w:hAnsi="Arial" w:cs="Arial"/>
                <w:sz w:val="20"/>
                <w:szCs w:val="20"/>
              </w:rPr>
              <w:t>,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7.3.23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Servicios de Salud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1,800,000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7.3.24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Administración del Patrimonio de la Beneficencia Pública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7.3.25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Hospital de la Amistad</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3,062,381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7.3.26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Hospital Comunitario de </w:t>
            </w:r>
            <w:proofErr w:type="spellStart"/>
            <w:r w:rsidRPr="00CC6076">
              <w:rPr>
                <w:rFonts w:ascii="Arial" w:hAnsi="Arial" w:cs="Arial"/>
                <w:sz w:val="20"/>
                <w:szCs w:val="20"/>
              </w:rPr>
              <w:t>Ticul</w:t>
            </w:r>
            <w:proofErr w:type="spellEnd"/>
            <w:r w:rsidRPr="00CC6076">
              <w:rPr>
                <w:rFonts w:ascii="Arial" w:hAnsi="Arial" w:cs="Arial"/>
                <w:sz w:val="20"/>
                <w:szCs w:val="20"/>
              </w:rPr>
              <w:t>,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6,820,528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7.3.27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Hospital Comunitario de Peto,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10,762,571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7.3.28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Centro Estatal de Trasplantes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7.3.29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de Seguridad Jurídica Patrimonial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7.3.30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Fideicomiso Garante de la Orquesta Sinfónica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20,206,372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7.3.31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Secretaría Técnica de Planeación y Evaluación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229,650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7.3.32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Fideicomiso Público para la Administración de la Reserva Territorial de </w:t>
            </w:r>
            <w:proofErr w:type="spellStart"/>
            <w:r w:rsidRPr="00CC6076">
              <w:rPr>
                <w:rFonts w:ascii="Arial" w:hAnsi="Arial" w:cs="Arial"/>
                <w:sz w:val="20"/>
                <w:szCs w:val="20"/>
              </w:rPr>
              <w:t>Ucú</w:t>
            </w:r>
            <w:proofErr w:type="spellEnd"/>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25,000,000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7.3.33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Escuela Superior de Artes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4,770,636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7.3.34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Universidad Tecnológica Metropolitana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27,422,106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7.3.35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Tecnológico Superior de Valladolid</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5,980,605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7.3.36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Universidad Tecnológica del Centro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2,660,000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7.3.37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Universidad Tecnológica del </w:t>
            </w:r>
            <w:proofErr w:type="spellStart"/>
            <w:r w:rsidRPr="00CC6076">
              <w:rPr>
                <w:rFonts w:ascii="Arial" w:hAnsi="Arial" w:cs="Arial"/>
                <w:sz w:val="20"/>
                <w:szCs w:val="20"/>
              </w:rPr>
              <w:t>Mayab</w:t>
            </w:r>
            <w:proofErr w:type="spellEnd"/>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849,800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7.3.38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Universidad Tecnológica del Poniente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1,919,071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7.3.39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Tecnológico Superior del Sur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4,080,000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7.3.40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Tecnológico Superior de </w:t>
            </w:r>
            <w:proofErr w:type="spellStart"/>
            <w:r w:rsidRPr="00CC6076">
              <w:rPr>
                <w:rFonts w:ascii="Arial" w:hAnsi="Arial" w:cs="Arial"/>
                <w:sz w:val="20"/>
                <w:szCs w:val="20"/>
              </w:rPr>
              <w:t>Motul</w:t>
            </w:r>
            <w:proofErr w:type="spellEnd"/>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3,800,000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7.3.41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Tecnológico Superior de Progreso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4,493,971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7.3.42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Universidad de Oriente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4,459,348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7.3.43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Universidad Tecnológica Regional del Sur</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4,993,470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7.3.44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Universidad Politécnica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6,192,910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7.3.45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Agencia para el Desarrollo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7.3.46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de Capacitación para el Trabajo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1,150,000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7.3.47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Fideicomiso Público para la Administración del Palacio de la Música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2,972,600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7.3.48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para la Inclusión de las Personas con Discapacidad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7.3.49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Parque Científico y Tecnológico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566,861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7.4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Ingresos por Venta de Bienes y Prestación de Servicios de Entidades Paraestatales Empresariales No Financieras con Participación Estatal Mayoritaria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21,468,212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7.4.2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Sistema Tele Yucatán S.A. de C.V.</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20,277,613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7.4.3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Aeropuerto de Chichén Itzá del Estado de Yucatán, S. A. de C.V.</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1,190,599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7.4.4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Empresa Portuaria Yucateca S. A. de C.V.</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7.5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Ingresos por Venta de Bienes y Prestación de Servicios de Entidades Paraestatales Empresariales Financieras Monetarias con Participación Estatal Mayoritaria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7.5.1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Ingresos por Venta de Bienes y Prestación de Servicios de Sistema Tele Yucatán, S.A. de C.V.</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7.5.2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Ingresos por Venta de Bienes y Prestación del Aeropuerto de Chichén Itzá del Estado de Yucatán, S.A. de C.V.</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7.5.3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Ingresos por Venta de Bienes y Prestación de la Empresa Portuaria Yucateca, S.A. de C.V.</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7.6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Ingresos por Venta de Bienes y Prestación de Servicios de Entidades Paraestatales Empresariales Financieras No Monetarias con Participación Estatal Mayoritaria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7.6.1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Ingresos por Venta de Bienes de Entidades Paraestatales Empresariales Financieras No Monetarias con Participación Estatal Mayoritaria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7.6.2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Ingresos por Prestación de Servicios de Entidades Paraestatales Empresariales Financieras No Monetarias con Participación Estatal Mayoritaria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7.7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Ingresos por Venta de Bienes y Prestación de Servicios de Fideicomisos Financieros Públicos con Participación Estatal Mayoritaria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7.7.1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Ingresos por Prestación de Servicios de Fideicomisos Financieros Públicos con Participación Estatal Mayoritaria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7.7.2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Ingresos por Venta de Bienes de Fideicomisos Financieros Públicos con Participación Estatal Mayoritaria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7.8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Ingresos por Venta de Bienes y Prestación de Servicios de los Poderes Legislativo y Judicial, y de los Órganos Autónomos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185,724,315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7.8.1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Universidad Autónoma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185,470,815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7.8.2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Tribunal de Justicia Administrativa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7.8.3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Estatal de Transparencia, Acceso a la Información Pública y Protección de Datos Personales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253,500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7.9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Otros Ingresos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7.9.1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Otros ingresos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000000" w:fill="D9D9D9"/>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8</w:t>
            </w:r>
          </w:p>
        </w:tc>
        <w:tc>
          <w:tcPr>
            <w:tcW w:w="6237" w:type="dxa"/>
            <w:tcBorders>
              <w:top w:val="nil"/>
              <w:left w:val="nil"/>
              <w:bottom w:val="single" w:sz="4" w:space="0" w:color="404040"/>
              <w:right w:val="nil"/>
            </w:tcBorders>
            <w:shd w:val="clear" w:color="000000" w:fill="D9D9D9"/>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Participaciones, Aportaciones, Convenios, Incentivos Derivados de la Colaboración Fiscal y Fondos Distintos de Aportaciones</w:t>
            </w:r>
          </w:p>
        </w:tc>
        <w:tc>
          <w:tcPr>
            <w:tcW w:w="1590" w:type="dxa"/>
            <w:tcBorders>
              <w:top w:val="nil"/>
              <w:left w:val="nil"/>
              <w:bottom w:val="single" w:sz="4" w:space="0" w:color="404040"/>
              <w:right w:val="nil"/>
            </w:tcBorders>
            <w:shd w:val="clear" w:color="000000" w:fill="D9D9D9"/>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41,712,654,596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Participaciones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20,450,495,112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General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15,073,579,119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Fomento Municipal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1,184,730,027</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Especial sobre Producción y Servicios (IEPS)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545,423,752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Compensación sobre Automóviles Nuevos (ISAN)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42,644,766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Fiscalización y Recaudación (FOFIR)</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1,434,908,780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Compensación (</w:t>
            </w:r>
            <w:proofErr w:type="spellStart"/>
            <w:r w:rsidRPr="00CC6076">
              <w:rPr>
                <w:rFonts w:ascii="Arial" w:hAnsi="Arial" w:cs="Arial"/>
                <w:sz w:val="20"/>
                <w:szCs w:val="20"/>
              </w:rPr>
              <w:t>Repecos</w:t>
            </w:r>
            <w:proofErr w:type="spellEnd"/>
            <w:r w:rsidRPr="00CC6076">
              <w:rPr>
                <w:rFonts w:ascii="Arial" w:hAnsi="Arial" w:cs="Arial"/>
                <w:sz w:val="20"/>
                <w:szCs w:val="20"/>
              </w:rPr>
              <w:t xml:space="preserve"> e Intermedios)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11,298,706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Venta final de gasolina y diésel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574,154,175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ISR</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1,583,755,787</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8.1.8.1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ISR Estado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1,335,560,149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8.1.8.2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ISR Municipios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248,195,638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Estabilización de los ingresos de las Entidades Federativas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8.1.9.1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Estabilización de los ingresos de las Entidades Federativas por Fondo General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8.1.9.2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Estabilización de los ingresos de las Entidades Federativas por Fondo de Fomento Municipal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8.1.9.3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Estabilización de los ingresos de las Entidades Federativas por Fondo de Fiscalización y Recaudación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Aportaciones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17,298,638,573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8.2.1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Aportaciones para la Nómina Educativa y Gasto Operativo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7,533,969,793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8.2.2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Aportaciones para los Servicios de Salud</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2,624,416,963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8.2.3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Aportaciones para la infraestructura Social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2,709,730,395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8.2.3.1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Aportaciones para la Infraestructura Social Municipales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2,381,271,928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8.2.3.2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Aportaciones para la Infraestructura Social Estatal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328,458,467</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8.2.4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Aportaciones para el Fortalecimiento de los Municipios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2,070,311,780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8.2.5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Aportaciones Múltiples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804,688,072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8.2.5.1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Infraestructura Educativa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424,823,677</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8.2.5.1.1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Infraestructura Educativa Básica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238,546,900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8.2.5.1.2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Infraestructura Educativa Superior</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166,033,753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8.2.5.1.3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Infraestructura Educativa Media Superior y Superior</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20,243,024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8.2.5.2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Asistencia Social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379,864,395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8.2.6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Aportaciones para la Educación Tecnológica y de Adultos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218,521,863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8.2.6.1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Educación Tecnológica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123,413,429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8.2.6.2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Educación de Adultos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95,108,434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8.2.7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Aportaciones para la Seguridad Pública de los Estados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195,257,711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8.2.8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Aportaciones para el Fortalecimiento de las Entidades Federativas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1,141,741,996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Convenios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2,971,174,972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8.3.1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Salud</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901,464,448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Prestación Gratuita de Servicios de Salud INSABI</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787,878,907</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Convenio Específico CRESCA </w:t>
            </w:r>
            <w:proofErr w:type="spellStart"/>
            <w:r w:rsidRPr="00CC6076">
              <w:rPr>
                <w:rFonts w:ascii="Arial" w:hAnsi="Arial" w:cs="Arial"/>
                <w:sz w:val="20"/>
                <w:szCs w:val="20"/>
              </w:rPr>
              <w:t>Conadic</w:t>
            </w:r>
            <w:proofErr w:type="spellEnd"/>
            <w:r w:rsidRPr="00CC6076">
              <w:rPr>
                <w:rFonts w:ascii="Arial" w:hAnsi="Arial" w:cs="Arial"/>
                <w:sz w:val="20"/>
                <w:szCs w:val="20"/>
              </w:rPr>
              <w:t xml:space="preserve"> </w:t>
            </w:r>
            <w:proofErr w:type="spellStart"/>
            <w:r w:rsidRPr="00CC6076">
              <w:rPr>
                <w:rFonts w:ascii="Arial" w:hAnsi="Arial" w:cs="Arial"/>
                <w:sz w:val="20"/>
                <w:szCs w:val="20"/>
              </w:rPr>
              <w:t>Cenadic</w:t>
            </w:r>
            <w:proofErr w:type="spellEnd"/>
            <w:r w:rsidRPr="00CC6076">
              <w:rPr>
                <w:rFonts w:ascii="Arial" w:hAnsi="Arial" w:cs="Arial"/>
                <w:sz w:val="20"/>
                <w:szCs w:val="20"/>
              </w:rPr>
              <w:t xml:space="preserve"> </w:t>
            </w:r>
            <w:proofErr w:type="spellStart"/>
            <w:r w:rsidRPr="00CC6076">
              <w:rPr>
                <w:rFonts w:ascii="Arial" w:hAnsi="Arial" w:cs="Arial"/>
                <w:sz w:val="20"/>
                <w:szCs w:val="20"/>
              </w:rPr>
              <w:t>Yuc</w:t>
            </w:r>
            <w:proofErr w:type="spellEnd"/>
            <w:r w:rsidRPr="00CC6076">
              <w:rPr>
                <w:rFonts w:ascii="Arial" w:hAnsi="Arial" w:cs="Arial"/>
                <w:sz w:val="20"/>
                <w:szCs w:val="20"/>
              </w:rPr>
              <w:t xml:space="preserve"> 001</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2,778,882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Protección contra riesgos catastróficos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Seguro Médico XXI</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Acuerdo para el Fortalecimiento de las Acciones de Salud Pública en los Estados (AFASPE)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54,904,443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Fortalecimiento a la Atención Médica (Caravanas)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244,200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Comisión Federal para la Protección contra riesgos Sanitarios (COFEPRIS)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13,291,655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Estrategia Integral de Desarrollo Comunitario Comunidad Diferente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Apoyo a las Instancias de Mujeres (PAIMEF)</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8,293,858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8.3.1.10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Fortalecimiento a la Transversalidad de la Perspectiva de Género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12,417,367</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8.3.1.11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Atención a la Salud y Medicamentos Gratuitos para la población sin Seguridad Social Laboral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20,587,153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8.3.1.12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Atención a personas con Discapacidad "Equipamiento"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1,067,983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8.3.1.13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Otros Convenios Salud</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8.3.2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Educación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1,939,962,731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Convenio de Coordinación y Colaboración (CONADE)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U080 Apoyos a centros y organizaciones de educación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1,200,000,000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Gastos de operación para el Colegio de Estudios Científicos y Tecnológicos de Yucatán (CECYTEY)</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84,099,660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Colegio de Bachilleres de Yucatán (COBAY)</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378,330,974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Nacional de Becas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Atención a la Demanda (IEAEY)</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8,671,459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Apoyos Financieros a la Universidad de Oriente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17,563,012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Apoyos Financieros para la Universidad Tecnológica Metropolitana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54,990,497</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Apoyos Financieros para la Universidad Tecnológica Regional del Sur</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18,627,394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8.3.2.10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Apoyos Financieros para la Universidad Tecnológica del Centro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11,318,088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8.3.2.11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Apoyos Financieros para la Universidad Tecnológica del Poniente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11,145,328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8.3.2.12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Apoyos Financieros para la Universidad Tecnológica del </w:t>
            </w:r>
            <w:proofErr w:type="spellStart"/>
            <w:r w:rsidRPr="00CC6076">
              <w:rPr>
                <w:rFonts w:ascii="Arial" w:hAnsi="Arial" w:cs="Arial"/>
                <w:sz w:val="20"/>
                <w:szCs w:val="20"/>
              </w:rPr>
              <w:t>Mayab</w:t>
            </w:r>
            <w:proofErr w:type="spellEnd"/>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12,313,262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8.3.2.13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Mejoramiento del Profesorado (PROMEP)</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8.3.2.14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Desarrollo Cultural Infantil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8.3.2.15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Escuelas de Tiempo Completo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8.3.2.16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Nacional de Inglés en la Educación Básica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16,110,526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8.3.2.17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para ampliar y diversificar la Oferta Educativa en Educación Superior (FADOE)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8.3.2.18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Convenio de Apoyo Financiero para el Programa de Carrera Docente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8.3.2.19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Nacional de Fomento a la Lectura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8.3.2.20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Estímulo a la Creación y al Desarrollo Artístico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8.3.2.21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Apoyo a las Culturas Municipales y Comunitarias PACMYC</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915,000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8.3.2.22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Desarrollo Cultural Municipal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8.3.2.23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Convenio de Coordinación para la creación, operación y apoyo financiero del ICATY</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6,574,946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8.3.2.24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Fortalecimiento de Calidad Educativa tipo básico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8.3.2.25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Fortalecimiento de la Calidad en Instituciones Educativas (PROFOCIE)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8.3.2.26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CONACYT (Convenio de Colaboración para el desarrollo del programa de estímulos a la investigación de desarrollos)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8.3.2.27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Beca de Apoyo a la Práctica Intensiva y al servicio social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8.3.2.28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C-291045.82/2016 Formación Temprana de Científicos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8.3.2.29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Institucional de Fomento Regional para el Desarrollo Científico, Tecnológico y de Innovación (FORDECYT)</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8.3.2.30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Fortalecimiento de la Calidad Educativa (PACTEN)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8.3.2.31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Apoyo solidario para la operación de la Universidad Politécnica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5,705,683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8.3.2.32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Inclusión y Equidad Educativa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8.3.2.33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Convenio para la Operación del Programa Expansión de la Educación Inicial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5,396,955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8.3.2.34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la Reforma Educativa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8.3.2.35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Apoyo Financiero del Servicios Educativo Denominado </w:t>
            </w:r>
            <w:proofErr w:type="spellStart"/>
            <w:r w:rsidRPr="00CC6076">
              <w:rPr>
                <w:rFonts w:ascii="Arial" w:hAnsi="Arial" w:cs="Arial"/>
                <w:sz w:val="20"/>
                <w:szCs w:val="20"/>
              </w:rPr>
              <w:t>Telebachillerato</w:t>
            </w:r>
            <w:proofErr w:type="spellEnd"/>
            <w:r w:rsidRPr="00CC6076">
              <w:rPr>
                <w:rFonts w:ascii="Arial" w:hAnsi="Arial" w:cs="Arial"/>
                <w:sz w:val="20"/>
                <w:szCs w:val="20"/>
              </w:rPr>
              <w:t xml:space="preserve"> Comunitario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71,586,555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8.3.2.36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para el Desarrollo Profesional Docente para la Educación Básica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2,224,120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8.3.2.37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nacional convivencia escolar</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8.3.2.38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Programa Fortalecimiento de la Excelencia Educativa PFCE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18,630,873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8.3.2.39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Apoyo a Instituciones Estatales de Cultura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1,076,000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8.3.2.40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Fortalecimiento de los servicios de educación especial 2020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14,682,399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8.3.2.41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Escuela Regional de Béisbol (Apoyo extraordinario)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8.3.2.42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Premio a Deportistas y Entrenadores Destacados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8.3.2.43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Desarrollo de Aprendizajes significativos en Educación Básica 2020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8.3.2.44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Atención a la Diversidad de la Educación Indígena 2020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8.3.2.45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Becas de Apoyo a la Educación básica de madres jóvenes y jóvenes embarazadas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8.3.2.46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Apoyo Financiero a Institutos Tecnológicos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8.3.2.47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Cultura (Instituciones Estatales de Cultura)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8.3.2.48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Proyectos de Cultura (PEF)</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8.3.2.49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Otros Convenios Educación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8.3.3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Económico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8.3.3.1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Nacional del Empleo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8.3.3.2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Incubación de Empresas de Tecnología de Información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8.3.3.3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para el Desarrollo de la Industria del Software (PROSOFT)</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8.3.3.4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Convenio de Colaboración de Apoyos del Fondo Nacional Emprendedor</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8.3.3.5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Otros Convenios Económico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8.3.4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Social y Humano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53,689,011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w:t>
            </w:r>
            <w:proofErr w:type="spellStart"/>
            <w:r w:rsidRPr="00CC6076">
              <w:rPr>
                <w:rFonts w:ascii="Arial" w:hAnsi="Arial" w:cs="Arial"/>
                <w:sz w:val="20"/>
                <w:szCs w:val="20"/>
              </w:rPr>
              <w:t>Proagua</w:t>
            </w:r>
            <w:proofErr w:type="spellEnd"/>
            <w:r w:rsidRPr="00CC6076">
              <w:rPr>
                <w:rFonts w:ascii="Arial" w:hAnsi="Arial" w:cs="Arial"/>
                <w:sz w:val="20"/>
                <w:szCs w:val="20"/>
              </w:rPr>
              <w:t xml:space="preserve"> Agua Limpia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1,063,820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Cultura del Agua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498,014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Desarrollo Integral para Organismos Operadores (PRODI)</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Apoyo a la Vivienda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Infraestructura Indígena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Espacios Poder Joven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Red Nacional del Programa de Radio y Televisión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desarrollo integral de las comunidades indígenas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w:t>
            </w:r>
            <w:proofErr w:type="spellStart"/>
            <w:r w:rsidRPr="00CC6076">
              <w:rPr>
                <w:rFonts w:ascii="Arial" w:hAnsi="Arial" w:cs="Arial"/>
                <w:sz w:val="20"/>
                <w:szCs w:val="20"/>
              </w:rPr>
              <w:t>Proagua</w:t>
            </w:r>
            <w:proofErr w:type="spellEnd"/>
            <w:r w:rsidRPr="00CC6076">
              <w:rPr>
                <w:rFonts w:ascii="Arial" w:hAnsi="Arial" w:cs="Arial"/>
                <w:sz w:val="20"/>
                <w:szCs w:val="20"/>
              </w:rPr>
              <w:t xml:space="preserve"> Rural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51,595,267</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8.3.4.10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Apartado Urbano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531,910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8.3.4.11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w:t>
            </w:r>
            <w:proofErr w:type="spellStart"/>
            <w:r w:rsidRPr="00CC6076">
              <w:rPr>
                <w:rFonts w:ascii="Arial" w:hAnsi="Arial" w:cs="Arial"/>
                <w:sz w:val="20"/>
                <w:szCs w:val="20"/>
              </w:rPr>
              <w:t>Proagua</w:t>
            </w:r>
            <w:proofErr w:type="spellEnd"/>
            <w:r w:rsidRPr="00CC6076">
              <w:rPr>
                <w:rFonts w:ascii="Arial" w:hAnsi="Arial" w:cs="Arial"/>
                <w:sz w:val="20"/>
                <w:szCs w:val="20"/>
              </w:rPr>
              <w:t xml:space="preserve"> agua limpia SARS-COV2 (COVID-19)</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8.3.4.12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UNESCO Fondo internacional para la Diversidad Cultural (FIDC)</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8.3.4.13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Apoyo al Empleo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8.3.4.14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Otros Convenios Social y Humano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8.3.5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Seguridad</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4,263,933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8.3.5.1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w:t>
            </w:r>
            <w:proofErr w:type="spellStart"/>
            <w:r w:rsidRPr="00CC6076">
              <w:rPr>
                <w:rFonts w:ascii="Arial" w:hAnsi="Arial" w:cs="Arial"/>
                <w:sz w:val="20"/>
                <w:szCs w:val="20"/>
              </w:rPr>
              <w:t>Fortaseg</w:t>
            </w:r>
            <w:proofErr w:type="spellEnd"/>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8.3.5.2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Subsidio para las acciones de búsqueda de personas desaparecidas o no localizadas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4,263,933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8.3.5.3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Otros Convenios Seguridad</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8.3.6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Buen Gobierno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22,126,029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8.3.6.1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Armonización Contable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1,885,246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8.3.6.2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Modernización Integral del Registro Civil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1,134,660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8.3.6.3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Modernización y Vinculación Registral y Catastral del padrón Inmobiliario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8.3.6.4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Desarrollo Regional Turístico Sustentable y Pueblos Mágicos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8.3.6.5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Agua Potable Drenaje y Tratamiento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8.3.6.6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para el Bienestar y el Avance de las Mujeres (FOBAM)</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3,324,646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8.3.6.7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Apoyo para refugios especializados para mujeres víctimas de violencia, sus hijas e hijos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6,160,375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8.3.6.8</w:t>
            </w:r>
          </w:p>
        </w:tc>
        <w:tc>
          <w:tcPr>
            <w:tcW w:w="6237" w:type="dxa"/>
            <w:tcBorders>
              <w:top w:val="nil"/>
              <w:left w:val="nil"/>
              <w:bottom w:val="nil"/>
              <w:right w:val="nil"/>
            </w:tcBorders>
            <w:shd w:val="clear" w:color="auto" w:fill="auto"/>
            <w:noWrap/>
            <w:hideMark/>
          </w:tcPr>
          <w:p w:rsidR="00CC6076" w:rsidRPr="00CC6076" w:rsidRDefault="00CC6076" w:rsidP="00054FD3">
            <w:pPr>
              <w:spacing w:line="360" w:lineRule="auto"/>
              <w:jc w:val="both"/>
              <w:rPr>
                <w:rFonts w:ascii="Arial" w:hAnsi="Arial" w:cs="Arial"/>
                <w:color w:val="000000"/>
                <w:sz w:val="20"/>
                <w:szCs w:val="20"/>
              </w:rPr>
            </w:pPr>
            <w:r w:rsidRPr="00CC6076">
              <w:rPr>
                <w:rFonts w:ascii="Arial" w:hAnsi="Arial" w:cs="Arial"/>
                <w:color w:val="000000"/>
                <w:sz w:val="20"/>
                <w:szCs w:val="20"/>
              </w:rPr>
              <w:t>Coordinación del Sistema Nacional de Protección Civil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8,343,602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8.3.6.9</w:t>
            </w:r>
          </w:p>
        </w:tc>
        <w:tc>
          <w:tcPr>
            <w:tcW w:w="6237" w:type="dxa"/>
            <w:tcBorders>
              <w:top w:val="single" w:sz="4" w:space="0" w:color="404040"/>
              <w:left w:val="nil"/>
              <w:bottom w:val="single" w:sz="4" w:space="0" w:color="404040"/>
              <w:right w:val="nil"/>
            </w:tcBorders>
            <w:shd w:val="clear" w:color="auto" w:fill="auto"/>
            <w:noWrap/>
            <w:hideMark/>
          </w:tcPr>
          <w:p w:rsidR="00CC6076" w:rsidRPr="00CC6076" w:rsidRDefault="00CC6076" w:rsidP="00054FD3">
            <w:pPr>
              <w:spacing w:line="360" w:lineRule="auto"/>
              <w:jc w:val="both"/>
              <w:rPr>
                <w:rFonts w:ascii="Arial" w:hAnsi="Arial" w:cs="Arial"/>
                <w:color w:val="000000"/>
                <w:sz w:val="20"/>
                <w:szCs w:val="20"/>
              </w:rPr>
            </w:pPr>
            <w:r w:rsidRPr="00CC6076">
              <w:rPr>
                <w:rFonts w:ascii="Arial" w:hAnsi="Arial" w:cs="Arial"/>
                <w:color w:val="000000"/>
                <w:sz w:val="20"/>
                <w:szCs w:val="20"/>
              </w:rPr>
              <w:t xml:space="preserve"> Administración y Enajenación de activos (INDEP) </w:t>
            </w:r>
          </w:p>
        </w:tc>
        <w:tc>
          <w:tcPr>
            <w:tcW w:w="1590" w:type="dxa"/>
            <w:tcBorders>
              <w:top w:val="nil"/>
              <w:left w:val="nil"/>
              <w:bottom w:val="single" w:sz="4" w:space="0" w:color="404040"/>
              <w:right w:val="nil"/>
            </w:tcBorders>
            <w:shd w:val="clear" w:color="auto" w:fill="auto"/>
            <w:noWrap/>
            <w:hideMark/>
          </w:tcPr>
          <w:p w:rsidR="00CC6076" w:rsidRPr="00CC6076" w:rsidRDefault="00CC6076" w:rsidP="00992C29">
            <w:pPr>
              <w:spacing w:line="360" w:lineRule="auto"/>
              <w:jc w:val="right"/>
              <w:rPr>
                <w:rFonts w:ascii="Arial" w:hAnsi="Arial" w:cs="Arial"/>
                <w:color w:val="000000"/>
                <w:sz w:val="20"/>
                <w:szCs w:val="20"/>
              </w:rPr>
            </w:pPr>
            <w:r w:rsidRPr="00CC6076">
              <w:rPr>
                <w:rFonts w:ascii="Arial" w:hAnsi="Arial" w:cs="Arial"/>
                <w:color w:val="000000"/>
                <w:sz w:val="20"/>
                <w:szCs w:val="20"/>
              </w:rPr>
              <w:t>1,277,500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8.3.6.10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Otros Convenios Buen Gobierno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8.3.7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Ramo 23</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8.3.7.1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Accesibilidad para personas con Discapacidad</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8.3.7.2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Fideicomiso Fondo Metropolitano (FIFONMETRO)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8.3.7.3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Regional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8.3.7.4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Nacional de Infraestructura (FONADIN)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8.3.7.5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Proyecto de Desarrollo Regional (Zona </w:t>
            </w:r>
            <w:proofErr w:type="spellStart"/>
            <w:r w:rsidRPr="00CC6076">
              <w:rPr>
                <w:rFonts w:ascii="Arial" w:hAnsi="Arial" w:cs="Arial"/>
                <w:sz w:val="20"/>
                <w:szCs w:val="20"/>
              </w:rPr>
              <w:t>Henequenera</w:t>
            </w:r>
            <w:proofErr w:type="spellEnd"/>
            <w:r w:rsidRPr="00CC6076">
              <w:rPr>
                <w:rFonts w:ascii="Arial" w:hAnsi="Arial" w:cs="Arial"/>
                <w:sz w:val="20"/>
                <w:szCs w:val="20"/>
              </w:rPr>
              <w:t>)</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8.3.7.6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Fortalecimiento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8.3.7.7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5% Museos o Zonas Arqueológicas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8.3.7.8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Subsidios para Contingencias Económicas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8.3.7.9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Fideicomiso para la Infraestructura de los Estados (FIES)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8.3.7.10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Programa de infraestructura en su vertiente ampliación mejoramiento de a la vivienda de la SEDATU</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8.3.7.11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Otros Convenios Ramo 23</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8.3.8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Comunicación y Transporte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8.3.8.1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Conservación y Estudios y Proyectos de Caminos Rurales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8.3.8.2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Otros Convenios Comunicación y Transporte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8.3.9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Agricultura, Ganadería, Desarrollo Rural, Pesca y Alimentación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49,668,820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8.3.9.1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Impulso a la Capitalización Pesquera y Acuícola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8.3.9.2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Componente de Atención a Desastres Naturales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8.3.9.3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Programa rehabilitación modernización tecnificada y equipamiento de unidades de riego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34,286,595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8.3.9.4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Prevención, Combate y Control de Incendios Forestales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1,899,200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8.3.9.5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Apoyo a la Infraestructura </w:t>
            </w:r>
            <w:proofErr w:type="spellStart"/>
            <w:r w:rsidRPr="00CC6076">
              <w:rPr>
                <w:rFonts w:ascii="Arial" w:hAnsi="Arial" w:cs="Arial"/>
                <w:sz w:val="20"/>
                <w:szCs w:val="20"/>
              </w:rPr>
              <w:t>Hidroagrícola</w:t>
            </w:r>
            <w:proofErr w:type="spellEnd"/>
            <w:r w:rsidRPr="00CC6076">
              <w:rPr>
                <w:rFonts w:ascii="Arial" w:hAnsi="Arial" w:cs="Arial"/>
                <w:sz w:val="20"/>
                <w:szCs w:val="20"/>
              </w:rPr>
              <w:t xml:space="preserve"> CONAGUA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13,483,025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8.3.9.6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Sembrando vida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8.3.9.7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Sanidad e Inocuidad Agroalimentaria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8.3.9.8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Otros Convenios </w:t>
            </w:r>
            <w:proofErr w:type="spellStart"/>
            <w:r w:rsidRPr="00CC6076">
              <w:rPr>
                <w:rFonts w:ascii="Arial" w:hAnsi="Arial" w:cs="Arial"/>
                <w:sz w:val="20"/>
                <w:szCs w:val="20"/>
              </w:rPr>
              <w:t>AGDRPyA</w:t>
            </w:r>
            <w:proofErr w:type="spellEnd"/>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Incentivos Derivados de la Colaboración Fiscal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992,345,939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8.4.1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Incentivos por colaboración Administrativa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992,345,939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8.4.1.1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Impuestos Federales Administrados por el Estado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343,270,447</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8.4.1.1.1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 Impuestos sobre tenencia o uso de vehículos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8.4.1.1.2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b) Impuesto sobre automóviles nuevos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202,736,026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8.4.1.1.3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 Impuesto Especial Sobre Producción y Servicios a las gasolinas y diésel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8.4.1.1.4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d) Impuesto Sobre la Renta de quienes tributan en los términos del Capítulo IV del Título IV de la Ley del Impuesto Sobre la Renta respecto de la enajenación de terrenos construcciones o terrenos y construcciones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140,534,419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8.4.1.2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Incentivos y Multas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649,075,492</w:t>
            </w:r>
          </w:p>
        </w:tc>
      </w:tr>
      <w:tr w:rsidR="00CC6076" w:rsidRPr="00CC6076" w:rsidTr="00992C29">
        <w:trPr>
          <w:trHeight w:val="20"/>
          <w:jc w:val="center"/>
        </w:trPr>
        <w:tc>
          <w:tcPr>
            <w:tcW w:w="993" w:type="dxa"/>
            <w:tcBorders>
              <w:top w:val="nil"/>
              <w:left w:val="nil"/>
              <w:bottom w:val="single" w:sz="4" w:space="0" w:color="404040"/>
              <w:right w:val="nil"/>
            </w:tcBorders>
            <w:shd w:val="clear" w:color="000000" w:fill="D9D9D9"/>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9</w:t>
            </w:r>
          </w:p>
        </w:tc>
        <w:tc>
          <w:tcPr>
            <w:tcW w:w="6237" w:type="dxa"/>
            <w:tcBorders>
              <w:top w:val="nil"/>
              <w:left w:val="nil"/>
              <w:bottom w:val="single" w:sz="4" w:space="0" w:color="404040"/>
              <w:right w:val="nil"/>
            </w:tcBorders>
            <w:shd w:val="clear" w:color="000000" w:fill="D9D9D9"/>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Transferencias, Asignaciones, Subsidios y Subvenciones, y Pensiones y Jubilaciones</w:t>
            </w:r>
          </w:p>
        </w:tc>
        <w:tc>
          <w:tcPr>
            <w:tcW w:w="1590" w:type="dxa"/>
            <w:tcBorders>
              <w:top w:val="nil"/>
              <w:left w:val="nil"/>
              <w:bottom w:val="single" w:sz="4" w:space="0" w:color="404040"/>
              <w:right w:val="nil"/>
            </w:tcBorders>
            <w:shd w:val="clear" w:color="000000" w:fill="D9D9D9"/>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2,295,606,860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9.1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Transferencias y Asignaciones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9.1.1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Transferencias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9.1.2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Asignaciones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9.3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Subsidios y Subvenciones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2,295,606,860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9.3.1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Universidad Autónoma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2,295,606,860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9.5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Pensiones y Jubilaciones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9.5.1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Pensiones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9.5.2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Jubilaciones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9.7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Transferencias del Fondo Mexicano del Petróleo para la Estabilización y el Desarrollo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9.7.1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Transferencias del Fondo Mexicano del Petróleo para la Estabilización y el Desarrollo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Ingresos Derivados de Financiamientos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0.1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Endeudamiento Interno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0.1.1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Empréstitos con Fuente de Pago de Participaciones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0.1.2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Empréstitos con Fuente de Pago de Aportaciones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0.2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Endeudamiento Externo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0.2.1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Empréstitos con Fuente de Pago de Participaciones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0.2.2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Empréstitos con Fuente de Pago de Aportaciones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0.3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Financiamiento Interno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0.3.1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Empréstitos con Fuente de Pago de Participaciones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auto"/>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0.3.2 </w:t>
            </w:r>
          </w:p>
        </w:tc>
        <w:tc>
          <w:tcPr>
            <w:tcW w:w="6237" w:type="dxa"/>
            <w:tcBorders>
              <w:top w:val="nil"/>
              <w:left w:val="nil"/>
              <w:bottom w:val="single" w:sz="4" w:space="0" w:color="auto"/>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Empréstitos con Fuente de Pago de Aportaciones </w:t>
            </w:r>
          </w:p>
        </w:tc>
        <w:tc>
          <w:tcPr>
            <w:tcW w:w="1590" w:type="dxa"/>
            <w:tcBorders>
              <w:top w:val="nil"/>
              <w:left w:val="nil"/>
              <w:bottom w:val="single" w:sz="4" w:space="0" w:color="auto"/>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bl>
    <w:p w:rsidR="00992C29" w:rsidRDefault="00992C29"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En los casos en que una ley establezca alguno de los ingresos previstos en este artículo, y contenga disposiciones que señalen otros ingresos, estos últimos se considerarán comprendidos en el rubro, tipo o clase que corresponda a los ingresos del primero.</w:t>
      </w:r>
    </w:p>
    <w:p w:rsidR="00992C29" w:rsidRDefault="00992C29"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 xml:space="preserve">Los recursos que, al 31 de diciembre de 2022, estén pendientes de disponer del financiamiento autorizado mediante el </w:t>
      </w:r>
      <w:r w:rsidRPr="00CC6076">
        <w:rPr>
          <w:rFonts w:ascii="Arial" w:eastAsia="Arial" w:hAnsi="Arial" w:cs="Arial"/>
        </w:rPr>
        <w:t xml:space="preserve">Decreto 526/2022 publicado en el Diario Oficial del Gobierno del Estado de Yucatán, el 30 de junio de 2022, se </w:t>
      </w:r>
      <w:r w:rsidRPr="00CC6076">
        <w:rPr>
          <w:rFonts w:ascii="Arial" w:hAnsi="Arial" w:cs="Arial"/>
        </w:rPr>
        <w:t xml:space="preserve">considerarán comprendidos en el rubro, tipo o clase que corresponda </w:t>
      </w:r>
      <w:r w:rsidRPr="00CC6076">
        <w:rPr>
          <w:rFonts w:ascii="Arial" w:eastAsia="Arial" w:hAnsi="Arial" w:cs="Arial"/>
        </w:rPr>
        <w:t>en los términos señalados en el citado Decreto y esta ley</w:t>
      </w:r>
      <w:r w:rsidRPr="00CC6076">
        <w:rPr>
          <w:rFonts w:ascii="Arial" w:hAnsi="Arial" w:cs="Arial"/>
        </w:rPr>
        <w:t>.</w:t>
      </w:r>
    </w:p>
    <w:p w:rsidR="00992C29" w:rsidRDefault="00992C29"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3. Formatos de disciplina financiera</w:t>
      </w:r>
    </w:p>
    <w:p w:rsidR="00CC6076" w:rsidRPr="00CC6076" w:rsidRDefault="00CC6076" w:rsidP="00CC6076">
      <w:pPr>
        <w:spacing w:line="360" w:lineRule="auto"/>
        <w:jc w:val="both"/>
        <w:rPr>
          <w:rFonts w:ascii="Arial" w:hAnsi="Arial" w:cs="Arial"/>
        </w:rPr>
      </w:pPr>
      <w:r w:rsidRPr="00CC6076">
        <w:rPr>
          <w:rFonts w:ascii="Arial" w:hAnsi="Arial" w:cs="Arial"/>
        </w:rPr>
        <w:t xml:space="preserve">La proyección de ingresos de los próximos cinco años, es decir, de 2023 a 2028, se encuentra desglosada en el anexo I de esta ley. </w:t>
      </w:r>
    </w:p>
    <w:p w:rsidR="00054FD3" w:rsidRDefault="00054FD3"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El resultado de los ingresos durante el periodo de los últimos cinco años, es decir, de 2017 a 2022, se presenta en el anexo II de esta ley.</w:t>
      </w:r>
    </w:p>
    <w:p w:rsidR="00054FD3" w:rsidRDefault="00054FD3" w:rsidP="00CC6076">
      <w:pPr>
        <w:spacing w:line="360" w:lineRule="auto"/>
        <w:jc w:val="both"/>
        <w:rPr>
          <w:rFonts w:ascii="Arial" w:eastAsia="Arial" w:hAnsi="Arial" w:cs="Arial"/>
          <w:b/>
        </w:rPr>
      </w:pPr>
    </w:p>
    <w:p w:rsidR="00CC6076" w:rsidRPr="00CC6076" w:rsidRDefault="00CC6076" w:rsidP="00CC6076">
      <w:pPr>
        <w:spacing w:line="360" w:lineRule="auto"/>
        <w:jc w:val="both"/>
        <w:rPr>
          <w:rFonts w:ascii="Arial" w:eastAsia="Arial" w:hAnsi="Arial" w:cs="Arial"/>
        </w:rPr>
      </w:pPr>
      <w:r w:rsidRPr="00CC6076">
        <w:rPr>
          <w:rFonts w:ascii="Arial" w:eastAsia="Arial" w:hAnsi="Arial" w:cs="Arial"/>
          <w:b/>
        </w:rPr>
        <w:t>Artículo 4. Programa de financiamiento anual</w:t>
      </w:r>
    </w:p>
    <w:p w:rsidR="00CC6076" w:rsidRDefault="00CC6076" w:rsidP="00CC6076">
      <w:pPr>
        <w:spacing w:line="360" w:lineRule="auto"/>
        <w:jc w:val="both"/>
        <w:rPr>
          <w:rFonts w:ascii="Arial" w:eastAsia="Arial" w:hAnsi="Arial" w:cs="Arial"/>
        </w:rPr>
      </w:pPr>
      <w:r w:rsidRPr="00CC6076">
        <w:rPr>
          <w:rFonts w:ascii="Arial" w:eastAsia="Arial" w:hAnsi="Arial" w:cs="Arial"/>
        </w:rPr>
        <w:t>De conformidad con lo establecido en el artículo 52, fracción V, de la Ley del Presupuesto y Contabilidad Gubernamental del Estado de Yucatán, para el programa anual de financiamiento 2023, la estimación de las amortizaciones y el costo del servicio de la deuda de largo plazo que se cubrirán durante este ejercicio fiscal es de $80,775,955.00 y de $862,968,960.00, respectivamente. Las cifras señaladas corresponden a los seis financiamientos de largo plazo vigentes identificados con las siguientes claves de inscripción en el Registro Público Único de Financiamientos y Obligaciones de Entidades Federativas y Municipios a cargo de la Secretaría de Hacienda y Crédito Público: P31-0413037, P31-1119054, P31-1020086, P31-1020087, P31-1020088 y P31-0922035, y serán aplicados de la siguiente manera:</w:t>
      </w:r>
    </w:p>
    <w:p w:rsidR="00054FD3" w:rsidRPr="00CC6076" w:rsidRDefault="00054FD3" w:rsidP="00054FD3">
      <w:pPr>
        <w:jc w:val="both"/>
        <w:rPr>
          <w:rFonts w:ascii="Arial" w:eastAsia="Arial" w:hAnsi="Arial" w:cs="Arial"/>
        </w:rPr>
      </w:pPr>
    </w:p>
    <w:tbl>
      <w:tblPr>
        <w:tblW w:w="5000" w:type="pct"/>
        <w:jc w:val="center"/>
        <w:tblLook w:val="0400" w:firstRow="0" w:lastRow="0" w:firstColumn="0" w:lastColumn="0" w:noHBand="0" w:noVBand="1"/>
      </w:tblPr>
      <w:tblGrid>
        <w:gridCol w:w="1634"/>
        <w:gridCol w:w="2761"/>
        <w:gridCol w:w="1418"/>
        <w:gridCol w:w="1596"/>
        <w:gridCol w:w="1430"/>
      </w:tblGrid>
      <w:tr w:rsidR="00CC6076" w:rsidRPr="00222D73" w:rsidTr="00054FD3">
        <w:trPr>
          <w:trHeight w:val="20"/>
          <w:jc w:val="center"/>
        </w:trPr>
        <w:tc>
          <w:tcPr>
            <w:tcW w:w="5000" w:type="pct"/>
            <w:gridSpan w:val="5"/>
            <w:tcBorders>
              <w:top w:val="nil"/>
              <w:left w:val="nil"/>
              <w:bottom w:val="nil"/>
              <w:right w:val="nil"/>
            </w:tcBorders>
            <w:shd w:val="clear" w:color="auto" w:fill="auto"/>
          </w:tcPr>
          <w:p w:rsidR="00CC6076" w:rsidRPr="00222D73" w:rsidRDefault="00CC6076" w:rsidP="00054FD3">
            <w:pPr>
              <w:jc w:val="center"/>
              <w:rPr>
                <w:rFonts w:ascii="Arial" w:eastAsia="Arial" w:hAnsi="Arial" w:cs="Arial"/>
                <w:b/>
                <w:color w:val="000000"/>
                <w:sz w:val="16"/>
                <w:szCs w:val="16"/>
              </w:rPr>
            </w:pPr>
            <w:r w:rsidRPr="00222D73">
              <w:rPr>
                <w:rFonts w:ascii="Arial" w:eastAsia="Arial" w:hAnsi="Arial" w:cs="Arial"/>
                <w:b/>
                <w:color w:val="000000"/>
                <w:sz w:val="16"/>
                <w:szCs w:val="16"/>
              </w:rPr>
              <w:t>Tabla 2. Amortización y servicio de la deuda pública de largo plazo</w:t>
            </w:r>
          </w:p>
        </w:tc>
      </w:tr>
      <w:tr w:rsidR="00CC6076" w:rsidRPr="00222D73" w:rsidTr="00054FD3">
        <w:trPr>
          <w:trHeight w:val="20"/>
          <w:jc w:val="center"/>
        </w:trPr>
        <w:tc>
          <w:tcPr>
            <w:tcW w:w="924" w:type="pct"/>
            <w:tcBorders>
              <w:top w:val="single" w:sz="4" w:space="0" w:color="000000"/>
              <w:left w:val="single" w:sz="4" w:space="0" w:color="000000"/>
              <w:bottom w:val="single" w:sz="4" w:space="0" w:color="000000"/>
              <w:right w:val="single" w:sz="4" w:space="0" w:color="000000"/>
            </w:tcBorders>
            <w:shd w:val="clear" w:color="auto" w:fill="000000"/>
          </w:tcPr>
          <w:p w:rsidR="00CC6076" w:rsidRPr="00222D73" w:rsidRDefault="00CC6076" w:rsidP="00CC6076">
            <w:pPr>
              <w:spacing w:line="360" w:lineRule="auto"/>
              <w:jc w:val="center"/>
              <w:rPr>
                <w:rFonts w:ascii="Arial" w:eastAsia="Arial" w:hAnsi="Arial" w:cs="Arial"/>
                <w:b/>
                <w:color w:val="FFFFFF"/>
                <w:sz w:val="16"/>
                <w:szCs w:val="16"/>
              </w:rPr>
            </w:pPr>
            <w:r w:rsidRPr="00222D73">
              <w:rPr>
                <w:rFonts w:ascii="Arial" w:eastAsia="Arial" w:hAnsi="Arial" w:cs="Arial"/>
                <w:b/>
                <w:color w:val="FFFFFF"/>
                <w:sz w:val="16"/>
                <w:szCs w:val="16"/>
              </w:rPr>
              <w:t>Clasificación deuda</w:t>
            </w:r>
          </w:p>
        </w:tc>
        <w:tc>
          <w:tcPr>
            <w:tcW w:w="1562" w:type="pct"/>
            <w:tcBorders>
              <w:top w:val="single" w:sz="4" w:space="0" w:color="000000"/>
              <w:left w:val="nil"/>
              <w:bottom w:val="single" w:sz="4" w:space="0" w:color="000000"/>
              <w:right w:val="single" w:sz="4" w:space="0" w:color="000000"/>
            </w:tcBorders>
            <w:shd w:val="clear" w:color="auto" w:fill="000000"/>
          </w:tcPr>
          <w:p w:rsidR="00CC6076" w:rsidRPr="00222D73" w:rsidRDefault="00CC6076" w:rsidP="00CC6076">
            <w:pPr>
              <w:spacing w:line="360" w:lineRule="auto"/>
              <w:jc w:val="center"/>
              <w:rPr>
                <w:rFonts w:ascii="Arial" w:eastAsia="Arial" w:hAnsi="Arial" w:cs="Arial"/>
                <w:b/>
                <w:color w:val="FFFFFF"/>
                <w:sz w:val="16"/>
                <w:szCs w:val="16"/>
              </w:rPr>
            </w:pPr>
            <w:r w:rsidRPr="00222D73">
              <w:rPr>
                <w:rFonts w:ascii="Arial" w:eastAsia="Arial" w:hAnsi="Arial" w:cs="Arial"/>
                <w:b/>
                <w:color w:val="FFFFFF"/>
                <w:sz w:val="16"/>
                <w:szCs w:val="16"/>
              </w:rPr>
              <w:t>Institución Financiera/Monto de Contratación</w:t>
            </w:r>
          </w:p>
        </w:tc>
        <w:tc>
          <w:tcPr>
            <w:tcW w:w="802" w:type="pct"/>
            <w:tcBorders>
              <w:top w:val="single" w:sz="4" w:space="0" w:color="000000"/>
              <w:left w:val="nil"/>
              <w:bottom w:val="single" w:sz="4" w:space="0" w:color="000000"/>
              <w:right w:val="single" w:sz="4" w:space="0" w:color="000000"/>
            </w:tcBorders>
            <w:shd w:val="clear" w:color="auto" w:fill="000000"/>
          </w:tcPr>
          <w:p w:rsidR="00CC6076" w:rsidRPr="00222D73" w:rsidRDefault="00CC6076" w:rsidP="00CC6076">
            <w:pPr>
              <w:spacing w:line="360" w:lineRule="auto"/>
              <w:jc w:val="center"/>
              <w:rPr>
                <w:rFonts w:ascii="Arial" w:eastAsia="Arial" w:hAnsi="Arial" w:cs="Arial"/>
                <w:b/>
                <w:color w:val="FFFFFF"/>
                <w:sz w:val="16"/>
                <w:szCs w:val="16"/>
              </w:rPr>
            </w:pPr>
            <w:r w:rsidRPr="00222D73">
              <w:rPr>
                <w:rFonts w:ascii="Arial" w:eastAsia="Arial" w:hAnsi="Arial" w:cs="Arial"/>
                <w:b/>
                <w:color w:val="FFFFFF"/>
                <w:sz w:val="16"/>
                <w:szCs w:val="16"/>
              </w:rPr>
              <w:t>Saldo al 31/dic/2022</w:t>
            </w:r>
          </w:p>
        </w:tc>
        <w:tc>
          <w:tcPr>
            <w:tcW w:w="903" w:type="pct"/>
            <w:tcBorders>
              <w:top w:val="single" w:sz="4" w:space="0" w:color="000000"/>
              <w:left w:val="nil"/>
              <w:bottom w:val="single" w:sz="4" w:space="0" w:color="000000"/>
              <w:right w:val="single" w:sz="4" w:space="0" w:color="000000"/>
            </w:tcBorders>
            <w:shd w:val="clear" w:color="auto" w:fill="000000"/>
          </w:tcPr>
          <w:p w:rsidR="00CC6076" w:rsidRPr="00222D73" w:rsidRDefault="00CC6076" w:rsidP="00CC6076">
            <w:pPr>
              <w:spacing w:line="360" w:lineRule="auto"/>
              <w:jc w:val="center"/>
              <w:rPr>
                <w:rFonts w:ascii="Arial" w:eastAsia="Arial" w:hAnsi="Arial" w:cs="Arial"/>
                <w:b/>
                <w:color w:val="FFFFFF"/>
                <w:sz w:val="16"/>
                <w:szCs w:val="16"/>
              </w:rPr>
            </w:pPr>
            <w:r w:rsidRPr="00222D73">
              <w:rPr>
                <w:rFonts w:ascii="Arial" w:eastAsia="Arial" w:hAnsi="Arial" w:cs="Arial"/>
                <w:b/>
                <w:color w:val="FFFFFF"/>
                <w:sz w:val="16"/>
                <w:szCs w:val="16"/>
              </w:rPr>
              <w:t>Amortización</w:t>
            </w:r>
          </w:p>
        </w:tc>
        <w:tc>
          <w:tcPr>
            <w:tcW w:w="808" w:type="pct"/>
            <w:tcBorders>
              <w:top w:val="single" w:sz="4" w:space="0" w:color="000000"/>
              <w:left w:val="nil"/>
              <w:bottom w:val="single" w:sz="4" w:space="0" w:color="000000"/>
              <w:right w:val="single" w:sz="4" w:space="0" w:color="000000"/>
            </w:tcBorders>
            <w:shd w:val="clear" w:color="auto" w:fill="000000"/>
          </w:tcPr>
          <w:p w:rsidR="00CC6076" w:rsidRPr="00222D73" w:rsidRDefault="00CC6076" w:rsidP="00CC6076">
            <w:pPr>
              <w:spacing w:line="360" w:lineRule="auto"/>
              <w:jc w:val="center"/>
              <w:rPr>
                <w:rFonts w:ascii="Arial" w:eastAsia="Arial" w:hAnsi="Arial" w:cs="Arial"/>
                <w:b/>
                <w:color w:val="FFFFFF"/>
                <w:sz w:val="16"/>
                <w:szCs w:val="16"/>
              </w:rPr>
            </w:pPr>
            <w:r w:rsidRPr="00222D73">
              <w:rPr>
                <w:rFonts w:ascii="Arial" w:eastAsia="Arial" w:hAnsi="Arial" w:cs="Arial"/>
                <w:b/>
                <w:color w:val="FFFFFF"/>
                <w:sz w:val="16"/>
                <w:szCs w:val="16"/>
              </w:rPr>
              <w:t>Servicio de la Deuda</w:t>
            </w:r>
            <w:r w:rsidRPr="00222D73">
              <w:rPr>
                <w:rFonts w:ascii="Arial" w:eastAsia="Arial" w:hAnsi="Arial" w:cs="Arial"/>
                <w:b/>
                <w:color w:val="FFFFFF"/>
                <w:sz w:val="16"/>
                <w:szCs w:val="16"/>
                <w:vertAlign w:val="superscript"/>
              </w:rPr>
              <w:t>1</w:t>
            </w:r>
          </w:p>
        </w:tc>
      </w:tr>
      <w:tr w:rsidR="00CC6076" w:rsidRPr="00222D73" w:rsidTr="00054FD3">
        <w:trPr>
          <w:trHeight w:val="20"/>
          <w:jc w:val="center"/>
        </w:trPr>
        <w:tc>
          <w:tcPr>
            <w:tcW w:w="924" w:type="pct"/>
            <w:tcBorders>
              <w:top w:val="nil"/>
              <w:left w:val="single" w:sz="4" w:space="0" w:color="000000"/>
              <w:bottom w:val="single" w:sz="4" w:space="0" w:color="000000"/>
              <w:right w:val="single" w:sz="4" w:space="0" w:color="000000"/>
            </w:tcBorders>
            <w:shd w:val="clear" w:color="auto" w:fill="auto"/>
          </w:tcPr>
          <w:p w:rsidR="00CC6076" w:rsidRPr="00222D73" w:rsidRDefault="00CC6076" w:rsidP="00CC6076">
            <w:pPr>
              <w:spacing w:line="360" w:lineRule="auto"/>
              <w:rPr>
                <w:rFonts w:ascii="Arial" w:eastAsia="Arial" w:hAnsi="Arial" w:cs="Arial"/>
                <w:color w:val="000000"/>
                <w:sz w:val="16"/>
                <w:szCs w:val="16"/>
              </w:rPr>
            </w:pPr>
            <w:r w:rsidRPr="00222D73">
              <w:rPr>
                <w:rFonts w:ascii="Arial" w:eastAsia="Arial" w:hAnsi="Arial" w:cs="Arial"/>
                <w:color w:val="000000"/>
                <w:sz w:val="16"/>
                <w:szCs w:val="16"/>
              </w:rPr>
              <w:t>Deuda pública de largo plazo</w:t>
            </w:r>
          </w:p>
        </w:tc>
        <w:tc>
          <w:tcPr>
            <w:tcW w:w="1562" w:type="pct"/>
            <w:tcBorders>
              <w:top w:val="nil"/>
              <w:left w:val="nil"/>
              <w:bottom w:val="single" w:sz="4" w:space="0" w:color="000000"/>
              <w:right w:val="single" w:sz="4" w:space="0" w:color="000000"/>
            </w:tcBorders>
            <w:shd w:val="clear" w:color="auto" w:fill="auto"/>
          </w:tcPr>
          <w:p w:rsidR="00CC6076" w:rsidRPr="00222D73" w:rsidRDefault="00CC6076" w:rsidP="00054FD3">
            <w:pPr>
              <w:spacing w:line="360" w:lineRule="auto"/>
              <w:jc w:val="both"/>
              <w:rPr>
                <w:rFonts w:ascii="Arial" w:eastAsia="Arial" w:hAnsi="Arial" w:cs="Arial"/>
                <w:color w:val="000000"/>
                <w:sz w:val="16"/>
                <w:szCs w:val="16"/>
              </w:rPr>
            </w:pPr>
            <w:r w:rsidRPr="00222D73">
              <w:rPr>
                <w:rFonts w:ascii="Arial" w:eastAsia="Arial" w:hAnsi="Arial" w:cs="Arial"/>
                <w:color w:val="000000"/>
                <w:sz w:val="16"/>
                <w:szCs w:val="16"/>
              </w:rPr>
              <w:t xml:space="preserve">Banco Nacional de México, S.A. por 2,620 </w:t>
            </w:r>
            <w:proofErr w:type="spellStart"/>
            <w:r w:rsidRPr="00222D73">
              <w:rPr>
                <w:rFonts w:ascii="Arial" w:eastAsia="Arial" w:hAnsi="Arial" w:cs="Arial"/>
                <w:color w:val="000000"/>
                <w:sz w:val="16"/>
                <w:szCs w:val="16"/>
              </w:rPr>
              <w:t>mdp</w:t>
            </w:r>
            <w:proofErr w:type="spellEnd"/>
          </w:p>
        </w:tc>
        <w:tc>
          <w:tcPr>
            <w:tcW w:w="802"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2,560,263,346</w:t>
            </w:r>
          </w:p>
        </w:tc>
        <w:tc>
          <w:tcPr>
            <w:tcW w:w="903"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35,943,334</w:t>
            </w:r>
          </w:p>
        </w:tc>
        <w:tc>
          <w:tcPr>
            <w:tcW w:w="808"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264,734,446</w:t>
            </w:r>
          </w:p>
        </w:tc>
      </w:tr>
      <w:tr w:rsidR="00CC6076" w:rsidRPr="00222D73" w:rsidTr="00054FD3">
        <w:trPr>
          <w:trHeight w:val="20"/>
          <w:jc w:val="center"/>
        </w:trPr>
        <w:tc>
          <w:tcPr>
            <w:tcW w:w="924" w:type="pct"/>
            <w:tcBorders>
              <w:top w:val="nil"/>
              <w:left w:val="single" w:sz="4" w:space="0" w:color="000000"/>
              <w:bottom w:val="single" w:sz="4" w:space="0" w:color="000000"/>
              <w:right w:val="single" w:sz="4" w:space="0" w:color="000000"/>
            </w:tcBorders>
            <w:shd w:val="clear" w:color="auto" w:fill="auto"/>
          </w:tcPr>
          <w:p w:rsidR="00CC6076" w:rsidRPr="00222D73" w:rsidRDefault="00CC6076" w:rsidP="00CC6076">
            <w:pPr>
              <w:spacing w:line="360" w:lineRule="auto"/>
              <w:rPr>
                <w:rFonts w:ascii="Arial" w:eastAsia="Arial" w:hAnsi="Arial" w:cs="Arial"/>
                <w:color w:val="000000"/>
                <w:sz w:val="16"/>
                <w:szCs w:val="16"/>
              </w:rPr>
            </w:pPr>
            <w:r w:rsidRPr="00222D73">
              <w:rPr>
                <w:rFonts w:ascii="Arial" w:eastAsia="Arial" w:hAnsi="Arial" w:cs="Arial"/>
                <w:color w:val="000000"/>
                <w:sz w:val="16"/>
                <w:szCs w:val="16"/>
              </w:rPr>
              <w:t> </w:t>
            </w:r>
          </w:p>
        </w:tc>
        <w:tc>
          <w:tcPr>
            <w:tcW w:w="1562" w:type="pct"/>
            <w:tcBorders>
              <w:top w:val="nil"/>
              <w:left w:val="nil"/>
              <w:bottom w:val="single" w:sz="4" w:space="0" w:color="000000"/>
              <w:right w:val="single" w:sz="4" w:space="0" w:color="000000"/>
            </w:tcBorders>
            <w:shd w:val="clear" w:color="auto" w:fill="auto"/>
          </w:tcPr>
          <w:p w:rsidR="00CC6076" w:rsidRPr="00222D73" w:rsidRDefault="00CC6076" w:rsidP="00054FD3">
            <w:pPr>
              <w:spacing w:line="360" w:lineRule="auto"/>
              <w:jc w:val="both"/>
              <w:rPr>
                <w:rFonts w:ascii="Arial" w:eastAsia="Arial" w:hAnsi="Arial" w:cs="Arial"/>
                <w:color w:val="000000"/>
                <w:sz w:val="16"/>
                <w:szCs w:val="16"/>
              </w:rPr>
            </w:pPr>
            <w:r w:rsidRPr="00222D73">
              <w:rPr>
                <w:rFonts w:ascii="Arial" w:eastAsia="Arial" w:hAnsi="Arial" w:cs="Arial"/>
                <w:color w:val="000000"/>
                <w:sz w:val="16"/>
                <w:szCs w:val="16"/>
              </w:rPr>
              <w:t xml:space="preserve">Banco Nacional de Obras y Servicios Públicos, S.N.C. por 800 </w:t>
            </w:r>
            <w:proofErr w:type="spellStart"/>
            <w:r w:rsidRPr="00222D73">
              <w:rPr>
                <w:rFonts w:ascii="Arial" w:eastAsia="Arial" w:hAnsi="Arial" w:cs="Arial"/>
                <w:color w:val="000000"/>
                <w:sz w:val="16"/>
                <w:szCs w:val="16"/>
              </w:rPr>
              <w:t>mdp</w:t>
            </w:r>
            <w:proofErr w:type="spellEnd"/>
          </w:p>
        </w:tc>
        <w:tc>
          <w:tcPr>
            <w:tcW w:w="802"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783,499,834</w:t>
            </w:r>
          </w:p>
        </w:tc>
        <w:tc>
          <w:tcPr>
            <w:tcW w:w="903"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9,609,880</w:t>
            </w:r>
          </w:p>
        </w:tc>
        <w:tc>
          <w:tcPr>
            <w:tcW w:w="808"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96,064,210</w:t>
            </w:r>
          </w:p>
        </w:tc>
      </w:tr>
      <w:tr w:rsidR="00CC6076" w:rsidRPr="00222D73" w:rsidTr="00054FD3">
        <w:trPr>
          <w:trHeight w:val="20"/>
          <w:jc w:val="center"/>
        </w:trPr>
        <w:tc>
          <w:tcPr>
            <w:tcW w:w="924" w:type="pct"/>
            <w:tcBorders>
              <w:top w:val="nil"/>
              <w:left w:val="single" w:sz="4" w:space="0" w:color="000000"/>
              <w:bottom w:val="single" w:sz="4" w:space="0" w:color="000000"/>
              <w:right w:val="single" w:sz="4" w:space="0" w:color="000000"/>
            </w:tcBorders>
            <w:shd w:val="clear" w:color="auto" w:fill="auto"/>
          </w:tcPr>
          <w:p w:rsidR="00CC6076" w:rsidRPr="00222D73" w:rsidRDefault="00CC6076" w:rsidP="00CC6076">
            <w:pPr>
              <w:spacing w:line="360" w:lineRule="auto"/>
              <w:rPr>
                <w:rFonts w:ascii="Arial" w:eastAsia="Arial" w:hAnsi="Arial" w:cs="Arial"/>
                <w:color w:val="000000"/>
                <w:sz w:val="16"/>
                <w:szCs w:val="16"/>
              </w:rPr>
            </w:pPr>
            <w:r w:rsidRPr="00222D73">
              <w:rPr>
                <w:rFonts w:ascii="Arial" w:eastAsia="Arial" w:hAnsi="Arial" w:cs="Arial"/>
                <w:color w:val="000000"/>
                <w:sz w:val="16"/>
                <w:szCs w:val="16"/>
              </w:rPr>
              <w:t> </w:t>
            </w:r>
          </w:p>
        </w:tc>
        <w:tc>
          <w:tcPr>
            <w:tcW w:w="1562" w:type="pct"/>
            <w:tcBorders>
              <w:top w:val="nil"/>
              <w:left w:val="nil"/>
              <w:bottom w:val="single" w:sz="4" w:space="0" w:color="000000"/>
              <w:right w:val="single" w:sz="4" w:space="0" w:color="000000"/>
            </w:tcBorders>
            <w:shd w:val="clear" w:color="auto" w:fill="auto"/>
          </w:tcPr>
          <w:p w:rsidR="00CC6076" w:rsidRPr="00222D73" w:rsidRDefault="00CC6076" w:rsidP="00054FD3">
            <w:pPr>
              <w:spacing w:line="360" w:lineRule="auto"/>
              <w:jc w:val="both"/>
              <w:rPr>
                <w:rFonts w:ascii="Arial" w:eastAsia="Arial" w:hAnsi="Arial" w:cs="Arial"/>
                <w:color w:val="000000"/>
                <w:sz w:val="16"/>
                <w:szCs w:val="16"/>
              </w:rPr>
            </w:pPr>
            <w:r w:rsidRPr="00222D73">
              <w:rPr>
                <w:rFonts w:ascii="Arial" w:eastAsia="Arial" w:hAnsi="Arial" w:cs="Arial"/>
                <w:color w:val="000000"/>
                <w:sz w:val="16"/>
                <w:szCs w:val="16"/>
              </w:rPr>
              <w:t xml:space="preserve">Banco Nacional de Obras y Servicios Públicos, S.N.C. por 1,200 </w:t>
            </w:r>
            <w:proofErr w:type="spellStart"/>
            <w:r w:rsidRPr="00222D73">
              <w:rPr>
                <w:rFonts w:ascii="Arial" w:eastAsia="Arial" w:hAnsi="Arial" w:cs="Arial"/>
                <w:color w:val="000000"/>
                <w:sz w:val="16"/>
                <w:szCs w:val="16"/>
              </w:rPr>
              <w:t>mdp</w:t>
            </w:r>
            <w:proofErr w:type="spellEnd"/>
          </w:p>
        </w:tc>
        <w:tc>
          <w:tcPr>
            <w:tcW w:w="802"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1,175,594,446</w:t>
            </w:r>
          </w:p>
        </w:tc>
        <w:tc>
          <w:tcPr>
            <w:tcW w:w="903"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14,409,097</w:t>
            </w:r>
          </w:p>
        </w:tc>
        <w:tc>
          <w:tcPr>
            <w:tcW w:w="808"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117,843,004</w:t>
            </w:r>
          </w:p>
        </w:tc>
      </w:tr>
      <w:tr w:rsidR="00CC6076" w:rsidRPr="00222D73" w:rsidTr="00054FD3">
        <w:trPr>
          <w:trHeight w:val="20"/>
          <w:jc w:val="center"/>
        </w:trPr>
        <w:tc>
          <w:tcPr>
            <w:tcW w:w="924" w:type="pct"/>
            <w:tcBorders>
              <w:top w:val="nil"/>
              <w:left w:val="single" w:sz="4" w:space="0" w:color="000000"/>
              <w:bottom w:val="single" w:sz="4" w:space="0" w:color="000000"/>
              <w:right w:val="single" w:sz="4" w:space="0" w:color="000000"/>
            </w:tcBorders>
            <w:shd w:val="clear" w:color="auto" w:fill="auto"/>
          </w:tcPr>
          <w:p w:rsidR="00CC6076" w:rsidRPr="00222D73" w:rsidRDefault="00CC6076" w:rsidP="00CC6076">
            <w:pPr>
              <w:spacing w:line="360" w:lineRule="auto"/>
              <w:rPr>
                <w:rFonts w:ascii="Arial" w:eastAsia="Arial" w:hAnsi="Arial" w:cs="Arial"/>
                <w:color w:val="000000"/>
                <w:sz w:val="16"/>
                <w:szCs w:val="16"/>
              </w:rPr>
            </w:pPr>
            <w:r w:rsidRPr="00222D73">
              <w:rPr>
                <w:rFonts w:ascii="Arial" w:eastAsia="Arial" w:hAnsi="Arial" w:cs="Arial"/>
                <w:color w:val="000000"/>
                <w:sz w:val="16"/>
                <w:szCs w:val="16"/>
              </w:rPr>
              <w:t> </w:t>
            </w:r>
          </w:p>
        </w:tc>
        <w:tc>
          <w:tcPr>
            <w:tcW w:w="1562" w:type="pct"/>
            <w:tcBorders>
              <w:top w:val="nil"/>
              <w:left w:val="nil"/>
              <w:bottom w:val="single" w:sz="4" w:space="0" w:color="000000"/>
              <w:right w:val="single" w:sz="4" w:space="0" w:color="000000"/>
            </w:tcBorders>
            <w:shd w:val="clear" w:color="auto" w:fill="auto"/>
          </w:tcPr>
          <w:p w:rsidR="00CC6076" w:rsidRPr="00222D73" w:rsidRDefault="00CC6076" w:rsidP="00054FD3">
            <w:pPr>
              <w:spacing w:line="360" w:lineRule="auto"/>
              <w:jc w:val="both"/>
              <w:rPr>
                <w:rFonts w:ascii="Arial" w:eastAsia="Arial" w:hAnsi="Arial" w:cs="Arial"/>
                <w:color w:val="000000"/>
                <w:sz w:val="16"/>
                <w:szCs w:val="16"/>
              </w:rPr>
            </w:pPr>
            <w:r w:rsidRPr="00222D73">
              <w:rPr>
                <w:rFonts w:ascii="Arial" w:eastAsia="Arial" w:hAnsi="Arial" w:cs="Arial"/>
                <w:color w:val="000000"/>
                <w:sz w:val="16"/>
                <w:szCs w:val="16"/>
              </w:rPr>
              <w:t xml:space="preserve">Banco Nacional de Obras y Servicios Públicos, S.N.C. por 1,420 </w:t>
            </w:r>
            <w:proofErr w:type="spellStart"/>
            <w:r w:rsidRPr="00222D73">
              <w:rPr>
                <w:rFonts w:ascii="Arial" w:eastAsia="Arial" w:hAnsi="Arial" w:cs="Arial"/>
                <w:color w:val="000000"/>
                <w:sz w:val="16"/>
                <w:szCs w:val="16"/>
              </w:rPr>
              <w:t>mdp</w:t>
            </w:r>
            <w:proofErr w:type="spellEnd"/>
          </w:p>
        </w:tc>
        <w:tc>
          <w:tcPr>
            <w:tcW w:w="802"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1,352,199,421</w:t>
            </w:r>
          </w:p>
        </w:tc>
        <w:tc>
          <w:tcPr>
            <w:tcW w:w="903"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16,585,166</w:t>
            </w:r>
          </w:p>
        </w:tc>
        <w:tc>
          <w:tcPr>
            <w:tcW w:w="808"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168,130,367</w:t>
            </w:r>
          </w:p>
        </w:tc>
      </w:tr>
      <w:tr w:rsidR="00CC6076" w:rsidRPr="00222D73" w:rsidTr="00054FD3">
        <w:trPr>
          <w:trHeight w:val="20"/>
          <w:jc w:val="center"/>
        </w:trPr>
        <w:tc>
          <w:tcPr>
            <w:tcW w:w="924" w:type="pct"/>
            <w:tcBorders>
              <w:top w:val="nil"/>
              <w:left w:val="single" w:sz="4" w:space="0" w:color="000000"/>
              <w:bottom w:val="single" w:sz="4" w:space="0" w:color="000000"/>
              <w:right w:val="single" w:sz="4" w:space="0" w:color="000000"/>
            </w:tcBorders>
            <w:shd w:val="clear" w:color="auto" w:fill="auto"/>
          </w:tcPr>
          <w:p w:rsidR="00CC6076" w:rsidRPr="00222D73" w:rsidRDefault="00CC6076" w:rsidP="00CC6076">
            <w:pPr>
              <w:spacing w:line="360" w:lineRule="auto"/>
              <w:rPr>
                <w:rFonts w:ascii="Arial" w:eastAsia="Arial" w:hAnsi="Arial" w:cs="Arial"/>
                <w:color w:val="000000"/>
                <w:sz w:val="16"/>
                <w:szCs w:val="16"/>
              </w:rPr>
            </w:pPr>
            <w:r w:rsidRPr="00222D73">
              <w:rPr>
                <w:rFonts w:ascii="Arial" w:eastAsia="Arial" w:hAnsi="Arial" w:cs="Arial"/>
                <w:color w:val="000000"/>
                <w:sz w:val="16"/>
                <w:szCs w:val="16"/>
              </w:rPr>
              <w:t> </w:t>
            </w:r>
          </w:p>
        </w:tc>
        <w:tc>
          <w:tcPr>
            <w:tcW w:w="1562" w:type="pct"/>
            <w:tcBorders>
              <w:top w:val="nil"/>
              <w:left w:val="nil"/>
              <w:bottom w:val="single" w:sz="4" w:space="0" w:color="000000"/>
              <w:right w:val="single" w:sz="4" w:space="0" w:color="000000"/>
            </w:tcBorders>
            <w:shd w:val="clear" w:color="auto" w:fill="auto"/>
          </w:tcPr>
          <w:p w:rsidR="00CC6076" w:rsidRPr="00222D73" w:rsidRDefault="00CC6076" w:rsidP="00054FD3">
            <w:pPr>
              <w:spacing w:line="360" w:lineRule="auto"/>
              <w:jc w:val="both"/>
              <w:rPr>
                <w:rFonts w:ascii="Arial" w:eastAsia="Arial" w:hAnsi="Arial" w:cs="Arial"/>
                <w:color w:val="000000"/>
                <w:sz w:val="16"/>
                <w:szCs w:val="16"/>
              </w:rPr>
            </w:pPr>
            <w:r w:rsidRPr="00222D73">
              <w:rPr>
                <w:rFonts w:ascii="Arial" w:eastAsia="Arial" w:hAnsi="Arial" w:cs="Arial"/>
                <w:color w:val="000000"/>
                <w:sz w:val="16"/>
                <w:szCs w:val="16"/>
              </w:rPr>
              <w:t xml:space="preserve">BBVA México, S.A. por 1,735 </w:t>
            </w:r>
            <w:proofErr w:type="spellStart"/>
            <w:r w:rsidRPr="00222D73">
              <w:rPr>
                <w:rFonts w:ascii="Arial" w:eastAsia="Arial" w:hAnsi="Arial" w:cs="Arial"/>
                <w:color w:val="000000"/>
                <w:sz w:val="16"/>
                <w:szCs w:val="16"/>
              </w:rPr>
              <w:t>mdp</w:t>
            </w:r>
            <w:proofErr w:type="spellEnd"/>
          </w:p>
        </w:tc>
        <w:tc>
          <w:tcPr>
            <w:tcW w:w="802"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1,734,999,217</w:t>
            </w:r>
          </w:p>
        </w:tc>
        <w:tc>
          <w:tcPr>
            <w:tcW w:w="903"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4,228,478</w:t>
            </w:r>
          </w:p>
        </w:tc>
        <w:tc>
          <w:tcPr>
            <w:tcW w:w="808"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189,313,405</w:t>
            </w:r>
          </w:p>
        </w:tc>
      </w:tr>
      <w:tr w:rsidR="00CC6076" w:rsidRPr="00222D73" w:rsidTr="00054FD3">
        <w:trPr>
          <w:trHeight w:val="20"/>
          <w:jc w:val="center"/>
        </w:trPr>
        <w:tc>
          <w:tcPr>
            <w:tcW w:w="924" w:type="pct"/>
            <w:tcBorders>
              <w:top w:val="nil"/>
              <w:left w:val="single" w:sz="4" w:space="0" w:color="000000"/>
              <w:bottom w:val="single" w:sz="4" w:space="0" w:color="000000"/>
              <w:right w:val="single" w:sz="4" w:space="0" w:color="000000"/>
            </w:tcBorders>
            <w:shd w:val="clear" w:color="auto" w:fill="auto"/>
          </w:tcPr>
          <w:p w:rsidR="00CC6076" w:rsidRPr="00222D73" w:rsidRDefault="00CC6076" w:rsidP="00CC6076">
            <w:pPr>
              <w:spacing w:line="360" w:lineRule="auto"/>
              <w:rPr>
                <w:rFonts w:ascii="Arial" w:eastAsia="Arial" w:hAnsi="Arial" w:cs="Arial"/>
                <w:color w:val="000000"/>
                <w:sz w:val="16"/>
                <w:szCs w:val="16"/>
              </w:rPr>
            </w:pPr>
            <w:r w:rsidRPr="00222D73">
              <w:rPr>
                <w:rFonts w:ascii="Arial" w:eastAsia="Arial" w:hAnsi="Arial" w:cs="Arial"/>
                <w:color w:val="000000"/>
                <w:sz w:val="16"/>
                <w:szCs w:val="16"/>
              </w:rPr>
              <w:t> </w:t>
            </w:r>
          </w:p>
        </w:tc>
        <w:tc>
          <w:tcPr>
            <w:tcW w:w="1562" w:type="pct"/>
            <w:tcBorders>
              <w:top w:val="nil"/>
              <w:left w:val="nil"/>
              <w:bottom w:val="single" w:sz="4" w:space="0" w:color="000000"/>
              <w:right w:val="single" w:sz="4" w:space="0" w:color="000000"/>
            </w:tcBorders>
            <w:shd w:val="clear" w:color="auto" w:fill="auto"/>
          </w:tcPr>
          <w:p w:rsidR="00CC6076" w:rsidRPr="00222D73" w:rsidRDefault="00CC6076" w:rsidP="00054FD3">
            <w:pPr>
              <w:spacing w:line="360" w:lineRule="auto"/>
              <w:jc w:val="both"/>
              <w:rPr>
                <w:rFonts w:ascii="Arial" w:eastAsia="Arial" w:hAnsi="Arial" w:cs="Arial"/>
                <w:color w:val="000000"/>
                <w:sz w:val="16"/>
                <w:szCs w:val="16"/>
              </w:rPr>
            </w:pPr>
            <w:r w:rsidRPr="00222D73">
              <w:rPr>
                <w:rFonts w:ascii="Arial" w:eastAsia="Arial" w:hAnsi="Arial" w:cs="Arial"/>
                <w:color w:val="000000"/>
                <w:sz w:val="16"/>
                <w:szCs w:val="16"/>
              </w:rPr>
              <w:t>Total deuda pública de largo plazo</w:t>
            </w:r>
          </w:p>
        </w:tc>
        <w:tc>
          <w:tcPr>
            <w:tcW w:w="802"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7,606,556,264</w:t>
            </w:r>
          </w:p>
        </w:tc>
        <w:tc>
          <w:tcPr>
            <w:tcW w:w="903"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80,775,955</w:t>
            </w:r>
          </w:p>
        </w:tc>
        <w:tc>
          <w:tcPr>
            <w:tcW w:w="808"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836,085,432</w:t>
            </w:r>
          </w:p>
        </w:tc>
      </w:tr>
      <w:tr w:rsidR="00CC6076" w:rsidRPr="00222D73" w:rsidTr="00054FD3">
        <w:trPr>
          <w:trHeight w:val="20"/>
          <w:jc w:val="center"/>
        </w:trPr>
        <w:tc>
          <w:tcPr>
            <w:tcW w:w="924" w:type="pct"/>
            <w:tcBorders>
              <w:top w:val="nil"/>
              <w:left w:val="single" w:sz="4" w:space="0" w:color="000000"/>
              <w:bottom w:val="single" w:sz="4" w:space="0" w:color="000000"/>
              <w:right w:val="single" w:sz="4" w:space="0" w:color="000000"/>
            </w:tcBorders>
            <w:shd w:val="clear" w:color="auto" w:fill="auto"/>
          </w:tcPr>
          <w:p w:rsidR="00CC6076" w:rsidRPr="00222D73" w:rsidRDefault="00CC6076" w:rsidP="00CC6076">
            <w:pPr>
              <w:spacing w:line="360" w:lineRule="auto"/>
              <w:rPr>
                <w:rFonts w:ascii="Arial" w:eastAsia="Arial" w:hAnsi="Arial" w:cs="Arial"/>
                <w:color w:val="000000"/>
                <w:sz w:val="16"/>
                <w:szCs w:val="16"/>
              </w:rPr>
            </w:pPr>
            <w:r w:rsidRPr="00222D73">
              <w:rPr>
                <w:rFonts w:ascii="Arial" w:eastAsia="Arial" w:hAnsi="Arial" w:cs="Arial"/>
                <w:color w:val="000000"/>
                <w:sz w:val="16"/>
                <w:szCs w:val="16"/>
              </w:rPr>
              <w:t>Deuda pública con garantía</w:t>
            </w:r>
          </w:p>
        </w:tc>
        <w:tc>
          <w:tcPr>
            <w:tcW w:w="1562" w:type="pct"/>
            <w:tcBorders>
              <w:top w:val="nil"/>
              <w:left w:val="nil"/>
              <w:bottom w:val="single" w:sz="4" w:space="0" w:color="000000"/>
              <w:right w:val="single" w:sz="4" w:space="0" w:color="000000"/>
            </w:tcBorders>
            <w:shd w:val="clear" w:color="auto" w:fill="auto"/>
          </w:tcPr>
          <w:p w:rsidR="00CC6076" w:rsidRPr="00222D73" w:rsidRDefault="00CC6076" w:rsidP="00054FD3">
            <w:pPr>
              <w:spacing w:line="360" w:lineRule="auto"/>
              <w:jc w:val="both"/>
              <w:rPr>
                <w:rFonts w:ascii="Arial" w:eastAsia="Arial" w:hAnsi="Arial" w:cs="Arial"/>
                <w:color w:val="000000"/>
                <w:sz w:val="16"/>
                <w:szCs w:val="16"/>
              </w:rPr>
            </w:pPr>
            <w:r w:rsidRPr="00222D73">
              <w:rPr>
                <w:rFonts w:ascii="Arial" w:eastAsia="Arial" w:hAnsi="Arial" w:cs="Arial"/>
                <w:color w:val="000000"/>
                <w:sz w:val="16"/>
                <w:szCs w:val="16"/>
              </w:rPr>
              <w:t xml:space="preserve">Banco Nacional de Obras y Servicios Públicos, S.N.C. (PROFISE) por 317 </w:t>
            </w:r>
            <w:proofErr w:type="spellStart"/>
            <w:r w:rsidRPr="00222D73">
              <w:rPr>
                <w:rFonts w:ascii="Arial" w:eastAsia="Arial" w:hAnsi="Arial" w:cs="Arial"/>
                <w:color w:val="000000"/>
                <w:sz w:val="16"/>
                <w:szCs w:val="16"/>
              </w:rPr>
              <w:t>mdp</w:t>
            </w:r>
            <w:proofErr w:type="spellEnd"/>
          </w:p>
        </w:tc>
        <w:tc>
          <w:tcPr>
            <w:tcW w:w="802"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306,931,762</w:t>
            </w:r>
          </w:p>
        </w:tc>
        <w:tc>
          <w:tcPr>
            <w:tcW w:w="903"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rPr>
                <w:rFonts w:ascii="Arial" w:eastAsia="Arial" w:hAnsi="Arial" w:cs="Arial"/>
                <w:color w:val="000000"/>
                <w:sz w:val="16"/>
                <w:szCs w:val="16"/>
              </w:rPr>
            </w:pPr>
            <w:r w:rsidRPr="00222D73">
              <w:rPr>
                <w:rFonts w:ascii="Arial" w:eastAsia="Arial" w:hAnsi="Arial" w:cs="Arial"/>
                <w:color w:val="000000"/>
                <w:sz w:val="16"/>
                <w:szCs w:val="16"/>
              </w:rPr>
              <w:t> </w:t>
            </w:r>
          </w:p>
        </w:tc>
        <w:tc>
          <w:tcPr>
            <w:tcW w:w="808"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26,883,528</w:t>
            </w:r>
          </w:p>
        </w:tc>
      </w:tr>
      <w:tr w:rsidR="00CC6076" w:rsidRPr="00222D73" w:rsidTr="00054FD3">
        <w:trPr>
          <w:trHeight w:val="20"/>
          <w:jc w:val="center"/>
        </w:trPr>
        <w:tc>
          <w:tcPr>
            <w:tcW w:w="924" w:type="pct"/>
            <w:tcBorders>
              <w:top w:val="nil"/>
              <w:left w:val="single" w:sz="4" w:space="0" w:color="000000"/>
              <w:bottom w:val="single" w:sz="4" w:space="0" w:color="000000"/>
              <w:right w:val="single" w:sz="4" w:space="0" w:color="000000"/>
            </w:tcBorders>
            <w:shd w:val="clear" w:color="auto" w:fill="auto"/>
          </w:tcPr>
          <w:p w:rsidR="00CC6076" w:rsidRPr="00222D73" w:rsidRDefault="00CC6076" w:rsidP="00CC6076">
            <w:pPr>
              <w:spacing w:line="360" w:lineRule="auto"/>
              <w:rPr>
                <w:rFonts w:ascii="Arial" w:eastAsia="Arial" w:hAnsi="Arial" w:cs="Arial"/>
                <w:color w:val="000000"/>
                <w:sz w:val="16"/>
                <w:szCs w:val="16"/>
              </w:rPr>
            </w:pPr>
            <w:r w:rsidRPr="00222D73">
              <w:rPr>
                <w:rFonts w:ascii="Arial" w:eastAsia="Arial" w:hAnsi="Arial" w:cs="Arial"/>
                <w:color w:val="000000"/>
                <w:sz w:val="16"/>
                <w:szCs w:val="16"/>
              </w:rPr>
              <w:t> </w:t>
            </w:r>
          </w:p>
        </w:tc>
        <w:tc>
          <w:tcPr>
            <w:tcW w:w="1562" w:type="pct"/>
            <w:tcBorders>
              <w:top w:val="nil"/>
              <w:left w:val="nil"/>
              <w:bottom w:val="single" w:sz="4" w:space="0" w:color="000000"/>
              <w:right w:val="single" w:sz="4" w:space="0" w:color="000000"/>
            </w:tcBorders>
            <w:shd w:val="clear" w:color="auto" w:fill="auto"/>
          </w:tcPr>
          <w:p w:rsidR="00CC6076" w:rsidRPr="00222D73" w:rsidRDefault="00CC6076" w:rsidP="00054FD3">
            <w:pPr>
              <w:spacing w:line="360" w:lineRule="auto"/>
              <w:jc w:val="both"/>
              <w:rPr>
                <w:rFonts w:ascii="Arial" w:eastAsia="Arial" w:hAnsi="Arial" w:cs="Arial"/>
                <w:color w:val="000000"/>
                <w:sz w:val="16"/>
                <w:szCs w:val="16"/>
              </w:rPr>
            </w:pPr>
            <w:r w:rsidRPr="00222D73">
              <w:rPr>
                <w:rFonts w:ascii="Arial" w:eastAsia="Arial" w:hAnsi="Arial" w:cs="Arial"/>
                <w:color w:val="000000"/>
                <w:sz w:val="16"/>
                <w:szCs w:val="16"/>
              </w:rPr>
              <w:t>Total deuda pública con garantía</w:t>
            </w:r>
          </w:p>
        </w:tc>
        <w:tc>
          <w:tcPr>
            <w:tcW w:w="802"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306,931,762</w:t>
            </w:r>
          </w:p>
        </w:tc>
        <w:tc>
          <w:tcPr>
            <w:tcW w:w="903"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0</w:t>
            </w:r>
          </w:p>
        </w:tc>
        <w:tc>
          <w:tcPr>
            <w:tcW w:w="808"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26,883,528</w:t>
            </w:r>
          </w:p>
        </w:tc>
      </w:tr>
      <w:tr w:rsidR="00CC6076" w:rsidRPr="00222D73" w:rsidTr="00054FD3">
        <w:trPr>
          <w:trHeight w:val="20"/>
          <w:jc w:val="center"/>
        </w:trPr>
        <w:tc>
          <w:tcPr>
            <w:tcW w:w="924" w:type="pct"/>
            <w:tcBorders>
              <w:top w:val="nil"/>
              <w:left w:val="single" w:sz="4" w:space="0" w:color="000000"/>
              <w:bottom w:val="single" w:sz="4" w:space="0" w:color="000000"/>
              <w:right w:val="single" w:sz="4" w:space="0" w:color="000000"/>
            </w:tcBorders>
            <w:shd w:val="clear" w:color="auto" w:fill="AEAAAA"/>
          </w:tcPr>
          <w:p w:rsidR="00CC6076" w:rsidRPr="00222D73" w:rsidRDefault="00CC6076" w:rsidP="00CC6076">
            <w:pPr>
              <w:spacing w:line="360" w:lineRule="auto"/>
              <w:rPr>
                <w:rFonts w:ascii="Arial" w:eastAsia="Arial" w:hAnsi="Arial" w:cs="Arial"/>
                <w:color w:val="000000"/>
                <w:sz w:val="16"/>
                <w:szCs w:val="16"/>
              </w:rPr>
            </w:pPr>
            <w:r w:rsidRPr="00222D73">
              <w:rPr>
                <w:rFonts w:ascii="Arial" w:eastAsia="Arial" w:hAnsi="Arial" w:cs="Arial"/>
                <w:color w:val="000000"/>
                <w:sz w:val="16"/>
                <w:szCs w:val="16"/>
              </w:rPr>
              <w:t>Total</w:t>
            </w:r>
          </w:p>
        </w:tc>
        <w:tc>
          <w:tcPr>
            <w:tcW w:w="1562" w:type="pct"/>
            <w:tcBorders>
              <w:top w:val="nil"/>
              <w:left w:val="nil"/>
              <w:bottom w:val="single" w:sz="4" w:space="0" w:color="000000"/>
              <w:right w:val="single" w:sz="4" w:space="0" w:color="000000"/>
            </w:tcBorders>
            <w:shd w:val="clear" w:color="auto" w:fill="AEAAAA"/>
          </w:tcPr>
          <w:p w:rsidR="00CC6076" w:rsidRPr="00222D73" w:rsidRDefault="00CC6076" w:rsidP="00CC6076">
            <w:pPr>
              <w:spacing w:line="360" w:lineRule="auto"/>
              <w:rPr>
                <w:rFonts w:ascii="Arial" w:eastAsia="Arial" w:hAnsi="Arial" w:cs="Arial"/>
                <w:color w:val="000000"/>
                <w:sz w:val="16"/>
                <w:szCs w:val="16"/>
              </w:rPr>
            </w:pPr>
            <w:r w:rsidRPr="00222D73">
              <w:rPr>
                <w:rFonts w:ascii="Arial" w:eastAsia="Arial" w:hAnsi="Arial" w:cs="Arial"/>
                <w:color w:val="000000"/>
                <w:sz w:val="16"/>
                <w:szCs w:val="16"/>
              </w:rPr>
              <w:t> </w:t>
            </w:r>
          </w:p>
        </w:tc>
        <w:tc>
          <w:tcPr>
            <w:tcW w:w="802" w:type="pct"/>
            <w:tcBorders>
              <w:top w:val="nil"/>
              <w:left w:val="nil"/>
              <w:bottom w:val="single" w:sz="4" w:space="0" w:color="000000"/>
              <w:right w:val="single" w:sz="4" w:space="0" w:color="000000"/>
            </w:tcBorders>
            <w:shd w:val="clear" w:color="auto" w:fill="AEAAAA"/>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7,913,488,026</w:t>
            </w:r>
          </w:p>
        </w:tc>
        <w:tc>
          <w:tcPr>
            <w:tcW w:w="903" w:type="pct"/>
            <w:tcBorders>
              <w:top w:val="nil"/>
              <w:left w:val="nil"/>
              <w:bottom w:val="single" w:sz="4" w:space="0" w:color="000000"/>
              <w:right w:val="single" w:sz="4" w:space="0" w:color="000000"/>
            </w:tcBorders>
            <w:shd w:val="clear" w:color="auto" w:fill="AEAAAA"/>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80,775,955</w:t>
            </w:r>
          </w:p>
        </w:tc>
        <w:tc>
          <w:tcPr>
            <w:tcW w:w="808" w:type="pct"/>
            <w:tcBorders>
              <w:top w:val="nil"/>
              <w:left w:val="nil"/>
              <w:bottom w:val="single" w:sz="4" w:space="0" w:color="000000"/>
              <w:right w:val="single" w:sz="4" w:space="0" w:color="000000"/>
            </w:tcBorders>
            <w:shd w:val="clear" w:color="auto" w:fill="AEAAAA"/>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862,968,960</w:t>
            </w:r>
          </w:p>
        </w:tc>
      </w:tr>
      <w:tr w:rsidR="00CC6076" w:rsidRPr="00222D73" w:rsidTr="00054FD3">
        <w:trPr>
          <w:trHeight w:val="20"/>
          <w:jc w:val="center"/>
        </w:trPr>
        <w:tc>
          <w:tcPr>
            <w:tcW w:w="5000" w:type="pct"/>
            <w:gridSpan w:val="5"/>
            <w:tcBorders>
              <w:top w:val="nil"/>
              <w:left w:val="nil"/>
              <w:bottom w:val="nil"/>
              <w:right w:val="nil"/>
            </w:tcBorders>
            <w:shd w:val="clear" w:color="auto" w:fill="auto"/>
          </w:tcPr>
          <w:p w:rsidR="00CC6076" w:rsidRPr="00222D73" w:rsidRDefault="00CC6076" w:rsidP="00054FD3">
            <w:pPr>
              <w:rPr>
                <w:rFonts w:ascii="Arial" w:eastAsia="Arial" w:hAnsi="Arial" w:cs="Arial"/>
                <w:color w:val="000000"/>
                <w:sz w:val="16"/>
                <w:szCs w:val="16"/>
              </w:rPr>
            </w:pPr>
            <w:r w:rsidRPr="00222D73">
              <w:rPr>
                <w:rFonts w:ascii="Arial" w:eastAsia="Arial" w:hAnsi="Arial" w:cs="Arial"/>
                <w:color w:val="000000"/>
                <w:sz w:val="16"/>
                <w:szCs w:val="16"/>
                <w:vertAlign w:val="superscript"/>
              </w:rPr>
              <w:t xml:space="preserve">1 </w:t>
            </w:r>
            <w:r w:rsidRPr="00222D73">
              <w:rPr>
                <w:rFonts w:ascii="Arial" w:eastAsia="Arial" w:hAnsi="Arial" w:cs="Arial"/>
                <w:color w:val="000000"/>
                <w:sz w:val="16"/>
                <w:szCs w:val="16"/>
              </w:rPr>
              <w:t>El servicio de la deuda considera intereses, gastos y costos de cobertura de la deuda pública de largo plazo.</w:t>
            </w:r>
          </w:p>
        </w:tc>
      </w:tr>
    </w:tbl>
    <w:p w:rsidR="00054FD3" w:rsidRDefault="00054FD3" w:rsidP="00CC6076">
      <w:pPr>
        <w:spacing w:line="360" w:lineRule="auto"/>
        <w:jc w:val="both"/>
        <w:rPr>
          <w:rFonts w:ascii="Arial" w:eastAsia="Arial" w:hAnsi="Arial" w:cs="Arial"/>
        </w:rPr>
      </w:pPr>
    </w:p>
    <w:p w:rsidR="00CC6076" w:rsidRPr="00CC6076" w:rsidRDefault="00CC6076" w:rsidP="00CC6076">
      <w:pPr>
        <w:spacing w:line="360" w:lineRule="auto"/>
        <w:jc w:val="both"/>
        <w:rPr>
          <w:rFonts w:ascii="Arial" w:eastAsia="Arial" w:hAnsi="Arial" w:cs="Arial"/>
        </w:rPr>
      </w:pPr>
      <w:r w:rsidRPr="00CC6076">
        <w:rPr>
          <w:rFonts w:ascii="Arial" w:eastAsia="Arial" w:hAnsi="Arial" w:cs="Arial"/>
        </w:rPr>
        <w:t>El calendario de amortizaciones de los siguientes ejercicios fiscales se presenta en el anexo III de esta ley.</w:t>
      </w:r>
    </w:p>
    <w:p w:rsidR="00054FD3" w:rsidRDefault="00054FD3" w:rsidP="00CC6076">
      <w:pPr>
        <w:spacing w:line="360" w:lineRule="auto"/>
        <w:jc w:val="both"/>
        <w:rPr>
          <w:rFonts w:ascii="Arial" w:eastAsia="Arial" w:hAnsi="Arial" w:cs="Arial"/>
        </w:rPr>
      </w:pPr>
    </w:p>
    <w:p w:rsidR="00CC6076" w:rsidRPr="00CC6076" w:rsidRDefault="00CC6076" w:rsidP="00CC6076">
      <w:pPr>
        <w:spacing w:line="360" w:lineRule="auto"/>
        <w:jc w:val="both"/>
        <w:rPr>
          <w:rFonts w:ascii="Arial" w:eastAsia="Arial" w:hAnsi="Arial" w:cs="Arial"/>
        </w:rPr>
      </w:pPr>
      <w:r w:rsidRPr="00CC6076">
        <w:rPr>
          <w:rFonts w:ascii="Arial" w:eastAsia="Arial" w:hAnsi="Arial" w:cs="Arial"/>
        </w:rPr>
        <w:t>Con base en el resultado de la evaluación del Sistema de Alertas de la Secretaría de Hacienda y Crédito Público publicada el 30 de junio de 2022, el estado de Yucatán se encuentra clasificado con un nivel de endeudamiento sostenible y con acceso a un techo de financiamiento neto equivalente al quince por ciento de sus ingresos de libre disposición.</w:t>
      </w:r>
    </w:p>
    <w:p w:rsidR="00054FD3" w:rsidRDefault="00054FD3" w:rsidP="00CC6076">
      <w:pPr>
        <w:spacing w:line="360" w:lineRule="auto"/>
        <w:jc w:val="both"/>
        <w:rPr>
          <w:rFonts w:ascii="Arial" w:eastAsia="Arial" w:hAnsi="Arial" w:cs="Arial"/>
        </w:rPr>
      </w:pPr>
    </w:p>
    <w:p w:rsidR="00CC6076" w:rsidRPr="00CC6076" w:rsidRDefault="00CC6076" w:rsidP="00CC6076">
      <w:pPr>
        <w:spacing w:line="360" w:lineRule="auto"/>
        <w:jc w:val="both"/>
        <w:rPr>
          <w:rFonts w:ascii="Arial" w:eastAsia="Arial" w:hAnsi="Arial" w:cs="Arial"/>
        </w:rPr>
      </w:pPr>
      <w:r w:rsidRPr="00CC6076">
        <w:rPr>
          <w:rFonts w:ascii="Arial" w:eastAsia="Arial" w:hAnsi="Arial" w:cs="Arial"/>
        </w:rPr>
        <w:t xml:space="preserve">Si durante el ejercicio fiscal de 2023, se actualiza alguno de los supuestos previstos por el artículo 7 de la Ley de Disciplina Financiera de las Entidades Federativas y los Municipios, con base en el cual se proyectara incurrir al cierre del ejercicio en un balance presupuestario de recursos disponibles negativo, se autoriza al Poder Ejecutivo del estado, conforme al artículo 46, párrafo segundo, de la misma ley, para ampliar el techo de financiamiento neto hasta por el monto necesario para solventar las causas que generaron el balance presupuestario de recursos disponible negativo. </w:t>
      </w:r>
    </w:p>
    <w:p w:rsidR="00054FD3" w:rsidRDefault="00054FD3" w:rsidP="00CC6076">
      <w:pPr>
        <w:spacing w:line="360" w:lineRule="auto"/>
        <w:jc w:val="both"/>
        <w:rPr>
          <w:rFonts w:ascii="Arial" w:eastAsia="Arial" w:hAnsi="Arial" w:cs="Arial"/>
        </w:rPr>
      </w:pPr>
    </w:p>
    <w:p w:rsidR="00CC6076" w:rsidRPr="00CC6076" w:rsidRDefault="00CC6076" w:rsidP="00CC6076">
      <w:pPr>
        <w:spacing w:line="360" w:lineRule="auto"/>
        <w:jc w:val="both"/>
        <w:rPr>
          <w:rFonts w:ascii="Arial" w:eastAsia="Arial" w:hAnsi="Arial" w:cs="Arial"/>
        </w:rPr>
      </w:pPr>
      <w:r w:rsidRPr="00CC6076">
        <w:rPr>
          <w:rFonts w:ascii="Arial" w:eastAsia="Arial" w:hAnsi="Arial" w:cs="Arial"/>
        </w:rPr>
        <w:t xml:space="preserve">Dentro del programa anual de financiamiento 2023, el Poder Ejecutivo del estado prevé la posibilidad de disponer de obligaciones de corto plazo para cubrir necesidades de liquidez conforme a los límites, montos y características establecidos en el artículo 30 de la Ley de Disciplina Financiera de las Entidades Federativas y los Municipios, es decir, teniendo un límite del seis por ciento de los ingresos totales autorizados en esta ley. </w:t>
      </w:r>
    </w:p>
    <w:p w:rsidR="00054FD3" w:rsidRDefault="00054FD3" w:rsidP="00CC6076">
      <w:pPr>
        <w:spacing w:line="360" w:lineRule="auto"/>
        <w:jc w:val="both"/>
        <w:rPr>
          <w:rFonts w:ascii="Arial" w:eastAsia="Arial" w:hAnsi="Arial" w:cs="Arial"/>
        </w:rPr>
      </w:pPr>
    </w:p>
    <w:p w:rsidR="00CC6076" w:rsidRPr="00CC6076" w:rsidRDefault="00CC6076" w:rsidP="00CC6076">
      <w:pPr>
        <w:spacing w:line="360" w:lineRule="auto"/>
        <w:jc w:val="both"/>
        <w:rPr>
          <w:rFonts w:ascii="Arial" w:eastAsia="Arial" w:hAnsi="Arial" w:cs="Arial"/>
        </w:rPr>
      </w:pPr>
      <w:r w:rsidRPr="00CC6076">
        <w:rPr>
          <w:rFonts w:ascii="Arial" w:eastAsia="Arial" w:hAnsi="Arial" w:cs="Arial"/>
        </w:rPr>
        <w:t>Asimismo, también prevé continuar la disposición del financiamiento de largo plazo hasta por el monto remanente o pendiente de disposición al 31 de diciembre de 2022 del Contrato de Apertura de Crédito Simple celebrado hasta por la cantidad de $1,735,000,000.00 (Mil setecientos treinta y cinco millones de pesos 00/100 M.N.) el seis de septiembre de 2022, con base en la autorización legislativa contenida en el Decreto 526/2022 publicado en el Diario Oficial del Gobierno del Estado de Yucatán el 30 de junio de 2022.</w:t>
      </w:r>
    </w:p>
    <w:p w:rsidR="00222D73" w:rsidRDefault="00222D73">
      <w:pPr>
        <w:rPr>
          <w:rFonts w:ascii="Arial" w:eastAsia="Arial" w:hAnsi="Arial" w:cs="Arial"/>
          <w:b/>
        </w:rPr>
      </w:pPr>
      <w:r>
        <w:rPr>
          <w:rFonts w:ascii="Arial" w:eastAsia="Arial" w:hAnsi="Arial" w:cs="Arial"/>
          <w:b/>
        </w:rPr>
        <w:br w:type="page"/>
      </w:r>
    </w:p>
    <w:p w:rsidR="00CC6076" w:rsidRPr="00CC6076" w:rsidRDefault="00CC6076" w:rsidP="00CC6076">
      <w:pPr>
        <w:spacing w:line="360" w:lineRule="auto"/>
        <w:jc w:val="both"/>
        <w:rPr>
          <w:rFonts w:ascii="Arial" w:eastAsia="Arial" w:hAnsi="Arial" w:cs="Arial"/>
        </w:rPr>
      </w:pPr>
      <w:r w:rsidRPr="00CC6076">
        <w:rPr>
          <w:rFonts w:ascii="Arial" w:eastAsia="Arial" w:hAnsi="Arial" w:cs="Arial"/>
          <w:b/>
        </w:rPr>
        <w:t>Artículo 5. Reestructura o refinanciamiento de deuda</w:t>
      </w:r>
    </w:p>
    <w:p w:rsidR="00CC6076" w:rsidRPr="00CC6076" w:rsidRDefault="00CC6076" w:rsidP="00CC6076">
      <w:pPr>
        <w:spacing w:line="360" w:lineRule="auto"/>
        <w:jc w:val="both"/>
        <w:rPr>
          <w:rFonts w:ascii="Arial" w:eastAsia="Arial" w:hAnsi="Arial" w:cs="Arial"/>
        </w:rPr>
      </w:pPr>
      <w:r w:rsidRPr="00CC6076">
        <w:rPr>
          <w:rFonts w:ascii="Arial" w:eastAsia="Arial" w:hAnsi="Arial" w:cs="Arial"/>
          <w:color w:val="000000"/>
        </w:rPr>
        <w:t>C</w:t>
      </w:r>
      <w:r w:rsidRPr="00CC6076">
        <w:rPr>
          <w:rFonts w:ascii="Arial" w:eastAsia="Arial" w:hAnsi="Arial" w:cs="Arial"/>
        </w:rPr>
        <w:t>on base en el análisis de la capacidad de pago del estado de Yucatán, el destino de los financiamientos, la situación de la deuda pública y de los recursos a otorgarse como fuente de pago, se autoriza al Poder Ejecutivo del Estado de Yucatán para que, por conducto de la Secretaría de Administración y Finanzas, durante el ejercicio fiscal 2023:</w:t>
      </w:r>
    </w:p>
    <w:p w:rsidR="00054FD3" w:rsidRDefault="00054FD3" w:rsidP="00CC6076">
      <w:pPr>
        <w:pBdr>
          <w:top w:val="nil"/>
          <w:left w:val="nil"/>
          <w:bottom w:val="nil"/>
          <w:right w:val="nil"/>
          <w:between w:val="nil"/>
        </w:pBdr>
        <w:spacing w:line="360" w:lineRule="auto"/>
        <w:ind w:firstLine="709"/>
        <w:jc w:val="both"/>
        <w:rPr>
          <w:rFonts w:ascii="Arial" w:eastAsia="Arial" w:hAnsi="Arial" w:cs="Arial"/>
          <w:color w:val="000000"/>
        </w:rPr>
      </w:pPr>
    </w:p>
    <w:p w:rsidR="00CC6076" w:rsidRPr="00CC6076" w:rsidRDefault="00CC6076" w:rsidP="00CC6076">
      <w:pPr>
        <w:pBdr>
          <w:top w:val="nil"/>
          <w:left w:val="nil"/>
          <w:bottom w:val="nil"/>
          <w:right w:val="nil"/>
          <w:between w:val="nil"/>
        </w:pBdr>
        <w:spacing w:line="360" w:lineRule="auto"/>
        <w:ind w:firstLine="709"/>
        <w:jc w:val="both"/>
        <w:rPr>
          <w:rFonts w:ascii="Arial" w:eastAsia="Arial" w:hAnsi="Arial" w:cs="Arial"/>
          <w:color w:val="000000"/>
        </w:rPr>
      </w:pPr>
      <w:r w:rsidRPr="00CC6076">
        <w:rPr>
          <w:rFonts w:ascii="Arial" w:eastAsia="Arial" w:hAnsi="Arial" w:cs="Arial"/>
          <w:color w:val="000000"/>
        </w:rPr>
        <w:t xml:space="preserve">I. Celebre una o más operaciones de crédito con </w:t>
      </w:r>
      <w:r w:rsidRPr="00CC6076">
        <w:rPr>
          <w:rFonts w:ascii="Arial" w:eastAsia="Arial" w:hAnsi="Arial" w:cs="Arial"/>
        </w:rPr>
        <w:t xml:space="preserve">un plazo de pago de hasta veinte años </w:t>
      </w:r>
      <w:r w:rsidRPr="00CC6076">
        <w:rPr>
          <w:rFonts w:ascii="Arial" w:eastAsia="Arial" w:hAnsi="Arial" w:cs="Arial"/>
          <w:color w:val="000000"/>
        </w:rPr>
        <w:t xml:space="preserve">contados a partir de su celebración, cuyo destino será la reestructura o el refinanciamiento de los créditos celebrados previamente por el Estado con el Banco Nacional de Obras y Servicios Públicos, S.N.C., el 8 de abril de 2013 y 30 de septiembre de 2020, y con el Banco Nacional de México, S.A. el 6 de noviembre de 2019; financiamientos identificados con las siguientes claves de inscripción en el Registro Público Único de Financiamientos y Obligaciones de Entidades Federativas y Municipios a cargo de la Secretaría de Hacienda y Crédito Público: P31-0413037, P31-1020086, P31-1020087, P31-1020088 y P31-1119054. </w:t>
      </w:r>
    </w:p>
    <w:p w:rsidR="00054FD3" w:rsidRDefault="00054FD3" w:rsidP="00CC6076">
      <w:pPr>
        <w:pBdr>
          <w:top w:val="nil"/>
          <w:left w:val="nil"/>
          <w:bottom w:val="nil"/>
          <w:right w:val="nil"/>
          <w:between w:val="nil"/>
        </w:pBdr>
        <w:spacing w:line="360" w:lineRule="auto"/>
        <w:ind w:firstLine="708"/>
        <w:jc w:val="both"/>
        <w:rPr>
          <w:rFonts w:ascii="Arial" w:eastAsia="Arial" w:hAnsi="Arial" w:cs="Arial"/>
          <w:color w:val="000000"/>
        </w:rPr>
      </w:pPr>
    </w:p>
    <w:p w:rsidR="00CC6076" w:rsidRPr="00CC6076" w:rsidRDefault="00CC6076" w:rsidP="00CC6076">
      <w:pPr>
        <w:pBdr>
          <w:top w:val="nil"/>
          <w:left w:val="nil"/>
          <w:bottom w:val="nil"/>
          <w:right w:val="nil"/>
          <w:between w:val="nil"/>
        </w:pBdr>
        <w:spacing w:line="360" w:lineRule="auto"/>
        <w:ind w:firstLine="708"/>
        <w:jc w:val="both"/>
        <w:rPr>
          <w:rFonts w:ascii="Arial" w:eastAsia="Arial" w:hAnsi="Arial" w:cs="Arial"/>
          <w:color w:val="000000"/>
        </w:rPr>
      </w:pPr>
      <w:r w:rsidRPr="00CC6076">
        <w:rPr>
          <w:rFonts w:ascii="Arial" w:eastAsia="Arial" w:hAnsi="Arial" w:cs="Arial"/>
          <w:color w:val="000000"/>
        </w:rPr>
        <w:t>La autorización a que se refiere este artículo se ejercerá hasta por el monto del saldo insoluto de las obligaciones al momento de su celebración, sin implicar nuevas disposiciones o incremento en el saldo de la deuda pública.</w:t>
      </w:r>
    </w:p>
    <w:p w:rsidR="00054FD3" w:rsidRDefault="00054FD3" w:rsidP="00CC6076">
      <w:pPr>
        <w:pBdr>
          <w:top w:val="nil"/>
          <w:left w:val="nil"/>
          <w:bottom w:val="nil"/>
          <w:right w:val="nil"/>
          <w:between w:val="nil"/>
        </w:pBdr>
        <w:spacing w:line="360" w:lineRule="auto"/>
        <w:ind w:firstLine="708"/>
        <w:jc w:val="both"/>
        <w:rPr>
          <w:rFonts w:ascii="Arial" w:eastAsia="Arial" w:hAnsi="Arial" w:cs="Arial"/>
          <w:color w:val="000000"/>
        </w:rPr>
      </w:pPr>
      <w:bookmarkStart w:id="1" w:name="_gjdgxs" w:colFirst="0" w:colLast="0"/>
      <w:bookmarkEnd w:id="1"/>
    </w:p>
    <w:p w:rsidR="00CC6076" w:rsidRPr="00CC6076" w:rsidRDefault="00CC6076" w:rsidP="00CC6076">
      <w:pPr>
        <w:pBdr>
          <w:top w:val="nil"/>
          <w:left w:val="nil"/>
          <w:bottom w:val="nil"/>
          <w:right w:val="nil"/>
          <w:between w:val="nil"/>
        </w:pBdr>
        <w:spacing w:line="360" w:lineRule="auto"/>
        <w:ind w:firstLine="708"/>
        <w:jc w:val="both"/>
        <w:rPr>
          <w:rFonts w:ascii="Arial" w:eastAsia="Arial" w:hAnsi="Arial" w:cs="Arial"/>
          <w:color w:val="000000"/>
        </w:rPr>
      </w:pPr>
      <w:r w:rsidRPr="00CC6076">
        <w:rPr>
          <w:rFonts w:ascii="Arial" w:eastAsia="Arial" w:hAnsi="Arial" w:cs="Arial"/>
          <w:color w:val="000000"/>
        </w:rPr>
        <w:t>II. Afecte, como fuente de pago de las nuevas operaciones crediticias autorizadas el porcentaje necesario y suficiente de las participaciones que en ingresos federales correspondan al estado de Yucatán del Fondo General de Participaciones (parte del Ramo 28) o de ingresos propios o hasta el 25% de aportaciones federales correspondientes al Fondo de Aportaciones para el Fortalecimiento de las Entidades Federativas (FAFEF); en ambos casos, quedará comprendida la afectación de los recursos y el derecho a recibirlos, así como los ingresos que, en su caso, los reemplacen, sustituyan o complementen; y para tal efecto se podrán pactar como mecanismo de pago un nuevo fideicomiso irrevocable de administración y fuente de pago, o bien, emplear como mecanismo de fuente de pago de las operaciones de financiamiento que se celebren con base en la presente autorización el Fideicomiso Irrevocable de Administración y Fuente de Pago No. 4109088, constituido el 6 de noviembre de 2019, como fideicomiso maestro de la deuda pública estatal.</w:t>
      </w:r>
    </w:p>
    <w:p w:rsidR="00054FD3" w:rsidRDefault="00054FD3" w:rsidP="00CC6076">
      <w:pPr>
        <w:pBdr>
          <w:top w:val="nil"/>
          <w:left w:val="nil"/>
          <w:bottom w:val="nil"/>
          <w:right w:val="nil"/>
          <w:between w:val="nil"/>
        </w:pBdr>
        <w:spacing w:line="360" w:lineRule="auto"/>
        <w:ind w:firstLine="708"/>
        <w:jc w:val="both"/>
        <w:rPr>
          <w:rFonts w:ascii="Arial" w:eastAsia="Arial" w:hAnsi="Arial" w:cs="Arial"/>
          <w:color w:val="000000"/>
        </w:rPr>
      </w:pPr>
    </w:p>
    <w:p w:rsidR="00CC6076" w:rsidRPr="00CC6076" w:rsidRDefault="00CC6076" w:rsidP="00CC6076">
      <w:pPr>
        <w:pBdr>
          <w:top w:val="nil"/>
          <w:left w:val="nil"/>
          <w:bottom w:val="nil"/>
          <w:right w:val="nil"/>
          <w:between w:val="nil"/>
        </w:pBdr>
        <w:spacing w:line="360" w:lineRule="auto"/>
        <w:ind w:firstLine="708"/>
        <w:jc w:val="both"/>
        <w:rPr>
          <w:rFonts w:ascii="Arial" w:eastAsia="Arial" w:hAnsi="Arial" w:cs="Arial"/>
          <w:color w:val="000000"/>
        </w:rPr>
      </w:pPr>
      <w:r w:rsidRPr="00CC6076">
        <w:rPr>
          <w:rFonts w:ascii="Arial" w:eastAsia="Arial" w:hAnsi="Arial" w:cs="Arial"/>
          <w:color w:val="000000"/>
        </w:rPr>
        <w:t xml:space="preserve">III. Contrate uno o más, instrumentos derivados (contratos de cobertura o intercambio de tasas) que, en su caso, tendrán como fuente de pago los mismos ingresos asignados al financiamiento objeto de cobertura y para ello podrán ser inscritos en el mecanismo de pago respectivo. Lo anterior en complemento de las operaciones que se señala en las fracciones I y II. </w:t>
      </w:r>
    </w:p>
    <w:p w:rsidR="00054FD3" w:rsidRDefault="00054FD3" w:rsidP="00CC6076">
      <w:pPr>
        <w:spacing w:line="360" w:lineRule="auto"/>
        <w:jc w:val="both"/>
        <w:rPr>
          <w:rFonts w:ascii="Arial" w:eastAsia="Arial" w:hAnsi="Arial" w:cs="Arial"/>
        </w:rPr>
      </w:pPr>
    </w:p>
    <w:p w:rsidR="00CC6076" w:rsidRPr="00CC6076" w:rsidRDefault="00CC6076" w:rsidP="00CC6076">
      <w:pPr>
        <w:spacing w:line="360" w:lineRule="auto"/>
        <w:jc w:val="both"/>
      </w:pPr>
      <w:r w:rsidRPr="00CC6076">
        <w:rPr>
          <w:rFonts w:ascii="Arial" w:eastAsia="Arial" w:hAnsi="Arial" w:cs="Arial"/>
        </w:rPr>
        <w:t>Las reestructuras o refinanciamientos autorizados en este artículo comprenden la revisión en el monto, tasa, plazo, perfil de amortización, garantías, instrumentos derivados, ingresos afectados como fuente de pago o garantía de pago y fideicomisos, fondos de reserva pactados y comisiones, así como las modificaciones necesarias a las demás condiciones, obligaciones y derechos previamente pactados.</w:t>
      </w:r>
    </w:p>
    <w:p w:rsidR="00054FD3" w:rsidRDefault="00054FD3" w:rsidP="00CC6076">
      <w:pPr>
        <w:pBdr>
          <w:top w:val="nil"/>
          <w:left w:val="nil"/>
          <w:bottom w:val="nil"/>
          <w:right w:val="nil"/>
          <w:between w:val="nil"/>
        </w:pBdr>
        <w:spacing w:line="360" w:lineRule="auto"/>
        <w:ind w:hanging="2"/>
        <w:jc w:val="both"/>
        <w:rPr>
          <w:rFonts w:ascii="Arial" w:eastAsia="Arial" w:hAnsi="Arial" w:cs="Arial"/>
          <w:b/>
        </w:rPr>
      </w:pPr>
    </w:p>
    <w:p w:rsidR="00CC6076" w:rsidRPr="00CC6076" w:rsidRDefault="00CC6076" w:rsidP="00CC6076">
      <w:pPr>
        <w:pBdr>
          <w:top w:val="nil"/>
          <w:left w:val="nil"/>
          <w:bottom w:val="nil"/>
          <w:right w:val="nil"/>
          <w:between w:val="nil"/>
        </w:pBdr>
        <w:spacing w:line="360" w:lineRule="auto"/>
        <w:ind w:hanging="2"/>
        <w:jc w:val="both"/>
        <w:rPr>
          <w:rFonts w:ascii="Arial" w:eastAsia="Arial" w:hAnsi="Arial" w:cs="Arial"/>
          <w:b/>
        </w:rPr>
      </w:pPr>
      <w:r w:rsidRPr="00CC6076">
        <w:rPr>
          <w:rFonts w:ascii="Arial" w:eastAsia="Arial" w:hAnsi="Arial" w:cs="Arial"/>
          <w:b/>
        </w:rPr>
        <w:t>Artículo 6. Instrumentos derivados</w:t>
      </w:r>
    </w:p>
    <w:p w:rsidR="00CC6076" w:rsidRPr="00CC6076" w:rsidRDefault="00CC6076" w:rsidP="00CC6076">
      <w:pPr>
        <w:pBdr>
          <w:top w:val="nil"/>
          <w:left w:val="nil"/>
          <w:bottom w:val="nil"/>
          <w:right w:val="nil"/>
          <w:between w:val="nil"/>
        </w:pBdr>
        <w:spacing w:line="360" w:lineRule="auto"/>
        <w:ind w:hanging="2"/>
        <w:jc w:val="both"/>
        <w:rPr>
          <w:rFonts w:ascii="Arial" w:eastAsia="Arial" w:hAnsi="Arial" w:cs="Arial"/>
        </w:rPr>
      </w:pPr>
      <w:r w:rsidRPr="00CC6076">
        <w:rPr>
          <w:rFonts w:ascii="Arial" w:eastAsia="Arial" w:hAnsi="Arial" w:cs="Arial"/>
        </w:rPr>
        <w:t xml:space="preserve">Con base en el análisis de la capacidad de pago del estado, y del destino de los recursos, tanto a obtenerse como a otorgarse como fuente de pago, se autoriza al Poder Ejecutivo del Estado de Yucatán para que, por conducto de la Secretaría de Administración y Finanzas, en cumplimiento de las obligaciones asumidas en los contratos constitutivos de deuda pública inscritos ante el Registro Público Único de Financiamiento y Obligaciones de Entidades Federativas y Municipios a cargo de la Secretaría de Hacienda y Crédito Público, con clave de inscripción P31-1119054, P31-1020086, P31-1020087 y P31-1020088, durante el ejercicio 2023 celebre operaciones financieras de cobertura, es decir, instrumentos derivados (contratos de cobertura tasa o intercambio de tasas, incluyendo de manera enunciativa más no limitativa, swaps bonificado, </w:t>
      </w:r>
      <w:proofErr w:type="spellStart"/>
      <w:r w:rsidRPr="00CC6076">
        <w:rPr>
          <w:rFonts w:ascii="Arial" w:eastAsia="Arial" w:hAnsi="Arial" w:cs="Arial"/>
        </w:rPr>
        <w:t>collars</w:t>
      </w:r>
      <w:proofErr w:type="spellEnd"/>
      <w:r w:rsidRPr="00CC6076">
        <w:rPr>
          <w:rFonts w:ascii="Arial" w:eastAsia="Arial" w:hAnsi="Arial" w:cs="Arial"/>
        </w:rPr>
        <w:t>, CAP Spread o límites superiores o inferiores de riesgo), o pacte su renovación, reestructura o adecuación, bajo la modalidad que se estime conveniente, hasta por el total del saldo insoluto del financiamiento objeto de cobertura y por un plazo de vigencia de hasta sesenta meses, a efecto de mitigar los riesgos económico-financieros de variaciones a la tasa de referencia pactada en los créditos objeto de cobertura.</w:t>
      </w:r>
    </w:p>
    <w:p w:rsidR="006B4E44" w:rsidRDefault="006B4E44" w:rsidP="00CC6076">
      <w:pPr>
        <w:pBdr>
          <w:top w:val="nil"/>
          <w:left w:val="nil"/>
          <w:bottom w:val="nil"/>
          <w:right w:val="nil"/>
          <w:between w:val="nil"/>
        </w:pBdr>
        <w:spacing w:line="360" w:lineRule="auto"/>
        <w:ind w:hanging="2"/>
        <w:jc w:val="both"/>
        <w:rPr>
          <w:rFonts w:ascii="Arial" w:eastAsia="Arial" w:hAnsi="Arial" w:cs="Arial"/>
        </w:rPr>
      </w:pPr>
    </w:p>
    <w:p w:rsidR="00CC6076" w:rsidRPr="00CC6076" w:rsidRDefault="00CC6076" w:rsidP="00CC6076">
      <w:pPr>
        <w:pBdr>
          <w:top w:val="nil"/>
          <w:left w:val="nil"/>
          <w:bottom w:val="nil"/>
          <w:right w:val="nil"/>
          <w:between w:val="nil"/>
        </w:pBdr>
        <w:spacing w:line="360" w:lineRule="auto"/>
        <w:ind w:hanging="2"/>
        <w:jc w:val="both"/>
        <w:rPr>
          <w:rFonts w:ascii="Arial" w:eastAsia="Arial" w:hAnsi="Arial" w:cs="Arial"/>
        </w:rPr>
      </w:pPr>
      <w:r w:rsidRPr="00CC6076">
        <w:rPr>
          <w:rFonts w:ascii="Arial" w:eastAsia="Arial" w:hAnsi="Arial" w:cs="Arial"/>
        </w:rPr>
        <w:t>Tratándose de operaciones de intercambio de tasa de interés, es decir, swaps, collar o swap bonificado, se podrá afectar como fuente de pago el mismo porcentaje de ingresos afecto al servicio de la deuda del crédito objeto de cobertura y, para tal efecto, se autoriza inscribir las operaciones de cobertura celebradas o su reestructura en el mismo fideicomiso pactado como mecanismo de fuente de pago.</w:t>
      </w:r>
    </w:p>
    <w:p w:rsidR="006B4E44" w:rsidRDefault="006B4E44"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7. Adeudos de ejercicios fiscales anteriores</w:t>
      </w:r>
    </w:p>
    <w:p w:rsidR="00CC6076" w:rsidRPr="00CC6076" w:rsidRDefault="00CC6076" w:rsidP="00CC6076">
      <w:pPr>
        <w:spacing w:line="360" w:lineRule="auto"/>
        <w:jc w:val="both"/>
        <w:rPr>
          <w:rFonts w:ascii="Arial" w:hAnsi="Arial" w:cs="Arial"/>
        </w:rPr>
      </w:pPr>
      <w:r w:rsidRPr="00CC6076">
        <w:rPr>
          <w:rFonts w:ascii="Arial" w:hAnsi="Arial" w:cs="Arial"/>
        </w:rPr>
        <w:t>Durante el ejercicio fiscal 2023, se considerarán adeudos del ejercicio fiscal 2022 de al menos $200,000,000.00, cifra que podrá incrementarse hasta por el porcentaje correspondiente de los ingresos totales establecidos en esta ley, de conformidad con el artículo 12 de la Ley de Disciplina Financiera de las Entidades Federativas y los Municipios, siempre que se cumpla con los requisitos establecidos en los capítulos VII y VIII del título tercero del Reglamento de la Ley del Presupuesto y Contabilidad Gubernamental del Estado de Yucatán.</w:t>
      </w:r>
    </w:p>
    <w:p w:rsidR="00222D73" w:rsidRDefault="00222D73">
      <w:pPr>
        <w:rPr>
          <w:rFonts w:ascii="Arial" w:hAnsi="Arial" w:cs="Arial"/>
          <w:b/>
        </w:rPr>
      </w:pPr>
      <w:r>
        <w:rPr>
          <w:rFonts w:ascii="Arial" w:hAnsi="Arial" w:cs="Arial"/>
          <w:b/>
        </w:rPr>
        <w:br w:type="page"/>
      </w:r>
    </w:p>
    <w:p w:rsidR="00CC6076" w:rsidRPr="00CC6076" w:rsidRDefault="00CC6076" w:rsidP="00CC6076">
      <w:pPr>
        <w:spacing w:line="360" w:lineRule="auto"/>
        <w:jc w:val="both"/>
        <w:rPr>
          <w:rFonts w:ascii="Arial" w:hAnsi="Arial" w:cs="Arial"/>
          <w:b/>
        </w:rPr>
      </w:pPr>
      <w:r w:rsidRPr="00CC6076">
        <w:rPr>
          <w:rFonts w:ascii="Arial" w:hAnsi="Arial" w:cs="Arial"/>
          <w:b/>
        </w:rPr>
        <w:t xml:space="preserve">Artículo 8. Ingresos acumulados excedentes </w:t>
      </w:r>
    </w:p>
    <w:p w:rsidR="00CC6076" w:rsidRPr="00CC6076" w:rsidRDefault="00CC6076" w:rsidP="00CC6076">
      <w:pPr>
        <w:spacing w:line="360" w:lineRule="auto"/>
        <w:jc w:val="both"/>
        <w:rPr>
          <w:rFonts w:ascii="Arial" w:hAnsi="Arial" w:cs="Arial"/>
        </w:rPr>
      </w:pPr>
      <w:r w:rsidRPr="00CC6076">
        <w:rPr>
          <w:rFonts w:ascii="Arial" w:hAnsi="Arial" w:cs="Arial"/>
        </w:rPr>
        <w:t>Los ingresos acumulados de las dependencias y entidades del Poder Ejecutivo del estado, los poderes legislativo y judicial, y los órganos autónomos por disposición constitucional que, durante el ejercicio fiscal 2023, se obtengan en exceso de los aprobados en esta ley, deberán ser aplicados en los términos de la Ley del Presupuesto y Contabilidad Gubernamental del Estado de Yucatán, su reglamento, y la Ley de Disciplina Financiera de las Entidades Federativas y los Municipios.</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En el caso de los ingresos de libre disposición que se encuentren destinados a un fin específico, en términos de las leyes, no resultarán aplicables las disposiciones establecidas en el artículo 14 de la Ley de Disciplina Financiera de las Entidades Federativas y los Municipios.</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Asimismo, los ingresos excedentes que provengan de los fondos de aportaciones federales para el estado o los municipios y de recursos federales reasignados o federalizados, se destinarán a los fines legalmente establecidos o convenidos, conforme a la normativa federal aplicable.</w:t>
      </w:r>
    </w:p>
    <w:p w:rsidR="006B4E44" w:rsidRDefault="006B4E44"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9. Convenios celebrados con el Gobierno federal</w:t>
      </w:r>
    </w:p>
    <w:p w:rsidR="00CC6076" w:rsidRPr="00CC6076" w:rsidRDefault="00CC6076" w:rsidP="00CC6076">
      <w:pPr>
        <w:spacing w:line="360" w:lineRule="auto"/>
        <w:jc w:val="both"/>
        <w:rPr>
          <w:rFonts w:ascii="Arial" w:hAnsi="Arial" w:cs="Arial"/>
        </w:rPr>
      </w:pPr>
      <w:r w:rsidRPr="00CC6076">
        <w:rPr>
          <w:rFonts w:ascii="Arial" w:hAnsi="Arial" w:cs="Arial"/>
        </w:rPr>
        <w:t>Las dependencias y entidades que, en términos del artículo 26 de la Ley del Presupuesto y Contabilidad Gubernamental del Estado de Yucatán, celebren contratos o convenios con el Gobierno federal, los cuales impliquen ingresos para la Hacienda pública estatal, deberán remitir copia de dichos instrumentos legales a la Secretaría de Administración y Finanzas, dentro del plazo de quince días hábiles siguientes a su suscripción, para efectos de conocer los montos de los ingresos que serán depositados a las cuentas de esta secretaría.</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Para el registro de los contratos o convenios a que se refiere este artículo, las dependencias y entidades deberán informar a la Secretaría de Administración y Finanzas sobre la recepción de los recursos correspondientes, a más tardar, dentro de los diez días hábiles posteriores a que se reciba dicho recurso.</w:t>
      </w:r>
    </w:p>
    <w:p w:rsidR="006B4E44" w:rsidRDefault="006B4E44"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10. Participaciones municipales</w:t>
      </w:r>
    </w:p>
    <w:p w:rsidR="00CC6076" w:rsidRPr="00CC6076" w:rsidRDefault="00CC6076" w:rsidP="00CC6076">
      <w:pPr>
        <w:spacing w:line="360" w:lineRule="auto"/>
        <w:jc w:val="both"/>
        <w:rPr>
          <w:rFonts w:ascii="Arial" w:hAnsi="Arial" w:cs="Arial"/>
        </w:rPr>
      </w:pPr>
      <w:r w:rsidRPr="00CC6076">
        <w:rPr>
          <w:rFonts w:ascii="Arial" w:hAnsi="Arial" w:cs="Arial"/>
        </w:rPr>
        <w:t>El Poder Ejecutivo del estado, por conducto de la Secretaría de Administración y Finanzas, recibirá las participaciones que correspondan a los municipios, en aquellos casos en que las disposiciones relativas de la Ley de Coordinación Fiscal, la Ley General de Contabilidad Gubernamental y las demás disposiciones normativas aplicables así lo determinen.</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La distribución de las participaciones se basa en las estimaciones publicadas en el Presupuesto de Egresos de la Federación para el Ejercicio Fiscal 2023, y en la base del cálculo con coeficientes de 2022. Por lo tanto, el ejercicio de las participaciones por parte de los municipios deberá ser con cautela, ya que el monto definitivo dependerá de la Recaudación Federal Participable observada en el ejercicio y los coeficientes de distribución definitivos para el 2023.</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Para efectos de lo previsto en el artículo 115, fracción IV, inciso b), de la Constitución Política de los Estados Unidos Mexicanos, las bases, montos y plazos para la distribución de las participaciones federales destinadas a los municipios del estado serán las que se establecen en la Ley de Coordinación Fiscal del Estado de Yucatán.</w:t>
      </w:r>
    </w:p>
    <w:p w:rsidR="00222D73" w:rsidRDefault="00222D73">
      <w:pPr>
        <w:rPr>
          <w:rFonts w:ascii="Arial" w:hAnsi="Arial" w:cs="Arial"/>
          <w:b/>
        </w:rPr>
      </w:pPr>
      <w:r>
        <w:rPr>
          <w:rFonts w:ascii="Arial" w:hAnsi="Arial" w:cs="Arial"/>
          <w:b/>
        </w:rPr>
        <w:br w:type="page"/>
      </w:r>
    </w:p>
    <w:p w:rsidR="00CC6076" w:rsidRPr="00CC6076" w:rsidRDefault="00CC6076" w:rsidP="00CC6076">
      <w:pPr>
        <w:spacing w:line="360" w:lineRule="auto"/>
        <w:jc w:val="both"/>
        <w:rPr>
          <w:rFonts w:ascii="Arial" w:hAnsi="Arial" w:cs="Arial"/>
          <w:b/>
        </w:rPr>
      </w:pPr>
      <w:r w:rsidRPr="00CC6076">
        <w:rPr>
          <w:rFonts w:ascii="Arial" w:hAnsi="Arial" w:cs="Arial"/>
          <w:b/>
        </w:rPr>
        <w:t xml:space="preserve">Artículo 11. Calendario de ingresos </w:t>
      </w:r>
    </w:p>
    <w:p w:rsidR="00CC6076" w:rsidRPr="00CC6076" w:rsidRDefault="00CC6076" w:rsidP="00CC6076">
      <w:pPr>
        <w:spacing w:line="360" w:lineRule="auto"/>
        <w:jc w:val="both"/>
        <w:rPr>
          <w:rFonts w:ascii="Arial" w:hAnsi="Arial" w:cs="Arial"/>
        </w:rPr>
      </w:pPr>
      <w:r w:rsidRPr="00CC6076">
        <w:rPr>
          <w:rFonts w:ascii="Arial" w:hAnsi="Arial" w:cs="Arial"/>
        </w:rPr>
        <w:t>Los entes públicos que reciban los ingresos señalados en el artículo 2 de esta ley deberán formular su calendario de ingresos con base mensual en los formatos que para tal efecto determine el Consejo Nacional de Armonización Contable, y remitirlo a la Secretaría de Administración y Finanzas durante los primeros quince días del mes de enero.</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La Secretaría de Administración y Finanzas publicará, a más tardar el último día de enero, en su sitio web, los calendarios de ingresos con base mensual que reciba, en los formatos que para tal efecto determine el Consejo Nacional de Armonización Contable, de conformidad con el párrafo segundo del artículo 66 de la Ley General de Contabilidad Gubernamental.</w:t>
      </w:r>
    </w:p>
    <w:p w:rsidR="006B4E44" w:rsidRDefault="006B4E44"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12. Aprovechamientos</w:t>
      </w:r>
    </w:p>
    <w:p w:rsidR="00CC6076" w:rsidRPr="00CC6076" w:rsidRDefault="00CC6076" w:rsidP="00CC6076">
      <w:pPr>
        <w:spacing w:line="360" w:lineRule="auto"/>
        <w:jc w:val="both"/>
        <w:rPr>
          <w:rFonts w:ascii="Arial" w:hAnsi="Arial" w:cs="Arial"/>
        </w:rPr>
      </w:pPr>
      <w:r w:rsidRPr="00CC6076">
        <w:rPr>
          <w:rFonts w:ascii="Arial" w:hAnsi="Arial" w:cs="Arial"/>
        </w:rPr>
        <w:t xml:space="preserve">El Poder Ejecutivo del estado, por conducto de la Secretaría de Administración y Finanzas, queda autorizado para fijar o modificar los aprovechamientos que cobren las dependencias durante el ejercicio fiscal 2023, por el uso, goce, aprovechamiento o explotación de bienes sujetos al régimen de dominio público del estado, o por la prestación de servicios en el ejercicio de las funciones de derecho público por los que no se establecen derechos o que, por cualquier causa legal, no se paguen. </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La Secretaría de Administración y Finanzas, mediante resoluciones de carácter particular, aprobará los montos de los aprovechamientos que cobren las dependencias de la Administración Pública estatal, salvo cuando su determinación y cobro se encuentren previstos en otras leyes. Los aprovechamientos que cobren las entidades se sujetarán a la aprobación del órgano de gobierno correspondiente, de conformidad con la normatividad aplicable, con excepción de aquellos que se determinen por acuerdo del Poder Ejecutivo del estado.</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Las autorizaciones otorgadas para fijar o modificar las cuotas de los aprovechamientos durante el ejercicio fiscal 2023 solo surtirán sus efectos para ese año. En tanto no sean autorizados los aprovechamientos a que se refiere este artículo para el ejercicio fiscal 2023, se aplicarán los vigentes al 31 de diciembre de 2022.</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Los aprovechamientos fijados en porcentaje que se encuentren vigentes al 31 de diciembre de 2022, se continuarán aplicando durante el ejercicio fiscal 2023, hasta en tanto la secretaría o el órgano de gobierno correspondiente no emita autorización para este último ejercicio fiscal.</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 xml:space="preserve">En cuanto a los aprovechamientos que no hayan sido cobrados en el ejercicio inmediato anterior o que no se cobren de manera regular, las dependencias o entidades interesadas deberán someter, para su autorización, el monto de los aprovechamientos que pretendan cobrar, en un plazo no menor a diez días hábiles anteriores a la fecha de su entrada en vigor. </w:t>
      </w:r>
    </w:p>
    <w:p w:rsidR="006B4E44" w:rsidRDefault="006B4E44"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13. Productos</w:t>
      </w:r>
    </w:p>
    <w:p w:rsidR="00CC6076" w:rsidRPr="00CC6076" w:rsidRDefault="00CC6076" w:rsidP="00CC6076">
      <w:pPr>
        <w:spacing w:line="360" w:lineRule="auto"/>
        <w:jc w:val="both"/>
        <w:rPr>
          <w:rFonts w:ascii="Arial" w:hAnsi="Arial" w:cs="Arial"/>
        </w:rPr>
      </w:pPr>
      <w:r w:rsidRPr="00CC6076">
        <w:rPr>
          <w:rFonts w:ascii="Arial" w:hAnsi="Arial" w:cs="Arial"/>
        </w:rPr>
        <w:t>El Poder Ejecutivo del estado, por conducto de la Secretaría de Administración y Finanzas, queda autorizado para fijar o modificar, mediante resoluciones de carácter particular, las cuotas de los productos que pretendan cobrar las dependencias durante el ejercicio fiscal 2023, aun cuando su cobro se encuentre previsto en otras leyes.</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Las autorizaciones para fijar o modificar las cuotas de los productos que otorgue la Secretaría de Administración y Finanzas durante el ejercicio fiscal 2023, solo surtirán sus efectos para este año. En tanto no sean autorizados los productos a que se refiere este artículo para el ejercicio fiscal 2023, se aplicarán los vigentes al 31 de diciembre de 2022.</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Los productos fijados en porcentaje que se encuentren vigentes al 31 de diciembre de 2022, se continuarán aplicando durante el ejercicio fiscal 2023, hasta en tanto la secretaría o el órgano de gobierno correspondiente no emita autorización para este último ejercicio fiscal.</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En cuanto a los productos que no hayan sido cobrados en el ejercicio inmediato anterior o que no se cobren de manera regular, las dependencias interesadas deberán someter para su aprobación a la Secretaría de Administración y Finanzas el monto de los productos que pretendan cobrar, en un plazo no menor a diez días hábiles anteriores a la fecha de su entrada en vigor.</w:t>
      </w:r>
    </w:p>
    <w:p w:rsidR="006B4E44" w:rsidRDefault="006B4E44"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14. Ingresos obtenidos de multas por infracciones fiscales</w:t>
      </w:r>
    </w:p>
    <w:p w:rsidR="00CC6076" w:rsidRPr="00CC6076" w:rsidRDefault="00CC6076" w:rsidP="00CC6076">
      <w:pPr>
        <w:spacing w:line="360" w:lineRule="auto"/>
        <w:jc w:val="both"/>
        <w:rPr>
          <w:rFonts w:ascii="Arial" w:hAnsi="Arial" w:cs="Arial"/>
        </w:rPr>
      </w:pPr>
      <w:r w:rsidRPr="00CC6076">
        <w:rPr>
          <w:rFonts w:ascii="Arial" w:hAnsi="Arial" w:cs="Arial"/>
        </w:rPr>
        <w:t>Para efectos de lo establecido en el artículo 20, fracción III, de la Ley de la Agencia de Administración Fiscal de Yucatán, los ingresos que el estado obtenga efectivamente de multas por infracciones a las disposiciones fiscales, se destinarán a la formación de fondos para el otorgamiento de estímulos por productividad y cumplimiento del personal de dicho órgano fiscal.</w:t>
      </w:r>
    </w:p>
    <w:p w:rsidR="006B4E44" w:rsidRDefault="006B4E44" w:rsidP="00CC6076">
      <w:pPr>
        <w:spacing w:line="360" w:lineRule="auto"/>
        <w:jc w:val="center"/>
        <w:rPr>
          <w:rFonts w:ascii="Arial" w:hAnsi="Arial" w:cs="Arial"/>
          <w:b/>
        </w:rPr>
      </w:pPr>
    </w:p>
    <w:p w:rsidR="00222D73" w:rsidRDefault="00CC6076" w:rsidP="00CC6076">
      <w:pPr>
        <w:spacing w:line="360" w:lineRule="auto"/>
        <w:jc w:val="center"/>
        <w:rPr>
          <w:rFonts w:ascii="Arial" w:hAnsi="Arial" w:cs="Arial"/>
          <w:b/>
        </w:rPr>
      </w:pPr>
      <w:r w:rsidRPr="00CC6076">
        <w:rPr>
          <w:rFonts w:ascii="Arial" w:hAnsi="Arial" w:cs="Arial"/>
          <w:b/>
        </w:rPr>
        <w:t>Capítulo II</w:t>
      </w:r>
    </w:p>
    <w:p w:rsidR="00CC6076" w:rsidRPr="00CC6076" w:rsidRDefault="00CC6076" w:rsidP="00CC6076">
      <w:pPr>
        <w:spacing w:line="360" w:lineRule="auto"/>
        <w:jc w:val="center"/>
        <w:rPr>
          <w:rFonts w:ascii="Arial" w:hAnsi="Arial" w:cs="Arial"/>
          <w:b/>
        </w:rPr>
      </w:pPr>
      <w:r w:rsidRPr="00CC6076">
        <w:rPr>
          <w:rFonts w:ascii="Arial" w:hAnsi="Arial" w:cs="Arial"/>
          <w:b/>
        </w:rPr>
        <w:t>Recaudación y concentración de ingresos</w:t>
      </w:r>
    </w:p>
    <w:p w:rsidR="006B4E44" w:rsidRDefault="006B4E44"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15. Disposiciones en materia de recaudación</w:t>
      </w:r>
    </w:p>
    <w:p w:rsidR="00CC6076" w:rsidRPr="00CC6076" w:rsidRDefault="00CC6076" w:rsidP="00CC6076">
      <w:pPr>
        <w:spacing w:line="360" w:lineRule="auto"/>
        <w:jc w:val="both"/>
        <w:rPr>
          <w:rFonts w:ascii="Arial" w:hAnsi="Arial" w:cs="Arial"/>
        </w:rPr>
      </w:pPr>
      <w:r w:rsidRPr="00CC6076">
        <w:rPr>
          <w:rFonts w:ascii="Arial" w:hAnsi="Arial" w:cs="Arial"/>
        </w:rPr>
        <w:t>La recaudación de los ingresos a que se refiere esta ley se acreditará mediante el comprobante de pago o el acuse de pago impreso o electrónico que para tal efecto emita la Secretaría de Administración y Finanzas, la Agencia de Administración Fiscal de Yucatán o las instituciones, entidades y establecimientos autorizados para tal efecto.</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Para que tenga validez el comprobante de pago o el acuse de pago señalado en el párrafo anterior, deberá contener sello y firma del cajero, otorgados por alguna oficina recaudadora autorizada, o sello digital, en el caso de comprobantes de pago electrónicos.</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Cuando el contribuyente realice el pago o entero de las contribuciones u otros ingresos a que se refiere esta ley, mediante línea de referencia, en las oficinas recaudadoras de la Agencia de Administración Fiscal de Yucatán, o en las instituciones, entidades y establecimientos autorizados para tal efecto, recibirá comprobante de pago electrónico con sello digital, comprobante de pago o acuse de pago, con sello y firma del cajero, según sea el caso.</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Si el pago de los ingresos señalados en esta ley se realiza en instituciones de crédito, entidades o establecimientos autorizados, se podrá acreditar el pago mediante el documento que contenga los elementos de validez que para tal efecto autorice la Agencia de Administración Fiscal de Yucatán.</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Para los efectos de este artículo, se entenderá por línea de referencia, el conjunto de caracteres que permiten identificar de manera única una transacción y validar la información presentada en las instituciones de crédito, entidades y establecimientos, así como en las oficinas recaudadoras de la Agencia de Administración Fiscal de Yucatán.</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La Agencia de Administración Fiscal de Yucatán podrá expedir las disposiciones que sean necesarias para la correcta y debida aplicación de este artículo.</w:t>
      </w:r>
    </w:p>
    <w:p w:rsidR="006B4E44" w:rsidRDefault="006B4E44"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16. Recaudación de los ingresos</w:t>
      </w:r>
    </w:p>
    <w:p w:rsidR="00CC6076" w:rsidRPr="00CC6076" w:rsidRDefault="00CC6076" w:rsidP="00CC6076">
      <w:pPr>
        <w:spacing w:line="360" w:lineRule="auto"/>
        <w:jc w:val="both"/>
        <w:rPr>
          <w:rFonts w:ascii="Arial" w:hAnsi="Arial" w:cs="Arial"/>
        </w:rPr>
      </w:pPr>
      <w:r w:rsidRPr="00CC6076">
        <w:rPr>
          <w:rFonts w:ascii="Arial" w:hAnsi="Arial" w:cs="Arial"/>
        </w:rPr>
        <w:t>Los ingresos autorizados por esta ley se percibirán, causarán, enterarán, liquidarán y recaudarán de acuerdo con la Ley General de Hacienda del Estado de Yucatán, el Código Fiscal del Estado de Yucatán, la Ley de Coordinación Fiscal federal y local, y las demás disposiciones fiscales federales o estatales aplicables.</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La Secretaría de Administración y Finanzas y la Agencia de Administración Fiscal de Yucatán son los entes competentes para recaudar los ingresos que corresponden al estado, los cuales podrán ser recaudados por sí o a través de terceros debidamente autorizados por la secretaría o la agencia.</w:t>
      </w:r>
    </w:p>
    <w:p w:rsidR="006B4E44" w:rsidRDefault="006B4E44"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17. Excepción de recaudación de ingresos</w:t>
      </w:r>
    </w:p>
    <w:p w:rsidR="00CC6076" w:rsidRPr="00CC6076" w:rsidRDefault="00CC6076" w:rsidP="00CC6076">
      <w:pPr>
        <w:spacing w:line="360" w:lineRule="auto"/>
        <w:jc w:val="both"/>
        <w:rPr>
          <w:rFonts w:ascii="Arial" w:hAnsi="Arial" w:cs="Arial"/>
        </w:rPr>
      </w:pPr>
      <w:r w:rsidRPr="00CC6076">
        <w:rPr>
          <w:rFonts w:ascii="Arial" w:hAnsi="Arial" w:cs="Arial"/>
        </w:rPr>
        <w:t>Los ingresos provenientes de las aportaciones de seguridad social destinados al Instituto de Seguridad Social de los Trabajadores del Estado de Yucatán no se concentrarán en la Tesorería General del Estado, y podrán ser recaudados por las oficinas del propio instituto o por las instituciones de crédito que autorice la Secretaría de Administración y Finanzas. Para ello, deberán cumplir con los requisitos contables establecidos y reflejarse en la cuenta pública.</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Los ingresos que el estado obtenga en términos del artículo 71 de la Ley General de Víctimas serán integrados al patrimonio del Fondo Estatal de Ayuda, Asistencia y Reparación Integral.</w:t>
      </w:r>
    </w:p>
    <w:p w:rsidR="006B4E44" w:rsidRDefault="006B4E44"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18. Registro de ingresos</w:t>
      </w:r>
    </w:p>
    <w:p w:rsidR="00CC6076" w:rsidRPr="00CC6076" w:rsidRDefault="00CC6076" w:rsidP="00CC6076">
      <w:pPr>
        <w:spacing w:line="360" w:lineRule="auto"/>
        <w:jc w:val="both"/>
        <w:rPr>
          <w:rFonts w:ascii="Arial" w:hAnsi="Arial" w:cs="Arial"/>
        </w:rPr>
      </w:pPr>
      <w:r w:rsidRPr="00CC6076">
        <w:rPr>
          <w:rFonts w:ascii="Arial" w:hAnsi="Arial" w:cs="Arial"/>
        </w:rPr>
        <w:t>Las entidades que reciban ingresos por el pago de contraprestaciones de cualquier tipo, derechos y servicios, así como donativos en dinero, deberán emitir el comprobante fiscal digital por internet respectivo de dicho ingreso, conforme a lo establecido en el Código Fiscal de la Federación, registrarlo y presupuestar los egresos correspondientes. Además, se sujetarán a lo establecido por su órgano de gobierno. En caso contrario, no deberán ejercerlos, bajo pena de incurrir en responsabilidad.</w:t>
      </w:r>
    </w:p>
    <w:p w:rsidR="001B2A3C" w:rsidRDefault="001B2A3C"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19. Convenios de colaboración administrativa</w:t>
      </w:r>
    </w:p>
    <w:p w:rsidR="00CC6076" w:rsidRPr="00CC6076" w:rsidRDefault="00CC6076" w:rsidP="00CC6076">
      <w:pPr>
        <w:spacing w:line="360" w:lineRule="auto"/>
        <w:jc w:val="both"/>
        <w:rPr>
          <w:rFonts w:ascii="Arial" w:hAnsi="Arial" w:cs="Arial"/>
        </w:rPr>
      </w:pPr>
      <w:r w:rsidRPr="00CC6076">
        <w:rPr>
          <w:rFonts w:ascii="Arial" w:hAnsi="Arial" w:cs="Arial"/>
        </w:rPr>
        <w:t>La Secretaría de Administración y Finanzas estará facultada para que, por conducto de la Agencia de Administración Fiscal de Yucatán, realice los siguientes actos:</w:t>
      </w:r>
    </w:p>
    <w:p w:rsidR="001B2A3C" w:rsidRDefault="001B2A3C" w:rsidP="00CC6076">
      <w:pPr>
        <w:spacing w:line="360" w:lineRule="auto"/>
        <w:ind w:firstLine="709"/>
        <w:jc w:val="both"/>
        <w:rPr>
          <w:rFonts w:ascii="Arial" w:hAnsi="Arial" w:cs="Arial"/>
        </w:rPr>
      </w:pPr>
    </w:p>
    <w:p w:rsidR="00CC6076" w:rsidRPr="00CC6076" w:rsidRDefault="00CC6076" w:rsidP="00CC6076">
      <w:pPr>
        <w:spacing w:line="360" w:lineRule="auto"/>
        <w:ind w:firstLine="709"/>
        <w:jc w:val="both"/>
        <w:rPr>
          <w:rFonts w:ascii="Arial" w:hAnsi="Arial" w:cs="Arial"/>
        </w:rPr>
      </w:pPr>
      <w:r w:rsidRPr="00CC6076">
        <w:rPr>
          <w:rFonts w:ascii="Arial" w:hAnsi="Arial" w:cs="Arial"/>
        </w:rPr>
        <w:t>I. Celebre</w:t>
      </w:r>
      <w:r w:rsidRPr="00CC6076">
        <w:rPr>
          <w:rFonts w:ascii="Arial" w:hAnsi="Arial"/>
        </w:rPr>
        <w:t xml:space="preserve"> convenios de colaboración administrativa con los poderes legislativo, judicial, organismos constitucionales autónomos o con las entidades de la Administración Pública paraestatal, municipal o federal, respecto a la recaudación de </w:t>
      </w:r>
      <w:r w:rsidRPr="00CC6076">
        <w:rPr>
          <w:rFonts w:ascii="Arial" w:hAnsi="Arial" w:cs="Arial"/>
        </w:rPr>
        <w:t>los</w:t>
      </w:r>
      <w:r w:rsidRPr="00CC6076">
        <w:rPr>
          <w:rFonts w:ascii="Arial" w:hAnsi="Arial"/>
        </w:rPr>
        <w:t xml:space="preserve"> ingresos</w:t>
      </w:r>
      <w:r w:rsidRPr="00CC6076">
        <w:rPr>
          <w:rFonts w:ascii="Arial" w:hAnsi="Arial" w:cs="Arial"/>
        </w:rPr>
        <w:t xml:space="preserve"> que tenga derecho a percibir</w:t>
      </w:r>
      <w:r w:rsidRPr="00CC6076">
        <w:rPr>
          <w:rFonts w:ascii="Arial" w:hAnsi="Arial"/>
        </w:rPr>
        <w:t>.</w:t>
      </w:r>
    </w:p>
    <w:p w:rsidR="001B2A3C" w:rsidRDefault="001B2A3C" w:rsidP="00CC6076">
      <w:pPr>
        <w:spacing w:line="360" w:lineRule="auto"/>
        <w:ind w:firstLine="709"/>
        <w:jc w:val="both"/>
        <w:rPr>
          <w:rFonts w:ascii="Arial" w:hAnsi="Arial" w:cs="Arial"/>
        </w:rPr>
      </w:pPr>
    </w:p>
    <w:p w:rsidR="00CC6076" w:rsidRPr="00CC6076" w:rsidRDefault="00CC6076" w:rsidP="00CC6076">
      <w:pPr>
        <w:spacing w:line="360" w:lineRule="auto"/>
        <w:ind w:firstLine="709"/>
        <w:jc w:val="both"/>
        <w:rPr>
          <w:rFonts w:ascii="Arial" w:hAnsi="Arial" w:cs="Arial"/>
        </w:rPr>
      </w:pPr>
      <w:r w:rsidRPr="00CC6076">
        <w:rPr>
          <w:rFonts w:ascii="Arial" w:hAnsi="Arial" w:cs="Arial"/>
        </w:rPr>
        <w:t>II. Celebre convenios o acuerdos de colaboración en materia fiscal con el Gobierno federal, incluidos sus organismos públicos descentralizados y desconcentrados, para que se suministren recíprocamente la información que requieran, con el propósito de que cada una de las partes tenga acceso a dicha información y, con base en ella, se instrumenten programas de verificación y se ejerzan facultades de comprobación del cumplimiento de obligaciones fiscales de los contribuyentes.</w:t>
      </w:r>
    </w:p>
    <w:p w:rsidR="001B2A3C" w:rsidRDefault="001B2A3C" w:rsidP="00CC6076">
      <w:pPr>
        <w:spacing w:line="360" w:lineRule="auto"/>
        <w:ind w:firstLine="709"/>
        <w:jc w:val="both"/>
        <w:rPr>
          <w:rFonts w:ascii="Arial" w:hAnsi="Arial" w:cs="Arial"/>
        </w:rPr>
      </w:pPr>
    </w:p>
    <w:p w:rsidR="00CC6076" w:rsidRPr="00CC6076" w:rsidRDefault="00CC6076" w:rsidP="00CC6076">
      <w:pPr>
        <w:spacing w:line="360" w:lineRule="auto"/>
        <w:ind w:firstLine="709"/>
        <w:jc w:val="both"/>
        <w:rPr>
          <w:rFonts w:ascii="Arial" w:hAnsi="Arial" w:cs="Arial"/>
        </w:rPr>
      </w:pPr>
      <w:r w:rsidRPr="00CC6076">
        <w:rPr>
          <w:rFonts w:ascii="Arial" w:hAnsi="Arial" w:cs="Arial"/>
        </w:rPr>
        <w:t xml:space="preserve">III. Celebre con los municipios, a través de sus ayuntamientos, convenios o acuerdos de coordinación, colaboración administrativa o prestación de servicios para que efectúe la administración o el cobro de ingresos municipales, o se suministren recíprocamente la información que requieran, con el propósito de que cada una de las partes tenga acceso a dicha información y, con base en ella, se instrumenten programas de verificación y se ejerzan facultades de comprobación del cumplimiento de obligaciones fiscales. </w:t>
      </w:r>
    </w:p>
    <w:p w:rsidR="001B2A3C" w:rsidRDefault="001B2A3C"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La Agencia de Administración Fiscal de Yucatán podrá establecer, en coordinación con organismos descentralizados o desconcentrados de la Administración Pública federal, estatal o municipal, los mecanismos de control, seguimiento y trazabilidad del entero de ingresos vinculados con los actos jurídicos de inmuebles registrados en el estado relativos a la publicidad registral. Lo establecido en este párrafo será aplicable para ingresos que provengan de contribuciones estatales, así como federales o municipales que se hayan convenido.</w:t>
      </w:r>
    </w:p>
    <w:p w:rsidR="001B2A3C" w:rsidRDefault="001B2A3C"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20. Contribuciones no determinadas</w:t>
      </w:r>
    </w:p>
    <w:p w:rsidR="00CC6076" w:rsidRPr="00CC6076" w:rsidRDefault="00CC6076" w:rsidP="00CC6076">
      <w:pPr>
        <w:spacing w:line="360" w:lineRule="auto"/>
        <w:jc w:val="both"/>
        <w:rPr>
          <w:rFonts w:ascii="Arial" w:hAnsi="Arial" w:cs="Arial"/>
        </w:rPr>
      </w:pPr>
      <w:r w:rsidRPr="00CC6076">
        <w:rPr>
          <w:rFonts w:ascii="Arial" w:hAnsi="Arial" w:cs="Arial"/>
        </w:rPr>
        <w:t>No podrá cobrarse ninguna contribución que no esté determinada expresamente en las disposiciones legales aplicables.</w:t>
      </w:r>
    </w:p>
    <w:p w:rsidR="001B2A3C" w:rsidRDefault="001B2A3C"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21. Concentración de ingresos</w:t>
      </w:r>
    </w:p>
    <w:p w:rsidR="00CC6076" w:rsidRPr="00CC6076" w:rsidRDefault="00CC6076" w:rsidP="00CC6076">
      <w:pPr>
        <w:spacing w:line="360" w:lineRule="auto"/>
        <w:jc w:val="both"/>
        <w:rPr>
          <w:rFonts w:ascii="Arial" w:hAnsi="Arial" w:cs="Arial"/>
        </w:rPr>
      </w:pPr>
      <w:r w:rsidRPr="00CC6076">
        <w:rPr>
          <w:rFonts w:ascii="Arial" w:hAnsi="Arial" w:cs="Arial"/>
        </w:rPr>
        <w:t xml:space="preserve">Los ingresos de las dependencias de la Administración Pública estatal o sus órganos administrativos desconcentrados por los diversos conceptos que establece esta ley, deben concentrarse en la Tesorería General del Estado, a más tardar el quinto día hábil siguiente al de su recepción y deberán reflejarse, cualquiera que sea su naturaleza, tanto en los registros de la propia Tesorería General del Estado como en la cuenta pública. </w:t>
      </w:r>
    </w:p>
    <w:p w:rsidR="001B2A3C" w:rsidRDefault="001B2A3C"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Los ingresos de las entidades de la Administración Pública paraestatal no se concentrarán en la Tesorería General del Estado, excepto cuando se trate de contribuciones o ingresos propios por los que se hubiese convenido el cobro a través de convenios de colaboración administrativa.</w:t>
      </w:r>
    </w:p>
    <w:p w:rsidR="001B2A3C" w:rsidRDefault="001B2A3C"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Las entidades paraestatales informarán, dentro de los primeros quince días naturales del mes siguiente al que concluya el trimestre respectivo, a la Secretaría de Administración y Finanzas, sobre los ingresos que obtengan por cualquier concepto, de acuerdo con el rubro, tipo o clase correspondiente, previsto en este ordenamiento, a efecto de que se puedan elaborar los informes trimestrales que establece la Ley del Presupuesto y Contabilidad Gubernamental del Estado de Yucatán y su reglamento y, posteriormente, se reflejen dentro de la cuenta pública.</w:t>
      </w:r>
    </w:p>
    <w:p w:rsidR="001B2A3C" w:rsidRDefault="001B2A3C"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 xml:space="preserve">Las entidades paraestatales deberán conservar la documentación comprobatoria de dichos ingresos y ponerla a disposición de los órganos revisores de la cuenta pública. </w:t>
      </w:r>
    </w:p>
    <w:p w:rsidR="001B2A3C" w:rsidRDefault="001B2A3C"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Las contribuciones, productos o aprovechamientos a los que las leyes de carácter no fiscal otorguen una naturaleza distinta a la establecida en las leyes fiscales, tendrán la naturaleza establecida en estas últimas.</w:t>
      </w:r>
    </w:p>
    <w:p w:rsidR="001B2A3C" w:rsidRDefault="001B2A3C"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Lo señalado en los párrafos anteriores se establece sin perjuicio de la obligación de concentrar los recursos públicos al final del ejercicio en la Tesorería General del Estado, en los términos del artículo 92 de la Ley del Presupuesto y Contabilidad Gubernamental del Estado de Yucatán.</w:t>
      </w:r>
    </w:p>
    <w:p w:rsidR="001B2A3C" w:rsidRDefault="001B2A3C"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22. Concentración de ingresos por desincorporación de entidades paraestatales</w:t>
      </w:r>
    </w:p>
    <w:p w:rsidR="00CC6076" w:rsidRPr="00CC6076" w:rsidRDefault="00CC6076" w:rsidP="00CC6076">
      <w:pPr>
        <w:spacing w:line="360" w:lineRule="auto"/>
        <w:jc w:val="both"/>
        <w:rPr>
          <w:rFonts w:ascii="Arial" w:hAnsi="Arial" w:cs="Arial"/>
        </w:rPr>
      </w:pPr>
      <w:r w:rsidRPr="00CC6076">
        <w:rPr>
          <w:rFonts w:ascii="Arial" w:hAnsi="Arial" w:cs="Arial"/>
        </w:rPr>
        <w:t>Los ingresos netos que se obtengan por la desincorporación de entidades paraestatales serán los recursos remanentes que queden una vez descontadas las erogaciones realizadas por concepto de comisiones que se paguen a agentes financieros, contribuciones, gastos de administración, de mantenimiento y venta, honorarios de comisionados especiales que no sean servidores públicos encargados de dichos procesos, así como pagos por las reclamaciones procedentes que presenten los adquirentes o terceros, por pasivos ocultos, fiscales o de otra índole, activos inexistentes, asuntos en litigio y demás erogaciones análogas a todas las mencionadas.</w:t>
      </w:r>
    </w:p>
    <w:p w:rsidR="001B2A3C" w:rsidRDefault="001B2A3C"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Los ingresos netos se enterarán o concentrarán, según corresponda, en la Tesorería General del Estado y deberán manifestarse tanto en los registros de la propia tesorería como en la cuenta pública del estado.</w:t>
      </w:r>
    </w:p>
    <w:p w:rsidR="001B2A3C" w:rsidRDefault="001B2A3C"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Los pasivos a cargo de organismos públicos descentralizados en proceso de extinción y liquidación que tengan como acreedor al Gobierno estatal, con excepción de aquellos que tengan el carácter de crédito fiscal, podrán determinarse como extintos por la Secretaría de Administración y Finanzas, de pleno derecho, sin necesidad de autorización alguna, y los créditos quedarán cancelados de las cuentas públicas.</w:t>
      </w:r>
    </w:p>
    <w:p w:rsidR="001B2A3C" w:rsidRDefault="001B2A3C" w:rsidP="00222D73">
      <w:pPr>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23. Remanentes de fideicomisos</w:t>
      </w:r>
    </w:p>
    <w:p w:rsidR="00CC6076" w:rsidRPr="00CC6076" w:rsidRDefault="00CC6076" w:rsidP="00CC6076">
      <w:pPr>
        <w:spacing w:line="360" w:lineRule="auto"/>
        <w:jc w:val="both"/>
        <w:rPr>
          <w:rFonts w:ascii="Arial" w:hAnsi="Arial" w:cs="Arial"/>
        </w:rPr>
      </w:pPr>
      <w:r w:rsidRPr="00CC6076">
        <w:rPr>
          <w:rFonts w:ascii="Arial" w:hAnsi="Arial" w:cs="Arial"/>
        </w:rPr>
        <w:t xml:space="preserve">Los recursos públicos estatales remanentes de la extinción o terminación de un fideicomiso, mandato o contrato análogo deberán ser concentrados en la Tesorería General del Estado. En su caso, la Secretaría de Administración y Finanzas determinará el destino de estos recursos, salvo aquellos que, en el instrumento respectivo, o en la norma de regulación, se establezca un destino diferente. </w:t>
      </w:r>
    </w:p>
    <w:p w:rsidR="00D54EC5" w:rsidRDefault="00D54EC5" w:rsidP="00CC6076">
      <w:pPr>
        <w:spacing w:line="360" w:lineRule="auto"/>
        <w:jc w:val="center"/>
        <w:rPr>
          <w:rFonts w:ascii="Arial" w:hAnsi="Arial" w:cs="Arial"/>
          <w:b/>
        </w:rPr>
      </w:pPr>
    </w:p>
    <w:p w:rsidR="00BC2A91" w:rsidRDefault="00CC6076" w:rsidP="00CC6076">
      <w:pPr>
        <w:spacing w:line="360" w:lineRule="auto"/>
        <w:jc w:val="center"/>
        <w:rPr>
          <w:rFonts w:ascii="Arial" w:hAnsi="Arial" w:cs="Arial"/>
          <w:b/>
        </w:rPr>
      </w:pPr>
      <w:r w:rsidRPr="00CC6076">
        <w:rPr>
          <w:rFonts w:ascii="Arial" w:hAnsi="Arial" w:cs="Arial"/>
          <w:b/>
        </w:rPr>
        <w:t>Capítulo III</w:t>
      </w:r>
    </w:p>
    <w:p w:rsidR="00CC6076" w:rsidRPr="00CC6076" w:rsidRDefault="00CC6076" w:rsidP="00CC6076">
      <w:pPr>
        <w:spacing w:line="360" w:lineRule="auto"/>
        <w:jc w:val="center"/>
        <w:rPr>
          <w:rFonts w:ascii="Arial" w:hAnsi="Arial" w:cs="Arial"/>
          <w:b/>
        </w:rPr>
      </w:pPr>
      <w:r w:rsidRPr="00CC6076">
        <w:rPr>
          <w:rFonts w:ascii="Arial" w:hAnsi="Arial" w:cs="Arial"/>
          <w:b/>
        </w:rPr>
        <w:t>Sujetos públicos obligados</w:t>
      </w:r>
    </w:p>
    <w:p w:rsidR="00D54EC5" w:rsidRDefault="00D54EC5"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24. Sujetos públicos obligados a pagar contribuciones</w:t>
      </w:r>
    </w:p>
    <w:p w:rsidR="00CC6076" w:rsidRPr="00CC6076" w:rsidRDefault="00CC6076" w:rsidP="00CC6076">
      <w:pPr>
        <w:spacing w:line="360" w:lineRule="auto"/>
        <w:jc w:val="both"/>
        <w:rPr>
          <w:rFonts w:ascii="Arial" w:hAnsi="Arial" w:cs="Arial"/>
        </w:rPr>
      </w:pPr>
      <w:r w:rsidRPr="00CC6076">
        <w:rPr>
          <w:rFonts w:ascii="Arial" w:hAnsi="Arial" w:cs="Arial"/>
        </w:rPr>
        <w:t>El estado, los municipios, los organismos descentralizados estatales y municipales, las empresas de participación estatal mayoritaria, las empresas de participación municipal mayoritaria, los fideicomisos públicos o privados de los que el Gobierno del estado o los municipios sean parte, así como las personas de derecho público con autonomía derivada de su norma de creación, de la Constitución Política de los Estados Unidos Mexicanos o de la Constitución Política del Estado de Yucatán, quedan obligados a pagar contribuciones, salvo que las leyes fiscales federales o estatales los eximan expresamente.</w:t>
      </w:r>
    </w:p>
    <w:p w:rsidR="00BC2A91" w:rsidRDefault="00BC2A91" w:rsidP="00CC6076">
      <w:pPr>
        <w:spacing w:line="360" w:lineRule="auto"/>
        <w:jc w:val="center"/>
        <w:rPr>
          <w:rFonts w:ascii="Arial" w:hAnsi="Arial" w:cs="Arial"/>
          <w:b/>
        </w:rPr>
      </w:pPr>
    </w:p>
    <w:p w:rsidR="00BC2A91" w:rsidRDefault="00CC6076" w:rsidP="00CC6076">
      <w:pPr>
        <w:spacing w:line="360" w:lineRule="auto"/>
        <w:jc w:val="center"/>
        <w:rPr>
          <w:rFonts w:ascii="Arial" w:hAnsi="Arial" w:cs="Arial"/>
          <w:b/>
        </w:rPr>
      </w:pPr>
      <w:r w:rsidRPr="00CC6076">
        <w:rPr>
          <w:rFonts w:ascii="Arial" w:hAnsi="Arial" w:cs="Arial"/>
          <w:b/>
        </w:rPr>
        <w:t>Capítulo IV</w:t>
      </w:r>
    </w:p>
    <w:p w:rsidR="00CC6076" w:rsidRPr="00CC6076" w:rsidRDefault="00CC6076" w:rsidP="00CC6076">
      <w:pPr>
        <w:spacing w:line="360" w:lineRule="auto"/>
        <w:jc w:val="center"/>
        <w:rPr>
          <w:rFonts w:ascii="Arial" w:hAnsi="Arial" w:cs="Arial"/>
          <w:b/>
        </w:rPr>
      </w:pPr>
      <w:r w:rsidRPr="00CC6076">
        <w:rPr>
          <w:rFonts w:ascii="Arial" w:hAnsi="Arial" w:cs="Arial"/>
          <w:b/>
        </w:rPr>
        <w:t>Facilidades a los contribuyentes</w:t>
      </w:r>
    </w:p>
    <w:p w:rsidR="00BC2A91" w:rsidRDefault="00BC2A91"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25. Inscripción al Registro Federal de Contribuyentes</w:t>
      </w:r>
    </w:p>
    <w:p w:rsidR="00CC6076" w:rsidRPr="00CC6076" w:rsidRDefault="00CC6076" w:rsidP="00CC6076">
      <w:pPr>
        <w:spacing w:line="360" w:lineRule="auto"/>
        <w:jc w:val="both"/>
        <w:rPr>
          <w:rFonts w:ascii="Arial" w:hAnsi="Arial" w:cs="Arial"/>
        </w:rPr>
      </w:pPr>
      <w:r w:rsidRPr="00CC6076">
        <w:rPr>
          <w:rFonts w:ascii="Arial" w:hAnsi="Arial" w:cs="Arial"/>
        </w:rPr>
        <w:t>Para ejercer las funciones administrativas de inscripción al Registro Federal de Contribuyentes que establece el Convenio de Colaboración Administrativa en Materia Fiscal Federal, las autoridades fiscales podrán utilizar los datos proporcionados por los contribuyentes a dicho registro.</w:t>
      </w:r>
    </w:p>
    <w:p w:rsidR="00BC2A91" w:rsidRDefault="00BC2A91"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26. Medios de pago</w:t>
      </w:r>
    </w:p>
    <w:p w:rsidR="00CC6076" w:rsidRPr="00CC6076" w:rsidRDefault="00CC6076" w:rsidP="00CC6076">
      <w:pPr>
        <w:spacing w:line="360" w:lineRule="auto"/>
        <w:jc w:val="both"/>
        <w:rPr>
          <w:rFonts w:ascii="Arial" w:hAnsi="Arial" w:cs="Arial"/>
        </w:rPr>
      </w:pPr>
      <w:r w:rsidRPr="00CC6076">
        <w:rPr>
          <w:rFonts w:ascii="Arial" w:hAnsi="Arial" w:cs="Arial"/>
        </w:rPr>
        <w:t>Para los efectos del artículo 29, párrafos primero y segundo, del Código Fiscal del Estado de Yucatán, las tarjetas de crédito o débito emitidas por las instituciones de crédito autorizadas se aceptarán como medio de pago de contribuciones, aprovechamientos y sus accesorios, así como de aquellos ingresos convenidos con otros entes de gobierno.</w:t>
      </w:r>
    </w:p>
    <w:p w:rsidR="00BC2A91" w:rsidRDefault="00BC2A91"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27. Tasa de recargos</w:t>
      </w:r>
    </w:p>
    <w:p w:rsidR="00CC6076" w:rsidRPr="00CC6076" w:rsidRDefault="00CC6076" w:rsidP="00CC6076">
      <w:pPr>
        <w:spacing w:line="360" w:lineRule="auto"/>
        <w:jc w:val="both"/>
        <w:rPr>
          <w:rFonts w:ascii="Arial" w:hAnsi="Arial" w:cs="Arial"/>
        </w:rPr>
      </w:pPr>
      <w:r w:rsidRPr="00CC6076">
        <w:rPr>
          <w:rFonts w:ascii="Arial" w:hAnsi="Arial" w:cs="Arial"/>
        </w:rPr>
        <w:t>Para efectos de lo señalado en el artículo 30 del Código Fiscal del Estado de Yucatán, se entenderá como tasa de recargos la que fije anualmente el Congreso de la Unión en la Ley de Ingresos de la Federación, y deberá considerarse también la mecánica que de la misma forma el Congreso de la Unión establezca para la variación de dicha tasa de recargos para cada uno de los meses.</w:t>
      </w:r>
    </w:p>
    <w:p w:rsidR="00BC2A91" w:rsidRDefault="00BC2A91"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28. Tasa de recargos por prórroga</w:t>
      </w:r>
    </w:p>
    <w:p w:rsidR="00CC6076" w:rsidRPr="00CC6076" w:rsidRDefault="00CC6076" w:rsidP="00CC6076">
      <w:pPr>
        <w:spacing w:line="360" w:lineRule="auto"/>
        <w:jc w:val="both"/>
        <w:rPr>
          <w:rFonts w:ascii="Arial" w:hAnsi="Arial" w:cs="Arial"/>
        </w:rPr>
      </w:pPr>
      <w:r w:rsidRPr="00CC6076">
        <w:rPr>
          <w:rFonts w:ascii="Arial" w:hAnsi="Arial" w:cs="Arial"/>
        </w:rPr>
        <w:t>En los casos de prórroga para el pago de créditos fiscales se causarán los siguientes recargos:</w:t>
      </w:r>
    </w:p>
    <w:p w:rsidR="00BC2A91" w:rsidRDefault="00BC2A91" w:rsidP="00CC6076">
      <w:pPr>
        <w:spacing w:line="360" w:lineRule="auto"/>
        <w:ind w:firstLine="708"/>
        <w:jc w:val="both"/>
        <w:rPr>
          <w:rFonts w:ascii="Arial" w:hAnsi="Arial" w:cs="Arial"/>
        </w:rPr>
      </w:pPr>
    </w:p>
    <w:p w:rsidR="00CC6076" w:rsidRPr="00CC6076" w:rsidRDefault="00CC6076" w:rsidP="00CC6076">
      <w:pPr>
        <w:spacing w:line="360" w:lineRule="auto"/>
        <w:ind w:firstLine="708"/>
        <w:jc w:val="both"/>
        <w:rPr>
          <w:rFonts w:ascii="Arial" w:hAnsi="Arial" w:cs="Arial"/>
        </w:rPr>
      </w:pPr>
      <w:r w:rsidRPr="00CC6076">
        <w:rPr>
          <w:rFonts w:ascii="Arial" w:hAnsi="Arial" w:cs="Arial"/>
        </w:rPr>
        <w:t>I. Al 0.98% mensual sobre los saldos insolutos.</w:t>
      </w:r>
    </w:p>
    <w:p w:rsidR="00CC6076" w:rsidRPr="00CC6076" w:rsidRDefault="00CC6076" w:rsidP="00CC6076">
      <w:pPr>
        <w:spacing w:line="360" w:lineRule="auto"/>
        <w:ind w:firstLine="708"/>
        <w:jc w:val="both"/>
        <w:rPr>
          <w:rFonts w:ascii="Arial" w:hAnsi="Arial" w:cs="Arial"/>
        </w:rPr>
      </w:pPr>
      <w:r w:rsidRPr="00CC6076">
        <w:rPr>
          <w:rFonts w:ascii="Arial" w:hAnsi="Arial" w:cs="Arial"/>
        </w:rPr>
        <w:t>II. Cuando de conformidad con el Código Fiscal del Estado de Yucatán se autorice el pago a plazos, se aplicará la tasa de recargos que a continuación se establece, sobre los saldos y durante el periodo de que se trate:</w:t>
      </w:r>
    </w:p>
    <w:p w:rsidR="00CC6076" w:rsidRPr="00CC6076" w:rsidRDefault="00CC6076" w:rsidP="00CC6076">
      <w:pPr>
        <w:spacing w:line="360" w:lineRule="auto"/>
        <w:ind w:left="708" w:firstLine="708"/>
        <w:jc w:val="both"/>
        <w:rPr>
          <w:rFonts w:ascii="Arial" w:hAnsi="Arial" w:cs="Arial"/>
        </w:rPr>
      </w:pPr>
      <w:r w:rsidRPr="00CC6076">
        <w:rPr>
          <w:rFonts w:ascii="Arial" w:hAnsi="Arial" w:cs="Arial"/>
        </w:rPr>
        <w:t>a) Tratándose de pagos a plazos en parcialidades hasta doce meses, la tasa de recargos será del 1.26% mensual.</w:t>
      </w:r>
    </w:p>
    <w:p w:rsidR="00CC6076" w:rsidRPr="00CC6076" w:rsidRDefault="00CC6076" w:rsidP="00CC6076">
      <w:pPr>
        <w:spacing w:line="360" w:lineRule="auto"/>
        <w:ind w:left="708" w:firstLine="708"/>
        <w:jc w:val="both"/>
        <w:rPr>
          <w:rFonts w:ascii="Arial" w:hAnsi="Arial" w:cs="Arial"/>
        </w:rPr>
      </w:pPr>
      <w:r w:rsidRPr="00CC6076">
        <w:rPr>
          <w:rFonts w:ascii="Arial" w:hAnsi="Arial" w:cs="Arial"/>
        </w:rPr>
        <w:t>b) Tratándose de pagos a plazos en parcialidades de más de doce meses y hasta de veinticuatro meses, la tasa de recargos será de 1.53% mensual.</w:t>
      </w:r>
    </w:p>
    <w:p w:rsidR="00CC6076" w:rsidRPr="00CC6076" w:rsidRDefault="00CC6076" w:rsidP="00CC6076">
      <w:pPr>
        <w:spacing w:line="360" w:lineRule="auto"/>
        <w:ind w:left="708" w:firstLine="708"/>
        <w:jc w:val="both"/>
        <w:rPr>
          <w:rFonts w:ascii="Arial" w:hAnsi="Arial" w:cs="Arial"/>
        </w:rPr>
      </w:pPr>
      <w:r w:rsidRPr="00CC6076">
        <w:rPr>
          <w:rFonts w:ascii="Arial" w:hAnsi="Arial" w:cs="Arial"/>
        </w:rPr>
        <w:t>c) Tratándose de pagos a plazos en parcialidades superiores a veinticuatro meses o de pagos a plazo diferido, la tasa de recargos será de 1.82% mensual.</w:t>
      </w:r>
    </w:p>
    <w:p w:rsidR="00CC6076" w:rsidRPr="00CC6076" w:rsidRDefault="00CC6076" w:rsidP="00CC6076">
      <w:pPr>
        <w:spacing w:line="360" w:lineRule="auto"/>
        <w:jc w:val="both"/>
        <w:rPr>
          <w:rFonts w:ascii="Arial" w:hAnsi="Arial" w:cs="Arial"/>
        </w:rPr>
      </w:pPr>
      <w:r w:rsidRPr="00CC6076">
        <w:rPr>
          <w:rFonts w:ascii="Arial" w:hAnsi="Arial" w:cs="Arial"/>
        </w:rPr>
        <w:t>Las tasas de recargos establecidas en la fracción II de este artículo incluyen la actualización realizada conforme a lo establecido por el propio Código Fiscal del Estado de Yucatán.</w:t>
      </w:r>
    </w:p>
    <w:p w:rsidR="00BC2A91" w:rsidRDefault="00BC2A91"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29. Programas de apoyo</w:t>
      </w:r>
    </w:p>
    <w:p w:rsidR="00CC6076" w:rsidRPr="00CC6076" w:rsidRDefault="00CC6076" w:rsidP="00CC6076">
      <w:pPr>
        <w:spacing w:line="360" w:lineRule="auto"/>
        <w:jc w:val="both"/>
        <w:rPr>
          <w:rFonts w:ascii="Arial" w:hAnsi="Arial" w:cs="Arial"/>
        </w:rPr>
      </w:pPr>
      <w:r w:rsidRPr="00CC6076">
        <w:rPr>
          <w:rFonts w:ascii="Arial" w:hAnsi="Arial" w:cs="Arial"/>
        </w:rPr>
        <w:t xml:space="preserve">La persona titular del Poder Ejecutivo podrá establecer programas de apoyo o incentivos, según sea el caso, para los contribuyentes o los sujetos obligados de esta ley, los cuales deberán publicarse en el Diario Oficial del Gobierno del Estado de Yucatán. </w:t>
      </w:r>
    </w:p>
    <w:p w:rsidR="00BC2A91" w:rsidRDefault="00BC2A91"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En dichos programas de apoyo o incentivos podrá establecerse, entre otras acciones, la reducción o condonación total o parcial de contribuciones, derechos, aprovechamientos o productos, así como de sus accesorios.</w:t>
      </w:r>
    </w:p>
    <w:p w:rsidR="00BC2A91" w:rsidRDefault="00BC2A91"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30. Pago en parcialidades</w:t>
      </w:r>
    </w:p>
    <w:p w:rsidR="00CC6076" w:rsidRPr="00CC6076" w:rsidRDefault="00CC6076" w:rsidP="00CC6076">
      <w:pPr>
        <w:spacing w:line="360" w:lineRule="auto"/>
        <w:jc w:val="both"/>
        <w:rPr>
          <w:rFonts w:ascii="Arial" w:hAnsi="Arial" w:cs="Arial"/>
        </w:rPr>
      </w:pPr>
      <w:r w:rsidRPr="00CC6076">
        <w:rPr>
          <w:rFonts w:ascii="Arial" w:hAnsi="Arial" w:cs="Arial"/>
        </w:rPr>
        <w:t>Para los efectos de los artículos 89 y 90 del Código Fiscal del Estado de Yucatán, durante el ejercicio fiscal 2023, se podrá autorizar el pago a plazos, ya sea diferido o en parcialidades, de las contribuciones y de sus accesorios que debieron pagarse en el año en curso o los que se debieron pagar en los seis meses anteriores al mes en el que se solicite la autorización de pago a plazos.</w:t>
      </w:r>
    </w:p>
    <w:p w:rsidR="00BC2A91" w:rsidRDefault="00BC2A91"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31. Imposibilidad práctica de cobro</w:t>
      </w:r>
    </w:p>
    <w:p w:rsidR="00CC6076" w:rsidRPr="00CC6076" w:rsidRDefault="00CC6076" w:rsidP="00CC6076">
      <w:pPr>
        <w:spacing w:line="360" w:lineRule="auto"/>
        <w:jc w:val="both"/>
        <w:rPr>
          <w:rFonts w:ascii="Arial" w:hAnsi="Arial" w:cs="Arial"/>
        </w:rPr>
      </w:pPr>
      <w:r w:rsidRPr="00CC6076">
        <w:rPr>
          <w:rFonts w:ascii="Arial" w:hAnsi="Arial" w:cs="Arial"/>
        </w:rPr>
        <w:t xml:space="preserve">Se faculta a las autoridades fiscales para que lleven a cabo la cancelación de los créditos fiscales cuyo cobro les corresponda efectuar en los casos en que exista imposibilidad práctica de cobro. </w:t>
      </w:r>
    </w:p>
    <w:p w:rsidR="00BC2A91" w:rsidRDefault="00BC2A91"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Se considera que existe imposibilidad práctica de cobro, entre otras circunstancias, cuando los deudores no tengan bienes embargables, el deudor hubiese fallecido sin dejar bienes a su nombre o cuando por sentencia firme hubiese sido declarado en quiebra por falta de activos.</w:t>
      </w:r>
    </w:p>
    <w:p w:rsidR="00BC2A91" w:rsidRDefault="00BC2A91"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Las autoridades, de forma previa a la cancelación de un crédito fiscal, deberán integrar un expediente que contenga los documentos y constancias que acrediten la imposibilidad práctica de cobro.</w:t>
      </w:r>
    </w:p>
    <w:p w:rsidR="00222D73" w:rsidRDefault="00222D73">
      <w:pPr>
        <w:rPr>
          <w:rFonts w:ascii="Arial" w:hAnsi="Arial" w:cs="Arial"/>
          <w:b/>
        </w:rPr>
      </w:pPr>
      <w:r>
        <w:rPr>
          <w:rFonts w:ascii="Arial" w:hAnsi="Arial" w:cs="Arial"/>
          <w:b/>
        </w:rPr>
        <w:br w:type="page"/>
      </w:r>
    </w:p>
    <w:p w:rsidR="00CC6076" w:rsidRPr="00CC6076" w:rsidRDefault="00CC6076" w:rsidP="00CC6076">
      <w:pPr>
        <w:spacing w:line="360" w:lineRule="auto"/>
        <w:jc w:val="both"/>
        <w:rPr>
          <w:rFonts w:ascii="Arial" w:hAnsi="Arial" w:cs="Arial"/>
          <w:b/>
        </w:rPr>
      </w:pPr>
      <w:r w:rsidRPr="00CC6076">
        <w:rPr>
          <w:rFonts w:ascii="Arial" w:hAnsi="Arial" w:cs="Arial"/>
          <w:b/>
        </w:rPr>
        <w:t>Artículo 32. Créditos fiscales incosteables</w:t>
      </w:r>
    </w:p>
    <w:p w:rsidR="00CC6076" w:rsidRPr="00CC6076" w:rsidRDefault="00CC6076" w:rsidP="00CC6076">
      <w:pPr>
        <w:spacing w:line="360" w:lineRule="auto"/>
        <w:jc w:val="both"/>
        <w:rPr>
          <w:rFonts w:ascii="Arial" w:hAnsi="Arial" w:cs="Arial"/>
        </w:rPr>
      </w:pPr>
      <w:r w:rsidRPr="00CC6076">
        <w:rPr>
          <w:rFonts w:ascii="Arial" w:hAnsi="Arial" w:cs="Arial"/>
        </w:rPr>
        <w:t>Se faculta a las autoridades fiscales para que lleven a cabo la cancelación de los créditos fiscales cuyo cobro les corresponda efectuar en los casos en que aquellos sean incosteables.</w:t>
      </w:r>
    </w:p>
    <w:p w:rsidR="00BC2A91" w:rsidRDefault="00BC2A91"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Para que un crédito se considere incosteable, la autoridad fiscal evaluará los siguientes conceptos: monto del crédito, costo de las acciones de recuperación, antigüedad del crédito y probabilidad de cobro.</w:t>
      </w:r>
    </w:p>
    <w:p w:rsidR="00CC6076" w:rsidRPr="00CC6076" w:rsidRDefault="00CC6076" w:rsidP="00CC6076">
      <w:pPr>
        <w:spacing w:line="360" w:lineRule="auto"/>
        <w:jc w:val="both"/>
        <w:rPr>
          <w:rFonts w:ascii="Arial" w:hAnsi="Arial" w:cs="Arial"/>
        </w:rPr>
      </w:pPr>
      <w:r w:rsidRPr="00CC6076">
        <w:rPr>
          <w:rFonts w:ascii="Arial" w:hAnsi="Arial" w:cs="Arial"/>
        </w:rPr>
        <w:t>La cancelación de los créditos a que se refiere este artículo no libera de su pago.</w:t>
      </w:r>
    </w:p>
    <w:p w:rsidR="00BC2A91" w:rsidRDefault="00BC2A91" w:rsidP="00CC6076">
      <w:pPr>
        <w:spacing w:line="360" w:lineRule="auto"/>
        <w:jc w:val="center"/>
        <w:rPr>
          <w:rFonts w:ascii="Arial" w:hAnsi="Arial" w:cs="Arial"/>
          <w:b/>
        </w:rPr>
      </w:pPr>
    </w:p>
    <w:p w:rsidR="00CC6076" w:rsidRPr="00CC6076" w:rsidRDefault="00CC6076" w:rsidP="00CC6076">
      <w:pPr>
        <w:spacing w:line="360" w:lineRule="auto"/>
        <w:jc w:val="center"/>
        <w:rPr>
          <w:rFonts w:ascii="Arial" w:hAnsi="Arial" w:cs="Arial"/>
          <w:b/>
        </w:rPr>
      </w:pPr>
      <w:r w:rsidRPr="00CC6076">
        <w:rPr>
          <w:rFonts w:ascii="Arial" w:hAnsi="Arial" w:cs="Arial"/>
          <w:b/>
        </w:rPr>
        <w:t>Artículos transitorios</w:t>
      </w:r>
    </w:p>
    <w:p w:rsidR="00BC2A91" w:rsidRDefault="00BC2A91"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Primero. Entrada en vigor</w:t>
      </w:r>
    </w:p>
    <w:p w:rsidR="00CC6076" w:rsidRPr="00CC6076" w:rsidRDefault="00CC6076" w:rsidP="00CC6076">
      <w:pPr>
        <w:spacing w:line="360" w:lineRule="auto"/>
        <w:jc w:val="both"/>
        <w:rPr>
          <w:rFonts w:ascii="Arial" w:hAnsi="Arial" w:cs="Arial"/>
        </w:rPr>
      </w:pPr>
      <w:r w:rsidRPr="00CC6076">
        <w:rPr>
          <w:rFonts w:ascii="Arial" w:hAnsi="Arial" w:cs="Arial"/>
        </w:rPr>
        <w:t>Este decreto entrará en vigor el 1 de enero de 2023, previa publicación en el Diario Oficial del Gobierno del Estado de Yucatán y tendrá vigencia hasta el 31 de diciembre del mismo año.</w:t>
      </w:r>
    </w:p>
    <w:p w:rsidR="00BC2A91" w:rsidRDefault="00BC2A91"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 xml:space="preserve">Segundo. Derogación </w:t>
      </w:r>
    </w:p>
    <w:p w:rsidR="00CC6076" w:rsidRPr="00CC6076" w:rsidRDefault="00CC6076" w:rsidP="00CC6076">
      <w:pPr>
        <w:spacing w:line="360" w:lineRule="auto"/>
        <w:jc w:val="both"/>
        <w:rPr>
          <w:rFonts w:ascii="Arial" w:hAnsi="Arial" w:cs="Arial"/>
        </w:rPr>
      </w:pPr>
      <w:r w:rsidRPr="00CC6076">
        <w:rPr>
          <w:rFonts w:ascii="Arial" w:hAnsi="Arial" w:cs="Arial"/>
        </w:rPr>
        <w:t>Se derogan las disposiciones que contengan exenciones, totales o parciales, consideren a personas como no sujetos de contribuciones estatales, u otorguen tratamientos preferenciales o diferenciales en materia de ingresos y contribuciones estatales, distintos de los establecidos en la Ley de Ingresos del Estado de Yucatán para el Ejercicio Fiscal 2023, en el Código Fiscal del Estado de Yucatán, en los decretos expedidos por el Poder Ejecutivo del estado y en las leyes que establecen dichas contribuciones, así como sus reglamentos.</w:t>
      </w:r>
    </w:p>
    <w:p w:rsidR="0087271D" w:rsidRDefault="0087271D" w:rsidP="00CC6076">
      <w:pPr>
        <w:spacing w:line="360" w:lineRule="auto"/>
        <w:jc w:val="both"/>
        <w:rPr>
          <w:rFonts w:ascii="Arial" w:hAnsi="Arial" w:cs="Arial"/>
          <w:b/>
        </w:rPr>
      </w:pPr>
    </w:p>
    <w:p w:rsidR="0087271D" w:rsidRDefault="0087271D">
      <w:pPr>
        <w:rPr>
          <w:rFonts w:ascii="Arial" w:hAnsi="Arial" w:cs="Arial"/>
          <w:b/>
        </w:rPr>
      </w:pPr>
      <w:r>
        <w:rPr>
          <w:rFonts w:ascii="Arial" w:hAnsi="Arial" w:cs="Arial"/>
          <w:b/>
        </w:rPr>
        <w:br w:type="page"/>
      </w:r>
    </w:p>
    <w:p w:rsidR="00CC6076" w:rsidRPr="00CC6076" w:rsidRDefault="00CC6076" w:rsidP="00CC6076">
      <w:pPr>
        <w:spacing w:line="360" w:lineRule="auto"/>
        <w:jc w:val="both"/>
        <w:rPr>
          <w:rFonts w:ascii="Arial" w:hAnsi="Arial" w:cs="Arial"/>
          <w:b/>
        </w:rPr>
      </w:pPr>
      <w:r w:rsidRPr="00CC6076">
        <w:rPr>
          <w:rFonts w:ascii="Arial" w:hAnsi="Arial" w:cs="Arial"/>
          <w:b/>
        </w:rPr>
        <w:t>Tercero. Obligación de los entes públicos</w:t>
      </w:r>
    </w:p>
    <w:p w:rsidR="00CC6076" w:rsidRPr="00CC6076" w:rsidRDefault="00CC6076" w:rsidP="00CC6076">
      <w:pPr>
        <w:spacing w:line="360" w:lineRule="auto"/>
        <w:jc w:val="both"/>
        <w:rPr>
          <w:rFonts w:ascii="Arial" w:hAnsi="Arial" w:cs="Arial"/>
        </w:rPr>
      </w:pPr>
      <w:r w:rsidRPr="00CC6076">
        <w:rPr>
          <w:rFonts w:ascii="Arial" w:hAnsi="Arial" w:cs="Arial"/>
        </w:rPr>
        <w:t>Los entes públicos que reciban ingresos de los previstos en la Ley de Ingresos del Estado de Yucatán para el Ejercicio Fiscal 2023 deberán elaborar y difundir en sus respectivos sitios web documentos dirigidos a la ciudadanía en los que expliquen, de manera sencilla y en los formatos aprobados por el Consejo Nacional de Armonización Contable, el contenido de la Ley de Ingresos del Estado de Yucatán para el Ejercicio Fiscal 2023.</w:t>
      </w:r>
    </w:p>
    <w:p w:rsidR="00BC2A91" w:rsidRDefault="00BC2A91"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Asimismo, los entes públicos deberán difundir, en los términos establecidos en la Ley de Disciplina Financiera de las Entidades Federativas y los Municipios, la información y formatos correspondientes.</w:t>
      </w:r>
    </w:p>
    <w:p w:rsidR="00BC2A91" w:rsidRDefault="00BC2A91"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Cuarto. Modificaciones a la estructura administrativa</w:t>
      </w:r>
    </w:p>
    <w:p w:rsidR="00CC6076" w:rsidRPr="00CC6076" w:rsidRDefault="00CC6076" w:rsidP="00CC6076">
      <w:pPr>
        <w:spacing w:line="360" w:lineRule="auto"/>
        <w:jc w:val="both"/>
        <w:rPr>
          <w:rFonts w:ascii="Arial" w:hAnsi="Arial" w:cs="Arial"/>
        </w:rPr>
      </w:pPr>
      <w:r w:rsidRPr="00CC6076">
        <w:rPr>
          <w:rFonts w:ascii="Arial" w:hAnsi="Arial" w:cs="Arial"/>
        </w:rPr>
        <w:t>Para los efectos de la Ley de Ingresos del Estado de Yucatán para el Ejercicio Fiscal 2023, cuando de conformidad con el Código de la Administración Pública de Yucatán, su reglamento o cualquier otra normativa, se modifique la denominación de alguna dependencia, entidad o ente público, o los existentes desaparezcan, los ingresos estimados para cualquiera de estos en esta ley, corresponderán al ente público cuyas denominaciones hayan cambiado o al que absorba las facultades de aquellas que desaparezcan, según corresponda.</w:t>
      </w:r>
    </w:p>
    <w:p w:rsidR="00BC2A91" w:rsidRDefault="00BC2A91"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Quinto. Fideicomisos</w:t>
      </w:r>
    </w:p>
    <w:p w:rsidR="00CC6076" w:rsidRPr="00CC6076" w:rsidRDefault="00CC6076" w:rsidP="00CC6076">
      <w:pPr>
        <w:spacing w:line="360" w:lineRule="auto"/>
        <w:jc w:val="both"/>
        <w:rPr>
          <w:rFonts w:ascii="Arial" w:hAnsi="Arial" w:cs="Arial"/>
        </w:rPr>
      </w:pPr>
      <w:r w:rsidRPr="00CC6076">
        <w:rPr>
          <w:rFonts w:ascii="Arial" w:hAnsi="Arial" w:cs="Arial"/>
        </w:rPr>
        <w:t>Las dependencias y entidades de la Administración Pública estatal, los Poderes y los organismos constitucionales autónomos deberán remitir a la Secretaría de Administración y Finanzas, durante el primer trimestre del ejercicio fiscal 2023, un informe de los fideicomisos, mandatos o análogos públicos susceptibles de extinguirse en términos de las disposiciones aplicables. Lo anterior, a efecto de que se lleven a cabo los actos necesarios para la extinción de dichas figuras, conforme a lo establecido en la Ley del Presupuesto y Contabilidad Gubernamental del Estado de Yucatán y su reglamento.</w:t>
      </w:r>
    </w:p>
    <w:p w:rsidR="004306FF" w:rsidRPr="00D93F7E" w:rsidRDefault="004306FF" w:rsidP="001B04B6">
      <w:pPr>
        <w:spacing w:line="360" w:lineRule="auto"/>
        <w:jc w:val="both"/>
        <w:rPr>
          <w:rFonts w:ascii="Arial" w:hAnsi="Arial" w:cs="Arial"/>
        </w:rPr>
      </w:pPr>
    </w:p>
    <w:p w:rsidR="00104093" w:rsidRPr="00104093" w:rsidRDefault="00104093" w:rsidP="00104093">
      <w:pPr>
        <w:ind w:firstLine="708"/>
        <w:jc w:val="both"/>
        <w:rPr>
          <w:rFonts w:ascii="Arial" w:hAnsi="Arial" w:cs="Arial"/>
          <w:b/>
          <w:caps/>
          <w:sz w:val="22"/>
          <w:szCs w:val="22"/>
        </w:rPr>
      </w:pPr>
      <w:r w:rsidRPr="003D0052">
        <w:rPr>
          <w:rFonts w:ascii="Arial" w:hAnsi="Arial" w:cs="Arial"/>
          <w:b/>
          <w:sz w:val="22"/>
          <w:szCs w:val="22"/>
        </w:rPr>
        <w:t xml:space="preserve">DADO EN LA SALA DE USOS MÚLTIPLES “MAESTRA CONSUELO ZAVALA CASTILLO” DEL RECINTO DEL PODER LEGISLATIVO, EN LA CIUDAD DE MÉRIDA, YUCATÁN, AL </w:t>
      </w:r>
      <w:r w:rsidR="00AF51F4">
        <w:rPr>
          <w:rFonts w:ascii="Arial" w:hAnsi="Arial" w:cs="Arial"/>
          <w:b/>
          <w:sz w:val="22"/>
          <w:szCs w:val="22"/>
        </w:rPr>
        <w:t>TRES</w:t>
      </w:r>
      <w:r w:rsidRPr="003D0052">
        <w:rPr>
          <w:rFonts w:ascii="Arial" w:hAnsi="Arial" w:cs="Arial"/>
          <w:b/>
          <w:sz w:val="22"/>
          <w:szCs w:val="22"/>
        </w:rPr>
        <w:t xml:space="preserve"> DÍA DEL MES DE </w:t>
      </w:r>
      <w:r w:rsidR="001B04B6" w:rsidRPr="003D0052">
        <w:rPr>
          <w:rFonts w:ascii="Arial" w:hAnsi="Arial" w:cs="Arial"/>
          <w:b/>
          <w:sz w:val="22"/>
          <w:szCs w:val="22"/>
        </w:rPr>
        <w:t>DICIEMBRE</w:t>
      </w:r>
      <w:r w:rsidRPr="003D0052">
        <w:rPr>
          <w:rFonts w:ascii="Arial" w:hAnsi="Arial" w:cs="Arial"/>
          <w:b/>
          <w:sz w:val="22"/>
          <w:szCs w:val="22"/>
        </w:rPr>
        <w:t xml:space="preserve"> DEL AÑO DOS MIL VEINTI</w:t>
      </w:r>
      <w:r w:rsidR="00C77F40">
        <w:rPr>
          <w:rFonts w:ascii="Arial" w:hAnsi="Arial" w:cs="Arial"/>
          <w:b/>
          <w:sz w:val="22"/>
          <w:szCs w:val="22"/>
        </w:rPr>
        <w:t>DÓS</w:t>
      </w:r>
      <w:r w:rsidRPr="003D0052">
        <w:rPr>
          <w:rFonts w:ascii="Arial" w:hAnsi="Arial" w:cs="Arial"/>
          <w:b/>
          <w:sz w:val="22"/>
          <w:szCs w:val="22"/>
        </w:rPr>
        <w:t>.</w:t>
      </w:r>
    </w:p>
    <w:p w:rsidR="00104093" w:rsidRPr="00104093" w:rsidRDefault="00104093" w:rsidP="00104093">
      <w:pPr>
        <w:pStyle w:val="Textoindependiente"/>
        <w:ind w:left="10" w:right="62"/>
        <w:jc w:val="center"/>
        <w:rPr>
          <w:rFonts w:ascii="Arial" w:hAnsi="Arial" w:cs="Arial"/>
          <w:b/>
          <w:caps/>
          <w:sz w:val="22"/>
          <w:szCs w:val="22"/>
          <w:lang w:val="es-MX"/>
        </w:rPr>
      </w:pPr>
    </w:p>
    <w:p w:rsidR="00104093" w:rsidRPr="00104093" w:rsidRDefault="00104093" w:rsidP="00104093">
      <w:pPr>
        <w:pStyle w:val="Textoindependiente"/>
        <w:ind w:left="10" w:right="62"/>
        <w:jc w:val="center"/>
        <w:rPr>
          <w:rFonts w:ascii="Arial" w:hAnsi="Arial" w:cs="Arial"/>
          <w:b/>
          <w:caps/>
          <w:sz w:val="22"/>
          <w:szCs w:val="22"/>
        </w:rPr>
      </w:pPr>
      <w:r w:rsidRPr="00104093">
        <w:rPr>
          <w:rFonts w:ascii="Arial" w:hAnsi="Arial" w:cs="Arial"/>
          <w:b/>
          <w:caps/>
          <w:sz w:val="22"/>
          <w:szCs w:val="22"/>
        </w:rPr>
        <w:t xml:space="preserve">COMISIÓN PERMANENTE DE PRESUPUESTO, PATRIMONIO </w:t>
      </w:r>
    </w:p>
    <w:p w:rsidR="00104093" w:rsidRDefault="00104093" w:rsidP="00104093">
      <w:pPr>
        <w:pStyle w:val="Textoindependiente"/>
        <w:ind w:left="10" w:right="62"/>
        <w:jc w:val="center"/>
        <w:rPr>
          <w:rFonts w:ascii="Arial" w:hAnsi="Arial" w:cs="Arial"/>
          <w:b/>
          <w:caps/>
          <w:sz w:val="22"/>
          <w:szCs w:val="22"/>
        </w:rPr>
      </w:pPr>
      <w:r w:rsidRPr="00104093">
        <w:rPr>
          <w:rFonts w:ascii="Arial" w:hAnsi="Arial" w:cs="Arial"/>
          <w:b/>
          <w:caps/>
          <w:sz w:val="22"/>
          <w:szCs w:val="22"/>
        </w:rPr>
        <w:t>ESTATAL Y MUNICIPAL</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2700"/>
        <w:gridCol w:w="2195"/>
        <w:gridCol w:w="2199"/>
      </w:tblGrid>
      <w:tr w:rsidR="004306FF" w:rsidRPr="00327AF6" w:rsidTr="00222D73">
        <w:trPr>
          <w:trHeight w:val="488"/>
          <w:tblHeader/>
          <w:jc w:val="center"/>
        </w:trPr>
        <w:tc>
          <w:tcPr>
            <w:tcW w:w="2204" w:type="dxa"/>
            <w:shd w:val="clear" w:color="auto" w:fill="A6A6A6"/>
          </w:tcPr>
          <w:p w:rsidR="004306FF" w:rsidRPr="00327AF6" w:rsidRDefault="004306FF" w:rsidP="004306FF">
            <w:pPr>
              <w:contextualSpacing/>
              <w:jc w:val="center"/>
              <w:rPr>
                <w:rFonts w:ascii="Arial" w:hAnsi="Arial" w:cs="Arial"/>
                <w:b/>
                <w:bCs/>
                <w:caps/>
                <w:sz w:val="20"/>
                <w:szCs w:val="20"/>
              </w:rPr>
            </w:pPr>
            <w:r w:rsidRPr="00327AF6">
              <w:rPr>
                <w:rFonts w:ascii="Arial" w:hAnsi="Arial" w:cs="Arial"/>
                <w:b/>
                <w:bCs/>
                <w:caps/>
                <w:sz w:val="20"/>
                <w:szCs w:val="20"/>
              </w:rPr>
              <w:t>CARGO</w:t>
            </w:r>
          </w:p>
        </w:tc>
        <w:tc>
          <w:tcPr>
            <w:tcW w:w="2700" w:type="dxa"/>
            <w:shd w:val="clear" w:color="auto" w:fill="A6A6A6"/>
          </w:tcPr>
          <w:p w:rsidR="004306FF" w:rsidRPr="00327AF6" w:rsidRDefault="004306FF" w:rsidP="00CC6076">
            <w:pPr>
              <w:contextualSpacing/>
              <w:jc w:val="center"/>
              <w:rPr>
                <w:rFonts w:ascii="Arial" w:hAnsi="Arial" w:cs="Arial"/>
                <w:b/>
                <w:bCs/>
                <w:caps/>
                <w:sz w:val="20"/>
                <w:szCs w:val="20"/>
              </w:rPr>
            </w:pPr>
            <w:r w:rsidRPr="00327AF6">
              <w:rPr>
                <w:rFonts w:ascii="Arial" w:hAnsi="Arial" w:cs="Arial"/>
                <w:b/>
                <w:bCs/>
                <w:caps/>
                <w:sz w:val="20"/>
                <w:szCs w:val="20"/>
              </w:rPr>
              <w:t xml:space="preserve">nombre </w:t>
            </w:r>
          </w:p>
        </w:tc>
        <w:tc>
          <w:tcPr>
            <w:tcW w:w="2195" w:type="dxa"/>
            <w:shd w:val="clear" w:color="auto" w:fill="A6A6A6"/>
          </w:tcPr>
          <w:p w:rsidR="004306FF" w:rsidRPr="00327AF6" w:rsidRDefault="004306FF" w:rsidP="00CC6076">
            <w:pPr>
              <w:contextualSpacing/>
              <w:jc w:val="center"/>
              <w:rPr>
                <w:rFonts w:ascii="Arial" w:hAnsi="Arial" w:cs="Arial"/>
                <w:b/>
                <w:bCs/>
                <w:caps/>
                <w:sz w:val="20"/>
                <w:szCs w:val="20"/>
              </w:rPr>
            </w:pPr>
            <w:r w:rsidRPr="00327AF6">
              <w:rPr>
                <w:rFonts w:ascii="Arial" w:hAnsi="Arial" w:cs="Arial"/>
                <w:b/>
                <w:bCs/>
                <w:caps/>
                <w:sz w:val="20"/>
                <w:szCs w:val="20"/>
              </w:rPr>
              <w:t>VOTO A FAVOR</w:t>
            </w:r>
          </w:p>
        </w:tc>
        <w:tc>
          <w:tcPr>
            <w:tcW w:w="2199" w:type="dxa"/>
            <w:shd w:val="clear" w:color="auto" w:fill="A6A6A6"/>
          </w:tcPr>
          <w:p w:rsidR="004306FF" w:rsidRPr="00327AF6" w:rsidRDefault="004306FF" w:rsidP="00CC6076">
            <w:pPr>
              <w:contextualSpacing/>
              <w:jc w:val="center"/>
              <w:rPr>
                <w:rFonts w:ascii="Arial" w:hAnsi="Arial" w:cs="Arial"/>
                <w:b/>
                <w:bCs/>
                <w:caps/>
                <w:sz w:val="20"/>
                <w:szCs w:val="20"/>
              </w:rPr>
            </w:pPr>
            <w:r w:rsidRPr="00327AF6">
              <w:rPr>
                <w:rFonts w:ascii="Arial" w:hAnsi="Arial" w:cs="Arial"/>
                <w:b/>
                <w:bCs/>
                <w:caps/>
                <w:sz w:val="20"/>
                <w:szCs w:val="20"/>
              </w:rPr>
              <w:t>VOTO EN CONTRA</w:t>
            </w:r>
          </w:p>
        </w:tc>
      </w:tr>
      <w:tr w:rsidR="004306FF" w:rsidRPr="00327AF6" w:rsidTr="00222D73">
        <w:trPr>
          <w:jc w:val="center"/>
        </w:trPr>
        <w:tc>
          <w:tcPr>
            <w:tcW w:w="2204" w:type="dxa"/>
            <w:shd w:val="clear" w:color="auto" w:fill="auto"/>
          </w:tcPr>
          <w:p w:rsidR="004306FF" w:rsidRPr="00327AF6" w:rsidRDefault="004306FF" w:rsidP="00CC6076">
            <w:pPr>
              <w:contextualSpacing/>
              <w:jc w:val="center"/>
              <w:rPr>
                <w:rFonts w:ascii="Arial" w:hAnsi="Arial" w:cs="Arial"/>
                <w:b/>
                <w:bCs/>
                <w:caps/>
                <w:sz w:val="20"/>
                <w:szCs w:val="20"/>
              </w:rPr>
            </w:pPr>
          </w:p>
          <w:p w:rsidR="004306FF" w:rsidRDefault="004306FF" w:rsidP="00CC6076">
            <w:pPr>
              <w:contextualSpacing/>
              <w:jc w:val="center"/>
              <w:rPr>
                <w:rFonts w:ascii="Arial" w:hAnsi="Arial" w:cs="Arial"/>
                <w:b/>
                <w:bCs/>
                <w:caps/>
                <w:sz w:val="20"/>
                <w:szCs w:val="20"/>
              </w:rPr>
            </w:pPr>
          </w:p>
          <w:p w:rsidR="004306FF" w:rsidRDefault="004306FF" w:rsidP="00CC6076">
            <w:pPr>
              <w:contextualSpacing/>
              <w:jc w:val="center"/>
              <w:rPr>
                <w:rFonts w:ascii="Arial" w:hAnsi="Arial" w:cs="Arial"/>
                <w:b/>
                <w:bCs/>
                <w:caps/>
                <w:sz w:val="20"/>
                <w:szCs w:val="20"/>
              </w:rPr>
            </w:pPr>
          </w:p>
          <w:p w:rsidR="004306FF" w:rsidRPr="00327AF6" w:rsidRDefault="004306FF" w:rsidP="00CC6076">
            <w:pPr>
              <w:contextualSpacing/>
              <w:jc w:val="center"/>
              <w:rPr>
                <w:rFonts w:ascii="Arial" w:hAnsi="Arial" w:cs="Arial"/>
                <w:b/>
                <w:bCs/>
                <w:caps/>
                <w:sz w:val="20"/>
                <w:szCs w:val="20"/>
              </w:rPr>
            </w:pPr>
          </w:p>
          <w:p w:rsidR="004306FF" w:rsidRPr="00327AF6" w:rsidRDefault="004306FF" w:rsidP="00CC6076">
            <w:pPr>
              <w:contextualSpacing/>
              <w:jc w:val="center"/>
              <w:rPr>
                <w:rFonts w:ascii="Arial" w:hAnsi="Arial" w:cs="Arial"/>
                <w:b/>
                <w:bCs/>
                <w:caps/>
                <w:sz w:val="20"/>
                <w:szCs w:val="20"/>
              </w:rPr>
            </w:pPr>
            <w:r w:rsidRPr="00327AF6">
              <w:rPr>
                <w:rFonts w:ascii="Arial" w:hAnsi="Arial" w:cs="Arial"/>
                <w:b/>
                <w:bCs/>
                <w:caps/>
                <w:sz w:val="20"/>
                <w:szCs w:val="20"/>
              </w:rPr>
              <w:t>PRESIDENTE</w:t>
            </w:r>
          </w:p>
          <w:p w:rsidR="004306FF" w:rsidRPr="00327AF6" w:rsidRDefault="004306FF" w:rsidP="00CC6076">
            <w:pPr>
              <w:contextualSpacing/>
              <w:rPr>
                <w:rFonts w:ascii="Arial" w:hAnsi="Arial" w:cs="Arial"/>
                <w:b/>
                <w:bCs/>
                <w:caps/>
                <w:sz w:val="20"/>
                <w:szCs w:val="20"/>
              </w:rPr>
            </w:pPr>
          </w:p>
        </w:tc>
        <w:tc>
          <w:tcPr>
            <w:tcW w:w="2700" w:type="dxa"/>
            <w:shd w:val="clear" w:color="auto" w:fill="auto"/>
          </w:tcPr>
          <w:p w:rsidR="004306FF" w:rsidRPr="00327AF6" w:rsidRDefault="004306FF" w:rsidP="00CC6076">
            <w:pPr>
              <w:contextualSpacing/>
              <w:jc w:val="center"/>
              <w:rPr>
                <w:rFonts w:ascii="Arial" w:hAnsi="Arial" w:cs="Arial"/>
                <w:b/>
                <w:bCs/>
                <w:caps/>
                <w:sz w:val="20"/>
                <w:szCs w:val="20"/>
              </w:rPr>
            </w:pPr>
            <w:r w:rsidRPr="005B6789">
              <w:rPr>
                <w:noProof/>
                <w:lang w:val="es-MX" w:eastAsia="es-MX"/>
              </w:rPr>
              <w:drawing>
                <wp:inline distT="0" distB="0" distL="0" distR="0">
                  <wp:extent cx="762000" cy="952500"/>
                  <wp:effectExtent l="0" t="0" r="0" b="0"/>
                  <wp:docPr id="14" name="Imagen 14"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rsidR="004306FF" w:rsidRPr="00327AF6" w:rsidRDefault="004306FF" w:rsidP="00CC6076">
            <w:pPr>
              <w:contextualSpacing/>
              <w:jc w:val="center"/>
              <w:rPr>
                <w:rFonts w:ascii="Arial" w:hAnsi="Arial" w:cs="Arial"/>
                <w:b/>
                <w:bCs/>
                <w:caps/>
                <w:sz w:val="20"/>
                <w:szCs w:val="20"/>
              </w:rPr>
            </w:pPr>
            <w:r w:rsidRPr="00327AF6">
              <w:rPr>
                <w:rFonts w:ascii="Arial" w:hAnsi="Arial" w:cs="Arial"/>
                <w:b/>
                <w:bCs/>
                <w:caps/>
                <w:sz w:val="20"/>
                <w:szCs w:val="20"/>
              </w:rPr>
              <w:t>DIP. JESÚS EFRÉN PÉREZ BALLOTE.</w:t>
            </w:r>
          </w:p>
        </w:tc>
        <w:tc>
          <w:tcPr>
            <w:tcW w:w="2195" w:type="dxa"/>
            <w:shd w:val="clear" w:color="auto" w:fill="auto"/>
          </w:tcPr>
          <w:p w:rsidR="004306FF" w:rsidRPr="00327AF6" w:rsidRDefault="004306FF" w:rsidP="00CC6076">
            <w:pPr>
              <w:contextualSpacing/>
              <w:rPr>
                <w:rFonts w:ascii="Arial" w:hAnsi="Arial" w:cs="Arial"/>
                <w:b/>
                <w:bCs/>
                <w:caps/>
                <w:sz w:val="20"/>
                <w:szCs w:val="20"/>
              </w:rPr>
            </w:pPr>
          </w:p>
        </w:tc>
        <w:tc>
          <w:tcPr>
            <w:tcW w:w="2199" w:type="dxa"/>
            <w:shd w:val="clear" w:color="auto" w:fill="auto"/>
          </w:tcPr>
          <w:p w:rsidR="004306FF" w:rsidRPr="00327AF6" w:rsidRDefault="004306FF" w:rsidP="00CC6076">
            <w:pPr>
              <w:contextualSpacing/>
              <w:rPr>
                <w:rFonts w:ascii="Arial" w:hAnsi="Arial" w:cs="Arial"/>
                <w:b/>
                <w:bCs/>
                <w:caps/>
                <w:sz w:val="20"/>
                <w:szCs w:val="20"/>
              </w:rPr>
            </w:pPr>
          </w:p>
        </w:tc>
      </w:tr>
      <w:tr w:rsidR="004306FF" w:rsidRPr="00327AF6" w:rsidTr="00222D73">
        <w:trPr>
          <w:jc w:val="center"/>
        </w:trPr>
        <w:tc>
          <w:tcPr>
            <w:tcW w:w="2204" w:type="dxa"/>
            <w:shd w:val="clear" w:color="auto" w:fill="auto"/>
          </w:tcPr>
          <w:p w:rsidR="004306FF" w:rsidRDefault="004306FF" w:rsidP="00CC6076">
            <w:pPr>
              <w:contextualSpacing/>
              <w:jc w:val="center"/>
              <w:rPr>
                <w:rFonts w:ascii="Arial" w:hAnsi="Arial" w:cs="Arial"/>
                <w:b/>
                <w:bCs/>
                <w:caps/>
                <w:sz w:val="20"/>
                <w:szCs w:val="20"/>
              </w:rPr>
            </w:pPr>
          </w:p>
          <w:p w:rsidR="004306FF" w:rsidRDefault="004306FF" w:rsidP="00CC6076">
            <w:pPr>
              <w:contextualSpacing/>
              <w:jc w:val="center"/>
              <w:rPr>
                <w:rFonts w:ascii="Arial" w:hAnsi="Arial" w:cs="Arial"/>
                <w:b/>
                <w:bCs/>
                <w:caps/>
                <w:sz w:val="20"/>
                <w:szCs w:val="20"/>
              </w:rPr>
            </w:pPr>
          </w:p>
          <w:p w:rsidR="004306FF" w:rsidRDefault="004306FF" w:rsidP="00CC6076">
            <w:pPr>
              <w:contextualSpacing/>
              <w:jc w:val="center"/>
              <w:rPr>
                <w:rFonts w:ascii="Arial" w:hAnsi="Arial" w:cs="Arial"/>
                <w:b/>
                <w:bCs/>
                <w:caps/>
                <w:sz w:val="20"/>
                <w:szCs w:val="20"/>
              </w:rPr>
            </w:pPr>
          </w:p>
          <w:p w:rsidR="004306FF" w:rsidRPr="00327AF6" w:rsidRDefault="004306FF" w:rsidP="00CC6076">
            <w:pPr>
              <w:contextualSpacing/>
              <w:jc w:val="center"/>
              <w:rPr>
                <w:rFonts w:ascii="Arial" w:hAnsi="Arial" w:cs="Arial"/>
                <w:b/>
                <w:bCs/>
                <w:caps/>
                <w:sz w:val="20"/>
                <w:szCs w:val="20"/>
              </w:rPr>
            </w:pPr>
          </w:p>
          <w:p w:rsidR="004306FF" w:rsidRPr="00327AF6" w:rsidRDefault="004306FF" w:rsidP="00CC6076">
            <w:pPr>
              <w:contextualSpacing/>
              <w:jc w:val="center"/>
              <w:rPr>
                <w:rFonts w:ascii="Arial" w:hAnsi="Arial" w:cs="Arial"/>
                <w:b/>
                <w:bCs/>
                <w:caps/>
                <w:sz w:val="20"/>
                <w:szCs w:val="20"/>
              </w:rPr>
            </w:pPr>
            <w:r w:rsidRPr="00327AF6">
              <w:rPr>
                <w:rFonts w:ascii="Arial" w:hAnsi="Arial" w:cs="Arial"/>
                <w:b/>
                <w:bCs/>
                <w:caps/>
                <w:sz w:val="20"/>
                <w:szCs w:val="20"/>
              </w:rPr>
              <w:t>VICEPRESIDENTE</w:t>
            </w:r>
          </w:p>
          <w:p w:rsidR="004306FF" w:rsidRPr="00327AF6" w:rsidRDefault="004306FF" w:rsidP="00CC6076">
            <w:pPr>
              <w:contextualSpacing/>
              <w:jc w:val="center"/>
              <w:rPr>
                <w:rFonts w:ascii="Arial" w:hAnsi="Arial" w:cs="Arial"/>
                <w:b/>
                <w:bCs/>
                <w:caps/>
                <w:sz w:val="20"/>
                <w:szCs w:val="20"/>
              </w:rPr>
            </w:pPr>
          </w:p>
          <w:p w:rsidR="004306FF" w:rsidRPr="00327AF6" w:rsidRDefault="004306FF" w:rsidP="00CC6076">
            <w:pPr>
              <w:contextualSpacing/>
              <w:jc w:val="center"/>
              <w:rPr>
                <w:rFonts w:ascii="Arial" w:hAnsi="Arial" w:cs="Arial"/>
                <w:b/>
                <w:bCs/>
                <w:caps/>
                <w:sz w:val="20"/>
                <w:szCs w:val="20"/>
              </w:rPr>
            </w:pPr>
          </w:p>
          <w:p w:rsidR="004306FF" w:rsidRPr="00327AF6" w:rsidRDefault="004306FF" w:rsidP="00CC6076">
            <w:pPr>
              <w:contextualSpacing/>
              <w:jc w:val="center"/>
              <w:rPr>
                <w:rFonts w:ascii="Arial" w:hAnsi="Arial" w:cs="Arial"/>
                <w:b/>
                <w:bCs/>
                <w:caps/>
                <w:sz w:val="20"/>
                <w:szCs w:val="20"/>
              </w:rPr>
            </w:pPr>
          </w:p>
        </w:tc>
        <w:tc>
          <w:tcPr>
            <w:tcW w:w="2700" w:type="dxa"/>
            <w:shd w:val="clear" w:color="auto" w:fill="auto"/>
          </w:tcPr>
          <w:p w:rsidR="004306FF" w:rsidRPr="00327AF6" w:rsidRDefault="004306FF" w:rsidP="00CC6076">
            <w:pPr>
              <w:contextualSpacing/>
              <w:jc w:val="center"/>
              <w:rPr>
                <w:rFonts w:ascii="Arial" w:eastAsia="Calibri" w:hAnsi="Arial" w:cs="Arial"/>
                <w:b/>
                <w:sz w:val="20"/>
                <w:szCs w:val="20"/>
                <w:lang w:eastAsia="en-US"/>
              </w:rPr>
            </w:pPr>
            <w:r w:rsidRPr="005B6789">
              <w:rPr>
                <w:noProof/>
                <w:lang w:val="es-MX" w:eastAsia="es-MX"/>
              </w:rPr>
              <w:drawing>
                <wp:inline distT="0" distB="0" distL="0" distR="0">
                  <wp:extent cx="771525" cy="1000125"/>
                  <wp:effectExtent l="0" t="0" r="9525" b="9525"/>
                  <wp:docPr id="13" name="Imagen 13" descr="Z:\LXIII LEGISLATURA\FOTOS DIPS-LXIII LEGIS\Dip. Harry R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Z:\LXIII LEGISLATURA\FOTOS DIPS-LXIII LEGIS\Dip. Harry Rd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1000125"/>
                          </a:xfrm>
                          <a:prstGeom prst="rect">
                            <a:avLst/>
                          </a:prstGeom>
                          <a:noFill/>
                          <a:ln>
                            <a:noFill/>
                          </a:ln>
                        </pic:spPr>
                      </pic:pic>
                    </a:graphicData>
                  </a:graphic>
                </wp:inline>
              </w:drawing>
            </w:r>
          </w:p>
          <w:p w:rsidR="004306FF" w:rsidRPr="00327AF6" w:rsidRDefault="004306FF" w:rsidP="00CC6076">
            <w:pPr>
              <w:contextualSpacing/>
              <w:jc w:val="center"/>
              <w:rPr>
                <w:rFonts w:ascii="Arial" w:eastAsia="Calibri" w:hAnsi="Arial" w:cs="Arial"/>
                <w:b/>
                <w:sz w:val="20"/>
                <w:szCs w:val="20"/>
                <w:lang w:eastAsia="en-US"/>
              </w:rPr>
            </w:pPr>
            <w:r w:rsidRPr="00327AF6">
              <w:rPr>
                <w:rFonts w:ascii="Arial" w:eastAsia="Calibri" w:hAnsi="Arial" w:cs="Arial"/>
                <w:b/>
                <w:sz w:val="20"/>
                <w:szCs w:val="20"/>
                <w:lang w:eastAsia="en-US"/>
              </w:rPr>
              <w:t>DIP. HARRY GERARDO RODRÍGUEZ BOTELLO FIERRO.</w:t>
            </w:r>
          </w:p>
        </w:tc>
        <w:tc>
          <w:tcPr>
            <w:tcW w:w="2195" w:type="dxa"/>
            <w:shd w:val="clear" w:color="auto" w:fill="auto"/>
          </w:tcPr>
          <w:p w:rsidR="004306FF" w:rsidRPr="00327AF6" w:rsidRDefault="004306FF" w:rsidP="00CC6076">
            <w:pPr>
              <w:contextualSpacing/>
              <w:rPr>
                <w:rFonts w:ascii="Arial" w:hAnsi="Arial" w:cs="Arial"/>
                <w:b/>
                <w:bCs/>
                <w:caps/>
                <w:sz w:val="20"/>
                <w:szCs w:val="20"/>
              </w:rPr>
            </w:pPr>
          </w:p>
        </w:tc>
        <w:tc>
          <w:tcPr>
            <w:tcW w:w="2199" w:type="dxa"/>
            <w:shd w:val="clear" w:color="auto" w:fill="auto"/>
          </w:tcPr>
          <w:p w:rsidR="004306FF" w:rsidRPr="00327AF6" w:rsidRDefault="004306FF" w:rsidP="00CC6076">
            <w:pPr>
              <w:contextualSpacing/>
              <w:rPr>
                <w:rFonts w:ascii="Arial" w:hAnsi="Arial" w:cs="Arial"/>
                <w:b/>
                <w:bCs/>
                <w:caps/>
                <w:sz w:val="20"/>
                <w:szCs w:val="20"/>
              </w:rPr>
            </w:pPr>
          </w:p>
        </w:tc>
      </w:tr>
      <w:tr w:rsidR="004306FF" w:rsidRPr="00327AF6" w:rsidTr="00222D73">
        <w:trPr>
          <w:jc w:val="center"/>
        </w:trPr>
        <w:tc>
          <w:tcPr>
            <w:tcW w:w="2204" w:type="dxa"/>
            <w:shd w:val="clear" w:color="auto" w:fill="auto"/>
          </w:tcPr>
          <w:p w:rsidR="004306FF" w:rsidRDefault="004306FF" w:rsidP="00CC6076">
            <w:pPr>
              <w:contextualSpacing/>
              <w:jc w:val="center"/>
              <w:rPr>
                <w:rFonts w:ascii="Arial" w:hAnsi="Arial" w:cs="Arial"/>
                <w:b/>
                <w:bCs/>
                <w:caps/>
                <w:sz w:val="20"/>
                <w:szCs w:val="20"/>
              </w:rPr>
            </w:pPr>
          </w:p>
          <w:p w:rsidR="004306FF" w:rsidRDefault="004306FF" w:rsidP="00CC6076">
            <w:pPr>
              <w:contextualSpacing/>
              <w:jc w:val="center"/>
              <w:rPr>
                <w:rFonts w:ascii="Arial" w:hAnsi="Arial" w:cs="Arial"/>
                <w:b/>
                <w:bCs/>
                <w:caps/>
                <w:sz w:val="20"/>
                <w:szCs w:val="20"/>
              </w:rPr>
            </w:pPr>
          </w:p>
          <w:p w:rsidR="004306FF" w:rsidRDefault="004306FF" w:rsidP="00CC6076">
            <w:pPr>
              <w:contextualSpacing/>
              <w:jc w:val="center"/>
              <w:rPr>
                <w:rFonts w:ascii="Arial" w:hAnsi="Arial" w:cs="Arial"/>
                <w:b/>
                <w:bCs/>
                <w:caps/>
                <w:sz w:val="20"/>
                <w:szCs w:val="20"/>
              </w:rPr>
            </w:pPr>
          </w:p>
          <w:p w:rsidR="004306FF" w:rsidRPr="00327AF6" w:rsidRDefault="004306FF" w:rsidP="00CC6076">
            <w:pPr>
              <w:contextualSpacing/>
              <w:jc w:val="center"/>
              <w:rPr>
                <w:rFonts w:ascii="Arial" w:hAnsi="Arial" w:cs="Arial"/>
                <w:b/>
                <w:bCs/>
                <w:caps/>
                <w:sz w:val="20"/>
                <w:szCs w:val="20"/>
              </w:rPr>
            </w:pPr>
          </w:p>
          <w:p w:rsidR="004306FF" w:rsidRPr="00327AF6" w:rsidRDefault="004306FF" w:rsidP="00CC6076">
            <w:pPr>
              <w:contextualSpacing/>
              <w:jc w:val="center"/>
              <w:rPr>
                <w:rFonts w:ascii="Arial" w:hAnsi="Arial" w:cs="Arial"/>
                <w:b/>
                <w:bCs/>
                <w:caps/>
                <w:sz w:val="20"/>
                <w:szCs w:val="20"/>
                <w:lang w:val="pt-BR"/>
              </w:rPr>
            </w:pPr>
            <w:r w:rsidRPr="00327AF6">
              <w:rPr>
                <w:rFonts w:ascii="Arial" w:hAnsi="Arial" w:cs="Arial"/>
                <w:b/>
                <w:bCs/>
                <w:caps/>
                <w:sz w:val="20"/>
                <w:szCs w:val="20"/>
                <w:lang w:val="pt-BR"/>
              </w:rPr>
              <w:t>secretariO</w:t>
            </w:r>
          </w:p>
          <w:p w:rsidR="004306FF" w:rsidRPr="00327AF6" w:rsidRDefault="004306FF" w:rsidP="00CC6076">
            <w:pPr>
              <w:contextualSpacing/>
              <w:jc w:val="center"/>
              <w:rPr>
                <w:rFonts w:ascii="Arial" w:hAnsi="Arial" w:cs="Arial"/>
                <w:b/>
                <w:bCs/>
                <w:caps/>
                <w:sz w:val="20"/>
                <w:szCs w:val="20"/>
                <w:lang w:val="pt-BR"/>
              </w:rPr>
            </w:pPr>
          </w:p>
          <w:p w:rsidR="004306FF" w:rsidRPr="00327AF6" w:rsidRDefault="004306FF" w:rsidP="00CC6076">
            <w:pPr>
              <w:contextualSpacing/>
              <w:jc w:val="center"/>
              <w:rPr>
                <w:rFonts w:ascii="Arial" w:hAnsi="Arial" w:cs="Arial"/>
                <w:b/>
                <w:bCs/>
                <w:caps/>
                <w:sz w:val="20"/>
                <w:szCs w:val="20"/>
                <w:lang w:val="pt-BR"/>
              </w:rPr>
            </w:pPr>
          </w:p>
          <w:p w:rsidR="004306FF" w:rsidRPr="00327AF6" w:rsidRDefault="004306FF" w:rsidP="00CC6076">
            <w:pPr>
              <w:contextualSpacing/>
              <w:jc w:val="center"/>
              <w:rPr>
                <w:rFonts w:ascii="Arial" w:hAnsi="Arial" w:cs="Arial"/>
                <w:b/>
                <w:bCs/>
                <w:caps/>
                <w:sz w:val="20"/>
                <w:szCs w:val="20"/>
                <w:lang w:val="pt-BR"/>
              </w:rPr>
            </w:pPr>
          </w:p>
        </w:tc>
        <w:tc>
          <w:tcPr>
            <w:tcW w:w="2700" w:type="dxa"/>
            <w:shd w:val="clear" w:color="auto" w:fill="auto"/>
          </w:tcPr>
          <w:p w:rsidR="004306FF" w:rsidRPr="00327AF6" w:rsidRDefault="004306FF" w:rsidP="00CC6076">
            <w:pPr>
              <w:contextualSpacing/>
              <w:jc w:val="center"/>
              <w:rPr>
                <w:rFonts w:ascii="Arial" w:eastAsia="Calibri" w:hAnsi="Arial" w:cs="Arial"/>
                <w:b/>
                <w:noProof/>
                <w:sz w:val="20"/>
                <w:szCs w:val="20"/>
              </w:rPr>
            </w:pPr>
            <w:r w:rsidRPr="005B6789">
              <w:rPr>
                <w:noProof/>
                <w:lang w:val="es-MX" w:eastAsia="es-MX"/>
              </w:rPr>
              <w:drawing>
                <wp:inline distT="0" distB="0" distL="0" distR="0">
                  <wp:extent cx="790575" cy="885825"/>
                  <wp:effectExtent l="0" t="0" r="9525" b="9525"/>
                  <wp:docPr id="12" name="Imagen 1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Z:\LXIII LEGISLATURA\FOTOS DIPS-LXIII LEGIS\Dip. Crescencio Gutiérrez.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885825"/>
                          </a:xfrm>
                          <a:prstGeom prst="rect">
                            <a:avLst/>
                          </a:prstGeom>
                          <a:noFill/>
                          <a:ln>
                            <a:noFill/>
                          </a:ln>
                        </pic:spPr>
                      </pic:pic>
                    </a:graphicData>
                  </a:graphic>
                </wp:inline>
              </w:drawing>
            </w:r>
          </w:p>
          <w:p w:rsidR="004306FF" w:rsidRPr="00327AF6" w:rsidRDefault="004306FF" w:rsidP="00CC6076">
            <w:pPr>
              <w:contextualSpacing/>
              <w:jc w:val="center"/>
              <w:rPr>
                <w:rFonts w:ascii="Arial" w:eastAsia="Calibri" w:hAnsi="Arial" w:cs="Arial"/>
                <w:b/>
                <w:noProof/>
                <w:sz w:val="20"/>
                <w:szCs w:val="20"/>
              </w:rPr>
            </w:pPr>
            <w:r w:rsidRPr="00327AF6">
              <w:rPr>
                <w:rFonts w:ascii="Arial" w:eastAsia="Calibri" w:hAnsi="Arial" w:cs="Arial"/>
                <w:b/>
                <w:noProof/>
                <w:sz w:val="20"/>
                <w:szCs w:val="20"/>
              </w:rPr>
              <w:t>DIP. JOSÉ CRESCENCIO GUTIÉRREZ GONZÁLEZ.</w:t>
            </w:r>
          </w:p>
        </w:tc>
        <w:tc>
          <w:tcPr>
            <w:tcW w:w="2195" w:type="dxa"/>
            <w:shd w:val="clear" w:color="auto" w:fill="auto"/>
          </w:tcPr>
          <w:p w:rsidR="004306FF" w:rsidRPr="00327AF6" w:rsidRDefault="004306FF" w:rsidP="00CC6076">
            <w:pPr>
              <w:contextualSpacing/>
              <w:rPr>
                <w:rFonts w:ascii="Arial" w:hAnsi="Arial" w:cs="Arial"/>
                <w:b/>
                <w:bCs/>
                <w:caps/>
                <w:sz w:val="20"/>
                <w:szCs w:val="20"/>
              </w:rPr>
            </w:pPr>
          </w:p>
        </w:tc>
        <w:tc>
          <w:tcPr>
            <w:tcW w:w="2199" w:type="dxa"/>
            <w:shd w:val="clear" w:color="auto" w:fill="auto"/>
          </w:tcPr>
          <w:p w:rsidR="004306FF" w:rsidRPr="00327AF6" w:rsidRDefault="004306FF" w:rsidP="00CC6076">
            <w:pPr>
              <w:contextualSpacing/>
              <w:rPr>
                <w:rFonts w:ascii="Arial" w:hAnsi="Arial" w:cs="Arial"/>
                <w:b/>
                <w:bCs/>
                <w:caps/>
                <w:sz w:val="20"/>
                <w:szCs w:val="20"/>
              </w:rPr>
            </w:pPr>
          </w:p>
        </w:tc>
      </w:tr>
      <w:tr w:rsidR="004306FF" w:rsidRPr="00327AF6" w:rsidTr="00222D73">
        <w:trPr>
          <w:jc w:val="center"/>
        </w:trPr>
        <w:tc>
          <w:tcPr>
            <w:tcW w:w="2204" w:type="dxa"/>
            <w:shd w:val="clear" w:color="auto" w:fill="auto"/>
          </w:tcPr>
          <w:p w:rsidR="004306FF" w:rsidRDefault="004306FF" w:rsidP="00CC6076">
            <w:pPr>
              <w:contextualSpacing/>
              <w:jc w:val="center"/>
              <w:rPr>
                <w:rFonts w:ascii="Arial" w:hAnsi="Arial" w:cs="Arial"/>
                <w:b/>
                <w:bCs/>
                <w:caps/>
                <w:sz w:val="20"/>
                <w:szCs w:val="20"/>
              </w:rPr>
            </w:pPr>
          </w:p>
          <w:p w:rsidR="004306FF" w:rsidRDefault="004306FF" w:rsidP="00CC6076">
            <w:pPr>
              <w:contextualSpacing/>
              <w:jc w:val="center"/>
              <w:rPr>
                <w:rFonts w:ascii="Arial" w:hAnsi="Arial" w:cs="Arial"/>
                <w:b/>
                <w:bCs/>
                <w:caps/>
                <w:sz w:val="20"/>
                <w:szCs w:val="20"/>
              </w:rPr>
            </w:pPr>
          </w:p>
          <w:p w:rsidR="004306FF" w:rsidRPr="00327AF6" w:rsidRDefault="004306FF" w:rsidP="00CC6076">
            <w:pPr>
              <w:contextualSpacing/>
              <w:jc w:val="center"/>
              <w:rPr>
                <w:rFonts w:ascii="Arial" w:hAnsi="Arial" w:cs="Arial"/>
                <w:b/>
                <w:bCs/>
                <w:caps/>
                <w:sz w:val="20"/>
                <w:szCs w:val="20"/>
              </w:rPr>
            </w:pPr>
          </w:p>
          <w:p w:rsidR="004306FF" w:rsidRPr="00327AF6" w:rsidRDefault="004306FF" w:rsidP="00CC6076">
            <w:pPr>
              <w:contextualSpacing/>
              <w:jc w:val="center"/>
              <w:rPr>
                <w:rFonts w:ascii="Arial" w:hAnsi="Arial" w:cs="Arial"/>
                <w:b/>
                <w:bCs/>
                <w:caps/>
                <w:sz w:val="20"/>
                <w:szCs w:val="20"/>
                <w:lang w:val="pt-BR"/>
              </w:rPr>
            </w:pPr>
            <w:r w:rsidRPr="00327AF6">
              <w:rPr>
                <w:rFonts w:ascii="Arial" w:hAnsi="Arial" w:cs="Arial"/>
                <w:b/>
                <w:bCs/>
                <w:caps/>
                <w:sz w:val="20"/>
                <w:szCs w:val="20"/>
                <w:lang w:val="pt-BR"/>
              </w:rPr>
              <w:t>SECRETARIA</w:t>
            </w:r>
          </w:p>
          <w:p w:rsidR="004306FF" w:rsidRPr="00327AF6" w:rsidRDefault="004306FF" w:rsidP="00CC6076">
            <w:pPr>
              <w:contextualSpacing/>
              <w:jc w:val="center"/>
              <w:rPr>
                <w:rFonts w:ascii="Arial" w:hAnsi="Arial" w:cs="Arial"/>
                <w:b/>
                <w:bCs/>
                <w:caps/>
                <w:sz w:val="20"/>
                <w:szCs w:val="20"/>
                <w:lang w:val="pt-BR"/>
              </w:rPr>
            </w:pPr>
          </w:p>
          <w:p w:rsidR="004306FF" w:rsidRPr="00327AF6" w:rsidRDefault="004306FF" w:rsidP="00CC6076">
            <w:pPr>
              <w:contextualSpacing/>
              <w:rPr>
                <w:rFonts w:ascii="Arial" w:hAnsi="Arial" w:cs="Arial"/>
                <w:b/>
                <w:bCs/>
                <w:caps/>
                <w:sz w:val="20"/>
                <w:szCs w:val="20"/>
              </w:rPr>
            </w:pPr>
          </w:p>
        </w:tc>
        <w:tc>
          <w:tcPr>
            <w:tcW w:w="2700" w:type="dxa"/>
            <w:shd w:val="clear" w:color="auto" w:fill="auto"/>
          </w:tcPr>
          <w:p w:rsidR="004306FF" w:rsidRPr="00327AF6" w:rsidRDefault="004306FF" w:rsidP="00CC6076">
            <w:pPr>
              <w:contextualSpacing/>
              <w:jc w:val="center"/>
              <w:rPr>
                <w:rFonts w:ascii="Arial" w:eastAsia="Calibri" w:hAnsi="Arial" w:cs="Arial"/>
                <w:b/>
                <w:sz w:val="20"/>
                <w:szCs w:val="20"/>
                <w:lang w:eastAsia="en-US"/>
              </w:rPr>
            </w:pPr>
            <w:r w:rsidRPr="005B6789">
              <w:rPr>
                <w:noProof/>
                <w:lang w:val="es-MX" w:eastAsia="es-MX"/>
              </w:rPr>
              <w:drawing>
                <wp:inline distT="0" distB="0" distL="0" distR="0">
                  <wp:extent cx="762000" cy="9334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33450"/>
                          </a:xfrm>
                          <a:prstGeom prst="rect">
                            <a:avLst/>
                          </a:prstGeom>
                          <a:noFill/>
                          <a:ln>
                            <a:noFill/>
                          </a:ln>
                        </pic:spPr>
                      </pic:pic>
                    </a:graphicData>
                  </a:graphic>
                </wp:inline>
              </w:drawing>
            </w:r>
          </w:p>
          <w:p w:rsidR="004306FF" w:rsidRPr="00327AF6" w:rsidRDefault="004306FF" w:rsidP="00CC6076">
            <w:pPr>
              <w:contextualSpacing/>
              <w:jc w:val="center"/>
              <w:rPr>
                <w:rFonts w:ascii="Arial" w:eastAsia="Calibri" w:hAnsi="Arial" w:cs="Arial"/>
                <w:b/>
                <w:sz w:val="20"/>
                <w:szCs w:val="20"/>
                <w:lang w:eastAsia="en-US"/>
              </w:rPr>
            </w:pPr>
            <w:r w:rsidRPr="00327AF6">
              <w:rPr>
                <w:rFonts w:ascii="Arial" w:eastAsia="Calibri" w:hAnsi="Arial" w:cs="Arial"/>
                <w:b/>
                <w:sz w:val="20"/>
                <w:szCs w:val="20"/>
                <w:lang w:eastAsia="en-US"/>
              </w:rPr>
              <w:t>DIP. CARMEN GUADALUPE GONZÁLEZ MARTÍN.</w:t>
            </w:r>
          </w:p>
        </w:tc>
        <w:tc>
          <w:tcPr>
            <w:tcW w:w="2195" w:type="dxa"/>
            <w:shd w:val="clear" w:color="auto" w:fill="auto"/>
          </w:tcPr>
          <w:p w:rsidR="004306FF" w:rsidRPr="00327AF6" w:rsidRDefault="004306FF" w:rsidP="00CC6076">
            <w:pPr>
              <w:contextualSpacing/>
              <w:rPr>
                <w:rFonts w:ascii="Arial" w:hAnsi="Arial" w:cs="Arial"/>
                <w:b/>
                <w:bCs/>
                <w:caps/>
                <w:sz w:val="20"/>
                <w:szCs w:val="20"/>
              </w:rPr>
            </w:pPr>
          </w:p>
        </w:tc>
        <w:tc>
          <w:tcPr>
            <w:tcW w:w="2199" w:type="dxa"/>
            <w:shd w:val="clear" w:color="auto" w:fill="auto"/>
          </w:tcPr>
          <w:p w:rsidR="004306FF" w:rsidRPr="00327AF6" w:rsidRDefault="004306FF" w:rsidP="00CC6076">
            <w:pPr>
              <w:contextualSpacing/>
              <w:rPr>
                <w:rFonts w:ascii="Arial" w:hAnsi="Arial" w:cs="Arial"/>
                <w:b/>
                <w:bCs/>
                <w:caps/>
                <w:sz w:val="20"/>
                <w:szCs w:val="20"/>
              </w:rPr>
            </w:pPr>
          </w:p>
        </w:tc>
      </w:tr>
      <w:tr w:rsidR="004306FF" w:rsidRPr="00327AF6" w:rsidTr="00222D73">
        <w:trPr>
          <w:jc w:val="center"/>
        </w:trPr>
        <w:tc>
          <w:tcPr>
            <w:tcW w:w="2204" w:type="dxa"/>
            <w:shd w:val="clear" w:color="auto" w:fill="auto"/>
            <w:vAlign w:val="center"/>
          </w:tcPr>
          <w:p w:rsidR="004306FF" w:rsidRPr="00327AF6" w:rsidRDefault="004306FF" w:rsidP="00CC6076">
            <w:pPr>
              <w:contextualSpacing/>
              <w:jc w:val="center"/>
              <w:rPr>
                <w:rFonts w:ascii="Arial" w:hAnsi="Arial" w:cs="Arial"/>
                <w:b/>
                <w:bCs/>
                <w:caps/>
                <w:sz w:val="20"/>
                <w:szCs w:val="20"/>
              </w:rPr>
            </w:pPr>
          </w:p>
          <w:p w:rsidR="004306FF" w:rsidRPr="00327AF6" w:rsidRDefault="004306FF" w:rsidP="00CC6076">
            <w:pPr>
              <w:contextualSpacing/>
              <w:jc w:val="center"/>
              <w:rPr>
                <w:rFonts w:ascii="Arial" w:hAnsi="Arial" w:cs="Arial"/>
                <w:b/>
                <w:bCs/>
                <w:caps/>
                <w:sz w:val="20"/>
                <w:szCs w:val="20"/>
              </w:rPr>
            </w:pPr>
            <w:r w:rsidRPr="00327AF6">
              <w:rPr>
                <w:rFonts w:ascii="Arial" w:hAnsi="Arial" w:cs="Arial"/>
                <w:b/>
                <w:bCs/>
                <w:caps/>
                <w:sz w:val="20"/>
                <w:szCs w:val="20"/>
              </w:rPr>
              <w:t>VOCAL</w:t>
            </w:r>
          </w:p>
          <w:p w:rsidR="004306FF" w:rsidRPr="00327AF6" w:rsidRDefault="004306FF" w:rsidP="00CC6076">
            <w:pPr>
              <w:contextualSpacing/>
              <w:rPr>
                <w:rFonts w:ascii="Arial" w:hAnsi="Arial" w:cs="Arial"/>
                <w:b/>
                <w:bCs/>
                <w:caps/>
                <w:sz w:val="20"/>
                <w:szCs w:val="20"/>
              </w:rPr>
            </w:pPr>
          </w:p>
        </w:tc>
        <w:tc>
          <w:tcPr>
            <w:tcW w:w="2700" w:type="dxa"/>
            <w:shd w:val="clear" w:color="auto" w:fill="auto"/>
          </w:tcPr>
          <w:p w:rsidR="004306FF" w:rsidRPr="00327AF6" w:rsidRDefault="004306FF" w:rsidP="00CC6076">
            <w:pPr>
              <w:contextualSpacing/>
              <w:jc w:val="center"/>
              <w:rPr>
                <w:rFonts w:ascii="Arial" w:eastAsia="Calibri" w:hAnsi="Arial" w:cs="Arial"/>
                <w:b/>
                <w:caps/>
                <w:sz w:val="20"/>
                <w:szCs w:val="20"/>
                <w:lang w:val="pt-BR" w:eastAsia="en-US"/>
              </w:rPr>
            </w:pPr>
            <w:r w:rsidRPr="005B6789">
              <w:rPr>
                <w:noProof/>
                <w:lang w:val="es-MX" w:eastAsia="es-MX"/>
              </w:rPr>
              <w:drawing>
                <wp:inline distT="0" distB="0" distL="0" distR="0">
                  <wp:extent cx="790575" cy="1019175"/>
                  <wp:effectExtent l="0" t="0" r="9525" b="9525"/>
                  <wp:docPr id="10" name="Imagen 10" descr="Z:\LXIII LEGISLATURA\FOTOS DIPS-LXIII LEGIS\Dip. Dafne Ló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Z:\LXIII LEGISLATURA\FOTOS DIPS-LXIII LEGIS\Dip. Dafne López.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rsidR="004306FF" w:rsidRPr="00327AF6" w:rsidRDefault="004306FF" w:rsidP="00CC6076">
            <w:pPr>
              <w:contextualSpacing/>
              <w:jc w:val="center"/>
              <w:rPr>
                <w:rFonts w:ascii="Arial" w:eastAsia="Calibri" w:hAnsi="Arial" w:cs="Arial"/>
                <w:b/>
                <w:caps/>
                <w:sz w:val="20"/>
                <w:szCs w:val="20"/>
                <w:lang w:val="pt-BR" w:eastAsia="en-US"/>
              </w:rPr>
            </w:pPr>
            <w:r w:rsidRPr="00327AF6">
              <w:rPr>
                <w:rFonts w:ascii="Arial" w:eastAsia="Calibri" w:hAnsi="Arial" w:cs="Arial"/>
                <w:b/>
                <w:caps/>
                <w:sz w:val="20"/>
                <w:szCs w:val="20"/>
                <w:lang w:val="pt-BR" w:eastAsia="en-US"/>
              </w:rPr>
              <w:t>DIP. DAFNE CELINA LÓPEZ OSORIO.</w:t>
            </w:r>
          </w:p>
        </w:tc>
        <w:tc>
          <w:tcPr>
            <w:tcW w:w="2195" w:type="dxa"/>
            <w:shd w:val="clear" w:color="auto" w:fill="auto"/>
          </w:tcPr>
          <w:p w:rsidR="004306FF" w:rsidRPr="00327AF6" w:rsidRDefault="004306FF" w:rsidP="00CC6076">
            <w:pPr>
              <w:contextualSpacing/>
              <w:rPr>
                <w:rFonts w:ascii="Arial" w:hAnsi="Arial" w:cs="Arial"/>
                <w:b/>
                <w:bCs/>
                <w:caps/>
                <w:sz w:val="20"/>
                <w:szCs w:val="20"/>
                <w:lang w:val="pt-BR"/>
              </w:rPr>
            </w:pPr>
          </w:p>
        </w:tc>
        <w:tc>
          <w:tcPr>
            <w:tcW w:w="2199" w:type="dxa"/>
            <w:shd w:val="clear" w:color="auto" w:fill="auto"/>
          </w:tcPr>
          <w:p w:rsidR="004306FF" w:rsidRPr="00327AF6" w:rsidRDefault="004306FF" w:rsidP="00CC6076">
            <w:pPr>
              <w:contextualSpacing/>
              <w:rPr>
                <w:rFonts w:ascii="Arial" w:hAnsi="Arial" w:cs="Arial"/>
                <w:b/>
                <w:bCs/>
                <w:caps/>
                <w:sz w:val="20"/>
                <w:szCs w:val="20"/>
                <w:lang w:val="pt-BR"/>
              </w:rPr>
            </w:pPr>
          </w:p>
        </w:tc>
      </w:tr>
      <w:tr w:rsidR="004306FF" w:rsidRPr="00327AF6" w:rsidTr="00222D73">
        <w:trPr>
          <w:jc w:val="center"/>
        </w:trPr>
        <w:tc>
          <w:tcPr>
            <w:tcW w:w="2204" w:type="dxa"/>
            <w:shd w:val="clear" w:color="auto" w:fill="auto"/>
            <w:vAlign w:val="center"/>
          </w:tcPr>
          <w:p w:rsidR="004306FF" w:rsidRPr="00327AF6" w:rsidRDefault="004306FF" w:rsidP="00CC6076">
            <w:pPr>
              <w:contextualSpacing/>
              <w:jc w:val="center"/>
              <w:rPr>
                <w:rFonts w:ascii="Arial" w:hAnsi="Arial" w:cs="Arial"/>
                <w:b/>
                <w:bCs/>
                <w:caps/>
                <w:sz w:val="20"/>
                <w:szCs w:val="20"/>
                <w:lang w:val="pt-BR"/>
              </w:rPr>
            </w:pPr>
          </w:p>
          <w:p w:rsidR="004306FF" w:rsidRPr="00327AF6" w:rsidRDefault="004306FF" w:rsidP="00CC6076">
            <w:pPr>
              <w:contextualSpacing/>
              <w:jc w:val="center"/>
              <w:rPr>
                <w:rFonts w:ascii="Arial" w:hAnsi="Arial" w:cs="Arial"/>
                <w:b/>
                <w:bCs/>
                <w:caps/>
                <w:sz w:val="20"/>
                <w:szCs w:val="20"/>
              </w:rPr>
            </w:pPr>
            <w:r w:rsidRPr="00327AF6">
              <w:rPr>
                <w:rFonts w:ascii="Arial" w:hAnsi="Arial" w:cs="Arial"/>
                <w:b/>
                <w:bCs/>
                <w:caps/>
                <w:sz w:val="20"/>
                <w:szCs w:val="20"/>
              </w:rPr>
              <w:t>VOCAL</w:t>
            </w:r>
          </w:p>
          <w:p w:rsidR="004306FF" w:rsidRPr="00327AF6" w:rsidRDefault="004306FF" w:rsidP="00CC6076">
            <w:pPr>
              <w:contextualSpacing/>
              <w:jc w:val="center"/>
              <w:rPr>
                <w:rFonts w:ascii="Arial" w:hAnsi="Arial" w:cs="Arial"/>
                <w:b/>
                <w:bCs/>
                <w:caps/>
                <w:sz w:val="20"/>
                <w:szCs w:val="20"/>
              </w:rPr>
            </w:pPr>
          </w:p>
          <w:p w:rsidR="004306FF" w:rsidRPr="00327AF6" w:rsidRDefault="004306FF" w:rsidP="00CC6076">
            <w:pPr>
              <w:contextualSpacing/>
              <w:rPr>
                <w:rFonts w:ascii="Arial" w:hAnsi="Arial" w:cs="Arial"/>
                <w:b/>
                <w:bCs/>
                <w:caps/>
                <w:sz w:val="20"/>
                <w:szCs w:val="20"/>
              </w:rPr>
            </w:pPr>
          </w:p>
        </w:tc>
        <w:tc>
          <w:tcPr>
            <w:tcW w:w="2700" w:type="dxa"/>
            <w:shd w:val="clear" w:color="auto" w:fill="auto"/>
          </w:tcPr>
          <w:p w:rsidR="004306FF" w:rsidRPr="00327AF6" w:rsidRDefault="004306FF" w:rsidP="00CC6076">
            <w:pPr>
              <w:contextualSpacing/>
              <w:jc w:val="center"/>
              <w:rPr>
                <w:rFonts w:ascii="Arial" w:eastAsia="Calibri" w:hAnsi="Arial" w:cs="Arial"/>
                <w:b/>
                <w:caps/>
                <w:sz w:val="20"/>
                <w:szCs w:val="20"/>
                <w:lang w:eastAsia="en-US"/>
              </w:rPr>
            </w:pPr>
            <w:r w:rsidRPr="005B6789">
              <w:rPr>
                <w:noProof/>
                <w:lang w:val="es-MX" w:eastAsia="es-MX"/>
              </w:rPr>
              <w:drawing>
                <wp:inline distT="0" distB="0" distL="0" distR="0">
                  <wp:extent cx="790575" cy="942975"/>
                  <wp:effectExtent l="0" t="0" r="9525" b="9525"/>
                  <wp:docPr id="9" name="Imagen 9" descr="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42975"/>
                          </a:xfrm>
                          <a:prstGeom prst="rect">
                            <a:avLst/>
                          </a:prstGeom>
                          <a:noFill/>
                          <a:ln>
                            <a:noFill/>
                          </a:ln>
                        </pic:spPr>
                      </pic:pic>
                    </a:graphicData>
                  </a:graphic>
                </wp:inline>
              </w:drawing>
            </w:r>
          </w:p>
          <w:p w:rsidR="004306FF" w:rsidRPr="00327AF6" w:rsidRDefault="004306FF" w:rsidP="00CC6076">
            <w:pPr>
              <w:contextualSpacing/>
              <w:jc w:val="center"/>
              <w:rPr>
                <w:rFonts w:ascii="Arial" w:eastAsia="Calibri" w:hAnsi="Arial" w:cs="Arial"/>
                <w:b/>
                <w:caps/>
                <w:sz w:val="20"/>
                <w:szCs w:val="20"/>
                <w:lang w:eastAsia="en-US"/>
              </w:rPr>
            </w:pPr>
            <w:r w:rsidRPr="00327AF6">
              <w:rPr>
                <w:rFonts w:ascii="Arial" w:eastAsia="Calibri" w:hAnsi="Arial" w:cs="Arial"/>
                <w:b/>
                <w:caps/>
                <w:sz w:val="20"/>
                <w:szCs w:val="20"/>
                <w:lang w:eastAsia="en-US"/>
              </w:rPr>
              <w:t>DIP. INGRID DEL PILAR SANTOS DÍAZ.</w:t>
            </w:r>
          </w:p>
        </w:tc>
        <w:tc>
          <w:tcPr>
            <w:tcW w:w="2195" w:type="dxa"/>
            <w:shd w:val="clear" w:color="auto" w:fill="auto"/>
          </w:tcPr>
          <w:p w:rsidR="004306FF" w:rsidRPr="00327AF6" w:rsidRDefault="004306FF" w:rsidP="00CC6076">
            <w:pPr>
              <w:contextualSpacing/>
              <w:rPr>
                <w:rFonts w:ascii="Arial" w:hAnsi="Arial" w:cs="Arial"/>
                <w:b/>
                <w:bCs/>
                <w:caps/>
                <w:sz w:val="20"/>
                <w:szCs w:val="20"/>
              </w:rPr>
            </w:pPr>
          </w:p>
        </w:tc>
        <w:tc>
          <w:tcPr>
            <w:tcW w:w="2199" w:type="dxa"/>
            <w:shd w:val="clear" w:color="auto" w:fill="auto"/>
          </w:tcPr>
          <w:p w:rsidR="004306FF" w:rsidRPr="00327AF6" w:rsidRDefault="004306FF" w:rsidP="00CC6076">
            <w:pPr>
              <w:contextualSpacing/>
              <w:rPr>
                <w:rFonts w:ascii="Arial" w:hAnsi="Arial" w:cs="Arial"/>
                <w:b/>
                <w:bCs/>
                <w:caps/>
                <w:sz w:val="20"/>
                <w:szCs w:val="20"/>
              </w:rPr>
            </w:pPr>
          </w:p>
        </w:tc>
      </w:tr>
      <w:tr w:rsidR="004306FF" w:rsidRPr="00327AF6" w:rsidTr="00222D73">
        <w:trPr>
          <w:jc w:val="center"/>
        </w:trPr>
        <w:tc>
          <w:tcPr>
            <w:tcW w:w="2204" w:type="dxa"/>
            <w:shd w:val="clear" w:color="auto" w:fill="auto"/>
            <w:vAlign w:val="center"/>
          </w:tcPr>
          <w:p w:rsidR="004306FF" w:rsidRPr="00327AF6" w:rsidRDefault="004306FF" w:rsidP="00CC6076">
            <w:pPr>
              <w:contextualSpacing/>
              <w:jc w:val="center"/>
              <w:rPr>
                <w:rFonts w:ascii="Arial" w:hAnsi="Arial" w:cs="Arial"/>
                <w:b/>
                <w:bCs/>
                <w:caps/>
                <w:sz w:val="20"/>
                <w:szCs w:val="20"/>
              </w:rPr>
            </w:pPr>
          </w:p>
          <w:p w:rsidR="004306FF" w:rsidRPr="00327AF6" w:rsidRDefault="004306FF" w:rsidP="00CC6076">
            <w:pPr>
              <w:contextualSpacing/>
              <w:jc w:val="center"/>
              <w:rPr>
                <w:rFonts w:ascii="Arial" w:hAnsi="Arial" w:cs="Arial"/>
                <w:b/>
                <w:bCs/>
                <w:caps/>
                <w:sz w:val="20"/>
                <w:szCs w:val="20"/>
              </w:rPr>
            </w:pPr>
            <w:r w:rsidRPr="00327AF6">
              <w:rPr>
                <w:rFonts w:ascii="Arial" w:hAnsi="Arial" w:cs="Arial"/>
                <w:b/>
                <w:bCs/>
                <w:caps/>
                <w:sz w:val="20"/>
                <w:szCs w:val="20"/>
              </w:rPr>
              <w:t xml:space="preserve">VOCAL </w:t>
            </w:r>
          </w:p>
          <w:p w:rsidR="004306FF" w:rsidRPr="00327AF6" w:rsidRDefault="004306FF" w:rsidP="00CC6076">
            <w:pPr>
              <w:contextualSpacing/>
              <w:jc w:val="center"/>
              <w:rPr>
                <w:rFonts w:ascii="Arial" w:hAnsi="Arial" w:cs="Arial"/>
                <w:b/>
                <w:bCs/>
                <w:caps/>
                <w:sz w:val="20"/>
                <w:szCs w:val="20"/>
              </w:rPr>
            </w:pPr>
          </w:p>
          <w:p w:rsidR="004306FF" w:rsidRPr="00327AF6" w:rsidRDefault="004306FF" w:rsidP="00CC6076">
            <w:pPr>
              <w:contextualSpacing/>
              <w:rPr>
                <w:rFonts w:ascii="Arial" w:hAnsi="Arial" w:cs="Arial"/>
                <w:b/>
                <w:bCs/>
                <w:caps/>
                <w:sz w:val="20"/>
                <w:szCs w:val="20"/>
              </w:rPr>
            </w:pPr>
          </w:p>
        </w:tc>
        <w:tc>
          <w:tcPr>
            <w:tcW w:w="2700" w:type="dxa"/>
            <w:shd w:val="clear" w:color="auto" w:fill="auto"/>
          </w:tcPr>
          <w:p w:rsidR="004306FF" w:rsidRPr="00327AF6" w:rsidRDefault="004306FF" w:rsidP="00CC6076">
            <w:pPr>
              <w:contextualSpacing/>
              <w:jc w:val="center"/>
              <w:rPr>
                <w:rFonts w:ascii="Arial" w:eastAsia="Calibri" w:hAnsi="Arial" w:cs="Arial"/>
                <w:b/>
                <w:caps/>
                <w:sz w:val="20"/>
                <w:szCs w:val="20"/>
                <w:lang w:eastAsia="en-US"/>
              </w:rPr>
            </w:pPr>
            <w:r w:rsidRPr="005B6789">
              <w:rPr>
                <w:noProof/>
                <w:lang w:val="es-MX" w:eastAsia="es-MX"/>
              </w:rPr>
              <w:drawing>
                <wp:inline distT="0" distB="0" distL="0" distR="0">
                  <wp:extent cx="800100" cy="923925"/>
                  <wp:effectExtent l="0" t="0" r="0" b="9525"/>
                  <wp:docPr id="8" name="Imagen 8" descr="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23925"/>
                          </a:xfrm>
                          <a:prstGeom prst="rect">
                            <a:avLst/>
                          </a:prstGeom>
                          <a:noFill/>
                          <a:ln>
                            <a:noFill/>
                          </a:ln>
                        </pic:spPr>
                      </pic:pic>
                    </a:graphicData>
                  </a:graphic>
                </wp:inline>
              </w:drawing>
            </w:r>
          </w:p>
          <w:p w:rsidR="004306FF" w:rsidRPr="00327AF6" w:rsidRDefault="004306FF" w:rsidP="00CC6076">
            <w:pPr>
              <w:contextualSpacing/>
              <w:jc w:val="center"/>
              <w:rPr>
                <w:rFonts w:ascii="Arial" w:eastAsia="Calibri" w:hAnsi="Arial" w:cs="Arial"/>
                <w:b/>
                <w:caps/>
                <w:sz w:val="20"/>
                <w:szCs w:val="20"/>
                <w:lang w:eastAsia="en-US"/>
              </w:rPr>
            </w:pPr>
            <w:r w:rsidRPr="00327AF6">
              <w:rPr>
                <w:rFonts w:ascii="Arial" w:eastAsia="Calibri" w:hAnsi="Arial" w:cs="Arial"/>
                <w:b/>
                <w:caps/>
                <w:sz w:val="20"/>
                <w:szCs w:val="20"/>
                <w:lang w:eastAsia="en-US"/>
              </w:rPr>
              <w:t>DIP. ALEJANDRA DE LOS ÁNGELES NOVELO SEGURA.</w:t>
            </w:r>
          </w:p>
        </w:tc>
        <w:tc>
          <w:tcPr>
            <w:tcW w:w="2195" w:type="dxa"/>
            <w:shd w:val="clear" w:color="auto" w:fill="auto"/>
          </w:tcPr>
          <w:p w:rsidR="004306FF" w:rsidRPr="00327AF6" w:rsidRDefault="004306FF" w:rsidP="00CC6076">
            <w:pPr>
              <w:contextualSpacing/>
              <w:rPr>
                <w:rFonts w:ascii="Arial" w:hAnsi="Arial" w:cs="Arial"/>
                <w:b/>
                <w:bCs/>
                <w:caps/>
                <w:sz w:val="20"/>
                <w:szCs w:val="20"/>
              </w:rPr>
            </w:pPr>
          </w:p>
        </w:tc>
        <w:tc>
          <w:tcPr>
            <w:tcW w:w="2199" w:type="dxa"/>
            <w:shd w:val="clear" w:color="auto" w:fill="auto"/>
          </w:tcPr>
          <w:p w:rsidR="004306FF" w:rsidRPr="00327AF6" w:rsidRDefault="004306FF" w:rsidP="00CC6076">
            <w:pPr>
              <w:contextualSpacing/>
              <w:rPr>
                <w:rFonts w:ascii="Arial" w:hAnsi="Arial" w:cs="Arial"/>
                <w:b/>
                <w:bCs/>
                <w:caps/>
                <w:sz w:val="20"/>
                <w:szCs w:val="20"/>
              </w:rPr>
            </w:pPr>
          </w:p>
        </w:tc>
      </w:tr>
      <w:tr w:rsidR="004306FF" w:rsidRPr="00327AF6" w:rsidTr="00222D73">
        <w:trPr>
          <w:jc w:val="center"/>
        </w:trPr>
        <w:tc>
          <w:tcPr>
            <w:tcW w:w="2204" w:type="dxa"/>
            <w:shd w:val="clear" w:color="auto" w:fill="auto"/>
            <w:vAlign w:val="center"/>
          </w:tcPr>
          <w:p w:rsidR="004306FF" w:rsidRPr="00327AF6" w:rsidRDefault="004306FF" w:rsidP="00CC6076">
            <w:pPr>
              <w:contextualSpacing/>
              <w:jc w:val="center"/>
              <w:rPr>
                <w:rFonts w:ascii="Arial" w:hAnsi="Arial" w:cs="Arial"/>
                <w:b/>
                <w:bCs/>
                <w:caps/>
                <w:sz w:val="20"/>
                <w:szCs w:val="20"/>
              </w:rPr>
            </w:pPr>
          </w:p>
          <w:p w:rsidR="004306FF" w:rsidRPr="00327AF6" w:rsidRDefault="004306FF" w:rsidP="00CC6076">
            <w:pPr>
              <w:contextualSpacing/>
              <w:jc w:val="center"/>
              <w:rPr>
                <w:rFonts w:ascii="Arial" w:hAnsi="Arial" w:cs="Arial"/>
                <w:b/>
                <w:bCs/>
                <w:caps/>
                <w:sz w:val="20"/>
                <w:szCs w:val="20"/>
              </w:rPr>
            </w:pPr>
            <w:r w:rsidRPr="00327AF6">
              <w:rPr>
                <w:rFonts w:ascii="Arial" w:hAnsi="Arial" w:cs="Arial"/>
                <w:b/>
                <w:bCs/>
                <w:caps/>
                <w:sz w:val="20"/>
                <w:szCs w:val="20"/>
              </w:rPr>
              <w:t>VOCAL</w:t>
            </w:r>
          </w:p>
          <w:p w:rsidR="004306FF" w:rsidRPr="00327AF6" w:rsidRDefault="004306FF" w:rsidP="00CC6076">
            <w:pPr>
              <w:contextualSpacing/>
              <w:rPr>
                <w:rFonts w:ascii="Arial" w:hAnsi="Arial" w:cs="Arial"/>
                <w:b/>
                <w:bCs/>
                <w:caps/>
                <w:sz w:val="20"/>
                <w:szCs w:val="20"/>
              </w:rPr>
            </w:pPr>
          </w:p>
        </w:tc>
        <w:tc>
          <w:tcPr>
            <w:tcW w:w="2700" w:type="dxa"/>
            <w:shd w:val="clear" w:color="auto" w:fill="auto"/>
          </w:tcPr>
          <w:p w:rsidR="004306FF" w:rsidRPr="00327AF6" w:rsidRDefault="004306FF" w:rsidP="00CC6076">
            <w:pPr>
              <w:contextualSpacing/>
              <w:jc w:val="center"/>
              <w:rPr>
                <w:rFonts w:ascii="Arial" w:eastAsia="Calibri" w:hAnsi="Arial" w:cs="Arial"/>
                <w:b/>
                <w:caps/>
                <w:sz w:val="20"/>
                <w:szCs w:val="20"/>
                <w:lang w:eastAsia="en-US"/>
              </w:rPr>
            </w:pPr>
            <w:r w:rsidRPr="005B6789">
              <w:rPr>
                <w:noProof/>
                <w:lang w:val="es-MX" w:eastAsia="es-MX"/>
              </w:rPr>
              <w:drawing>
                <wp:inline distT="0" distB="0" distL="0" distR="0">
                  <wp:extent cx="762000" cy="8763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p w:rsidR="004306FF" w:rsidRPr="00327AF6" w:rsidRDefault="004306FF" w:rsidP="00CC6076">
            <w:pPr>
              <w:contextualSpacing/>
              <w:jc w:val="center"/>
              <w:rPr>
                <w:rFonts w:ascii="Arial" w:eastAsia="Calibri" w:hAnsi="Arial" w:cs="Arial"/>
                <w:b/>
                <w:caps/>
                <w:sz w:val="20"/>
                <w:szCs w:val="20"/>
                <w:lang w:eastAsia="en-US"/>
              </w:rPr>
            </w:pPr>
            <w:r w:rsidRPr="00327AF6">
              <w:rPr>
                <w:rFonts w:ascii="Arial" w:eastAsia="Calibri" w:hAnsi="Arial" w:cs="Arial"/>
                <w:b/>
                <w:caps/>
                <w:sz w:val="20"/>
                <w:szCs w:val="20"/>
                <w:lang w:eastAsia="en-US"/>
              </w:rPr>
              <w:t>DIP. VÍCTOR HUGO LOZANO POVEDA.</w:t>
            </w:r>
          </w:p>
        </w:tc>
        <w:tc>
          <w:tcPr>
            <w:tcW w:w="2195" w:type="dxa"/>
            <w:shd w:val="clear" w:color="auto" w:fill="auto"/>
          </w:tcPr>
          <w:p w:rsidR="004306FF" w:rsidRPr="00327AF6" w:rsidRDefault="004306FF" w:rsidP="00CC6076">
            <w:pPr>
              <w:contextualSpacing/>
              <w:rPr>
                <w:rFonts w:ascii="Arial" w:hAnsi="Arial" w:cs="Arial"/>
                <w:b/>
                <w:bCs/>
                <w:caps/>
                <w:sz w:val="20"/>
                <w:szCs w:val="20"/>
              </w:rPr>
            </w:pPr>
          </w:p>
        </w:tc>
        <w:tc>
          <w:tcPr>
            <w:tcW w:w="2199" w:type="dxa"/>
            <w:shd w:val="clear" w:color="auto" w:fill="auto"/>
          </w:tcPr>
          <w:p w:rsidR="004306FF" w:rsidRPr="00327AF6" w:rsidRDefault="004306FF" w:rsidP="00CC6076">
            <w:pPr>
              <w:contextualSpacing/>
              <w:rPr>
                <w:rFonts w:ascii="Arial" w:hAnsi="Arial" w:cs="Arial"/>
                <w:b/>
                <w:bCs/>
                <w:caps/>
                <w:sz w:val="20"/>
                <w:szCs w:val="20"/>
              </w:rPr>
            </w:pPr>
          </w:p>
        </w:tc>
      </w:tr>
      <w:tr w:rsidR="004306FF" w:rsidRPr="00327AF6" w:rsidTr="00222D73">
        <w:trPr>
          <w:jc w:val="center"/>
        </w:trPr>
        <w:tc>
          <w:tcPr>
            <w:tcW w:w="2204" w:type="dxa"/>
            <w:shd w:val="clear" w:color="auto" w:fill="auto"/>
            <w:vAlign w:val="center"/>
          </w:tcPr>
          <w:p w:rsidR="004306FF" w:rsidRPr="00327AF6" w:rsidRDefault="004306FF" w:rsidP="00CC6076">
            <w:pPr>
              <w:contextualSpacing/>
              <w:jc w:val="center"/>
              <w:rPr>
                <w:rFonts w:ascii="Arial" w:hAnsi="Arial" w:cs="Arial"/>
                <w:b/>
                <w:bCs/>
                <w:caps/>
                <w:sz w:val="20"/>
                <w:szCs w:val="20"/>
              </w:rPr>
            </w:pPr>
          </w:p>
          <w:p w:rsidR="004306FF" w:rsidRPr="00327AF6" w:rsidRDefault="004306FF" w:rsidP="00CC6076">
            <w:pPr>
              <w:contextualSpacing/>
              <w:jc w:val="center"/>
              <w:rPr>
                <w:rFonts w:ascii="Arial" w:hAnsi="Arial" w:cs="Arial"/>
                <w:b/>
                <w:bCs/>
                <w:caps/>
                <w:sz w:val="20"/>
                <w:szCs w:val="20"/>
              </w:rPr>
            </w:pPr>
            <w:r w:rsidRPr="00327AF6">
              <w:rPr>
                <w:rFonts w:ascii="Arial" w:hAnsi="Arial" w:cs="Arial"/>
                <w:b/>
                <w:bCs/>
                <w:caps/>
                <w:sz w:val="20"/>
                <w:szCs w:val="20"/>
              </w:rPr>
              <w:t>VOCAL</w:t>
            </w:r>
          </w:p>
          <w:p w:rsidR="004306FF" w:rsidRPr="00327AF6" w:rsidRDefault="004306FF" w:rsidP="00CC6076">
            <w:pPr>
              <w:contextualSpacing/>
              <w:rPr>
                <w:rFonts w:ascii="Arial" w:hAnsi="Arial" w:cs="Arial"/>
                <w:b/>
                <w:bCs/>
                <w:caps/>
                <w:sz w:val="20"/>
                <w:szCs w:val="20"/>
              </w:rPr>
            </w:pPr>
          </w:p>
        </w:tc>
        <w:tc>
          <w:tcPr>
            <w:tcW w:w="2700" w:type="dxa"/>
            <w:shd w:val="clear" w:color="auto" w:fill="auto"/>
          </w:tcPr>
          <w:p w:rsidR="004306FF" w:rsidRPr="00327AF6" w:rsidRDefault="004306FF" w:rsidP="00CC6076">
            <w:pPr>
              <w:contextualSpacing/>
              <w:jc w:val="center"/>
              <w:rPr>
                <w:rFonts w:ascii="Arial" w:eastAsia="Calibri" w:hAnsi="Arial" w:cs="Arial"/>
                <w:b/>
                <w:caps/>
                <w:sz w:val="20"/>
                <w:szCs w:val="20"/>
                <w:lang w:val="pt-BR" w:eastAsia="en-US"/>
              </w:rPr>
            </w:pPr>
            <w:r w:rsidRPr="005B6789">
              <w:rPr>
                <w:noProof/>
                <w:lang w:val="es-MX" w:eastAsia="es-MX"/>
              </w:rPr>
              <w:drawing>
                <wp:inline distT="0" distB="0" distL="0" distR="0">
                  <wp:extent cx="790575" cy="914400"/>
                  <wp:effectExtent l="0" t="0" r="9525" b="0"/>
                  <wp:docPr id="6" name="Imagen 6" descr="Z:\LXIII LEGISLATURA\FOTOS DIPS-LXIII LEGIS\Dip. Fabiola Lo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Z:\LXIII LEGISLATURA\FOTOS DIPS-LXIII LEGIS\Dip. Fabiola Loez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p w:rsidR="004306FF" w:rsidRPr="00327AF6" w:rsidRDefault="004306FF" w:rsidP="00CC6076">
            <w:pPr>
              <w:contextualSpacing/>
              <w:jc w:val="center"/>
              <w:rPr>
                <w:rFonts w:ascii="Arial" w:eastAsia="Calibri" w:hAnsi="Arial" w:cs="Arial"/>
                <w:b/>
                <w:caps/>
                <w:sz w:val="20"/>
                <w:szCs w:val="20"/>
                <w:lang w:val="pt-BR" w:eastAsia="en-US"/>
              </w:rPr>
            </w:pPr>
            <w:r w:rsidRPr="00327AF6">
              <w:rPr>
                <w:rFonts w:ascii="Arial" w:eastAsia="Calibri" w:hAnsi="Arial" w:cs="Arial"/>
                <w:b/>
                <w:caps/>
                <w:sz w:val="20"/>
                <w:szCs w:val="20"/>
                <w:lang w:val="pt-BR" w:eastAsia="en-US"/>
              </w:rPr>
              <w:t>DIP. FABIOLA LOEZA NOVELO.</w:t>
            </w:r>
          </w:p>
        </w:tc>
        <w:tc>
          <w:tcPr>
            <w:tcW w:w="2195" w:type="dxa"/>
            <w:shd w:val="clear" w:color="auto" w:fill="auto"/>
          </w:tcPr>
          <w:p w:rsidR="004306FF" w:rsidRPr="00327AF6" w:rsidRDefault="004306FF" w:rsidP="00CC6076">
            <w:pPr>
              <w:contextualSpacing/>
              <w:rPr>
                <w:rFonts w:ascii="Arial" w:hAnsi="Arial" w:cs="Arial"/>
                <w:b/>
                <w:bCs/>
                <w:caps/>
                <w:sz w:val="20"/>
                <w:szCs w:val="20"/>
              </w:rPr>
            </w:pPr>
          </w:p>
        </w:tc>
        <w:tc>
          <w:tcPr>
            <w:tcW w:w="2199" w:type="dxa"/>
            <w:shd w:val="clear" w:color="auto" w:fill="auto"/>
          </w:tcPr>
          <w:p w:rsidR="004306FF" w:rsidRPr="00327AF6" w:rsidRDefault="004306FF" w:rsidP="00CC6076">
            <w:pPr>
              <w:contextualSpacing/>
              <w:rPr>
                <w:rFonts w:ascii="Arial" w:hAnsi="Arial" w:cs="Arial"/>
                <w:b/>
                <w:bCs/>
                <w:caps/>
                <w:sz w:val="20"/>
                <w:szCs w:val="20"/>
              </w:rPr>
            </w:pPr>
          </w:p>
        </w:tc>
      </w:tr>
    </w:tbl>
    <w:p w:rsidR="00AA5131" w:rsidRPr="005E6466" w:rsidRDefault="0082297D" w:rsidP="00905CC7">
      <w:pPr>
        <w:tabs>
          <w:tab w:val="right" w:pos="8498"/>
        </w:tabs>
        <w:jc w:val="both"/>
        <w:rPr>
          <w:rFonts w:ascii="Arial" w:hAnsi="Arial" w:cs="Arial"/>
          <w:b/>
          <w:bCs/>
          <w:sz w:val="22"/>
          <w:szCs w:val="22"/>
          <w:lang w:val="es-MX"/>
        </w:rPr>
      </w:pPr>
      <w:r w:rsidRPr="0082297D">
        <w:rPr>
          <w:rFonts w:ascii="Arial" w:hAnsi="Arial" w:cs="Arial"/>
          <w:i/>
          <w:sz w:val="16"/>
          <w:szCs w:val="16"/>
          <w:lang w:val="es-MX"/>
        </w:rPr>
        <w:t xml:space="preserve">Esta hoja contiene las firmas del Dictamen de Decreto por el que se expide la Ley de Ingresos Estado de Yucatán </w:t>
      </w:r>
      <w:r w:rsidR="004306FF">
        <w:rPr>
          <w:rFonts w:ascii="Arial" w:hAnsi="Arial" w:cs="Arial"/>
          <w:i/>
          <w:sz w:val="16"/>
          <w:szCs w:val="16"/>
          <w:lang w:val="es-MX"/>
        </w:rPr>
        <w:t>para el Ejercicio Fiscal 2023</w:t>
      </w:r>
      <w:r w:rsidRPr="0082297D">
        <w:rPr>
          <w:rFonts w:ascii="Arial" w:hAnsi="Arial" w:cs="Arial"/>
          <w:i/>
          <w:sz w:val="16"/>
          <w:szCs w:val="16"/>
          <w:lang w:val="es-MX"/>
        </w:rPr>
        <w:t>.</w:t>
      </w:r>
    </w:p>
    <w:p w:rsidR="00AB0C80" w:rsidRPr="005E6466" w:rsidRDefault="00AB0C80" w:rsidP="00A13588">
      <w:pPr>
        <w:adjustRightInd w:val="0"/>
        <w:jc w:val="both"/>
        <w:rPr>
          <w:rFonts w:ascii="Arial" w:hAnsi="Arial" w:cs="Arial"/>
          <w:sz w:val="16"/>
          <w:szCs w:val="16"/>
          <w:lang w:val="es-MX"/>
        </w:rPr>
        <w:sectPr w:rsidR="00AB0C80" w:rsidRPr="005E6466" w:rsidSect="00992C29">
          <w:headerReference w:type="default" r:id="rId17"/>
          <w:footerReference w:type="even" r:id="rId18"/>
          <w:footerReference w:type="default" r:id="rId19"/>
          <w:pgSz w:w="12242" w:h="15842" w:code="1"/>
          <w:pgMar w:top="2693" w:right="1418" w:bottom="1418" w:left="1985" w:header="709" w:footer="907" w:gutter="0"/>
          <w:cols w:space="708"/>
          <w:docGrid w:linePitch="360"/>
        </w:sectPr>
      </w:pPr>
    </w:p>
    <w:p w:rsidR="00BB2C10" w:rsidRDefault="00BB2C10" w:rsidP="00BC2A91">
      <w:pPr>
        <w:jc w:val="center"/>
        <w:rPr>
          <w:rFonts w:ascii="Arial" w:hAnsi="Arial" w:cs="Arial"/>
          <w:b/>
        </w:rPr>
      </w:pPr>
      <w:r w:rsidRPr="00D93F7E">
        <w:rPr>
          <w:rFonts w:ascii="Arial" w:hAnsi="Arial" w:cs="Arial"/>
          <w:b/>
        </w:rPr>
        <w:t>Anexo I</w:t>
      </w:r>
    </w:p>
    <w:p w:rsidR="00BB2C10" w:rsidRDefault="00BB2C10" w:rsidP="00BC2A91">
      <w:pPr>
        <w:jc w:val="center"/>
        <w:rPr>
          <w:rFonts w:ascii="Arial" w:hAnsi="Arial" w:cs="Arial"/>
          <w:b/>
        </w:rPr>
      </w:pPr>
      <w:r w:rsidRPr="00D93F7E">
        <w:rPr>
          <w:rFonts w:ascii="Arial" w:hAnsi="Arial" w:cs="Arial"/>
          <w:b/>
        </w:rPr>
        <w:t>Proyecciones de ingresos a cinco años</w:t>
      </w:r>
    </w:p>
    <w:tbl>
      <w:tblPr>
        <w:tblW w:w="3829" w:type="pct"/>
        <w:jc w:val="center"/>
        <w:tblCellMar>
          <w:left w:w="70" w:type="dxa"/>
          <w:right w:w="70" w:type="dxa"/>
        </w:tblCellMar>
        <w:tblLook w:val="04A0" w:firstRow="1" w:lastRow="0" w:firstColumn="1" w:lastColumn="0" w:noHBand="0" w:noVBand="1"/>
      </w:tblPr>
      <w:tblGrid>
        <w:gridCol w:w="3626"/>
        <w:gridCol w:w="1245"/>
        <w:gridCol w:w="1225"/>
        <w:gridCol w:w="1230"/>
        <w:gridCol w:w="1234"/>
        <w:gridCol w:w="1263"/>
        <w:gridCol w:w="1197"/>
      </w:tblGrid>
      <w:tr w:rsidR="00BB2C10" w:rsidRPr="00145199" w:rsidTr="00222D73">
        <w:trPr>
          <w:trHeight w:val="859"/>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D9D9D9"/>
            <w:vAlign w:val="center"/>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Poder Ejecutivo del Gobierno del Estado de Yucatán</w:t>
            </w:r>
            <w:r w:rsidRPr="00145199">
              <w:rPr>
                <w:rFonts w:ascii="Barlow" w:hAnsi="Barlow"/>
                <w:b/>
                <w:bCs/>
                <w:color w:val="000000"/>
                <w:sz w:val="12"/>
                <w:szCs w:val="12"/>
              </w:rPr>
              <w:br/>
              <w:t>Proyecciones de Ingresos - LDF</w:t>
            </w:r>
            <w:r w:rsidRPr="00145199">
              <w:rPr>
                <w:rFonts w:ascii="Barlow" w:hAnsi="Barlow"/>
                <w:b/>
                <w:bCs/>
                <w:color w:val="000000"/>
                <w:sz w:val="12"/>
                <w:szCs w:val="12"/>
              </w:rPr>
              <w:br/>
              <w:t>(Pesos)</w:t>
            </w:r>
            <w:r w:rsidRPr="00145199">
              <w:rPr>
                <w:rFonts w:ascii="Barlow" w:hAnsi="Barlow"/>
                <w:b/>
                <w:bCs/>
                <w:color w:val="000000"/>
                <w:sz w:val="12"/>
                <w:szCs w:val="12"/>
              </w:rPr>
              <w:br/>
              <w:t>(Cifras Nominales)</w:t>
            </w:r>
          </w:p>
        </w:tc>
      </w:tr>
      <w:tr w:rsidR="00BB2C10" w:rsidRPr="00145199" w:rsidTr="00145199">
        <w:trPr>
          <w:trHeight w:val="227"/>
          <w:jc w:val="center"/>
        </w:trPr>
        <w:tc>
          <w:tcPr>
            <w:tcW w:w="1645" w:type="pct"/>
            <w:tcBorders>
              <w:top w:val="nil"/>
              <w:left w:val="single" w:sz="4" w:space="0" w:color="auto"/>
              <w:bottom w:val="single" w:sz="4" w:space="0" w:color="auto"/>
              <w:right w:val="nil"/>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Concepto</w:t>
            </w:r>
          </w:p>
        </w:tc>
        <w:tc>
          <w:tcPr>
            <w:tcW w:w="565" w:type="pct"/>
            <w:tcBorders>
              <w:top w:val="nil"/>
              <w:left w:val="single" w:sz="4" w:space="0" w:color="auto"/>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2023</w:t>
            </w:r>
          </w:p>
        </w:tc>
        <w:tc>
          <w:tcPr>
            <w:tcW w:w="556" w:type="pct"/>
            <w:tcBorders>
              <w:top w:val="nil"/>
              <w:left w:val="nil"/>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2024</w:t>
            </w:r>
          </w:p>
        </w:tc>
        <w:tc>
          <w:tcPr>
            <w:tcW w:w="558" w:type="pct"/>
            <w:tcBorders>
              <w:top w:val="nil"/>
              <w:left w:val="nil"/>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2025</w:t>
            </w:r>
          </w:p>
        </w:tc>
        <w:tc>
          <w:tcPr>
            <w:tcW w:w="560" w:type="pct"/>
            <w:tcBorders>
              <w:top w:val="nil"/>
              <w:left w:val="nil"/>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2026</w:t>
            </w:r>
          </w:p>
        </w:tc>
        <w:tc>
          <w:tcPr>
            <w:tcW w:w="573" w:type="pct"/>
            <w:tcBorders>
              <w:top w:val="nil"/>
              <w:left w:val="nil"/>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2027</w:t>
            </w:r>
          </w:p>
        </w:tc>
        <w:tc>
          <w:tcPr>
            <w:tcW w:w="543" w:type="pct"/>
            <w:tcBorders>
              <w:top w:val="nil"/>
              <w:left w:val="nil"/>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2028</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b/>
                <w:bCs/>
                <w:color w:val="000000"/>
                <w:sz w:val="12"/>
                <w:szCs w:val="12"/>
              </w:rPr>
            </w:pPr>
            <w:r w:rsidRPr="00145199">
              <w:rPr>
                <w:rFonts w:ascii="Barlow" w:hAnsi="Barlow"/>
                <w:b/>
                <w:bCs/>
                <w:color w:val="000000"/>
                <w:sz w:val="12"/>
                <w:szCs w:val="12"/>
              </w:rPr>
              <w:t xml:space="preserve">1. Ingresos de Libre Disposición (1=A+B+C+D+E+F+G+H+I+J+K+L) </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27,312,813,551</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28,160,491,171</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30,258,269,804</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31,848,223,896</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33,873,738,394</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35,839,653,209</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A. Impuestos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3,329,627,742</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3,528,872,666</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3,740,040,406</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3,963,844,424</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4,201,040,874</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4,452,431,160</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B. Cuotas y Aportaciones de Seguridad Social</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C. Contribuciones de Mejoras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D. Derechos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2,015,803,265</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2,136,428,932</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2,264,272,839</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2,399,766,926</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2,543,368,979</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2,695,564,179</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E. Productos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200,869,801</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212,889,849</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225,629,178</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239,130,828</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253,440,417</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268,606,291</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F. Aprovechamientos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323,671,692</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343,040,206</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363,567,731</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385,323,625</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408,381,390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432,818,933</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G. Ingresos por Venta de Bienes y Prestación de Servicios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H. Participaciones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20,450,495,112</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20,887,531,599</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22,550,096,332</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23,678,793,322</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25,215,449,095</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26,663,251,878</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I. Incentivos Derivados de la Colaboración Fiscal</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992,345,939</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1,051,727,919</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1,114,663,318</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1,181,364,771</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1,252,057,639</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1,326,980,768</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J. Transferencias y Asignaciones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K. Convenios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L. Otros Ingresos de Libre Disposición</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b/>
                <w:bCs/>
                <w:color w:val="000000"/>
                <w:sz w:val="12"/>
                <w:szCs w:val="12"/>
              </w:rPr>
            </w:pPr>
            <w:r w:rsidRPr="00145199">
              <w:rPr>
                <w:rFonts w:ascii="Barlow" w:hAnsi="Barlow"/>
                <w:b/>
                <w:bCs/>
                <w:color w:val="000000"/>
                <w:sz w:val="12"/>
                <w:szCs w:val="12"/>
              </w:rPr>
              <w:t>2. Transferencias Federales Etiquetadas (2=A+B+C+D+E)</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22,565,420,405</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23,382,349,255</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24,836,273,579</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26,060,644,210</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27,522,887,848</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28,977,511,514</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A. Aportaciones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17,298,638,573</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17,943,767,948</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19,220,155,147</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20,261,054,953</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21,533,691,170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22,792,360,840</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B. Convenios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2,971,174,972</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3,054,937,204</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3,141,060,829</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3,229,612,418</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3,320,660,420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3,414,275,213</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C. Fondos Distintos de Aportaciones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145199">
        <w:trPr>
          <w:trHeight w:val="227"/>
          <w:jc w:val="center"/>
        </w:trPr>
        <w:tc>
          <w:tcPr>
            <w:tcW w:w="1645" w:type="pct"/>
            <w:tcBorders>
              <w:top w:val="nil"/>
              <w:left w:val="single" w:sz="4" w:space="0" w:color="auto"/>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D. Transferencias, Asignaciones, Subsidios y Subvenciones, y Pensiones y Jubilaciones</w:t>
            </w:r>
          </w:p>
        </w:tc>
        <w:tc>
          <w:tcPr>
            <w:tcW w:w="565" w:type="pct"/>
            <w:tcBorders>
              <w:top w:val="nil"/>
              <w:left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2,295,606,860</w:t>
            </w:r>
          </w:p>
        </w:tc>
        <w:tc>
          <w:tcPr>
            <w:tcW w:w="556" w:type="pct"/>
            <w:tcBorders>
              <w:top w:val="nil"/>
              <w:left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2,383,644,103</w:t>
            </w:r>
          </w:p>
        </w:tc>
        <w:tc>
          <w:tcPr>
            <w:tcW w:w="558" w:type="pct"/>
            <w:tcBorders>
              <w:top w:val="nil"/>
              <w:left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2,475,057,603</w:t>
            </w:r>
          </w:p>
        </w:tc>
        <w:tc>
          <w:tcPr>
            <w:tcW w:w="560" w:type="pct"/>
            <w:tcBorders>
              <w:top w:val="nil"/>
              <w:left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2,569,976,839</w:t>
            </w:r>
          </w:p>
        </w:tc>
        <w:tc>
          <w:tcPr>
            <w:tcW w:w="573" w:type="pct"/>
            <w:tcBorders>
              <w:top w:val="nil"/>
              <w:left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2,668,536,258</w:t>
            </w:r>
          </w:p>
        </w:tc>
        <w:tc>
          <w:tcPr>
            <w:tcW w:w="543" w:type="pct"/>
            <w:tcBorders>
              <w:top w:val="nil"/>
              <w:left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2,770,875,461</w:t>
            </w:r>
          </w:p>
        </w:tc>
      </w:tr>
      <w:tr w:rsidR="00BB2C10" w:rsidRPr="00145199" w:rsidTr="00145199">
        <w:trPr>
          <w:trHeight w:val="227"/>
          <w:jc w:val="center"/>
        </w:trPr>
        <w:tc>
          <w:tcPr>
            <w:tcW w:w="1645" w:type="pct"/>
            <w:tcBorders>
              <w:top w:val="nil"/>
              <w:left w:val="single" w:sz="4" w:space="0" w:color="auto"/>
              <w:bottom w:val="single" w:sz="4" w:space="0" w:color="auto"/>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E. Otras Transferencias Federales Etiquetadas</w:t>
            </w:r>
          </w:p>
        </w:tc>
        <w:tc>
          <w:tcPr>
            <w:tcW w:w="565" w:type="pct"/>
            <w:tcBorders>
              <w:top w:val="nil"/>
              <w:left w:val="single" w:sz="4" w:space="0" w:color="auto"/>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6" w:type="pct"/>
            <w:tcBorders>
              <w:top w:val="nil"/>
              <w:left w:val="nil"/>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145199">
        <w:trPr>
          <w:trHeight w:val="227"/>
          <w:jc w:val="center"/>
        </w:trPr>
        <w:tc>
          <w:tcPr>
            <w:tcW w:w="1645" w:type="pct"/>
            <w:tcBorders>
              <w:top w:val="single" w:sz="4" w:space="0" w:color="auto"/>
              <w:left w:val="single" w:sz="4" w:space="0" w:color="auto"/>
              <w:bottom w:val="nil"/>
              <w:right w:val="nil"/>
            </w:tcBorders>
            <w:shd w:val="clear" w:color="auto" w:fill="auto"/>
            <w:vAlign w:val="bottom"/>
            <w:hideMark/>
          </w:tcPr>
          <w:p w:rsidR="00BB2C10" w:rsidRPr="00145199" w:rsidRDefault="00BB2C10" w:rsidP="00BB2C10">
            <w:pPr>
              <w:rPr>
                <w:rFonts w:ascii="Barlow" w:hAnsi="Barlow"/>
                <w:b/>
                <w:bCs/>
                <w:color w:val="000000"/>
                <w:sz w:val="12"/>
                <w:szCs w:val="12"/>
              </w:rPr>
            </w:pPr>
            <w:r w:rsidRPr="00145199">
              <w:rPr>
                <w:rFonts w:ascii="Barlow" w:hAnsi="Barlow"/>
                <w:b/>
                <w:bCs/>
                <w:color w:val="000000"/>
                <w:sz w:val="12"/>
                <w:szCs w:val="12"/>
              </w:rPr>
              <w:t>3. Ingresos Derivados de Financiamientos (3=A)</w:t>
            </w:r>
          </w:p>
        </w:tc>
        <w:tc>
          <w:tcPr>
            <w:tcW w:w="565" w:type="pct"/>
            <w:tcBorders>
              <w:top w:val="single" w:sz="4" w:space="0" w:color="auto"/>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1</w:t>
            </w:r>
          </w:p>
        </w:tc>
        <w:tc>
          <w:tcPr>
            <w:tcW w:w="556" w:type="pct"/>
            <w:tcBorders>
              <w:top w:val="single" w:sz="4" w:space="0" w:color="auto"/>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0</w:t>
            </w:r>
          </w:p>
        </w:tc>
        <w:tc>
          <w:tcPr>
            <w:tcW w:w="558" w:type="pct"/>
            <w:tcBorders>
              <w:top w:val="single" w:sz="4" w:space="0" w:color="auto"/>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0</w:t>
            </w:r>
          </w:p>
        </w:tc>
        <w:tc>
          <w:tcPr>
            <w:tcW w:w="560" w:type="pct"/>
            <w:tcBorders>
              <w:top w:val="single" w:sz="4" w:space="0" w:color="auto"/>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0</w:t>
            </w:r>
          </w:p>
        </w:tc>
        <w:tc>
          <w:tcPr>
            <w:tcW w:w="573" w:type="pct"/>
            <w:tcBorders>
              <w:top w:val="single" w:sz="4" w:space="0" w:color="auto"/>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0</w:t>
            </w:r>
          </w:p>
        </w:tc>
        <w:tc>
          <w:tcPr>
            <w:tcW w:w="543" w:type="pct"/>
            <w:tcBorders>
              <w:top w:val="single" w:sz="4" w:space="0" w:color="auto"/>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0</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A. Ingresos Derivados de Financiamientos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b/>
                <w:bCs/>
                <w:color w:val="000000"/>
                <w:sz w:val="12"/>
                <w:szCs w:val="12"/>
              </w:rPr>
            </w:pPr>
            <w:r w:rsidRPr="00145199">
              <w:rPr>
                <w:rFonts w:ascii="Barlow" w:hAnsi="Barlow"/>
                <w:b/>
                <w:bCs/>
                <w:color w:val="000000"/>
                <w:sz w:val="12"/>
                <w:szCs w:val="12"/>
              </w:rPr>
              <w:t>4. Total de Ingresos Proyectados (4=1+2+3)</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49,878,233,957</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51,542,840,426</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55,094,543,383</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57,908,868,106</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61,396,626,242</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64,817,164,723</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b/>
                <w:bCs/>
                <w:color w:val="000000"/>
                <w:sz w:val="12"/>
                <w:szCs w:val="12"/>
              </w:rPr>
            </w:pPr>
            <w:r w:rsidRPr="00145199">
              <w:rPr>
                <w:rFonts w:ascii="Barlow" w:hAnsi="Barlow"/>
                <w:b/>
                <w:bCs/>
                <w:color w:val="000000"/>
                <w:sz w:val="12"/>
                <w:szCs w:val="12"/>
              </w:rPr>
              <w:t>Datos Informativos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 </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 </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 </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 </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 </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 </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1. Ingresos Derivados de Financiamientos con Fuente de Pago de Recursos de Libre Disposición</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2. Ingresos Derivados de Financiamientos con Fuente de Pago de Transferencias Federales Etiquetadas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145199">
        <w:trPr>
          <w:trHeight w:val="227"/>
          <w:jc w:val="center"/>
        </w:trPr>
        <w:tc>
          <w:tcPr>
            <w:tcW w:w="1645" w:type="pct"/>
            <w:tcBorders>
              <w:top w:val="nil"/>
              <w:left w:val="single" w:sz="4" w:space="0" w:color="auto"/>
              <w:bottom w:val="single" w:sz="4" w:space="0" w:color="auto"/>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3. Ingresos Derivados de Financiamiento (3 = 1 + 2)</w:t>
            </w:r>
          </w:p>
        </w:tc>
        <w:tc>
          <w:tcPr>
            <w:tcW w:w="565" w:type="pct"/>
            <w:tcBorders>
              <w:top w:val="nil"/>
              <w:left w:val="single" w:sz="4" w:space="0" w:color="auto"/>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6" w:type="pct"/>
            <w:tcBorders>
              <w:top w:val="nil"/>
              <w:left w:val="nil"/>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bl>
    <w:p w:rsidR="00BB2C10" w:rsidRPr="00E36605" w:rsidRDefault="00BB2C10" w:rsidP="00BB2C10">
      <w:pPr>
        <w:ind w:left="851" w:right="2493"/>
        <w:jc w:val="both"/>
        <w:rPr>
          <w:rFonts w:ascii="Barlow" w:hAnsi="Barlow" w:cs="Arial"/>
          <w:sz w:val="20"/>
        </w:rPr>
      </w:pPr>
      <w:r w:rsidRPr="00222D73">
        <w:rPr>
          <w:rFonts w:ascii="Barlow" w:hAnsi="Barlow" w:cs="Arial"/>
          <w:sz w:val="16"/>
          <w:szCs w:val="16"/>
        </w:rPr>
        <w:t>Esta hoja pertenece a la Iniciativa para expedir la Ley de Ingresos Estado de Yucatán para el Ejercicio Fiscal 2023</w:t>
      </w:r>
      <w:r w:rsidRPr="00E36605">
        <w:rPr>
          <w:rFonts w:ascii="Barlow" w:hAnsi="Barlow" w:cs="Arial"/>
          <w:sz w:val="20"/>
        </w:rPr>
        <w:t>.</w:t>
      </w:r>
      <w:r w:rsidRPr="00E36605">
        <w:rPr>
          <w:rFonts w:ascii="Barlow" w:hAnsi="Barlow" w:cs="Arial"/>
          <w:sz w:val="20"/>
        </w:rPr>
        <w:br w:type="page"/>
      </w:r>
    </w:p>
    <w:p w:rsidR="00BB2C10" w:rsidRPr="00BD22D1" w:rsidRDefault="00BB2C10" w:rsidP="00BB2C10">
      <w:pPr>
        <w:jc w:val="center"/>
        <w:rPr>
          <w:rFonts w:ascii="Arial" w:hAnsi="Arial" w:cs="Arial"/>
          <w:b/>
        </w:rPr>
      </w:pPr>
      <w:r w:rsidRPr="00BD22D1">
        <w:rPr>
          <w:rFonts w:ascii="Arial" w:hAnsi="Arial" w:cs="Arial"/>
          <w:b/>
        </w:rPr>
        <w:t>Anexo II</w:t>
      </w:r>
    </w:p>
    <w:p w:rsidR="00BB2C10" w:rsidRPr="00BD22D1" w:rsidRDefault="00BB2C10" w:rsidP="00BB2C10">
      <w:pPr>
        <w:jc w:val="center"/>
        <w:rPr>
          <w:rFonts w:ascii="Arial" w:hAnsi="Arial" w:cs="Arial"/>
          <w:b/>
        </w:rPr>
      </w:pPr>
      <w:r w:rsidRPr="00BD22D1">
        <w:rPr>
          <w:rFonts w:ascii="Arial" w:hAnsi="Arial" w:cs="Arial"/>
          <w:b/>
        </w:rPr>
        <w:t>Resultados de ingresos de cinco años anteriores</w:t>
      </w:r>
    </w:p>
    <w:tbl>
      <w:tblPr>
        <w:tblW w:w="3778" w:type="pct"/>
        <w:jc w:val="center"/>
        <w:tblCellMar>
          <w:left w:w="70" w:type="dxa"/>
          <w:right w:w="70" w:type="dxa"/>
        </w:tblCellMar>
        <w:tblLook w:val="04A0" w:firstRow="1" w:lastRow="0" w:firstColumn="1" w:lastColumn="0" w:noHBand="0" w:noVBand="1"/>
      </w:tblPr>
      <w:tblGrid>
        <w:gridCol w:w="3409"/>
        <w:gridCol w:w="1229"/>
        <w:gridCol w:w="1366"/>
        <w:gridCol w:w="1224"/>
        <w:gridCol w:w="1190"/>
        <w:gridCol w:w="1248"/>
        <w:gridCol w:w="1207"/>
      </w:tblGrid>
      <w:tr w:rsidR="00BB2C10" w:rsidRPr="00145199" w:rsidTr="00222D73">
        <w:trPr>
          <w:trHeight w:val="270"/>
          <w:jc w:val="center"/>
        </w:trPr>
        <w:tc>
          <w:tcPr>
            <w:tcW w:w="5000" w:type="pct"/>
            <w:gridSpan w:val="7"/>
            <w:tcBorders>
              <w:top w:val="single" w:sz="4" w:space="0" w:color="auto"/>
              <w:left w:val="single" w:sz="4" w:space="0" w:color="auto"/>
              <w:bottom w:val="single" w:sz="4" w:space="0" w:color="auto"/>
              <w:right w:val="single" w:sz="4" w:space="0" w:color="auto"/>
            </w:tcBorders>
            <w:shd w:val="clear" w:color="000000" w:fill="D9D9D9"/>
            <w:vAlign w:val="bottom"/>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Poder Ejecutivo del Gobierno del Estado de Yucatán</w:t>
            </w:r>
            <w:r w:rsidRPr="00145199">
              <w:rPr>
                <w:rFonts w:ascii="Barlow" w:hAnsi="Barlow"/>
                <w:b/>
                <w:bCs/>
                <w:color w:val="000000"/>
                <w:sz w:val="12"/>
                <w:szCs w:val="12"/>
              </w:rPr>
              <w:br/>
              <w:t>Resultado de Ingresos - LDF</w:t>
            </w:r>
            <w:r w:rsidRPr="00145199">
              <w:rPr>
                <w:rFonts w:ascii="Barlow" w:hAnsi="Barlow"/>
                <w:b/>
                <w:bCs/>
                <w:color w:val="000000"/>
                <w:sz w:val="12"/>
                <w:szCs w:val="12"/>
              </w:rPr>
              <w:br/>
              <w:t>(Pesos)</w:t>
            </w:r>
          </w:p>
        </w:tc>
      </w:tr>
      <w:tr w:rsidR="00BB2C10" w:rsidRPr="00145199" w:rsidTr="00222D73">
        <w:trPr>
          <w:trHeight w:val="270"/>
          <w:jc w:val="center"/>
        </w:trPr>
        <w:tc>
          <w:tcPr>
            <w:tcW w:w="1568" w:type="pct"/>
            <w:tcBorders>
              <w:top w:val="nil"/>
              <w:left w:val="single" w:sz="4" w:space="0" w:color="auto"/>
              <w:bottom w:val="single" w:sz="4" w:space="0" w:color="auto"/>
              <w:right w:val="nil"/>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Concepto</w:t>
            </w:r>
          </w:p>
        </w:tc>
        <w:tc>
          <w:tcPr>
            <w:tcW w:w="565" w:type="pct"/>
            <w:tcBorders>
              <w:top w:val="nil"/>
              <w:left w:val="single" w:sz="4" w:space="0" w:color="auto"/>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2017</w:t>
            </w:r>
            <w:r w:rsidRPr="00145199">
              <w:rPr>
                <w:rFonts w:ascii="Barlow" w:hAnsi="Barlow"/>
                <w:b/>
                <w:bCs/>
                <w:color w:val="000000"/>
                <w:sz w:val="12"/>
                <w:szCs w:val="12"/>
                <w:vertAlign w:val="superscript"/>
              </w:rPr>
              <w:t>1</w:t>
            </w:r>
          </w:p>
        </w:tc>
        <w:tc>
          <w:tcPr>
            <w:tcW w:w="628" w:type="pct"/>
            <w:tcBorders>
              <w:top w:val="nil"/>
              <w:left w:val="nil"/>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2018</w:t>
            </w:r>
            <w:r w:rsidRPr="00145199">
              <w:rPr>
                <w:rFonts w:ascii="Barlow" w:hAnsi="Barlow"/>
                <w:b/>
                <w:bCs/>
                <w:color w:val="000000"/>
                <w:sz w:val="12"/>
                <w:szCs w:val="12"/>
                <w:vertAlign w:val="superscript"/>
              </w:rPr>
              <w:t>1</w:t>
            </w:r>
          </w:p>
        </w:tc>
        <w:tc>
          <w:tcPr>
            <w:tcW w:w="563" w:type="pct"/>
            <w:tcBorders>
              <w:top w:val="nil"/>
              <w:left w:val="nil"/>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2019</w:t>
            </w:r>
            <w:r w:rsidRPr="00145199">
              <w:rPr>
                <w:rFonts w:ascii="Barlow" w:hAnsi="Barlow"/>
                <w:b/>
                <w:bCs/>
                <w:color w:val="000000"/>
                <w:sz w:val="12"/>
                <w:szCs w:val="12"/>
                <w:vertAlign w:val="superscript"/>
              </w:rPr>
              <w:t>1</w:t>
            </w:r>
          </w:p>
        </w:tc>
        <w:tc>
          <w:tcPr>
            <w:tcW w:w="547" w:type="pct"/>
            <w:tcBorders>
              <w:top w:val="nil"/>
              <w:left w:val="nil"/>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2020</w:t>
            </w:r>
            <w:r w:rsidRPr="00145199">
              <w:rPr>
                <w:rFonts w:ascii="Barlow" w:hAnsi="Barlow"/>
                <w:b/>
                <w:bCs/>
                <w:color w:val="000000"/>
                <w:sz w:val="12"/>
                <w:szCs w:val="12"/>
                <w:vertAlign w:val="superscript"/>
              </w:rPr>
              <w:t>1</w:t>
            </w:r>
          </w:p>
        </w:tc>
        <w:tc>
          <w:tcPr>
            <w:tcW w:w="574" w:type="pct"/>
            <w:tcBorders>
              <w:top w:val="nil"/>
              <w:left w:val="nil"/>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2021</w:t>
            </w:r>
            <w:r w:rsidRPr="00145199">
              <w:rPr>
                <w:rFonts w:ascii="Barlow" w:hAnsi="Barlow"/>
                <w:b/>
                <w:bCs/>
                <w:color w:val="000000"/>
                <w:sz w:val="12"/>
                <w:szCs w:val="12"/>
                <w:vertAlign w:val="superscript"/>
              </w:rPr>
              <w:t>1</w:t>
            </w:r>
          </w:p>
        </w:tc>
        <w:tc>
          <w:tcPr>
            <w:tcW w:w="555" w:type="pct"/>
            <w:tcBorders>
              <w:top w:val="nil"/>
              <w:left w:val="nil"/>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2022</w:t>
            </w:r>
            <w:r w:rsidRPr="00145199">
              <w:rPr>
                <w:rFonts w:ascii="Barlow" w:hAnsi="Barlow"/>
                <w:b/>
                <w:bCs/>
                <w:color w:val="000000"/>
                <w:sz w:val="12"/>
                <w:szCs w:val="12"/>
                <w:vertAlign w:val="superscript"/>
              </w:rPr>
              <w:t>2</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b/>
                <w:bCs/>
                <w:color w:val="000000"/>
                <w:sz w:val="12"/>
                <w:szCs w:val="12"/>
              </w:rPr>
            </w:pPr>
            <w:r w:rsidRPr="00145199">
              <w:rPr>
                <w:rFonts w:ascii="Barlow" w:hAnsi="Barlow"/>
                <w:b/>
                <w:bCs/>
                <w:color w:val="000000"/>
                <w:sz w:val="12"/>
                <w:szCs w:val="12"/>
              </w:rPr>
              <w:t xml:space="preserve">1. Ingresos de Libre Disposición (1=A+B+C+D+E+F+G+H+I+J+K+L) </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16,810,135,969</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18,716,987,370</w:t>
            </w:r>
          </w:p>
        </w:tc>
        <w:tc>
          <w:tcPr>
            <w:tcW w:w="563"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19,334,420,197</w:t>
            </w:r>
          </w:p>
        </w:tc>
        <w:tc>
          <w:tcPr>
            <w:tcW w:w="547"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18,725,980,412</w:t>
            </w:r>
          </w:p>
        </w:tc>
        <w:tc>
          <w:tcPr>
            <w:tcW w:w="574"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20,052,810,441</w:t>
            </w:r>
          </w:p>
        </w:tc>
        <w:tc>
          <w:tcPr>
            <w:tcW w:w="555"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23,198,280,880</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A. Impuestos</w:t>
            </w:r>
          </w:p>
        </w:tc>
        <w:tc>
          <w:tcPr>
            <w:tcW w:w="565"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1,847,773,499</w:t>
            </w:r>
          </w:p>
        </w:tc>
        <w:tc>
          <w:tcPr>
            <w:tcW w:w="628"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1,912,884,611</w:t>
            </w:r>
          </w:p>
        </w:tc>
        <w:tc>
          <w:tcPr>
            <w:tcW w:w="563"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2,141,174,680</w:t>
            </w:r>
          </w:p>
        </w:tc>
        <w:tc>
          <w:tcPr>
            <w:tcW w:w="547"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1,852,494,186</w:t>
            </w:r>
          </w:p>
        </w:tc>
        <w:tc>
          <w:tcPr>
            <w:tcW w:w="574"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2,498,927,583</w:t>
            </w:r>
          </w:p>
        </w:tc>
        <w:tc>
          <w:tcPr>
            <w:tcW w:w="555" w:type="pct"/>
            <w:tcBorders>
              <w:top w:val="nil"/>
              <w:left w:val="nil"/>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2,891,251,609</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B. Cuotas y Aportaciones de Seguridad Social</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3"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7"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4"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C. Contribuciones de Mejoras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3"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7"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4"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D. Derechos</w:t>
            </w:r>
          </w:p>
        </w:tc>
        <w:tc>
          <w:tcPr>
            <w:tcW w:w="565"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1,299,332,443</w:t>
            </w:r>
          </w:p>
        </w:tc>
        <w:tc>
          <w:tcPr>
            <w:tcW w:w="628"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1,015,702,760</w:t>
            </w:r>
          </w:p>
        </w:tc>
        <w:tc>
          <w:tcPr>
            <w:tcW w:w="563"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1,347,895,991</w:t>
            </w:r>
          </w:p>
        </w:tc>
        <w:tc>
          <w:tcPr>
            <w:tcW w:w="547"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846,373,461</w:t>
            </w:r>
          </w:p>
        </w:tc>
        <w:tc>
          <w:tcPr>
            <w:tcW w:w="574"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1,507,041,623</w:t>
            </w:r>
          </w:p>
        </w:tc>
        <w:tc>
          <w:tcPr>
            <w:tcW w:w="555" w:type="pct"/>
            <w:tcBorders>
              <w:top w:val="nil"/>
              <w:left w:val="nil"/>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2,032,806,468</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E. Productos</w:t>
            </w:r>
          </w:p>
        </w:tc>
        <w:tc>
          <w:tcPr>
            <w:tcW w:w="565"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392,541,346</w:t>
            </w:r>
          </w:p>
        </w:tc>
        <w:tc>
          <w:tcPr>
            <w:tcW w:w="628"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849,802,159</w:t>
            </w:r>
          </w:p>
        </w:tc>
        <w:tc>
          <w:tcPr>
            <w:tcW w:w="563"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122,870,389</w:t>
            </w:r>
          </w:p>
        </w:tc>
        <w:tc>
          <w:tcPr>
            <w:tcW w:w="547"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94,364,035</w:t>
            </w:r>
          </w:p>
        </w:tc>
        <w:tc>
          <w:tcPr>
            <w:tcW w:w="574"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141,149,777</w:t>
            </w:r>
          </w:p>
        </w:tc>
        <w:tc>
          <w:tcPr>
            <w:tcW w:w="555" w:type="pct"/>
            <w:tcBorders>
              <w:top w:val="nil"/>
              <w:left w:val="nil"/>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175,538,198</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F. Aprovechamientos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199,959,376</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190,335,457</w:t>
            </w:r>
          </w:p>
        </w:tc>
        <w:tc>
          <w:tcPr>
            <w:tcW w:w="563"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172,003,240</w:t>
            </w:r>
          </w:p>
        </w:tc>
        <w:tc>
          <w:tcPr>
            <w:tcW w:w="547"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112,270,059</w:t>
            </w:r>
          </w:p>
        </w:tc>
        <w:tc>
          <w:tcPr>
            <w:tcW w:w="574"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142,506,410</w:t>
            </w:r>
          </w:p>
        </w:tc>
        <w:tc>
          <w:tcPr>
            <w:tcW w:w="555" w:type="pct"/>
            <w:tcBorders>
              <w:top w:val="nil"/>
              <w:left w:val="nil"/>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222,225,496</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G. Ingresos por Venta de Bienes y Prestación de Servicios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3"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7"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4"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H. Participaciones</w:t>
            </w:r>
          </w:p>
        </w:tc>
        <w:tc>
          <w:tcPr>
            <w:tcW w:w="565"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12,608,152,543</w:t>
            </w:r>
          </w:p>
        </w:tc>
        <w:tc>
          <w:tcPr>
            <w:tcW w:w="628"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14,291,031,626</w:t>
            </w:r>
          </w:p>
        </w:tc>
        <w:tc>
          <w:tcPr>
            <w:tcW w:w="563"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14,988,596,542</w:t>
            </w:r>
          </w:p>
        </w:tc>
        <w:tc>
          <w:tcPr>
            <w:tcW w:w="547"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15,431,424,773</w:t>
            </w:r>
          </w:p>
        </w:tc>
        <w:tc>
          <w:tcPr>
            <w:tcW w:w="574"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15,089,827,267</w:t>
            </w:r>
          </w:p>
        </w:tc>
        <w:tc>
          <w:tcPr>
            <w:tcW w:w="555" w:type="pct"/>
            <w:tcBorders>
              <w:top w:val="nil"/>
              <w:left w:val="nil"/>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17,102,815,625</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I. Incentivos Derivados de la Colaboración Fiscal</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462,376,762</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457,230,757</w:t>
            </w:r>
          </w:p>
        </w:tc>
        <w:tc>
          <w:tcPr>
            <w:tcW w:w="563"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561,879,355</w:t>
            </w:r>
          </w:p>
        </w:tc>
        <w:tc>
          <w:tcPr>
            <w:tcW w:w="547"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389,053,898</w:t>
            </w:r>
          </w:p>
        </w:tc>
        <w:tc>
          <w:tcPr>
            <w:tcW w:w="574"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673,357,781</w:t>
            </w:r>
          </w:p>
        </w:tc>
        <w:tc>
          <w:tcPr>
            <w:tcW w:w="555"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773,643,484</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J. Transferencias y Asignaciones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3"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7"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4"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K. Convenios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3"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7"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4"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L. Otros Ingresos de Libre Disposición</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3"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7"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4"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b/>
                <w:bCs/>
                <w:color w:val="000000"/>
                <w:sz w:val="12"/>
                <w:szCs w:val="12"/>
              </w:rPr>
            </w:pPr>
            <w:r w:rsidRPr="00145199">
              <w:rPr>
                <w:rFonts w:ascii="Barlow" w:hAnsi="Barlow"/>
                <w:b/>
                <w:bCs/>
                <w:color w:val="000000"/>
                <w:sz w:val="12"/>
                <w:szCs w:val="12"/>
              </w:rPr>
              <w:t>2. Transferencias Federales Etiquetadas (2=A+B+C+D+E)</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20,563,110,584</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20,175,826,598</w:t>
            </w:r>
          </w:p>
        </w:tc>
        <w:tc>
          <w:tcPr>
            <w:tcW w:w="563"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18,729,216,031</w:t>
            </w:r>
          </w:p>
        </w:tc>
        <w:tc>
          <w:tcPr>
            <w:tcW w:w="547"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19,739,532,677</w:t>
            </w:r>
          </w:p>
        </w:tc>
        <w:tc>
          <w:tcPr>
            <w:tcW w:w="574"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19,392,020,523</w:t>
            </w:r>
          </w:p>
        </w:tc>
        <w:tc>
          <w:tcPr>
            <w:tcW w:w="555"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20,616,632,553</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A. Aportaciones</w:t>
            </w:r>
          </w:p>
        </w:tc>
        <w:tc>
          <w:tcPr>
            <w:tcW w:w="565"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11,975,616,866</w:t>
            </w:r>
          </w:p>
        </w:tc>
        <w:tc>
          <w:tcPr>
            <w:tcW w:w="628"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12,752,309,665</w:t>
            </w:r>
          </w:p>
        </w:tc>
        <w:tc>
          <w:tcPr>
            <w:tcW w:w="563"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13,550,628,926</w:t>
            </w:r>
          </w:p>
        </w:tc>
        <w:tc>
          <w:tcPr>
            <w:tcW w:w="547"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13,975,622,844</w:t>
            </w:r>
          </w:p>
        </w:tc>
        <w:tc>
          <w:tcPr>
            <w:tcW w:w="574"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14,197,099,226</w:t>
            </w:r>
          </w:p>
        </w:tc>
        <w:tc>
          <w:tcPr>
            <w:tcW w:w="555" w:type="pct"/>
            <w:tcBorders>
              <w:top w:val="nil"/>
              <w:left w:val="nil"/>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15,340,058,591</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B. Convenios</w:t>
            </w:r>
          </w:p>
        </w:tc>
        <w:tc>
          <w:tcPr>
            <w:tcW w:w="565"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6,712,995,153</w:t>
            </w:r>
          </w:p>
        </w:tc>
        <w:tc>
          <w:tcPr>
            <w:tcW w:w="628"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5,461,093,428</w:t>
            </w:r>
          </w:p>
        </w:tc>
        <w:tc>
          <w:tcPr>
            <w:tcW w:w="563"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3,151,398,729</w:t>
            </w:r>
          </w:p>
        </w:tc>
        <w:tc>
          <w:tcPr>
            <w:tcW w:w="547"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3,670,494,897</w:t>
            </w:r>
          </w:p>
        </w:tc>
        <w:tc>
          <w:tcPr>
            <w:tcW w:w="574"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3,058,160,374</w:t>
            </w:r>
          </w:p>
        </w:tc>
        <w:tc>
          <w:tcPr>
            <w:tcW w:w="555" w:type="pct"/>
            <w:tcBorders>
              <w:top w:val="nil"/>
              <w:left w:val="nil"/>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3,102,296,794</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C. Fondos Distintos de Aportaciones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3"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7"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4"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D. Transferencias, Asignaciones, Subsidios y Subvenciones, y Pensiones y Jubilaciones</w:t>
            </w:r>
          </w:p>
        </w:tc>
        <w:tc>
          <w:tcPr>
            <w:tcW w:w="565"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1,831,614,709</w:t>
            </w:r>
          </w:p>
        </w:tc>
        <w:tc>
          <w:tcPr>
            <w:tcW w:w="628"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1,915,110,847</w:t>
            </w:r>
          </w:p>
        </w:tc>
        <w:tc>
          <w:tcPr>
            <w:tcW w:w="563"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2,005,174,504</w:t>
            </w:r>
          </w:p>
        </w:tc>
        <w:tc>
          <w:tcPr>
            <w:tcW w:w="547"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2,084,097,524</w:t>
            </w:r>
          </w:p>
        </w:tc>
        <w:tc>
          <w:tcPr>
            <w:tcW w:w="574"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2,136,760,923</w:t>
            </w:r>
          </w:p>
        </w:tc>
        <w:tc>
          <w:tcPr>
            <w:tcW w:w="555" w:type="pct"/>
            <w:tcBorders>
              <w:top w:val="nil"/>
              <w:left w:val="nil"/>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2,174,277,168</w:t>
            </w:r>
          </w:p>
        </w:tc>
      </w:tr>
      <w:tr w:rsidR="00BB2C10" w:rsidRPr="00145199" w:rsidTr="00222D73">
        <w:trPr>
          <w:trHeight w:val="240"/>
          <w:jc w:val="center"/>
        </w:trPr>
        <w:tc>
          <w:tcPr>
            <w:tcW w:w="1568" w:type="pct"/>
            <w:tcBorders>
              <w:top w:val="nil"/>
              <w:left w:val="single" w:sz="4" w:space="0" w:color="auto"/>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E. Otras Transferencias Federales Etiquetadas</w:t>
            </w:r>
          </w:p>
        </w:tc>
        <w:tc>
          <w:tcPr>
            <w:tcW w:w="565" w:type="pct"/>
            <w:tcBorders>
              <w:top w:val="nil"/>
              <w:left w:val="single" w:sz="4" w:space="0" w:color="auto"/>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42,883,856</w:t>
            </w:r>
          </w:p>
        </w:tc>
        <w:tc>
          <w:tcPr>
            <w:tcW w:w="628" w:type="pct"/>
            <w:tcBorders>
              <w:top w:val="nil"/>
              <w:left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47,312,658</w:t>
            </w:r>
          </w:p>
        </w:tc>
        <w:tc>
          <w:tcPr>
            <w:tcW w:w="563" w:type="pct"/>
            <w:tcBorders>
              <w:top w:val="nil"/>
              <w:left w:val="single" w:sz="4" w:space="0" w:color="auto"/>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22,013,872</w:t>
            </w:r>
          </w:p>
        </w:tc>
        <w:tc>
          <w:tcPr>
            <w:tcW w:w="547" w:type="pct"/>
            <w:tcBorders>
              <w:top w:val="nil"/>
              <w:left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9,317,412</w:t>
            </w:r>
          </w:p>
        </w:tc>
        <w:tc>
          <w:tcPr>
            <w:tcW w:w="574" w:type="pct"/>
            <w:tcBorders>
              <w:top w:val="nil"/>
              <w:left w:val="single" w:sz="4" w:space="0" w:color="auto"/>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nil"/>
              <w:left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222D73">
        <w:trPr>
          <w:trHeight w:val="240"/>
          <w:jc w:val="center"/>
        </w:trPr>
        <w:tc>
          <w:tcPr>
            <w:tcW w:w="1568" w:type="pct"/>
            <w:tcBorders>
              <w:top w:val="nil"/>
              <w:left w:val="single" w:sz="4" w:space="0" w:color="auto"/>
              <w:bottom w:val="single" w:sz="4" w:space="0" w:color="auto"/>
              <w:right w:val="nil"/>
            </w:tcBorders>
            <w:shd w:val="clear" w:color="auto" w:fill="auto"/>
            <w:vAlign w:val="bottom"/>
            <w:hideMark/>
          </w:tcPr>
          <w:p w:rsidR="00BB2C10" w:rsidRPr="00145199" w:rsidRDefault="00BB2C10" w:rsidP="00BB2C10">
            <w:pPr>
              <w:rPr>
                <w:rFonts w:ascii="Barlow" w:hAnsi="Barlow"/>
                <w:b/>
                <w:bCs/>
                <w:color w:val="000000"/>
                <w:sz w:val="12"/>
                <w:szCs w:val="12"/>
              </w:rPr>
            </w:pPr>
            <w:r w:rsidRPr="00145199">
              <w:rPr>
                <w:rFonts w:ascii="Barlow" w:hAnsi="Barlow"/>
                <w:b/>
                <w:bCs/>
                <w:color w:val="000000"/>
                <w:sz w:val="12"/>
                <w:szCs w:val="12"/>
              </w:rPr>
              <w:t>3. Ingresos Derivados de Financiamientos (3=A)</w:t>
            </w:r>
          </w:p>
        </w:tc>
        <w:tc>
          <w:tcPr>
            <w:tcW w:w="565" w:type="pct"/>
            <w:tcBorders>
              <w:top w:val="nil"/>
              <w:left w:val="single" w:sz="4" w:space="0" w:color="auto"/>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2,187,200,000</w:t>
            </w:r>
          </w:p>
        </w:tc>
        <w:tc>
          <w:tcPr>
            <w:tcW w:w="628" w:type="pct"/>
            <w:tcBorders>
              <w:top w:val="nil"/>
              <w:left w:val="nil"/>
              <w:bottom w:val="single" w:sz="4" w:space="0" w:color="auto"/>
              <w:right w:val="nil"/>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0</w:t>
            </w:r>
          </w:p>
        </w:tc>
        <w:tc>
          <w:tcPr>
            <w:tcW w:w="563" w:type="pct"/>
            <w:tcBorders>
              <w:top w:val="nil"/>
              <w:left w:val="single" w:sz="4" w:space="0" w:color="auto"/>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784,088,270</w:t>
            </w:r>
          </w:p>
        </w:tc>
        <w:tc>
          <w:tcPr>
            <w:tcW w:w="547" w:type="pct"/>
            <w:tcBorders>
              <w:top w:val="nil"/>
              <w:left w:val="nil"/>
              <w:bottom w:val="single" w:sz="4" w:space="0" w:color="auto"/>
              <w:right w:val="nil"/>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4,504,620,000</w:t>
            </w:r>
          </w:p>
        </w:tc>
        <w:tc>
          <w:tcPr>
            <w:tcW w:w="574" w:type="pct"/>
            <w:tcBorders>
              <w:top w:val="nil"/>
              <w:left w:val="single" w:sz="4" w:space="0" w:color="auto"/>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0</w:t>
            </w:r>
          </w:p>
        </w:tc>
        <w:tc>
          <w:tcPr>
            <w:tcW w:w="555" w:type="pct"/>
            <w:tcBorders>
              <w:top w:val="nil"/>
              <w:left w:val="nil"/>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1,734,999,999</w:t>
            </w:r>
          </w:p>
        </w:tc>
      </w:tr>
      <w:tr w:rsidR="00BB2C10" w:rsidRPr="00145199" w:rsidTr="00222D73">
        <w:trPr>
          <w:trHeight w:val="240"/>
          <w:jc w:val="center"/>
        </w:trPr>
        <w:tc>
          <w:tcPr>
            <w:tcW w:w="1568" w:type="pct"/>
            <w:tcBorders>
              <w:top w:val="single" w:sz="4" w:space="0" w:color="auto"/>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A. Ingresos Derivados de Financiamientos</w:t>
            </w:r>
          </w:p>
        </w:tc>
        <w:tc>
          <w:tcPr>
            <w:tcW w:w="565" w:type="pct"/>
            <w:tcBorders>
              <w:top w:val="single" w:sz="4" w:space="0" w:color="auto"/>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2,187,200,000</w:t>
            </w:r>
          </w:p>
        </w:tc>
        <w:tc>
          <w:tcPr>
            <w:tcW w:w="628" w:type="pct"/>
            <w:tcBorders>
              <w:top w:val="single" w:sz="4" w:space="0" w:color="auto"/>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3" w:type="pct"/>
            <w:tcBorders>
              <w:top w:val="single" w:sz="4" w:space="0" w:color="auto"/>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784,088,270</w:t>
            </w:r>
          </w:p>
        </w:tc>
        <w:tc>
          <w:tcPr>
            <w:tcW w:w="547" w:type="pct"/>
            <w:tcBorders>
              <w:top w:val="single" w:sz="4" w:space="0" w:color="auto"/>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4,504,620,000</w:t>
            </w:r>
          </w:p>
        </w:tc>
        <w:tc>
          <w:tcPr>
            <w:tcW w:w="574" w:type="pct"/>
            <w:tcBorders>
              <w:top w:val="single" w:sz="4" w:space="0" w:color="auto"/>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single" w:sz="4" w:space="0" w:color="auto"/>
              <w:left w:val="nil"/>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1,734,999,999</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b/>
                <w:bCs/>
                <w:color w:val="000000"/>
                <w:sz w:val="12"/>
                <w:szCs w:val="12"/>
              </w:rPr>
            </w:pPr>
            <w:r w:rsidRPr="00145199">
              <w:rPr>
                <w:rFonts w:ascii="Barlow" w:hAnsi="Barlow"/>
                <w:b/>
                <w:bCs/>
                <w:color w:val="000000"/>
                <w:sz w:val="12"/>
                <w:szCs w:val="12"/>
              </w:rPr>
              <w:t>4. Total de Ingresos Proyectados (4=1+2+3)</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39,560,446,553</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38,892,813,968</w:t>
            </w:r>
          </w:p>
        </w:tc>
        <w:tc>
          <w:tcPr>
            <w:tcW w:w="563"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38,847,724,498</w:t>
            </w:r>
          </w:p>
        </w:tc>
        <w:tc>
          <w:tcPr>
            <w:tcW w:w="547"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42,970,133,089</w:t>
            </w:r>
          </w:p>
        </w:tc>
        <w:tc>
          <w:tcPr>
            <w:tcW w:w="574"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39,444,830,964</w:t>
            </w:r>
          </w:p>
        </w:tc>
        <w:tc>
          <w:tcPr>
            <w:tcW w:w="555"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45,549,913,432</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b/>
                <w:bCs/>
                <w:color w:val="000000"/>
                <w:sz w:val="12"/>
                <w:szCs w:val="12"/>
              </w:rPr>
            </w:pPr>
            <w:r w:rsidRPr="00145199">
              <w:rPr>
                <w:rFonts w:ascii="Barlow" w:hAnsi="Barlow"/>
                <w:b/>
                <w:bCs/>
                <w:color w:val="000000"/>
                <w:sz w:val="12"/>
                <w:szCs w:val="12"/>
              </w:rPr>
              <w:t>Datos Informativos</w:t>
            </w:r>
          </w:p>
        </w:tc>
        <w:tc>
          <w:tcPr>
            <w:tcW w:w="565"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 </w:t>
            </w:r>
          </w:p>
        </w:tc>
        <w:tc>
          <w:tcPr>
            <w:tcW w:w="628" w:type="pct"/>
            <w:tcBorders>
              <w:top w:val="nil"/>
              <w:left w:val="nil"/>
              <w:bottom w:val="nil"/>
              <w:right w:val="nil"/>
            </w:tcBorders>
            <w:shd w:val="clear" w:color="auto" w:fill="auto"/>
            <w:noWrap/>
            <w:vAlign w:val="bottom"/>
            <w:hideMark/>
          </w:tcPr>
          <w:p w:rsidR="00BB2C10" w:rsidRPr="00145199" w:rsidRDefault="00BB2C10" w:rsidP="00BB2C10">
            <w:pPr>
              <w:rPr>
                <w:rFonts w:ascii="Barlow" w:hAnsi="Barlow"/>
                <w:color w:val="000000"/>
                <w:sz w:val="12"/>
                <w:szCs w:val="12"/>
              </w:rPr>
            </w:pPr>
          </w:p>
        </w:tc>
        <w:tc>
          <w:tcPr>
            <w:tcW w:w="563"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 </w:t>
            </w:r>
          </w:p>
        </w:tc>
        <w:tc>
          <w:tcPr>
            <w:tcW w:w="547" w:type="pct"/>
            <w:tcBorders>
              <w:top w:val="nil"/>
              <w:left w:val="nil"/>
              <w:bottom w:val="nil"/>
              <w:right w:val="nil"/>
            </w:tcBorders>
            <w:shd w:val="clear" w:color="auto" w:fill="auto"/>
            <w:noWrap/>
            <w:vAlign w:val="bottom"/>
            <w:hideMark/>
          </w:tcPr>
          <w:p w:rsidR="00BB2C10" w:rsidRPr="00145199" w:rsidRDefault="00BB2C10" w:rsidP="00BB2C10">
            <w:pPr>
              <w:rPr>
                <w:rFonts w:ascii="Barlow" w:hAnsi="Barlow"/>
                <w:color w:val="000000"/>
                <w:sz w:val="12"/>
                <w:szCs w:val="12"/>
              </w:rPr>
            </w:pPr>
          </w:p>
        </w:tc>
        <w:tc>
          <w:tcPr>
            <w:tcW w:w="574"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 </w:t>
            </w:r>
          </w:p>
        </w:tc>
        <w:tc>
          <w:tcPr>
            <w:tcW w:w="555" w:type="pct"/>
            <w:tcBorders>
              <w:top w:val="nil"/>
              <w:left w:val="nil"/>
              <w:bottom w:val="nil"/>
              <w:right w:val="single" w:sz="4" w:space="0" w:color="auto"/>
            </w:tcBorders>
            <w:shd w:val="clear" w:color="auto" w:fill="auto"/>
            <w:noWrap/>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 </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1. Ingresos Derivados de Financiamientos con Fuente de Pago de Recursos de Libre Disposición</w:t>
            </w:r>
          </w:p>
        </w:tc>
        <w:tc>
          <w:tcPr>
            <w:tcW w:w="565"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1,387,200,000</w:t>
            </w:r>
          </w:p>
        </w:tc>
        <w:tc>
          <w:tcPr>
            <w:tcW w:w="628"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3"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784,088,270</w:t>
            </w:r>
          </w:p>
        </w:tc>
        <w:tc>
          <w:tcPr>
            <w:tcW w:w="547"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4,504,620,000</w:t>
            </w:r>
          </w:p>
        </w:tc>
        <w:tc>
          <w:tcPr>
            <w:tcW w:w="574"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nil"/>
              <w:left w:val="nil"/>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1,734,999,999</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2. Ingresos Derivados de Financiamientos con Fuente de Pago de Transferencias Federales Etiquetadas</w:t>
            </w:r>
          </w:p>
        </w:tc>
        <w:tc>
          <w:tcPr>
            <w:tcW w:w="565"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800,000,000</w:t>
            </w:r>
          </w:p>
        </w:tc>
        <w:tc>
          <w:tcPr>
            <w:tcW w:w="628"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3"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7"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4"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nil"/>
              <w:left w:val="nil"/>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222D73">
        <w:trPr>
          <w:trHeight w:val="240"/>
          <w:jc w:val="center"/>
        </w:trPr>
        <w:tc>
          <w:tcPr>
            <w:tcW w:w="1568" w:type="pct"/>
            <w:tcBorders>
              <w:top w:val="nil"/>
              <w:left w:val="single" w:sz="4" w:space="0" w:color="auto"/>
              <w:bottom w:val="single" w:sz="4" w:space="0" w:color="auto"/>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3. Ingresos Derivados de Financiamiento (3 = 1 + 2)</w:t>
            </w:r>
          </w:p>
        </w:tc>
        <w:tc>
          <w:tcPr>
            <w:tcW w:w="565" w:type="pct"/>
            <w:tcBorders>
              <w:top w:val="nil"/>
              <w:left w:val="single" w:sz="4" w:space="0" w:color="auto"/>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2,187,200,000</w:t>
            </w:r>
          </w:p>
        </w:tc>
        <w:tc>
          <w:tcPr>
            <w:tcW w:w="628" w:type="pct"/>
            <w:tcBorders>
              <w:top w:val="nil"/>
              <w:left w:val="nil"/>
              <w:bottom w:val="single" w:sz="4" w:space="0" w:color="auto"/>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3" w:type="pct"/>
            <w:tcBorders>
              <w:top w:val="nil"/>
              <w:left w:val="single" w:sz="4" w:space="0" w:color="auto"/>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784,088,270</w:t>
            </w:r>
          </w:p>
        </w:tc>
        <w:tc>
          <w:tcPr>
            <w:tcW w:w="547" w:type="pct"/>
            <w:tcBorders>
              <w:top w:val="nil"/>
              <w:left w:val="nil"/>
              <w:bottom w:val="single" w:sz="4" w:space="0" w:color="auto"/>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4,504,620,000</w:t>
            </w:r>
          </w:p>
        </w:tc>
        <w:tc>
          <w:tcPr>
            <w:tcW w:w="574" w:type="pct"/>
            <w:tcBorders>
              <w:top w:val="nil"/>
              <w:left w:val="single" w:sz="4" w:space="0" w:color="auto"/>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nil"/>
              <w:left w:val="nil"/>
              <w:bottom w:val="single" w:sz="4" w:space="0" w:color="auto"/>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1,734,999,999</w:t>
            </w:r>
          </w:p>
        </w:tc>
      </w:tr>
    </w:tbl>
    <w:p w:rsidR="00BB2C10" w:rsidRPr="00145199" w:rsidRDefault="00BB2C10" w:rsidP="00222D73">
      <w:pPr>
        <w:ind w:left="851" w:right="2918"/>
        <w:rPr>
          <w:rFonts w:ascii="Barlow" w:hAnsi="Barlow" w:cs="Arial"/>
          <w:sz w:val="10"/>
          <w:szCs w:val="10"/>
        </w:rPr>
      </w:pPr>
      <w:r w:rsidRPr="00145199">
        <w:rPr>
          <w:rFonts w:ascii="Barlow" w:hAnsi="Barlow" w:cs="Arial"/>
          <w:sz w:val="10"/>
          <w:szCs w:val="10"/>
          <w:vertAlign w:val="superscript"/>
        </w:rPr>
        <w:t xml:space="preserve">1 </w:t>
      </w:r>
      <w:r w:rsidRPr="00145199">
        <w:rPr>
          <w:rFonts w:ascii="Barlow" w:hAnsi="Barlow" w:cs="Arial"/>
          <w:sz w:val="10"/>
          <w:szCs w:val="10"/>
        </w:rPr>
        <w:t>Los importes corresponden al momento contable de los ingresos devengados.</w:t>
      </w:r>
    </w:p>
    <w:p w:rsidR="00BB2C10" w:rsidRPr="00145199" w:rsidRDefault="00BB2C10" w:rsidP="00222D73">
      <w:pPr>
        <w:ind w:left="851" w:right="2918"/>
        <w:rPr>
          <w:rFonts w:ascii="Barlow" w:hAnsi="Barlow" w:cs="Arial"/>
          <w:sz w:val="10"/>
          <w:szCs w:val="10"/>
        </w:rPr>
      </w:pPr>
      <w:r w:rsidRPr="00145199">
        <w:rPr>
          <w:rFonts w:ascii="Barlow" w:hAnsi="Barlow" w:cs="Arial"/>
          <w:sz w:val="10"/>
          <w:szCs w:val="10"/>
          <w:vertAlign w:val="superscript"/>
        </w:rPr>
        <w:t xml:space="preserve">2 </w:t>
      </w:r>
      <w:r w:rsidRPr="00145199">
        <w:rPr>
          <w:rFonts w:ascii="Barlow" w:hAnsi="Barlow" w:cs="Arial"/>
          <w:sz w:val="10"/>
          <w:szCs w:val="10"/>
        </w:rPr>
        <w:t xml:space="preserve">Los importes corresponden a los ingresos devengados </w:t>
      </w:r>
      <w:proofErr w:type="gramStart"/>
      <w:r w:rsidRPr="00145199">
        <w:rPr>
          <w:rFonts w:ascii="Barlow" w:hAnsi="Barlow" w:cs="Arial"/>
          <w:sz w:val="10"/>
          <w:szCs w:val="10"/>
        </w:rPr>
        <w:t>al cierre trimestral más reciente disponible y estimados</w:t>
      </w:r>
      <w:proofErr w:type="gramEnd"/>
      <w:r w:rsidRPr="00145199">
        <w:rPr>
          <w:rFonts w:ascii="Barlow" w:hAnsi="Barlow" w:cs="Arial"/>
          <w:sz w:val="10"/>
          <w:szCs w:val="10"/>
        </w:rPr>
        <w:t xml:space="preserve"> para el resto del ejercicio.</w:t>
      </w:r>
    </w:p>
    <w:p w:rsidR="00BB2C10" w:rsidRPr="00145199" w:rsidRDefault="00BB2C10" w:rsidP="00222D73">
      <w:pPr>
        <w:ind w:left="851" w:right="2918"/>
        <w:rPr>
          <w:rFonts w:ascii="Barlow" w:hAnsi="Barlow" w:cs="Arial"/>
          <w:sz w:val="10"/>
          <w:szCs w:val="10"/>
        </w:rPr>
      </w:pPr>
      <w:r w:rsidRPr="00145199">
        <w:rPr>
          <w:rFonts w:ascii="Barlow" w:hAnsi="Barlow" w:cs="Arial"/>
          <w:b/>
          <w:sz w:val="10"/>
          <w:szCs w:val="10"/>
        </w:rPr>
        <w:t>Nota ejercicio 2022:</w:t>
      </w:r>
      <w:r w:rsidRPr="00145199">
        <w:rPr>
          <w:rFonts w:ascii="Barlow" w:hAnsi="Barlow" w:cs="Arial"/>
          <w:sz w:val="10"/>
          <w:szCs w:val="10"/>
        </w:rPr>
        <w:t xml:space="preserve"> Los recursos del financiamiento "IETRAM y Obras Complementarias” se aportarán al Fideicomiso de Inversión y Administración número F/4130480, mediante el cual se ejercen los recursos del crédito.</w:t>
      </w:r>
    </w:p>
    <w:p w:rsidR="00BB2C10" w:rsidRDefault="00BB2C10" w:rsidP="00BB2C10">
      <w:pPr>
        <w:jc w:val="center"/>
      </w:pPr>
      <w:r w:rsidRPr="00AB1135">
        <w:rPr>
          <w:rFonts w:ascii="Barlow" w:hAnsi="Barlow" w:cs="Arial"/>
          <w:b/>
          <w:sz w:val="20"/>
          <w:szCs w:val="18"/>
        </w:rPr>
        <w:br w:type="page"/>
      </w:r>
      <w:r w:rsidRPr="00D93F7E">
        <w:rPr>
          <w:rFonts w:ascii="Arial" w:hAnsi="Arial" w:cs="Arial"/>
          <w:b/>
        </w:rPr>
        <w:t>Anexo III</w:t>
      </w:r>
      <w:r>
        <w:rPr>
          <w:rFonts w:ascii="Arial" w:hAnsi="Arial" w:cs="Arial"/>
          <w:b/>
        </w:rPr>
        <w:br/>
      </w:r>
      <w:r w:rsidRPr="00D93F7E">
        <w:rPr>
          <w:rFonts w:ascii="Arial" w:hAnsi="Arial" w:cs="Arial"/>
          <w:b/>
        </w:rPr>
        <w:t>Calendarización de amortizaciones de los siguientes ejercicios fiscales</w:t>
      </w:r>
    </w:p>
    <w:tbl>
      <w:tblPr>
        <w:tblW w:w="3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8"/>
        <w:gridCol w:w="1859"/>
        <w:gridCol w:w="1748"/>
        <w:gridCol w:w="1806"/>
        <w:gridCol w:w="1615"/>
        <w:gridCol w:w="1965"/>
        <w:gridCol w:w="1682"/>
      </w:tblGrid>
      <w:tr w:rsidR="00BB2C10" w:rsidRPr="00E36605" w:rsidTr="00BC2A91">
        <w:trPr>
          <w:trHeight w:val="255"/>
          <w:jc w:val="center"/>
        </w:trPr>
        <w:tc>
          <w:tcPr>
            <w:tcW w:w="360" w:type="pct"/>
            <w:vMerge w:val="restart"/>
            <w:shd w:val="clear" w:color="auto" w:fill="D9D9D9" w:themeFill="background1" w:themeFillShade="D9"/>
            <w:vAlign w:val="center"/>
            <w:hideMark/>
          </w:tcPr>
          <w:p w:rsidR="00BB2C10" w:rsidRPr="00E36605" w:rsidRDefault="00BB2C10" w:rsidP="00BC2A91">
            <w:pPr>
              <w:jc w:val="center"/>
              <w:rPr>
                <w:rFonts w:ascii="Arial" w:hAnsi="Arial" w:cs="Arial"/>
                <w:b/>
                <w:bCs/>
                <w:sz w:val="18"/>
                <w:szCs w:val="18"/>
              </w:rPr>
            </w:pPr>
            <w:r w:rsidRPr="00E36605">
              <w:rPr>
                <w:rFonts w:ascii="Arial" w:hAnsi="Arial" w:cs="Arial"/>
                <w:b/>
                <w:bCs/>
                <w:sz w:val="18"/>
                <w:szCs w:val="18"/>
              </w:rPr>
              <w:t>Año</w:t>
            </w:r>
          </w:p>
        </w:tc>
        <w:tc>
          <w:tcPr>
            <w:tcW w:w="3909" w:type="pct"/>
            <w:gridSpan w:val="5"/>
            <w:shd w:val="clear" w:color="auto" w:fill="D9D9D9" w:themeFill="background1" w:themeFillShade="D9"/>
            <w:vAlign w:val="center"/>
            <w:hideMark/>
          </w:tcPr>
          <w:p w:rsidR="00BB2C10" w:rsidRPr="00E36605" w:rsidRDefault="00BB2C10" w:rsidP="00BC2A91">
            <w:pPr>
              <w:jc w:val="center"/>
              <w:rPr>
                <w:rFonts w:ascii="Arial" w:hAnsi="Arial" w:cs="Arial"/>
                <w:b/>
                <w:bCs/>
                <w:sz w:val="18"/>
                <w:szCs w:val="18"/>
              </w:rPr>
            </w:pPr>
            <w:r w:rsidRPr="00E36605">
              <w:rPr>
                <w:rFonts w:ascii="Arial" w:hAnsi="Arial" w:cs="Arial"/>
                <w:b/>
                <w:bCs/>
                <w:sz w:val="18"/>
                <w:szCs w:val="18"/>
              </w:rPr>
              <w:t>Deuda pública largo plazo</w:t>
            </w:r>
          </w:p>
        </w:tc>
        <w:tc>
          <w:tcPr>
            <w:tcW w:w="731" w:type="pct"/>
            <w:shd w:val="clear" w:color="auto" w:fill="D9D9D9" w:themeFill="background1" w:themeFillShade="D9"/>
            <w:vAlign w:val="center"/>
            <w:hideMark/>
          </w:tcPr>
          <w:p w:rsidR="00BB2C10" w:rsidRPr="00E36605" w:rsidRDefault="00BB2C10" w:rsidP="00BC2A91">
            <w:pPr>
              <w:jc w:val="center"/>
              <w:rPr>
                <w:rFonts w:ascii="Arial" w:hAnsi="Arial" w:cs="Arial"/>
                <w:b/>
                <w:bCs/>
                <w:sz w:val="18"/>
                <w:szCs w:val="18"/>
              </w:rPr>
            </w:pPr>
            <w:r w:rsidRPr="00E36605">
              <w:rPr>
                <w:rFonts w:ascii="Arial" w:hAnsi="Arial" w:cs="Arial"/>
                <w:b/>
                <w:bCs/>
                <w:sz w:val="18"/>
                <w:szCs w:val="18"/>
              </w:rPr>
              <w:t>Deuda pública con garantía</w:t>
            </w:r>
          </w:p>
        </w:tc>
      </w:tr>
      <w:tr w:rsidR="00BB2C10" w:rsidRPr="00E36605" w:rsidTr="00BC2A91">
        <w:trPr>
          <w:trHeight w:val="255"/>
          <w:jc w:val="center"/>
        </w:trPr>
        <w:tc>
          <w:tcPr>
            <w:tcW w:w="360" w:type="pct"/>
            <w:vMerge/>
            <w:shd w:val="clear" w:color="auto" w:fill="D9D9D9" w:themeFill="background1" w:themeFillShade="D9"/>
            <w:vAlign w:val="center"/>
            <w:hideMark/>
          </w:tcPr>
          <w:p w:rsidR="00BB2C10" w:rsidRPr="00E36605" w:rsidRDefault="00BB2C10" w:rsidP="00BC2A91">
            <w:pPr>
              <w:rPr>
                <w:rFonts w:ascii="Arial" w:hAnsi="Arial" w:cs="Arial"/>
                <w:b/>
                <w:bCs/>
                <w:sz w:val="18"/>
                <w:szCs w:val="18"/>
              </w:rPr>
            </w:pPr>
          </w:p>
        </w:tc>
        <w:tc>
          <w:tcPr>
            <w:tcW w:w="808" w:type="pct"/>
            <w:shd w:val="clear" w:color="auto" w:fill="D9D9D9" w:themeFill="background1" w:themeFillShade="D9"/>
            <w:vAlign w:val="center"/>
            <w:hideMark/>
          </w:tcPr>
          <w:p w:rsidR="00BB2C10" w:rsidRPr="00E36605" w:rsidRDefault="00BB2C10" w:rsidP="00BC2A91">
            <w:pPr>
              <w:jc w:val="center"/>
              <w:rPr>
                <w:rFonts w:ascii="Arial" w:hAnsi="Arial" w:cs="Arial"/>
                <w:b/>
                <w:bCs/>
                <w:sz w:val="18"/>
                <w:szCs w:val="18"/>
              </w:rPr>
            </w:pPr>
            <w:proofErr w:type="spellStart"/>
            <w:r w:rsidRPr="00E36605">
              <w:rPr>
                <w:rFonts w:ascii="Arial" w:hAnsi="Arial" w:cs="Arial"/>
                <w:b/>
                <w:bCs/>
                <w:sz w:val="18"/>
                <w:szCs w:val="18"/>
              </w:rPr>
              <w:t>Banobras</w:t>
            </w:r>
            <w:proofErr w:type="spellEnd"/>
            <w:r w:rsidRPr="00E36605">
              <w:rPr>
                <w:rFonts w:ascii="Arial" w:hAnsi="Arial" w:cs="Arial"/>
                <w:b/>
                <w:bCs/>
                <w:sz w:val="18"/>
                <w:szCs w:val="18"/>
              </w:rPr>
              <w:t>, S.N.C.</w:t>
            </w:r>
          </w:p>
        </w:tc>
        <w:tc>
          <w:tcPr>
            <w:tcW w:w="760" w:type="pct"/>
            <w:shd w:val="clear" w:color="auto" w:fill="D9D9D9" w:themeFill="background1" w:themeFillShade="D9"/>
            <w:vAlign w:val="center"/>
            <w:hideMark/>
          </w:tcPr>
          <w:p w:rsidR="00BB2C10" w:rsidRPr="00E36605" w:rsidRDefault="00BB2C10" w:rsidP="00BC2A91">
            <w:pPr>
              <w:jc w:val="center"/>
              <w:rPr>
                <w:rFonts w:ascii="Arial" w:hAnsi="Arial" w:cs="Arial"/>
                <w:b/>
                <w:bCs/>
                <w:sz w:val="18"/>
                <w:szCs w:val="18"/>
              </w:rPr>
            </w:pPr>
            <w:proofErr w:type="spellStart"/>
            <w:r w:rsidRPr="00E36605">
              <w:rPr>
                <w:rFonts w:ascii="Arial" w:hAnsi="Arial" w:cs="Arial"/>
                <w:b/>
                <w:bCs/>
                <w:sz w:val="18"/>
                <w:szCs w:val="18"/>
              </w:rPr>
              <w:t>Banobras</w:t>
            </w:r>
            <w:proofErr w:type="spellEnd"/>
            <w:r w:rsidRPr="00E36605">
              <w:rPr>
                <w:rFonts w:ascii="Arial" w:hAnsi="Arial" w:cs="Arial"/>
                <w:b/>
                <w:bCs/>
                <w:sz w:val="18"/>
                <w:szCs w:val="18"/>
              </w:rPr>
              <w:t>, S.N.C.</w:t>
            </w:r>
          </w:p>
        </w:tc>
        <w:tc>
          <w:tcPr>
            <w:tcW w:w="785" w:type="pct"/>
            <w:shd w:val="clear" w:color="auto" w:fill="D9D9D9" w:themeFill="background1" w:themeFillShade="D9"/>
            <w:vAlign w:val="center"/>
            <w:hideMark/>
          </w:tcPr>
          <w:p w:rsidR="00BB2C10" w:rsidRPr="00E36605" w:rsidRDefault="00BB2C10" w:rsidP="00BC2A91">
            <w:pPr>
              <w:jc w:val="center"/>
              <w:rPr>
                <w:rFonts w:ascii="Arial" w:hAnsi="Arial" w:cs="Arial"/>
                <w:b/>
                <w:bCs/>
                <w:sz w:val="18"/>
                <w:szCs w:val="18"/>
              </w:rPr>
            </w:pPr>
            <w:proofErr w:type="spellStart"/>
            <w:r w:rsidRPr="00E36605">
              <w:rPr>
                <w:rFonts w:ascii="Arial" w:hAnsi="Arial" w:cs="Arial"/>
                <w:b/>
                <w:bCs/>
                <w:sz w:val="18"/>
                <w:szCs w:val="18"/>
              </w:rPr>
              <w:t>Banobras</w:t>
            </w:r>
            <w:proofErr w:type="spellEnd"/>
            <w:r w:rsidRPr="00E36605">
              <w:rPr>
                <w:rFonts w:ascii="Arial" w:hAnsi="Arial" w:cs="Arial"/>
                <w:b/>
                <w:bCs/>
                <w:sz w:val="18"/>
                <w:szCs w:val="18"/>
              </w:rPr>
              <w:t>, S.N.C.</w:t>
            </w:r>
          </w:p>
        </w:tc>
        <w:tc>
          <w:tcPr>
            <w:tcW w:w="702" w:type="pct"/>
            <w:shd w:val="clear" w:color="auto" w:fill="D9D9D9" w:themeFill="background1" w:themeFillShade="D9"/>
            <w:vAlign w:val="center"/>
            <w:hideMark/>
          </w:tcPr>
          <w:p w:rsidR="00BB2C10" w:rsidRPr="00E36605" w:rsidRDefault="00BB2C10" w:rsidP="00BC2A91">
            <w:pPr>
              <w:jc w:val="center"/>
              <w:rPr>
                <w:rFonts w:ascii="Arial" w:hAnsi="Arial" w:cs="Arial"/>
                <w:b/>
                <w:bCs/>
                <w:sz w:val="18"/>
                <w:szCs w:val="18"/>
              </w:rPr>
            </w:pPr>
            <w:r w:rsidRPr="00E36605">
              <w:rPr>
                <w:rFonts w:ascii="Arial" w:hAnsi="Arial" w:cs="Arial"/>
                <w:b/>
                <w:bCs/>
                <w:sz w:val="18"/>
                <w:szCs w:val="18"/>
              </w:rPr>
              <w:t>Banamex, S.A.</w:t>
            </w:r>
          </w:p>
        </w:tc>
        <w:tc>
          <w:tcPr>
            <w:tcW w:w="854" w:type="pct"/>
            <w:shd w:val="clear" w:color="auto" w:fill="D9D9D9" w:themeFill="background1" w:themeFillShade="D9"/>
            <w:vAlign w:val="center"/>
            <w:hideMark/>
          </w:tcPr>
          <w:p w:rsidR="00BB2C10" w:rsidRPr="00E36605" w:rsidRDefault="00BB2C10" w:rsidP="00BC2A91">
            <w:pPr>
              <w:jc w:val="center"/>
              <w:rPr>
                <w:rFonts w:ascii="Arial" w:hAnsi="Arial" w:cs="Arial"/>
                <w:b/>
                <w:bCs/>
                <w:sz w:val="18"/>
                <w:szCs w:val="18"/>
              </w:rPr>
            </w:pPr>
            <w:r w:rsidRPr="00E36605">
              <w:rPr>
                <w:rFonts w:ascii="Arial" w:hAnsi="Arial" w:cs="Arial"/>
                <w:b/>
                <w:bCs/>
                <w:sz w:val="18"/>
                <w:szCs w:val="18"/>
              </w:rPr>
              <w:t>BBVA México, S.A.</w:t>
            </w:r>
          </w:p>
        </w:tc>
        <w:tc>
          <w:tcPr>
            <w:tcW w:w="731" w:type="pct"/>
            <w:shd w:val="clear" w:color="auto" w:fill="D9D9D9" w:themeFill="background1" w:themeFillShade="D9"/>
            <w:vAlign w:val="center"/>
            <w:hideMark/>
          </w:tcPr>
          <w:p w:rsidR="00BB2C10" w:rsidRPr="00E36605" w:rsidRDefault="00BB2C10" w:rsidP="00BC2A91">
            <w:pPr>
              <w:jc w:val="center"/>
              <w:rPr>
                <w:rFonts w:ascii="Arial" w:hAnsi="Arial" w:cs="Arial"/>
                <w:b/>
                <w:bCs/>
                <w:sz w:val="18"/>
                <w:szCs w:val="18"/>
              </w:rPr>
            </w:pPr>
            <w:proofErr w:type="spellStart"/>
            <w:r w:rsidRPr="00E36605">
              <w:rPr>
                <w:rFonts w:ascii="Arial" w:hAnsi="Arial" w:cs="Arial"/>
                <w:b/>
                <w:bCs/>
                <w:sz w:val="18"/>
                <w:szCs w:val="18"/>
              </w:rPr>
              <w:t>Banobras</w:t>
            </w:r>
            <w:proofErr w:type="spellEnd"/>
            <w:r w:rsidRPr="00E36605">
              <w:rPr>
                <w:rFonts w:ascii="Arial" w:hAnsi="Arial" w:cs="Arial"/>
                <w:b/>
                <w:bCs/>
                <w:sz w:val="18"/>
                <w:szCs w:val="18"/>
              </w:rPr>
              <w:t>, S.N.C.</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2023</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9,609,876</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14,409,093</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16,585,158</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35,943,328</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4,228,473</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 xml:space="preserve">                                     </w:t>
            </w: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2024</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11,154,707</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16,725,420</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19,251,298</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41,721,380</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18,109,366</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2025</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12,947,876</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19,414,105</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22,346,030</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48,428,281</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21,020,529</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2026</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15,029,306</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22,535,010</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25,938,255</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56,213,346</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24,399,674</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2027</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17,445,334</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26,157,615</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30,107,946</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65,249,895</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28,322,032</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2028</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20,249,750</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30,362,569</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34,947,934</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75,739,110</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32,874,926</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2029</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23,504,990</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35,243,490</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40,565,973</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87,914,514</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38,159,719</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 xml:space="preserve">                                     </w:t>
            </w: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2030</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27,283,522</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40,909,040</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47,087,136</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102,047,170</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44,294,066</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 xml:space="preserve">                                     </w:t>
            </w: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2031</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31,669,471</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47,485,352</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54,656,605</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118,451,713</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51,414,538</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 xml:space="preserve">                                     </w:t>
            </w: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2032</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36,760,481</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55,118,835</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63,442,899</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137,493,361</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59,679,657</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 xml:space="preserve">                                     </w:t>
            </w: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2033</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42,669,896</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63,979,439</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73,641,635</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159,596,040</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69,273,431</w:t>
            </w:r>
          </w:p>
        </w:tc>
        <w:tc>
          <w:tcPr>
            <w:tcW w:w="731"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306,931,762</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2034</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49,529,274</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74,264,422</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85,479,859</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185,251,825</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80,409,448</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 xml:space="preserve">                                     </w:t>
            </w: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2035</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57,491,329</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86,202,764</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99,221,133</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215,031,892</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93,335,630</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2036</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66,733,319</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100,060,247</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115,171,378</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249,599,241</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108,339,755</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2037</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77,461,002</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116,145,384</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133,685,697</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289,723,446</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125,755,860</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2038</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89,913,206</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134,816,277</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155,176,275</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336,297,799</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145,971,682</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2039</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104,367,162</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156,488,605</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180,121,564</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355,561,005</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169,437,290</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2040</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89,679,334</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135,276,779</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154,772,647</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0</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196,675,099</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 xml:space="preserve">                                     </w:t>
            </w: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2041</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0</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0</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0</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0</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228,291,510</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 xml:space="preserve">                                     </w:t>
            </w: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2042</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0</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0</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0</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0</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194,994,779</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Pr>
                <w:rFonts w:ascii="Arial" w:hAnsi="Arial" w:cs="Arial"/>
                <w:color w:val="000000"/>
                <w:sz w:val="18"/>
                <w:szCs w:val="18"/>
              </w:rPr>
              <w:t>0</w:t>
            </w:r>
            <w:r w:rsidRPr="00E36605">
              <w:rPr>
                <w:rFonts w:ascii="Arial" w:hAnsi="Arial" w:cs="Arial"/>
                <w:color w:val="000000"/>
                <w:sz w:val="18"/>
                <w:szCs w:val="18"/>
              </w:rPr>
              <w:t xml:space="preserve">   </w:t>
            </w:r>
          </w:p>
        </w:tc>
      </w:tr>
    </w:tbl>
    <w:p w:rsidR="00BB2C10" w:rsidRPr="00222D73" w:rsidRDefault="00BB2C10" w:rsidP="00BB2C10">
      <w:pPr>
        <w:ind w:left="567"/>
        <w:rPr>
          <w:rFonts w:ascii="Barlow" w:hAnsi="Barlow"/>
          <w:sz w:val="16"/>
          <w:szCs w:val="16"/>
        </w:rPr>
      </w:pPr>
      <w:r w:rsidRPr="00222D73">
        <w:rPr>
          <w:rFonts w:ascii="Barlow" w:hAnsi="Barlow" w:cs="Arial"/>
          <w:sz w:val="16"/>
          <w:szCs w:val="16"/>
        </w:rPr>
        <w:t xml:space="preserve">  Esta hoja pertenece a la Iniciativa para expedir la Ley de Ingresos Estado de Yucatán para el Ejercicio Fiscal 2023.</w:t>
      </w:r>
    </w:p>
    <w:p w:rsidR="00BB2C10" w:rsidRDefault="00BB2C10" w:rsidP="0082297D">
      <w:pPr>
        <w:jc w:val="center"/>
        <w:rPr>
          <w:rFonts w:ascii="Arial" w:hAnsi="Arial" w:cs="Arial"/>
          <w:b/>
        </w:rPr>
      </w:pPr>
    </w:p>
    <w:sectPr w:rsidR="00BB2C10" w:rsidSect="00BC2A91">
      <w:pgSz w:w="15840" w:h="12240" w:orient="landscape"/>
      <w:pgMar w:top="2694"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71D" w:rsidRDefault="0087271D">
      <w:r>
        <w:separator/>
      </w:r>
    </w:p>
  </w:endnote>
  <w:endnote w:type="continuationSeparator" w:id="0">
    <w:p w:rsidR="0087271D" w:rsidRDefault="0087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altName w:val="Courier New"/>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71D" w:rsidRDefault="0087271D"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87271D" w:rsidRDefault="0087271D"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71D" w:rsidRPr="00552BCE" w:rsidRDefault="0087271D" w:rsidP="00334D5C">
    <w:pPr>
      <w:pStyle w:val="Piedepgina"/>
      <w:jc w:val="right"/>
      <w:rPr>
        <w:rFonts w:ascii="Arial" w:hAnsi="Arial" w:cs="Arial"/>
        <w:sz w:val="20"/>
        <w:szCs w:val="20"/>
      </w:rPr>
    </w:pPr>
    <w:r w:rsidRPr="00552BCE">
      <w:rPr>
        <w:rFonts w:ascii="Arial" w:hAnsi="Arial" w:cs="Arial"/>
        <w:sz w:val="20"/>
        <w:szCs w:val="20"/>
      </w:rPr>
      <w:fldChar w:fldCharType="begin"/>
    </w:r>
    <w:r w:rsidRPr="00552BCE">
      <w:rPr>
        <w:rFonts w:ascii="Arial" w:hAnsi="Arial" w:cs="Arial"/>
        <w:sz w:val="20"/>
        <w:szCs w:val="20"/>
      </w:rPr>
      <w:instrText>PAGE   \* MERGEFORMAT</w:instrText>
    </w:r>
    <w:r w:rsidRPr="00552BCE">
      <w:rPr>
        <w:rFonts w:ascii="Arial" w:hAnsi="Arial" w:cs="Arial"/>
        <w:sz w:val="20"/>
        <w:szCs w:val="20"/>
      </w:rPr>
      <w:fldChar w:fldCharType="separate"/>
    </w:r>
    <w:r w:rsidR="00FE6627">
      <w:rPr>
        <w:rFonts w:ascii="Arial" w:hAnsi="Arial" w:cs="Arial"/>
        <w:noProof/>
        <w:sz w:val="20"/>
        <w:szCs w:val="20"/>
      </w:rPr>
      <w:t>21</w:t>
    </w:r>
    <w:r w:rsidRPr="00552BC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71D" w:rsidRDefault="0087271D">
      <w:r>
        <w:separator/>
      </w:r>
    </w:p>
  </w:footnote>
  <w:footnote w:type="continuationSeparator" w:id="0">
    <w:p w:rsidR="0087271D" w:rsidRDefault="0087271D">
      <w:r>
        <w:continuationSeparator/>
      </w:r>
    </w:p>
  </w:footnote>
  <w:footnote w:id="1">
    <w:p w:rsidR="0087271D" w:rsidRPr="00E60222" w:rsidRDefault="0087271D" w:rsidP="00E60222">
      <w:pPr>
        <w:pStyle w:val="Textonotapie"/>
        <w:jc w:val="both"/>
        <w:rPr>
          <w:rFonts w:ascii="Arial" w:hAnsi="Arial" w:cs="Arial"/>
          <w:sz w:val="16"/>
          <w:szCs w:val="16"/>
        </w:rPr>
      </w:pPr>
      <w:r w:rsidRPr="00C0453B">
        <w:rPr>
          <w:rStyle w:val="Refdenotaalpie"/>
          <w:rFonts w:ascii="Arial" w:hAnsi="Arial" w:cs="Arial"/>
        </w:rPr>
        <w:footnoteRef/>
      </w:r>
      <w:r w:rsidRPr="00C0453B">
        <w:rPr>
          <w:rFonts w:ascii="Arial" w:hAnsi="Arial" w:cs="Arial"/>
        </w:rPr>
        <w:t xml:space="preserve"> </w:t>
      </w:r>
      <w:r w:rsidRPr="00E60222">
        <w:rPr>
          <w:rFonts w:ascii="Arial" w:hAnsi="Arial" w:cs="Arial"/>
          <w:sz w:val="16"/>
          <w:szCs w:val="16"/>
        </w:rPr>
        <w:t xml:space="preserve">Datos del Instituto Mexicano del Seguro Social, disponible en rede: </w:t>
      </w:r>
      <w:hyperlink r:id="rId1" w:history="1">
        <w:r w:rsidRPr="00E60222">
          <w:rPr>
            <w:rStyle w:val="Hipervnculo"/>
            <w:rFonts w:ascii="Arial" w:hAnsi="Arial" w:cs="Arial"/>
            <w:sz w:val="16"/>
            <w:szCs w:val="16"/>
          </w:rPr>
          <w:t>https://public.tableau.com/app/profile/imss.cpe/viz/Histrico_4/Empleo_h?publish=yes</w:t>
        </w:r>
      </w:hyperlink>
      <w:r w:rsidRPr="00E60222">
        <w:rPr>
          <w:rFonts w:ascii="Arial" w:hAnsi="Arial" w:cs="Arial"/>
          <w:sz w:val="16"/>
          <w:szCs w:val="16"/>
        </w:rPr>
        <w:t xml:space="preserve"> </w:t>
      </w:r>
    </w:p>
  </w:footnote>
  <w:footnote w:id="2">
    <w:p w:rsidR="0087271D" w:rsidRPr="00E60222" w:rsidRDefault="0087271D" w:rsidP="00E60222">
      <w:pPr>
        <w:pStyle w:val="Textonotapie"/>
        <w:jc w:val="both"/>
        <w:rPr>
          <w:rFonts w:ascii="Arial" w:hAnsi="Arial" w:cs="Arial"/>
          <w:sz w:val="16"/>
          <w:szCs w:val="16"/>
        </w:rPr>
      </w:pPr>
      <w:r w:rsidRPr="00E60222">
        <w:rPr>
          <w:rStyle w:val="Refdenotaalpie"/>
          <w:rFonts w:ascii="Arial" w:hAnsi="Arial" w:cs="Arial"/>
          <w:sz w:val="16"/>
          <w:szCs w:val="16"/>
        </w:rPr>
        <w:footnoteRef/>
      </w:r>
      <w:r w:rsidRPr="00E60222">
        <w:rPr>
          <w:rFonts w:ascii="Arial" w:hAnsi="Arial" w:cs="Arial"/>
          <w:sz w:val="16"/>
          <w:szCs w:val="16"/>
        </w:rPr>
        <w:t xml:space="preserve"> ídem.</w:t>
      </w:r>
    </w:p>
  </w:footnote>
  <w:footnote w:id="3">
    <w:p w:rsidR="0087271D" w:rsidRPr="00E60222" w:rsidRDefault="0087271D" w:rsidP="00E60222">
      <w:pPr>
        <w:pStyle w:val="Textonotapie"/>
        <w:jc w:val="both"/>
        <w:rPr>
          <w:rFonts w:ascii="Arial" w:hAnsi="Arial" w:cs="Arial"/>
          <w:sz w:val="16"/>
          <w:szCs w:val="16"/>
        </w:rPr>
      </w:pPr>
      <w:r w:rsidRPr="00E60222">
        <w:rPr>
          <w:rStyle w:val="Refdenotaalpie"/>
          <w:rFonts w:ascii="Arial" w:hAnsi="Arial" w:cs="Arial"/>
          <w:sz w:val="16"/>
          <w:szCs w:val="16"/>
        </w:rPr>
        <w:footnoteRef/>
      </w:r>
      <w:r w:rsidRPr="00E60222">
        <w:rPr>
          <w:rFonts w:ascii="Arial" w:hAnsi="Arial" w:cs="Arial"/>
          <w:sz w:val="16"/>
          <w:szCs w:val="16"/>
        </w:rPr>
        <w:t xml:space="preserve"> Calculadora de inflación INEGI, disponible en red: </w:t>
      </w:r>
      <w:hyperlink r:id="rId2" w:history="1">
        <w:r w:rsidRPr="00E60222">
          <w:rPr>
            <w:rStyle w:val="Hipervnculo"/>
            <w:rFonts w:ascii="Arial" w:hAnsi="Arial" w:cs="Arial"/>
            <w:sz w:val="16"/>
            <w:szCs w:val="16"/>
          </w:rPr>
          <w:t>https://www.inegi.org.mx/app/indicesdeprecios/CalculadoraInflacion.aspx</w:t>
        </w:r>
      </w:hyperlink>
      <w:r w:rsidRPr="00E60222">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71D" w:rsidRDefault="0087271D">
    <w:pPr>
      <w:pStyle w:val="Encabezado"/>
    </w:pPr>
    <w:r>
      <w:rPr>
        <w:noProof/>
        <w:lang w:val="es-MX" w:eastAsia="es-MX"/>
      </w:rPr>
      <mc:AlternateContent>
        <mc:Choice Requires="wps">
          <w:drawing>
            <wp:anchor distT="0" distB="0" distL="114300" distR="114300" simplePos="0" relativeHeight="251657216" behindDoc="1" locked="0" layoutInCell="1" allowOverlap="1">
              <wp:simplePos x="0" y="0"/>
              <wp:positionH relativeFrom="column">
                <wp:posOffset>-652145</wp:posOffset>
              </wp:positionH>
              <wp:positionV relativeFrom="paragraph">
                <wp:posOffset>699135</wp:posOffset>
              </wp:positionV>
              <wp:extent cx="2302510" cy="504190"/>
              <wp:effectExtent l="0" t="0" r="0" b="0"/>
              <wp:wrapTight wrapText="bothSides">
                <wp:wrapPolygon edited="0">
                  <wp:start x="0" y="0"/>
                  <wp:lineTo x="0" y="20403"/>
                  <wp:lineTo x="21445" y="20403"/>
                  <wp:lineTo x="21445"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71D" w:rsidRPr="001B04B6" w:rsidRDefault="0087271D" w:rsidP="001B04B6">
                          <w:pPr>
                            <w:ind w:left="284"/>
                            <w:jc w:val="center"/>
                            <w:rPr>
                              <w:rFonts w:ascii="Tahoma" w:hAnsi="Tahoma" w:cs="Tahoma"/>
                              <w:sz w:val="16"/>
                              <w:szCs w:val="16"/>
                              <w:lang w:val="es-MX"/>
                            </w:rPr>
                          </w:pPr>
                          <w:r w:rsidRPr="001B04B6">
                            <w:rPr>
                              <w:rFonts w:ascii="Tahoma" w:hAnsi="Tahoma" w:cs="Tahoma"/>
                              <w:sz w:val="16"/>
                              <w:szCs w:val="16"/>
                              <w:lang w:val="es-MX"/>
                            </w:rPr>
                            <w:t>LXIII LEGISLATURA DEL ESTADO</w:t>
                          </w:r>
                        </w:p>
                        <w:p w:rsidR="0087271D" w:rsidRPr="001B04B6" w:rsidRDefault="0087271D" w:rsidP="001B04B6">
                          <w:pPr>
                            <w:ind w:left="284"/>
                            <w:jc w:val="center"/>
                            <w:rPr>
                              <w:rFonts w:ascii="Tahoma" w:hAnsi="Tahoma" w:cs="Tahoma"/>
                              <w:sz w:val="16"/>
                              <w:szCs w:val="16"/>
                              <w:lang w:val="es-MX"/>
                            </w:rPr>
                          </w:pPr>
                          <w:r w:rsidRPr="001B04B6">
                            <w:rPr>
                              <w:rFonts w:ascii="Tahoma" w:hAnsi="Tahoma" w:cs="Tahoma"/>
                              <w:sz w:val="16"/>
                              <w:szCs w:val="16"/>
                              <w:lang w:val="es-MX"/>
                            </w:rPr>
                            <w:t>LIBRE Y SOBERANO</w:t>
                          </w:r>
                        </w:p>
                        <w:p w:rsidR="0087271D" w:rsidRPr="001B04B6" w:rsidRDefault="0087271D" w:rsidP="001B04B6">
                          <w:pPr>
                            <w:ind w:left="284"/>
                            <w:jc w:val="center"/>
                            <w:rPr>
                              <w:rFonts w:ascii="Tahoma" w:hAnsi="Tahoma" w:cs="Tahoma"/>
                              <w:sz w:val="16"/>
                              <w:szCs w:val="16"/>
                              <w:lang w:val="es-MX"/>
                            </w:rPr>
                          </w:pPr>
                          <w:r w:rsidRPr="001B04B6">
                            <w:rPr>
                              <w:rFonts w:ascii="Tahoma" w:hAnsi="Tahoma" w:cs="Tahoma"/>
                              <w:sz w:val="16"/>
                              <w:szCs w:val="16"/>
                              <w:lang w:val="es-MX"/>
                            </w:rPr>
                            <w:t>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51.35pt;margin-top:55.05pt;width:181.3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LRgwIAAA8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" stroked="f">
              <v:textbox>
                <w:txbxContent>
                  <w:p w:rsidR="0087271D" w:rsidRPr="001B04B6" w:rsidRDefault="0087271D" w:rsidP="001B04B6">
                    <w:pPr>
                      <w:ind w:left="284"/>
                      <w:jc w:val="center"/>
                      <w:rPr>
                        <w:rFonts w:ascii="Tahoma" w:hAnsi="Tahoma" w:cs="Tahoma"/>
                        <w:sz w:val="16"/>
                        <w:szCs w:val="16"/>
                        <w:lang w:val="es-MX"/>
                      </w:rPr>
                    </w:pPr>
                    <w:r w:rsidRPr="001B04B6">
                      <w:rPr>
                        <w:rFonts w:ascii="Tahoma" w:hAnsi="Tahoma" w:cs="Tahoma"/>
                        <w:sz w:val="16"/>
                        <w:szCs w:val="16"/>
                        <w:lang w:val="es-MX"/>
                      </w:rPr>
                      <w:t>LXIII LEGISLATURA DEL ESTADO</w:t>
                    </w:r>
                  </w:p>
                  <w:p w:rsidR="0087271D" w:rsidRPr="001B04B6" w:rsidRDefault="0087271D" w:rsidP="001B04B6">
                    <w:pPr>
                      <w:ind w:left="284"/>
                      <w:jc w:val="center"/>
                      <w:rPr>
                        <w:rFonts w:ascii="Tahoma" w:hAnsi="Tahoma" w:cs="Tahoma"/>
                        <w:sz w:val="16"/>
                        <w:szCs w:val="16"/>
                        <w:lang w:val="es-MX"/>
                      </w:rPr>
                    </w:pPr>
                    <w:r w:rsidRPr="001B04B6">
                      <w:rPr>
                        <w:rFonts w:ascii="Tahoma" w:hAnsi="Tahoma" w:cs="Tahoma"/>
                        <w:sz w:val="16"/>
                        <w:szCs w:val="16"/>
                        <w:lang w:val="es-MX"/>
                      </w:rPr>
                      <w:t>LIBRE Y SOBERANO</w:t>
                    </w:r>
                  </w:p>
                  <w:p w:rsidR="0087271D" w:rsidRPr="001B04B6" w:rsidRDefault="0087271D" w:rsidP="001B04B6">
                    <w:pPr>
                      <w:ind w:left="284"/>
                      <w:jc w:val="center"/>
                      <w:rPr>
                        <w:rFonts w:ascii="Tahoma" w:hAnsi="Tahoma" w:cs="Tahoma"/>
                        <w:sz w:val="16"/>
                        <w:szCs w:val="16"/>
                        <w:lang w:val="es-MX"/>
                      </w:rPr>
                    </w:pPr>
                    <w:r w:rsidRPr="001B04B6">
                      <w:rPr>
                        <w:rFonts w:ascii="Tahoma" w:hAnsi="Tahoma" w:cs="Tahoma"/>
                        <w:sz w:val="16"/>
                        <w:szCs w:val="16"/>
                        <w:lang w:val="es-MX"/>
                      </w:rPr>
                      <w:t>DE YUCATÁN</w:t>
                    </w:r>
                  </w:p>
                </w:txbxContent>
              </v:textbox>
              <w10:wrap type="tight"/>
            </v:shape>
          </w:pict>
        </mc:Fallback>
      </mc:AlternateContent>
    </w:r>
    <w:r>
      <w:rPr>
        <w:noProof/>
        <w:lang w:val="es-MX" w:eastAsia="es-MX"/>
      </w:rPr>
      <mc:AlternateContent>
        <mc:Choice Requires="wps">
          <w:drawing>
            <wp:anchor distT="0" distB="0" distL="114300" distR="114300" simplePos="0" relativeHeight="251656192" behindDoc="1" locked="0" layoutInCell="1" allowOverlap="1">
              <wp:simplePos x="0" y="0"/>
              <wp:positionH relativeFrom="column">
                <wp:posOffset>1288415</wp:posOffset>
              </wp:positionH>
              <wp:positionV relativeFrom="paragraph">
                <wp:posOffset>-28575</wp:posOffset>
              </wp:positionV>
              <wp:extent cx="3876040" cy="8337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040" cy="83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71D" w:rsidRDefault="0087271D" w:rsidP="000418DA">
                          <w:pPr>
                            <w:pStyle w:val="Encabezado"/>
                            <w:jc w:val="center"/>
                          </w:pPr>
                          <w:r>
                            <w:t>GOBIERNO DEL ESTADO DE YUCATÁN</w:t>
                          </w:r>
                        </w:p>
                        <w:p w:rsidR="0087271D" w:rsidRDefault="0087271D" w:rsidP="000418DA">
                          <w:pPr>
                            <w:pStyle w:val="Ttulo5"/>
                            <w:spacing w:line="240" w:lineRule="auto"/>
                            <w:rPr>
                              <w:rFonts w:ascii="Times New Roman" w:hAnsi="Times New Roman"/>
                              <w:bCs/>
                              <w:sz w:val="24"/>
                            </w:rPr>
                          </w:pPr>
                          <w:r>
                            <w:rPr>
                              <w:rFonts w:ascii="Times New Roman" w:hAnsi="Times New Roman"/>
                              <w:bCs/>
                              <w:sz w:val="24"/>
                            </w:rPr>
                            <w:t>PODER LEGISLATIVO</w:t>
                          </w:r>
                        </w:p>
                        <w:p w:rsidR="0087271D" w:rsidRDefault="0087271D" w:rsidP="008A6636">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 o:spid="_x0000_s1027" type="#_x0000_t202" style="position:absolute;margin-left:101.45pt;margin-top:-2.25pt;width:305.2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" stroked="f">
              <v:textbox>
                <w:txbxContent>
                  <w:p w:rsidR="0087271D" w:rsidRDefault="0087271D" w:rsidP="000418DA">
                    <w:pPr>
                      <w:pStyle w:val="Encabezado"/>
                      <w:jc w:val="center"/>
                    </w:pPr>
                    <w:r>
                      <w:t>GOBIERNO DEL ESTADO DE YUCATÁN</w:t>
                    </w:r>
                  </w:p>
                  <w:p w:rsidR="0087271D" w:rsidRDefault="0087271D" w:rsidP="000418DA">
                    <w:pPr>
                      <w:pStyle w:val="Ttulo5"/>
                      <w:spacing w:line="240" w:lineRule="auto"/>
                      <w:rPr>
                        <w:rFonts w:ascii="Times New Roman" w:hAnsi="Times New Roman"/>
                        <w:bCs/>
                        <w:sz w:val="24"/>
                      </w:rPr>
                    </w:pPr>
                    <w:r>
                      <w:rPr>
                        <w:rFonts w:ascii="Times New Roman" w:hAnsi="Times New Roman"/>
                        <w:bCs/>
                        <w:sz w:val="24"/>
                      </w:rPr>
                      <w:t>PODER LEGISLATIVO</w:t>
                    </w:r>
                  </w:p>
                  <w:p w:rsidR="0087271D" w:rsidRDefault="0087271D" w:rsidP="008A6636">
                    <w:pPr>
                      <w:rPr>
                        <w:lang w:val="es-ES_tradnl"/>
                      </w:rPr>
                    </w:pPr>
                  </w:p>
                </w:txbxContent>
              </v:textbox>
            </v:shape>
          </w:pict>
        </mc:Fallback>
      </mc:AlternateContent>
    </w:r>
    <w:r>
      <w:rPr>
        <w:noProof/>
        <w:lang w:val="es-MX" w:eastAsia="es-MX"/>
      </w:rPr>
      <w:drawing>
        <wp:anchor distT="0" distB="0" distL="114300" distR="114300" simplePos="0" relativeHeight="251659264" behindDoc="0" locked="0" layoutInCell="1" allowOverlap="1">
          <wp:simplePos x="0" y="0"/>
          <wp:positionH relativeFrom="column">
            <wp:posOffset>-193675</wp:posOffset>
          </wp:positionH>
          <wp:positionV relativeFrom="paragraph">
            <wp:posOffset>-340995</wp:posOffset>
          </wp:positionV>
          <wp:extent cx="1482090" cy="104013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0" y="0"/>
                    <a:ext cx="1482090" cy="10401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935" distR="114935" simplePos="0" relativeHeight="251658240" behindDoc="1" locked="0" layoutInCell="1" allowOverlap="1">
              <wp:simplePos x="0" y="0"/>
              <wp:positionH relativeFrom="column">
                <wp:posOffset>-4917440</wp:posOffset>
              </wp:positionH>
              <wp:positionV relativeFrom="paragraph">
                <wp:posOffset>-98425</wp:posOffset>
              </wp:positionV>
              <wp:extent cx="2044700" cy="7816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781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71D" w:rsidRDefault="0087271D" w:rsidP="0082297D">
                          <w:pPr>
                            <w:ind w:left="1418"/>
                          </w:pPr>
                          <w:r w:rsidRPr="00AD68D9">
                            <w:rPr>
                              <w:noProof/>
                              <w:lang w:val="es-MX" w:eastAsia="es-MX"/>
                            </w:rPr>
                            <w:drawing>
                              <wp:inline distT="0" distB="0" distL="0" distR="0">
                                <wp:extent cx="1144270" cy="781685"/>
                                <wp:effectExtent l="0" t="0" r="0" b="0"/>
                                <wp:docPr id="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144270" cy="78168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2" o:spid="_x0000_s1028" type="#_x0000_t202" style="position:absolute;margin-left:-387.2pt;margin-top:-7.75pt;width:161pt;height:61.55pt;z-index:-251658240;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" stroked="f">
              <v:fill opacity="0"/>
              <v:textbox style="mso-fit-shape-to-text:t" inset="0,0,0,0">
                <w:txbxContent>
                  <w:p w:rsidR="0087271D" w:rsidRDefault="0087271D" w:rsidP="0082297D">
                    <w:pPr>
                      <w:ind w:left="1418"/>
                    </w:pPr>
                    <w:r w:rsidRPr="00AD68D9">
                      <w:rPr>
                        <w:noProof/>
                        <w:lang w:val="es-MX" w:eastAsia="es-MX"/>
                      </w:rPr>
                      <w:drawing>
                        <wp:inline distT="0" distB="0" distL="0" distR="0">
                          <wp:extent cx="1144270" cy="781685"/>
                          <wp:effectExtent l="0" t="0" r="0" b="0"/>
                          <wp:docPr id="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144270" cy="781685"/>
                                  </a:xfrm>
                                  <a:prstGeom prst="rect">
                                    <a:avLst/>
                                  </a:prstGeom>
                                  <a:solidFill>
                                    <a:srgbClr val="FFFFFF">
                                      <a:alpha val="0"/>
                                    </a:srgbClr>
                                  </a:solid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E94F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41E09"/>
    <w:multiLevelType w:val="hybridMultilevel"/>
    <w:tmpl w:val="D6506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CA66363"/>
    <w:multiLevelType w:val="hybridMultilevel"/>
    <w:tmpl w:val="0C10073E"/>
    <w:lvl w:ilvl="0" w:tplc="94DE86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EE646D"/>
    <w:multiLevelType w:val="hybridMultilevel"/>
    <w:tmpl w:val="E2464B5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nsid w:val="10780785"/>
    <w:multiLevelType w:val="multilevel"/>
    <w:tmpl w:val="3602312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62766D"/>
    <w:multiLevelType w:val="hybridMultilevel"/>
    <w:tmpl w:val="F26CB83A"/>
    <w:lvl w:ilvl="0" w:tplc="080A0011">
      <w:start w:val="1"/>
      <w:numFmt w:val="decimal"/>
      <w:lvlText w:val="%1)"/>
      <w:lvlJc w:val="left"/>
      <w:pPr>
        <w:ind w:left="766" w:hanging="360"/>
      </w:pPr>
    </w:lvl>
    <w:lvl w:ilvl="1" w:tplc="080A0019">
      <w:start w:val="1"/>
      <w:numFmt w:val="lowerLetter"/>
      <w:lvlText w:val="%2."/>
      <w:lvlJc w:val="left"/>
      <w:pPr>
        <w:ind w:left="1486" w:hanging="360"/>
      </w:pPr>
    </w:lvl>
    <w:lvl w:ilvl="2" w:tplc="080A001B">
      <w:start w:val="1"/>
      <w:numFmt w:val="lowerRoman"/>
      <w:lvlText w:val="%3."/>
      <w:lvlJc w:val="right"/>
      <w:pPr>
        <w:ind w:left="2206" w:hanging="180"/>
      </w:pPr>
    </w:lvl>
    <w:lvl w:ilvl="3" w:tplc="080A000F">
      <w:start w:val="1"/>
      <w:numFmt w:val="decimal"/>
      <w:lvlText w:val="%4."/>
      <w:lvlJc w:val="left"/>
      <w:pPr>
        <w:ind w:left="2926" w:hanging="360"/>
      </w:pPr>
    </w:lvl>
    <w:lvl w:ilvl="4" w:tplc="080A0019">
      <w:start w:val="1"/>
      <w:numFmt w:val="lowerLetter"/>
      <w:lvlText w:val="%5."/>
      <w:lvlJc w:val="left"/>
      <w:pPr>
        <w:ind w:left="3646" w:hanging="360"/>
      </w:pPr>
    </w:lvl>
    <w:lvl w:ilvl="5" w:tplc="080A001B">
      <w:start w:val="1"/>
      <w:numFmt w:val="lowerRoman"/>
      <w:lvlText w:val="%6."/>
      <w:lvlJc w:val="right"/>
      <w:pPr>
        <w:ind w:left="4366" w:hanging="180"/>
      </w:pPr>
    </w:lvl>
    <w:lvl w:ilvl="6" w:tplc="080A000F">
      <w:start w:val="1"/>
      <w:numFmt w:val="decimal"/>
      <w:lvlText w:val="%7."/>
      <w:lvlJc w:val="left"/>
      <w:pPr>
        <w:ind w:left="5086" w:hanging="360"/>
      </w:pPr>
    </w:lvl>
    <w:lvl w:ilvl="7" w:tplc="080A0019">
      <w:start w:val="1"/>
      <w:numFmt w:val="lowerLetter"/>
      <w:lvlText w:val="%8."/>
      <w:lvlJc w:val="left"/>
      <w:pPr>
        <w:ind w:left="5806" w:hanging="360"/>
      </w:pPr>
    </w:lvl>
    <w:lvl w:ilvl="8" w:tplc="080A001B">
      <w:start w:val="1"/>
      <w:numFmt w:val="lowerRoman"/>
      <w:lvlText w:val="%9."/>
      <w:lvlJc w:val="right"/>
      <w:pPr>
        <w:ind w:left="6526" w:hanging="180"/>
      </w:pPr>
    </w:lvl>
  </w:abstractNum>
  <w:abstractNum w:abstractNumId="8">
    <w:nsid w:val="14A07300"/>
    <w:multiLevelType w:val="hybridMultilevel"/>
    <w:tmpl w:val="81FE716E"/>
    <w:lvl w:ilvl="0" w:tplc="65F4C39A">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9">
    <w:nsid w:val="1C6F0940"/>
    <w:multiLevelType w:val="hybridMultilevel"/>
    <w:tmpl w:val="F57639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B3310B"/>
    <w:multiLevelType w:val="hybridMultilevel"/>
    <w:tmpl w:val="443AB4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CE37021"/>
    <w:multiLevelType w:val="hybridMultilevel"/>
    <w:tmpl w:val="A7B09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D9A49F8"/>
    <w:multiLevelType w:val="hybridMultilevel"/>
    <w:tmpl w:val="E50C7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EEA1D2A"/>
    <w:multiLevelType w:val="hybridMultilevel"/>
    <w:tmpl w:val="3162FF20"/>
    <w:lvl w:ilvl="0" w:tplc="E514DFF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DBA7E7B"/>
    <w:multiLevelType w:val="hybridMultilevel"/>
    <w:tmpl w:val="DCEE0F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E90B88"/>
    <w:multiLevelType w:val="hybridMultilevel"/>
    <w:tmpl w:val="25B4F3CC"/>
    <w:lvl w:ilvl="0" w:tplc="080A001B">
      <w:start w:val="1"/>
      <w:numFmt w:val="lowerRoman"/>
      <w:lvlText w:val="%1."/>
      <w:lvlJc w:val="righ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16">
    <w:nsid w:val="335030C3"/>
    <w:multiLevelType w:val="hybridMultilevel"/>
    <w:tmpl w:val="CA9C6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D534E5"/>
    <w:multiLevelType w:val="hybridMultilevel"/>
    <w:tmpl w:val="48345B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AB85588"/>
    <w:multiLevelType w:val="hybridMultilevel"/>
    <w:tmpl w:val="A09C0140"/>
    <w:lvl w:ilvl="0" w:tplc="724AE390">
      <w:start w:val="1"/>
      <w:numFmt w:val="upperLetter"/>
      <w:lvlText w:val="%1)"/>
      <w:lvlJc w:val="left"/>
      <w:pPr>
        <w:ind w:left="1080" w:hanging="720"/>
      </w:pPr>
      <w:rPr>
        <w:rFonts w:ascii="Arial" w:eastAsia="Calibri" w:hAnsi="Arial" w:cs="Arial"/>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0B46B77"/>
    <w:multiLevelType w:val="hybridMultilevel"/>
    <w:tmpl w:val="14487D4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20">
    <w:nsid w:val="417C799A"/>
    <w:multiLevelType w:val="hybridMultilevel"/>
    <w:tmpl w:val="F2B0DA52"/>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nsid w:val="443734FC"/>
    <w:multiLevelType w:val="hybridMultilevel"/>
    <w:tmpl w:val="BAE6B5B6"/>
    <w:lvl w:ilvl="0" w:tplc="080A0001">
      <w:start w:val="1"/>
      <w:numFmt w:val="bullet"/>
      <w:lvlText w:val=""/>
      <w:lvlJc w:val="left"/>
      <w:pPr>
        <w:ind w:left="720" w:hanging="360"/>
      </w:pPr>
      <w:rPr>
        <w:rFonts w:ascii="Symbol" w:hAnsi="Symbol" w:hint="default"/>
      </w:rPr>
    </w:lvl>
    <w:lvl w:ilvl="1" w:tplc="80862D0E">
      <w:numFmt w:val="bullet"/>
      <w:lvlText w:val="•"/>
      <w:lvlJc w:val="left"/>
      <w:pPr>
        <w:ind w:left="1440" w:hanging="360"/>
      </w:pPr>
      <w:rPr>
        <w:rFonts w:ascii="Barlow" w:eastAsia="Calibri" w:hAnsi="Barlow"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9C365F"/>
    <w:multiLevelType w:val="hybridMultilevel"/>
    <w:tmpl w:val="B16C2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8036EC8"/>
    <w:multiLevelType w:val="hybridMultilevel"/>
    <w:tmpl w:val="7B1677E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E426A5"/>
    <w:multiLevelType w:val="hybridMultilevel"/>
    <w:tmpl w:val="BF1AE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AF0278B"/>
    <w:multiLevelType w:val="hybridMultilevel"/>
    <w:tmpl w:val="4432B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2000BF1"/>
    <w:multiLevelType w:val="multilevel"/>
    <w:tmpl w:val="A25E65B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4D47E0E"/>
    <w:multiLevelType w:val="hybridMultilevel"/>
    <w:tmpl w:val="5F664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52E1AE0"/>
    <w:multiLevelType w:val="hybridMultilevel"/>
    <w:tmpl w:val="C5583BF6"/>
    <w:lvl w:ilvl="0" w:tplc="6A441340">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0">
    <w:nsid w:val="59E735F9"/>
    <w:multiLevelType w:val="hybridMultilevel"/>
    <w:tmpl w:val="96D27D4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nsid w:val="5A5B27EE"/>
    <w:multiLevelType w:val="hybridMultilevel"/>
    <w:tmpl w:val="0816A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EE24D00"/>
    <w:multiLevelType w:val="hybridMultilevel"/>
    <w:tmpl w:val="03CE35AC"/>
    <w:lvl w:ilvl="0" w:tplc="1E3AE8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6AE6179"/>
    <w:multiLevelType w:val="hybridMultilevel"/>
    <w:tmpl w:val="3C227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35">
    <w:nsid w:val="75EA6C57"/>
    <w:multiLevelType w:val="hybridMultilevel"/>
    <w:tmpl w:val="4B42B036"/>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num w:numId="1">
    <w:abstractNumId w:val="21"/>
  </w:num>
  <w:num w:numId="2">
    <w:abstractNumId w:val="2"/>
  </w:num>
  <w:num w:numId="3">
    <w:abstractNumId w:val="34"/>
  </w:num>
  <w:num w:numId="4">
    <w:abstractNumId w:val="33"/>
  </w:num>
  <w:num w:numId="5">
    <w:abstractNumId w:val="0"/>
  </w:num>
  <w:num w:numId="6">
    <w:abstractNumId w:val="4"/>
  </w:num>
  <w:num w:numId="7">
    <w:abstractNumId w:val="1"/>
  </w:num>
  <w:num w:numId="8">
    <w:abstractNumId w:val="18"/>
  </w:num>
  <w:num w:numId="9">
    <w:abstractNumId w:val="14"/>
  </w:num>
  <w:num w:numId="10">
    <w:abstractNumId w:val="16"/>
  </w:num>
  <w:num w:numId="11">
    <w:abstractNumId w:val="23"/>
  </w:num>
  <w:num w:numId="12">
    <w:abstractNumId w:val="11"/>
  </w:num>
  <w:num w:numId="13">
    <w:abstractNumId w:val="26"/>
  </w:num>
  <w:num w:numId="14">
    <w:abstractNumId w:val="35"/>
  </w:num>
  <w:num w:numId="15">
    <w:abstractNumId w:val="31"/>
  </w:num>
  <w:num w:numId="16">
    <w:abstractNumId w:val="32"/>
  </w:num>
  <w:num w:numId="17">
    <w:abstractNumId w:val="3"/>
  </w:num>
  <w:num w:numId="18">
    <w:abstractNumId w:val="22"/>
  </w:num>
  <w:num w:numId="19">
    <w:abstractNumId w:val="12"/>
  </w:num>
  <w:num w:numId="20">
    <w:abstractNumId w:val="24"/>
  </w:num>
  <w:num w:numId="21">
    <w:abstractNumId w:val="8"/>
  </w:num>
  <w:num w:numId="22">
    <w:abstractNumId w:val="1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0"/>
  </w:num>
  <w:num w:numId="27">
    <w:abstractNumId w:val="7"/>
  </w:num>
  <w:num w:numId="28">
    <w:abstractNumId w:val="10"/>
  </w:num>
  <w:num w:numId="29">
    <w:abstractNumId w:val="5"/>
  </w:num>
  <w:num w:numId="30">
    <w:abstractNumId w:val="25"/>
  </w:num>
  <w:num w:numId="31">
    <w:abstractNumId w:val="17"/>
  </w:num>
  <w:num w:numId="32">
    <w:abstractNumId w:val="9"/>
  </w:num>
  <w:num w:numId="33">
    <w:abstractNumId w:val="13"/>
  </w:num>
  <w:num w:numId="34">
    <w:abstractNumId w:val="29"/>
  </w:num>
  <w:num w:numId="35">
    <w:abstractNumId w:val="28"/>
  </w:num>
  <w:num w:numId="36">
    <w:abstractNumId w:val="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D76"/>
    <w:rsid w:val="000037A8"/>
    <w:rsid w:val="00004EA3"/>
    <w:rsid w:val="000051B3"/>
    <w:rsid w:val="0000548D"/>
    <w:rsid w:val="00006059"/>
    <w:rsid w:val="000062CE"/>
    <w:rsid w:val="000070FD"/>
    <w:rsid w:val="00007D2D"/>
    <w:rsid w:val="0001130B"/>
    <w:rsid w:val="0001174D"/>
    <w:rsid w:val="00011E88"/>
    <w:rsid w:val="00013369"/>
    <w:rsid w:val="0001404E"/>
    <w:rsid w:val="00015337"/>
    <w:rsid w:val="0001549B"/>
    <w:rsid w:val="00015EF5"/>
    <w:rsid w:val="000162EF"/>
    <w:rsid w:val="00016884"/>
    <w:rsid w:val="00017072"/>
    <w:rsid w:val="000171F3"/>
    <w:rsid w:val="000179EC"/>
    <w:rsid w:val="00020B73"/>
    <w:rsid w:val="00021973"/>
    <w:rsid w:val="00022605"/>
    <w:rsid w:val="00022750"/>
    <w:rsid w:val="00025238"/>
    <w:rsid w:val="00025CFA"/>
    <w:rsid w:val="0002744F"/>
    <w:rsid w:val="00030663"/>
    <w:rsid w:val="00031170"/>
    <w:rsid w:val="00031B2B"/>
    <w:rsid w:val="000328B2"/>
    <w:rsid w:val="00032F93"/>
    <w:rsid w:val="0003351D"/>
    <w:rsid w:val="000335BB"/>
    <w:rsid w:val="00034D95"/>
    <w:rsid w:val="0003540C"/>
    <w:rsid w:val="00037C6C"/>
    <w:rsid w:val="00040644"/>
    <w:rsid w:val="000409E6"/>
    <w:rsid w:val="00040A6F"/>
    <w:rsid w:val="00041752"/>
    <w:rsid w:val="000418DA"/>
    <w:rsid w:val="000431E0"/>
    <w:rsid w:val="000440D3"/>
    <w:rsid w:val="0004490C"/>
    <w:rsid w:val="00044EA7"/>
    <w:rsid w:val="00046F81"/>
    <w:rsid w:val="0005092B"/>
    <w:rsid w:val="00050B22"/>
    <w:rsid w:val="000526B8"/>
    <w:rsid w:val="00052A00"/>
    <w:rsid w:val="00053356"/>
    <w:rsid w:val="00053FAB"/>
    <w:rsid w:val="00054B6E"/>
    <w:rsid w:val="00054FD3"/>
    <w:rsid w:val="000552A6"/>
    <w:rsid w:val="00055BE4"/>
    <w:rsid w:val="00055D65"/>
    <w:rsid w:val="0005619F"/>
    <w:rsid w:val="0005643F"/>
    <w:rsid w:val="00056EFA"/>
    <w:rsid w:val="000602D7"/>
    <w:rsid w:val="000605BA"/>
    <w:rsid w:val="00060C22"/>
    <w:rsid w:val="00062044"/>
    <w:rsid w:val="000621C2"/>
    <w:rsid w:val="0006277D"/>
    <w:rsid w:val="000638EA"/>
    <w:rsid w:val="00064B26"/>
    <w:rsid w:val="00064B5C"/>
    <w:rsid w:val="00066156"/>
    <w:rsid w:val="00066583"/>
    <w:rsid w:val="00067081"/>
    <w:rsid w:val="0007144C"/>
    <w:rsid w:val="00071E01"/>
    <w:rsid w:val="00074630"/>
    <w:rsid w:val="0007678F"/>
    <w:rsid w:val="000768DB"/>
    <w:rsid w:val="000777A0"/>
    <w:rsid w:val="00077FA8"/>
    <w:rsid w:val="000804F6"/>
    <w:rsid w:val="00080502"/>
    <w:rsid w:val="00081A23"/>
    <w:rsid w:val="0008202B"/>
    <w:rsid w:val="000823AB"/>
    <w:rsid w:val="0008254D"/>
    <w:rsid w:val="00082E82"/>
    <w:rsid w:val="00086129"/>
    <w:rsid w:val="000863D6"/>
    <w:rsid w:val="00086491"/>
    <w:rsid w:val="00086A9A"/>
    <w:rsid w:val="00092740"/>
    <w:rsid w:val="00092C61"/>
    <w:rsid w:val="0009338C"/>
    <w:rsid w:val="000948E3"/>
    <w:rsid w:val="00095643"/>
    <w:rsid w:val="000974A2"/>
    <w:rsid w:val="000975B4"/>
    <w:rsid w:val="00097E9A"/>
    <w:rsid w:val="000A069E"/>
    <w:rsid w:val="000A0E0B"/>
    <w:rsid w:val="000A14B2"/>
    <w:rsid w:val="000A227F"/>
    <w:rsid w:val="000A235F"/>
    <w:rsid w:val="000A2586"/>
    <w:rsid w:val="000A2B0C"/>
    <w:rsid w:val="000A31DC"/>
    <w:rsid w:val="000A463F"/>
    <w:rsid w:val="000A47BB"/>
    <w:rsid w:val="000A481B"/>
    <w:rsid w:val="000A4B8B"/>
    <w:rsid w:val="000A58B0"/>
    <w:rsid w:val="000A74F9"/>
    <w:rsid w:val="000B06AB"/>
    <w:rsid w:val="000B0F29"/>
    <w:rsid w:val="000B1028"/>
    <w:rsid w:val="000B1ED7"/>
    <w:rsid w:val="000C0A6B"/>
    <w:rsid w:val="000C305A"/>
    <w:rsid w:val="000C3881"/>
    <w:rsid w:val="000C4085"/>
    <w:rsid w:val="000D2214"/>
    <w:rsid w:val="000D2E65"/>
    <w:rsid w:val="000D3775"/>
    <w:rsid w:val="000D398F"/>
    <w:rsid w:val="000D39BA"/>
    <w:rsid w:val="000D3C8E"/>
    <w:rsid w:val="000D4EA0"/>
    <w:rsid w:val="000D5042"/>
    <w:rsid w:val="000D6476"/>
    <w:rsid w:val="000D6619"/>
    <w:rsid w:val="000D7996"/>
    <w:rsid w:val="000E02B5"/>
    <w:rsid w:val="000E110F"/>
    <w:rsid w:val="000E3C00"/>
    <w:rsid w:val="000E5AE1"/>
    <w:rsid w:val="000E66A1"/>
    <w:rsid w:val="000E6904"/>
    <w:rsid w:val="000E6C44"/>
    <w:rsid w:val="000E6FAE"/>
    <w:rsid w:val="000E76A3"/>
    <w:rsid w:val="000E7AF9"/>
    <w:rsid w:val="000E7BDC"/>
    <w:rsid w:val="000F143D"/>
    <w:rsid w:val="000F21A9"/>
    <w:rsid w:val="000F40B3"/>
    <w:rsid w:val="000F67CE"/>
    <w:rsid w:val="000F6A11"/>
    <w:rsid w:val="000F793B"/>
    <w:rsid w:val="001005DD"/>
    <w:rsid w:val="001016F3"/>
    <w:rsid w:val="001025FE"/>
    <w:rsid w:val="00102843"/>
    <w:rsid w:val="001038BE"/>
    <w:rsid w:val="00103CE8"/>
    <w:rsid w:val="00104093"/>
    <w:rsid w:val="001042C4"/>
    <w:rsid w:val="00104F4D"/>
    <w:rsid w:val="001058E6"/>
    <w:rsid w:val="001074E8"/>
    <w:rsid w:val="0010775E"/>
    <w:rsid w:val="00111188"/>
    <w:rsid w:val="00111C4A"/>
    <w:rsid w:val="0011574A"/>
    <w:rsid w:val="001178EF"/>
    <w:rsid w:val="00120D62"/>
    <w:rsid w:val="001216F4"/>
    <w:rsid w:val="00121EE5"/>
    <w:rsid w:val="0012293B"/>
    <w:rsid w:val="00123634"/>
    <w:rsid w:val="00126420"/>
    <w:rsid w:val="0012673E"/>
    <w:rsid w:val="0013175A"/>
    <w:rsid w:val="00131802"/>
    <w:rsid w:val="00132CFF"/>
    <w:rsid w:val="0013449B"/>
    <w:rsid w:val="001364A1"/>
    <w:rsid w:val="00136628"/>
    <w:rsid w:val="00137CEE"/>
    <w:rsid w:val="00137DC8"/>
    <w:rsid w:val="001413EC"/>
    <w:rsid w:val="001419D4"/>
    <w:rsid w:val="00143C13"/>
    <w:rsid w:val="00143C2C"/>
    <w:rsid w:val="00145115"/>
    <w:rsid w:val="00145122"/>
    <w:rsid w:val="00145199"/>
    <w:rsid w:val="00147254"/>
    <w:rsid w:val="001478C5"/>
    <w:rsid w:val="00147C4E"/>
    <w:rsid w:val="00150D33"/>
    <w:rsid w:val="00151EEF"/>
    <w:rsid w:val="00152558"/>
    <w:rsid w:val="00152561"/>
    <w:rsid w:val="00152C34"/>
    <w:rsid w:val="00154190"/>
    <w:rsid w:val="00155F16"/>
    <w:rsid w:val="00156A26"/>
    <w:rsid w:val="00160049"/>
    <w:rsid w:val="00160537"/>
    <w:rsid w:val="00160636"/>
    <w:rsid w:val="00161358"/>
    <w:rsid w:val="001620A7"/>
    <w:rsid w:val="00162228"/>
    <w:rsid w:val="00162B64"/>
    <w:rsid w:val="0016359A"/>
    <w:rsid w:val="00163E82"/>
    <w:rsid w:val="00163EEE"/>
    <w:rsid w:val="0016430D"/>
    <w:rsid w:val="001654C3"/>
    <w:rsid w:val="001668E4"/>
    <w:rsid w:val="00166F7E"/>
    <w:rsid w:val="00170C35"/>
    <w:rsid w:val="001725E2"/>
    <w:rsid w:val="00172EF9"/>
    <w:rsid w:val="001732BC"/>
    <w:rsid w:val="0017339D"/>
    <w:rsid w:val="00173490"/>
    <w:rsid w:val="00175AA2"/>
    <w:rsid w:val="00176198"/>
    <w:rsid w:val="0017660E"/>
    <w:rsid w:val="00176C48"/>
    <w:rsid w:val="00177070"/>
    <w:rsid w:val="001775A3"/>
    <w:rsid w:val="00180061"/>
    <w:rsid w:val="0018027D"/>
    <w:rsid w:val="00182150"/>
    <w:rsid w:val="00182363"/>
    <w:rsid w:val="00182766"/>
    <w:rsid w:val="001834B4"/>
    <w:rsid w:val="001838BF"/>
    <w:rsid w:val="00184EFD"/>
    <w:rsid w:val="001850BD"/>
    <w:rsid w:val="00185B73"/>
    <w:rsid w:val="00185C21"/>
    <w:rsid w:val="00185D3A"/>
    <w:rsid w:val="001861ED"/>
    <w:rsid w:val="00186F33"/>
    <w:rsid w:val="00186F8E"/>
    <w:rsid w:val="00187CA8"/>
    <w:rsid w:val="0019261C"/>
    <w:rsid w:val="00192AA2"/>
    <w:rsid w:val="0019322C"/>
    <w:rsid w:val="00193DF7"/>
    <w:rsid w:val="00194929"/>
    <w:rsid w:val="001A0404"/>
    <w:rsid w:val="001A0E88"/>
    <w:rsid w:val="001A2275"/>
    <w:rsid w:val="001A3212"/>
    <w:rsid w:val="001A3DB3"/>
    <w:rsid w:val="001A4CCD"/>
    <w:rsid w:val="001A6D90"/>
    <w:rsid w:val="001A7484"/>
    <w:rsid w:val="001B04B6"/>
    <w:rsid w:val="001B0754"/>
    <w:rsid w:val="001B0BB1"/>
    <w:rsid w:val="001B125D"/>
    <w:rsid w:val="001B1F92"/>
    <w:rsid w:val="001B2A3C"/>
    <w:rsid w:val="001B3543"/>
    <w:rsid w:val="001B397E"/>
    <w:rsid w:val="001B48FC"/>
    <w:rsid w:val="001B4E70"/>
    <w:rsid w:val="001B544D"/>
    <w:rsid w:val="001B621C"/>
    <w:rsid w:val="001B78C7"/>
    <w:rsid w:val="001C1997"/>
    <w:rsid w:val="001C2189"/>
    <w:rsid w:val="001C6B4C"/>
    <w:rsid w:val="001D129B"/>
    <w:rsid w:val="001D1C24"/>
    <w:rsid w:val="001D2254"/>
    <w:rsid w:val="001D2A87"/>
    <w:rsid w:val="001D35C1"/>
    <w:rsid w:val="001D3E97"/>
    <w:rsid w:val="001D46D3"/>
    <w:rsid w:val="001D4C67"/>
    <w:rsid w:val="001D56D4"/>
    <w:rsid w:val="001D5BAF"/>
    <w:rsid w:val="001D5D72"/>
    <w:rsid w:val="001D75FF"/>
    <w:rsid w:val="001D7F00"/>
    <w:rsid w:val="001E008A"/>
    <w:rsid w:val="001E06FD"/>
    <w:rsid w:val="001E1309"/>
    <w:rsid w:val="001E2751"/>
    <w:rsid w:val="001E2AF7"/>
    <w:rsid w:val="001E2DC6"/>
    <w:rsid w:val="001E4125"/>
    <w:rsid w:val="001E6CD5"/>
    <w:rsid w:val="001E7ACF"/>
    <w:rsid w:val="001E7FA8"/>
    <w:rsid w:val="001E7FB8"/>
    <w:rsid w:val="001F0150"/>
    <w:rsid w:val="001F10B6"/>
    <w:rsid w:val="001F3FD6"/>
    <w:rsid w:val="001F5F37"/>
    <w:rsid w:val="001F6106"/>
    <w:rsid w:val="001F6519"/>
    <w:rsid w:val="001F787D"/>
    <w:rsid w:val="001F7D1D"/>
    <w:rsid w:val="0020088B"/>
    <w:rsid w:val="002014B0"/>
    <w:rsid w:val="002017B0"/>
    <w:rsid w:val="002021BC"/>
    <w:rsid w:val="002023EC"/>
    <w:rsid w:val="002032B1"/>
    <w:rsid w:val="002036FB"/>
    <w:rsid w:val="0020434D"/>
    <w:rsid w:val="00204BF4"/>
    <w:rsid w:val="0020589E"/>
    <w:rsid w:val="00205A38"/>
    <w:rsid w:val="00206496"/>
    <w:rsid w:val="002067E1"/>
    <w:rsid w:val="00206A5E"/>
    <w:rsid w:val="00206D12"/>
    <w:rsid w:val="00206E62"/>
    <w:rsid w:val="002078B5"/>
    <w:rsid w:val="002079E0"/>
    <w:rsid w:val="00210D0C"/>
    <w:rsid w:val="00211109"/>
    <w:rsid w:val="0021291C"/>
    <w:rsid w:val="00214A5E"/>
    <w:rsid w:val="0021763B"/>
    <w:rsid w:val="00217FD0"/>
    <w:rsid w:val="00222048"/>
    <w:rsid w:val="002220C1"/>
    <w:rsid w:val="0022245F"/>
    <w:rsid w:val="0022253C"/>
    <w:rsid w:val="00222D73"/>
    <w:rsid w:val="0022486C"/>
    <w:rsid w:val="00225C52"/>
    <w:rsid w:val="00226BB5"/>
    <w:rsid w:val="00226D90"/>
    <w:rsid w:val="00230801"/>
    <w:rsid w:val="002311FF"/>
    <w:rsid w:val="002322BA"/>
    <w:rsid w:val="0023410B"/>
    <w:rsid w:val="002362CB"/>
    <w:rsid w:val="0024517C"/>
    <w:rsid w:val="002453A1"/>
    <w:rsid w:val="00245AB9"/>
    <w:rsid w:val="00250450"/>
    <w:rsid w:val="00251B14"/>
    <w:rsid w:val="00251E24"/>
    <w:rsid w:val="00251F05"/>
    <w:rsid w:val="00252182"/>
    <w:rsid w:val="002523D5"/>
    <w:rsid w:val="00252FBF"/>
    <w:rsid w:val="00253E54"/>
    <w:rsid w:val="00253FFF"/>
    <w:rsid w:val="002541A5"/>
    <w:rsid w:val="00254EFE"/>
    <w:rsid w:val="002554EF"/>
    <w:rsid w:val="00255BF5"/>
    <w:rsid w:val="00256382"/>
    <w:rsid w:val="00256ECF"/>
    <w:rsid w:val="00257252"/>
    <w:rsid w:val="002573BB"/>
    <w:rsid w:val="00257C57"/>
    <w:rsid w:val="00257CCF"/>
    <w:rsid w:val="002603FD"/>
    <w:rsid w:val="0026042C"/>
    <w:rsid w:val="00260F55"/>
    <w:rsid w:val="0026211B"/>
    <w:rsid w:val="002629FC"/>
    <w:rsid w:val="002643A3"/>
    <w:rsid w:val="00264846"/>
    <w:rsid w:val="00266FFA"/>
    <w:rsid w:val="00270F4A"/>
    <w:rsid w:val="002721DA"/>
    <w:rsid w:val="00272659"/>
    <w:rsid w:val="00272981"/>
    <w:rsid w:val="00272B14"/>
    <w:rsid w:val="00272C83"/>
    <w:rsid w:val="00272F02"/>
    <w:rsid w:val="00273112"/>
    <w:rsid w:val="002743AE"/>
    <w:rsid w:val="00274664"/>
    <w:rsid w:val="00274A7B"/>
    <w:rsid w:val="00274FF1"/>
    <w:rsid w:val="0027528E"/>
    <w:rsid w:val="00276C17"/>
    <w:rsid w:val="00276E00"/>
    <w:rsid w:val="00276E0D"/>
    <w:rsid w:val="002777C8"/>
    <w:rsid w:val="00277A28"/>
    <w:rsid w:val="00280612"/>
    <w:rsid w:val="00283E99"/>
    <w:rsid w:val="002845B4"/>
    <w:rsid w:val="00285115"/>
    <w:rsid w:val="002859B4"/>
    <w:rsid w:val="00287340"/>
    <w:rsid w:val="00287A50"/>
    <w:rsid w:val="002931AA"/>
    <w:rsid w:val="00293713"/>
    <w:rsid w:val="002938B8"/>
    <w:rsid w:val="002953D4"/>
    <w:rsid w:val="00296466"/>
    <w:rsid w:val="0029739B"/>
    <w:rsid w:val="002A0683"/>
    <w:rsid w:val="002A0F5E"/>
    <w:rsid w:val="002A1255"/>
    <w:rsid w:val="002A1661"/>
    <w:rsid w:val="002A31A8"/>
    <w:rsid w:val="002A39D4"/>
    <w:rsid w:val="002A5903"/>
    <w:rsid w:val="002A5BF9"/>
    <w:rsid w:val="002A6BE2"/>
    <w:rsid w:val="002B093B"/>
    <w:rsid w:val="002B0F5B"/>
    <w:rsid w:val="002B178D"/>
    <w:rsid w:val="002B193F"/>
    <w:rsid w:val="002B1BE8"/>
    <w:rsid w:val="002B25A3"/>
    <w:rsid w:val="002B3999"/>
    <w:rsid w:val="002B3E27"/>
    <w:rsid w:val="002B4D66"/>
    <w:rsid w:val="002B60D5"/>
    <w:rsid w:val="002B65CD"/>
    <w:rsid w:val="002B7850"/>
    <w:rsid w:val="002B798D"/>
    <w:rsid w:val="002B7ABA"/>
    <w:rsid w:val="002C01AE"/>
    <w:rsid w:val="002C22B1"/>
    <w:rsid w:val="002C22CA"/>
    <w:rsid w:val="002C23B6"/>
    <w:rsid w:val="002C3838"/>
    <w:rsid w:val="002C569B"/>
    <w:rsid w:val="002C598A"/>
    <w:rsid w:val="002C59B5"/>
    <w:rsid w:val="002C7642"/>
    <w:rsid w:val="002D0778"/>
    <w:rsid w:val="002D1898"/>
    <w:rsid w:val="002D1A09"/>
    <w:rsid w:val="002D1C5D"/>
    <w:rsid w:val="002D5309"/>
    <w:rsid w:val="002D56B8"/>
    <w:rsid w:val="002D6715"/>
    <w:rsid w:val="002D6C72"/>
    <w:rsid w:val="002D72B3"/>
    <w:rsid w:val="002E0451"/>
    <w:rsid w:val="002E15F5"/>
    <w:rsid w:val="002E17A6"/>
    <w:rsid w:val="002E1A86"/>
    <w:rsid w:val="002E29B7"/>
    <w:rsid w:val="002E402B"/>
    <w:rsid w:val="002E43E1"/>
    <w:rsid w:val="002E5382"/>
    <w:rsid w:val="002E7D72"/>
    <w:rsid w:val="002E7E6F"/>
    <w:rsid w:val="002F33FD"/>
    <w:rsid w:val="002F3F05"/>
    <w:rsid w:val="002F429C"/>
    <w:rsid w:val="002F5762"/>
    <w:rsid w:val="002F731C"/>
    <w:rsid w:val="002F7B6F"/>
    <w:rsid w:val="00300CB5"/>
    <w:rsid w:val="00300F3B"/>
    <w:rsid w:val="003016E1"/>
    <w:rsid w:val="0030217D"/>
    <w:rsid w:val="00303E9D"/>
    <w:rsid w:val="0030617F"/>
    <w:rsid w:val="00307F91"/>
    <w:rsid w:val="0031077F"/>
    <w:rsid w:val="00310B87"/>
    <w:rsid w:val="00310C3C"/>
    <w:rsid w:val="00311CFA"/>
    <w:rsid w:val="00311FB6"/>
    <w:rsid w:val="00314183"/>
    <w:rsid w:val="00314713"/>
    <w:rsid w:val="00314EC1"/>
    <w:rsid w:val="0031521C"/>
    <w:rsid w:val="0031736E"/>
    <w:rsid w:val="00317888"/>
    <w:rsid w:val="003204C1"/>
    <w:rsid w:val="003206A9"/>
    <w:rsid w:val="00320801"/>
    <w:rsid w:val="00321887"/>
    <w:rsid w:val="00322100"/>
    <w:rsid w:val="00322719"/>
    <w:rsid w:val="003233C8"/>
    <w:rsid w:val="00324C5E"/>
    <w:rsid w:val="00325D96"/>
    <w:rsid w:val="00326473"/>
    <w:rsid w:val="00326B1B"/>
    <w:rsid w:val="00330998"/>
    <w:rsid w:val="0033169C"/>
    <w:rsid w:val="00332525"/>
    <w:rsid w:val="00333653"/>
    <w:rsid w:val="00333C2C"/>
    <w:rsid w:val="00334D5C"/>
    <w:rsid w:val="00335DAC"/>
    <w:rsid w:val="00336671"/>
    <w:rsid w:val="00336E6C"/>
    <w:rsid w:val="00337909"/>
    <w:rsid w:val="00337CE8"/>
    <w:rsid w:val="00340A42"/>
    <w:rsid w:val="0034117C"/>
    <w:rsid w:val="0034223D"/>
    <w:rsid w:val="003429D8"/>
    <w:rsid w:val="00344514"/>
    <w:rsid w:val="00345F3E"/>
    <w:rsid w:val="00345FD7"/>
    <w:rsid w:val="0034662F"/>
    <w:rsid w:val="00346F6D"/>
    <w:rsid w:val="0034731A"/>
    <w:rsid w:val="00347423"/>
    <w:rsid w:val="0035075D"/>
    <w:rsid w:val="003539D1"/>
    <w:rsid w:val="00353D66"/>
    <w:rsid w:val="00353FA1"/>
    <w:rsid w:val="00360431"/>
    <w:rsid w:val="00361094"/>
    <w:rsid w:val="003612C9"/>
    <w:rsid w:val="003622B9"/>
    <w:rsid w:val="00363529"/>
    <w:rsid w:val="003636CB"/>
    <w:rsid w:val="00364FAB"/>
    <w:rsid w:val="00365ADD"/>
    <w:rsid w:val="00365C0C"/>
    <w:rsid w:val="0036631A"/>
    <w:rsid w:val="00366483"/>
    <w:rsid w:val="00366565"/>
    <w:rsid w:val="00366751"/>
    <w:rsid w:val="00366D68"/>
    <w:rsid w:val="00371828"/>
    <w:rsid w:val="0037215F"/>
    <w:rsid w:val="003721D1"/>
    <w:rsid w:val="00372CD8"/>
    <w:rsid w:val="00372FFB"/>
    <w:rsid w:val="00374455"/>
    <w:rsid w:val="00375B2D"/>
    <w:rsid w:val="0037680C"/>
    <w:rsid w:val="00380D2B"/>
    <w:rsid w:val="00381447"/>
    <w:rsid w:val="00381DCC"/>
    <w:rsid w:val="00381ECA"/>
    <w:rsid w:val="00384C02"/>
    <w:rsid w:val="00390100"/>
    <w:rsid w:val="003912AF"/>
    <w:rsid w:val="00392E83"/>
    <w:rsid w:val="003930CB"/>
    <w:rsid w:val="00393FC1"/>
    <w:rsid w:val="003947E3"/>
    <w:rsid w:val="00394BA5"/>
    <w:rsid w:val="003950D9"/>
    <w:rsid w:val="00396590"/>
    <w:rsid w:val="00397435"/>
    <w:rsid w:val="003974AF"/>
    <w:rsid w:val="003A0D96"/>
    <w:rsid w:val="003A15EF"/>
    <w:rsid w:val="003A1D94"/>
    <w:rsid w:val="003A1DCF"/>
    <w:rsid w:val="003A22A7"/>
    <w:rsid w:val="003A23B6"/>
    <w:rsid w:val="003A2DD3"/>
    <w:rsid w:val="003A2E71"/>
    <w:rsid w:val="003A4B7E"/>
    <w:rsid w:val="003A4CE7"/>
    <w:rsid w:val="003A526F"/>
    <w:rsid w:val="003A588F"/>
    <w:rsid w:val="003A591E"/>
    <w:rsid w:val="003A5D6F"/>
    <w:rsid w:val="003B07B3"/>
    <w:rsid w:val="003B21A5"/>
    <w:rsid w:val="003B24AE"/>
    <w:rsid w:val="003B2778"/>
    <w:rsid w:val="003B2785"/>
    <w:rsid w:val="003B2CD3"/>
    <w:rsid w:val="003B2D5D"/>
    <w:rsid w:val="003B443C"/>
    <w:rsid w:val="003B606A"/>
    <w:rsid w:val="003B6AA6"/>
    <w:rsid w:val="003B6B7F"/>
    <w:rsid w:val="003B6D24"/>
    <w:rsid w:val="003B7B88"/>
    <w:rsid w:val="003C092C"/>
    <w:rsid w:val="003C2106"/>
    <w:rsid w:val="003C3A1E"/>
    <w:rsid w:val="003C3AAC"/>
    <w:rsid w:val="003C7808"/>
    <w:rsid w:val="003D0052"/>
    <w:rsid w:val="003D0302"/>
    <w:rsid w:val="003D1A0D"/>
    <w:rsid w:val="003D21E9"/>
    <w:rsid w:val="003D23E6"/>
    <w:rsid w:val="003D37D2"/>
    <w:rsid w:val="003D4142"/>
    <w:rsid w:val="003D45A3"/>
    <w:rsid w:val="003D5B51"/>
    <w:rsid w:val="003D5B57"/>
    <w:rsid w:val="003D66D7"/>
    <w:rsid w:val="003D6F81"/>
    <w:rsid w:val="003D7054"/>
    <w:rsid w:val="003D7625"/>
    <w:rsid w:val="003D79A5"/>
    <w:rsid w:val="003E0E3A"/>
    <w:rsid w:val="003E129B"/>
    <w:rsid w:val="003E16DA"/>
    <w:rsid w:val="003E20D7"/>
    <w:rsid w:val="003E2C61"/>
    <w:rsid w:val="003E2FC0"/>
    <w:rsid w:val="003E30DC"/>
    <w:rsid w:val="003E442C"/>
    <w:rsid w:val="003E5208"/>
    <w:rsid w:val="003E580C"/>
    <w:rsid w:val="003E5C91"/>
    <w:rsid w:val="003E67F7"/>
    <w:rsid w:val="003E6C3B"/>
    <w:rsid w:val="003F0064"/>
    <w:rsid w:val="003F036F"/>
    <w:rsid w:val="003F1803"/>
    <w:rsid w:val="003F1C6D"/>
    <w:rsid w:val="003F1D22"/>
    <w:rsid w:val="003F1F24"/>
    <w:rsid w:val="003F36CC"/>
    <w:rsid w:val="003F36D2"/>
    <w:rsid w:val="003F43C0"/>
    <w:rsid w:val="003F558C"/>
    <w:rsid w:val="003F5F87"/>
    <w:rsid w:val="003F6591"/>
    <w:rsid w:val="003F6F9F"/>
    <w:rsid w:val="003F70B9"/>
    <w:rsid w:val="00400531"/>
    <w:rsid w:val="00400EEA"/>
    <w:rsid w:val="004015EC"/>
    <w:rsid w:val="00401AEB"/>
    <w:rsid w:val="00403BE8"/>
    <w:rsid w:val="00404F2A"/>
    <w:rsid w:val="00405E3F"/>
    <w:rsid w:val="00406834"/>
    <w:rsid w:val="00406D9B"/>
    <w:rsid w:val="00410772"/>
    <w:rsid w:val="00410CB7"/>
    <w:rsid w:val="00413B89"/>
    <w:rsid w:val="00414A81"/>
    <w:rsid w:val="004215FB"/>
    <w:rsid w:val="00422DCD"/>
    <w:rsid w:val="004236F6"/>
    <w:rsid w:val="0042749A"/>
    <w:rsid w:val="004306FF"/>
    <w:rsid w:val="00430F8A"/>
    <w:rsid w:val="004313EA"/>
    <w:rsid w:val="00431582"/>
    <w:rsid w:val="004334DA"/>
    <w:rsid w:val="00433C75"/>
    <w:rsid w:val="00437639"/>
    <w:rsid w:val="004402B4"/>
    <w:rsid w:val="004404B2"/>
    <w:rsid w:val="00440616"/>
    <w:rsid w:val="00440691"/>
    <w:rsid w:val="00441E4B"/>
    <w:rsid w:val="00442456"/>
    <w:rsid w:val="0044458B"/>
    <w:rsid w:val="00444B1C"/>
    <w:rsid w:val="00445606"/>
    <w:rsid w:val="004456B3"/>
    <w:rsid w:val="00446292"/>
    <w:rsid w:val="004469B6"/>
    <w:rsid w:val="00446A8D"/>
    <w:rsid w:val="00447311"/>
    <w:rsid w:val="00447C58"/>
    <w:rsid w:val="00450875"/>
    <w:rsid w:val="00450FC6"/>
    <w:rsid w:val="00451C21"/>
    <w:rsid w:val="00452287"/>
    <w:rsid w:val="00452493"/>
    <w:rsid w:val="0045251F"/>
    <w:rsid w:val="00452EE8"/>
    <w:rsid w:val="00453135"/>
    <w:rsid w:val="00454AA8"/>
    <w:rsid w:val="00454EDB"/>
    <w:rsid w:val="00455290"/>
    <w:rsid w:val="00455494"/>
    <w:rsid w:val="00455DD5"/>
    <w:rsid w:val="00457044"/>
    <w:rsid w:val="00457A59"/>
    <w:rsid w:val="00457D9A"/>
    <w:rsid w:val="00460288"/>
    <w:rsid w:val="00460AE8"/>
    <w:rsid w:val="0046135C"/>
    <w:rsid w:val="0046194D"/>
    <w:rsid w:val="0046287E"/>
    <w:rsid w:val="00463028"/>
    <w:rsid w:val="00463691"/>
    <w:rsid w:val="00463880"/>
    <w:rsid w:val="00463F25"/>
    <w:rsid w:val="0046520A"/>
    <w:rsid w:val="00465D0F"/>
    <w:rsid w:val="00466B4D"/>
    <w:rsid w:val="0046710B"/>
    <w:rsid w:val="00467490"/>
    <w:rsid w:val="00467840"/>
    <w:rsid w:val="00470892"/>
    <w:rsid w:val="00471640"/>
    <w:rsid w:val="0047274C"/>
    <w:rsid w:val="00472F5F"/>
    <w:rsid w:val="00475603"/>
    <w:rsid w:val="00475E95"/>
    <w:rsid w:val="0047634B"/>
    <w:rsid w:val="0048022B"/>
    <w:rsid w:val="00480888"/>
    <w:rsid w:val="00480DB1"/>
    <w:rsid w:val="00481461"/>
    <w:rsid w:val="004829E8"/>
    <w:rsid w:val="00483C75"/>
    <w:rsid w:val="0048485C"/>
    <w:rsid w:val="004851E2"/>
    <w:rsid w:val="00485244"/>
    <w:rsid w:val="004855D1"/>
    <w:rsid w:val="00486706"/>
    <w:rsid w:val="0049065D"/>
    <w:rsid w:val="0049078C"/>
    <w:rsid w:val="00491D0E"/>
    <w:rsid w:val="004939A5"/>
    <w:rsid w:val="004951B1"/>
    <w:rsid w:val="00495718"/>
    <w:rsid w:val="00497E81"/>
    <w:rsid w:val="004A2E9F"/>
    <w:rsid w:val="004A4AF0"/>
    <w:rsid w:val="004A6082"/>
    <w:rsid w:val="004A6631"/>
    <w:rsid w:val="004A7469"/>
    <w:rsid w:val="004A7C45"/>
    <w:rsid w:val="004B052F"/>
    <w:rsid w:val="004B0B7F"/>
    <w:rsid w:val="004B1B7A"/>
    <w:rsid w:val="004B2593"/>
    <w:rsid w:val="004B35F8"/>
    <w:rsid w:val="004B3FFE"/>
    <w:rsid w:val="004B60AA"/>
    <w:rsid w:val="004B65EE"/>
    <w:rsid w:val="004B694E"/>
    <w:rsid w:val="004B7741"/>
    <w:rsid w:val="004C09E2"/>
    <w:rsid w:val="004C14C9"/>
    <w:rsid w:val="004C195F"/>
    <w:rsid w:val="004C1EF1"/>
    <w:rsid w:val="004C2782"/>
    <w:rsid w:val="004C2963"/>
    <w:rsid w:val="004C2C44"/>
    <w:rsid w:val="004C3421"/>
    <w:rsid w:val="004C353F"/>
    <w:rsid w:val="004C3B5B"/>
    <w:rsid w:val="004C3BFB"/>
    <w:rsid w:val="004C74A1"/>
    <w:rsid w:val="004D2A97"/>
    <w:rsid w:val="004D2D3B"/>
    <w:rsid w:val="004D3847"/>
    <w:rsid w:val="004D45F7"/>
    <w:rsid w:val="004D6CDC"/>
    <w:rsid w:val="004D6F11"/>
    <w:rsid w:val="004E204A"/>
    <w:rsid w:val="004E205A"/>
    <w:rsid w:val="004E3797"/>
    <w:rsid w:val="004E4B42"/>
    <w:rsid w:val="004E6D9C"/>
    <w:rsid w:val="004E761E"/>
    <w:rsid w:val="004F02C0"/>
    <w:rsid w:val="004F061D"/>
    <w:rsid w:val="004F0E74"/>
    <w:rsid w:val="004F3740"/>
    <w:rsid w:val="004F3C92"/>
    <w:rsid w:val="004F3CCE"/>
    <w:rsid w:val="004F473B"/>
    <w:rsid w:val="004F55CA"/>
    <w:rsid w:val="004F58E9"/>
    <w:rsid w:val="004F5A57"/>
    <w:rsid w:val="004F5F91"/>
    <w:rsid w:val="004F6070"/>
    <w:rsid w:val="004F6478"/>
    <w:rsid w:val="004F70C6"/>
    <w:rsid w:val="004F70F2"/>
    <w:rsid w:val="004F720F"/>
    <w:rsid w:val="004F78A3"/>
    <w:rsid w:val="004F7CC7"/>
    <w:rsid w:val="0050020C"/>
    <w:rsid w:val="0050071A"/>
    <w:rsid w:val="00504428"/>
    <w:rsid w:val="00504513"/>
    <w:rsid w:val="005062D7"/>
    <w:rsid w:val="005063FF"/>
    <w:rsid w:val="005064B0"/>
    <w:rsid w:val="00506C9C"/>
    <w:rsid w:val="005071F1"/>
    <w:rsid w:val="00507E95"/>
    <w:rsid w:val="005127BD"/>
    <w:rsid w:val="00514167"/>
    <w:rsid w:val="005165C7"/>
    <w:rsid w:val="005204A7"/>
    <w:rsid w:val="00520D6A"/>
    <w:rsid w:val="0052106D"/>
    <w:rsid w:val="00522684"/>
    <w:rsid w:val="00522F2E"/>
    <w:rsid w:val="005236FD"/>
    <w:rsid w:val="00523783"/>
    <w:rsid w:val="00524629"/>
    <w:rsid w:val="0052586F"/>
    <w:rsid w:val="00525DAB"/>
    <w:rsid w:val="0052606C"/>
    <w:rsid w:val="005261D5"/>
    <w:rsid w:val="005268AA"/>
    <w:rsid w:val="00526CE3"/>
    <w:rsid w:val="00527E83"/>
    <w:rsid w:val="005305A4"/>
    <w:rsid w:val="00530CF0"/>
    <w:rsid w:val="0053109D"/>
    <w:rsid w:val="00531BA8"/>
    <w:rsid w:val="00532DAD"/>
    <w:rsid w:val="0053342F"/>
    <w:rsid w:val="00535AEB"/>
    <w:rsid w:val="00536736"/>
    <w:rsid w:val="00537981"/>
    <w:rsid w:val="005402E7"/>
    <w:rsid w:val="0054231B"/>
    <w:rsid w:val="005424DF"/>
    <w:rsid w:val="00542855"/>
    <w:rsid w:val="005432E7"/>
    <w:rsid w:val="0054352D"/>
    <w:rsid w:val="0054372C"/>
    <w:rsid w:val="0054722A"/>
    <w:rsid w:val="0054744C"/>
    <w:rsid w:val="00552BCE"/>
    <w:rsid w:val="00554EBA"/>
    <w:rsid w:val="00555082"/>
    <w:rsid w:val="0055595A"/>
    <w:rsid w:val="00556C91"/>
    <w:rsid w:val="00556E86"/>
    <w:rsid w:val="00557143"/>
    <w:rsid w:val="00557F17"/>
    <w:rsid w:val="00560A29"/>
    <w:rsid w:val="00560C78"/>
    <w:rsid w:val="0056211A"/>
    <w:rsid w:val="00562DF7"/>
    <w:rsid w:val="00563A56"/>
    <w:rsid w:val="00565DFF"/>
    <w:rsid w:val="00566970"/>
    <w:rsid w:val="00566AC4"/>
    <w:rsid w:val="0057040B"/>
    <w:rsid w:val="00572206"/>
    <w:rsid w:val="005725F5"/>
    <w:rsid w:val="00572B17"/>
    <w:rsid w:val="00572EC4"/>
    <w:rsid w:val="00573D61"/>
    <w:rsid w:val="00574052"/>
    <w:rsid w:val="005760B5"/>
    <w:rsid w:val="0057620C"/>
    <w:rsid w:val="005769D1"/>
    <w:rsid w:val="005773A8"/>
    <w:rsid w:val="00577D17"/>
    <w:rsid w:val="00583780"/>
    <w:rsid w:val="00583CAF"/>
    <w:rsid w:val="00586224"/>
    <w:rsid w:val="00586CA7"/>
    <w:rsid w:val="005909D8"/>
    <w:rsid w:val="00593FA3"/>
    <w:rsid w:val="0059462A"/>
    <w:rsid w:val="00595160"/>
    <w:rsid w:val="00595C5D"/>
    <w:rsid w:val="00596B3E"/>
    <w:rsid w:val="00597996"/>
    <w:rsid w:val="005A11D9"/>
    <w:rsid w:val="005A166D"/>
    <w:rsid w:val="005A2C13"/>
    <w:rsid w:val="005A2CC5"/>
    <w:rsid w:val="005A2FA7"/>
    <w:rsid w:val="005A314A"/>
    <w:rsid w:val="005A3D61"/>
    <w:rsid w:val="005A471F"/>
    <w:rsid w:val="005A6C9D"/>
    <w:rsid w:val="005A7524"/>
    <w:rsid w:val="005B0664"/>
    <w:rsid w:val="005B0B83"/>
    <w:rsid w:val="005B0E12"/>
    <w:rsid w:val="005B1299"/>
    <w:rsid w:val="005B4EB3"/>
    <w:rsid w:val="005B5729"/>
    <w:rsid w:val="005B5ABF"/>
    <w:rsid w:val="005B5D1D"/>
    <w:rsid w:val="005B6267"/>
    <w:rsid w:val="005B6765"/>
    <w:rsid w:val="005B6ABE"/>
    <w:rsid w:val="005B6C03"/>
    <w:rsid w:val="005B7261"/>
    <w:rsid w:val="005B7456"/>
    <w:rsid w:val="005B7900"/>
    <w:rsid w:val="005C0383"/>
    <w:rsid w:val="005C12EB"/>
    <w:rsid w:val="005C4C62"/>
    <w:rsid w:val="005C5C68"/>
    <w:rsid w:val="005C6A3A"/>
    <w:rsid w:val="005C71FA"/>
    <w:rsid w:val="005C7D7B"/>
    <w:rsid w:val="005D03EB"/>
    <w:rsid w:val="005D03EC"/>
    <w:rsid w:val="005D08BC"/>
    <w:rsid w:val="005D1B4E"/>
    <w:rsid w:val="005D1CBD"/>
    <w:rsid w:val="005D1F9C"/>
    <w:rsid w:val="005D2328"/>
    <w:rsid w:val="005D23FF"/>
    <w:rsid w:val="005D2F33"/>
    <w:rsid w:val="005D5DFA"/>
    <w:rsid w:val="005D6EBF"/>
    <w:rsid w:val="005E090C"/>
    <w:rsid w:val="005E15ED"/>
    <w:rsid w:val="005E166B"/>
    <w:rsid w:val="005E1763"/>
    <w:rsid w:val="005E3009"/>
    <w:rsid w:val="005E44EE"/>
    <w:rsid w:val="005E594F"/>
    <w:rsid w:val="005E60DB"/>
    <w:rsid w:val="005E61C0"/>
    <w:rsid w:val="005E6466"/>
    <w:rsid w:val="005E77C4"/>
    <w:rsid w:val="005F0563"/>
    <w:rsid w:val="005F0D16"/>
    <w:rsid w:val="005F0F03"/>
    <w:rsid w:val="005F17C7"/>
    <w:rsid w:val="005F3D31"/>
    <w:rsid w:val="005F712B"/>
    <w:rsid w:val="005F72B3"/>
    <w:rsid w:val="005F7D4D"/>
    <w:rsid w:val="00600E61"/>
    <w:rsid w:val="00603AF2"/>
    <w:rsid w:val="00605F4A"/>
    <w:rsid w:val="00606112"/>
    <w:rsid w:val="00606768"/>
    <w:rsid w:val="006068DA"/>
    <w:rsid w:val="006072CE"/>
    <w:rsid w:val="00607CC5"/>
    <w:rsid w:val="0061140E"/>
    <w:rsid w:val="006120B8"/>
    <w:rsid w:val="00612455"/>
    <w:rsid w:val="0061371D"/>
    <w:rsid w:val="00614229"/>
    <w:rsid w:val="0061457C"/>
    <w:rsid w:val="00614932"/>
    <w:rsid w:val="006157CA"/>
    <w:rsid w:val="00615DAA"/>
    <w:rsid w:val="00623166"/>
    <w:rsid w:val="00623491"/>
    <w:rsid w:val="00624A86"/>
    <w:rsid w:val="00624F24"/>
    <w:rsid w:val="006256A9"/>
    <w:rsid w:val="00625C70"/>
    <w:rsid w:val="006263E2"/>
    <w:rsid w:val="006267F7"/>
    <w:rsid w:val="0063224B"/>
    <w:rsid w:val="00634337"/>
    <w:rsid w:val="0063463B"/>
    <w:rsid w:val="0063471D"/>
    <w:rsid w:val="006350E9"/>
    <w:rsid w:val="00636F57"/>
    <w:rsid w:val="00640279"/>
    <w:rsid w:val="00640C31"/>
    <w:rsid w:val="00642BB8"/>
    <w:rsid w:val="00642F0B"/>
    <w:rsid w:val="00643103"/>
    <w:rsid w:val="00643254"/>
    <w:rsid w:val="00643EA5"/>
    <w:rsid w:val="00645563"/>
    <w:rsid w:val="00646131"/>
    <w:rsid w:val="0064662B"/>
    <w:rsid w:val="0064680F"/>
    <w:rsid w:val="00646B79"/>
    <w:rsid w:val="00647172"/>
    <w:rsid w:val="0064748C"/>
    <w:rsid w:val="00647D87"/>
    <w:rsid w:val="0065116F"/>
    <w:rsid w:val="006513B5"/>
    <w:rsid w:val="00652337"/>
    <w:rsid w:val="006554D2"/>
    <w:rsid w:val="00655520"/>
    <w:rsid w:val="006558C4"/>
    <w:rsid w:val="00656E3D"/>
    <w:rsid w:val="006603F5"/>
    <w:rsid w:val="0066046B"/>
    <w:rsid w:val="0066081B"/>
    <w:rsid w:val="00661F7D"/>
    <w:rsid w:val="006625DC"/>
    <w:rsid w:val="00663287"/>
    <w:rsid w:val="00664687"/>
    <w:rsid w:val="00664D57"/>
    <w:rsid w:val="00665365"/>
    <w:rsid w:val="006657DA"/>
    <w:rsid w:val="00665A92"/>
    <w:rsid w:val="00667DAC"/>
    <w:rsid w:val="00670570"/>
    <w:rsid w:val="00670619"/>
    <w:rsid w:val="0067067C"/>
    <w:rsid w:val="0067247C"/>
    <w:rsid w:val="00672CF5"/>
    <w:rsid w:val="006744BD"/>
    <w:rsid w:val="00674BC4"/>
    <w:rsid w:val="00674D05"/>
    <w:rsid w:val="006767E2"/>
    <w:rsid w:val="006773AD"/>
    <w:rsid w:val="00680DBE"/>
    <w:rsid w:val="00682106"/>
    <w:rsid w:val="006830FB"/>
    <w:rsid w:val="00683EB7"/>
    <w:rsid w:val="006847E5"/>
    <w:rsid w:val="00685109"/>
    <w:rsid w:val="00685C40"/>
    <w:rsid w:val="00686D92"/>
    <w:rsid w:val="006910A3"/>
    <w:rsid w:val="00692AD1"/>
    <w:rsid w:val="00692E64"/>
    <w:rsid w:val="00693516"/>
    <w:rsid w:val="00693B09"/>
    <w:rsid w:val="006945D1"/>
    <w:rsid w:val="00694D7D"/>
    <w:rsid w:val="00695441"/>
    <w:rsid w:val="00696227"/>
    <w:rsid w:val="0069626E"/>
    <w:rsid w:val="006A20F5"/>
    <w:rsid w:val="006A2DA9"/>
    <w:rsid w:val="006A3B68"/>
    <w:rsid w:val="006A415A"/>
    <w:rsid w:val="006A4686"/>
    <w:rsid w:val="006A4ED5"/>
    <w:rsid w:val="006A6197"/>
    <w:rsid w:val="006A6F7E"/>
    <w:rsid w:val="006B1552"/>
    <w:rsid w:val="006B1568"/>
    <w:rsid w:val="006B2536"/>
    <w:rsid w:val="006B2C9C"/>
    <w:rsid w:val="006B2EEC"/>
    <w:rsid w:val="006B4513"/>
    <w:rsid w:val="006B4E44"/>
    <w:rsid w:val="006B6492"/>
    <w:rsid w:val="006B755A"/>
    <w:rsid w:val="006C0C07"/>
    <w:rsid w:val="006C25BE"/>
    <w:rsid w:val="006C2EDB"/>
    <w:rsid w:val="006C4F76"/>
    <w:rsid w:val="006C5F66"/>
    <w:rsid w:val="006C66B7"/>
    <w:rsid w:val="006C6DF2"/>
    <w:rsid w:val="006C6EB2"/>
    <w:rsid w:val="006C792A"/>
    <w:rsid w:val="006D169F"/>
    <w:rsid w:val="006D1738"/>
    <w:rsid w:val="006D1DC6"/>
    <w:rsid w:val="006D25B1"/>
    <w:rsid w:val="006D4669"/>
    <w:rsid w:val="006D47FC"/>
    <w:rsid w:val="006D504D"/>
    <w:rsid w:val="006D597D"/>
    <w:rsid w:val="006D5DBC"/>
    <w:rsid w:val="006D65FE"/>
    <w:rsid w:val="006D76FB"/>
    <w:rsid w:val="006E052C"/>
    <w:rsid w:val="006E0D1F"/>
    <w:rsid w:val="006E13B2"/>
    <w:rsid w:val="006E1DFD"/>
    <w:rsid w:val="006E2829"/>
    <w:rsid w:val="006E4A07"/>
    <w:rsid w:val="006E4F27"/>
    <w:rsid w:val="006E5432"/>
    <w:rsid w:val="006E5813"/>
    <w:rsid w:val="006E7E97"/>
    <w:rsid w:val="006F00A6"/>
    <w:rsid w:val="006F0490"/>
    <w:rsid w:val="006F16F6"/>
    <w:rsid w:val="006F1FC3"/>
    <w:rsid w:val="006F27B7"/>
    <w:rsid w:val="006F3B1F"/>
    <w:rsid w:val="006F5789"/>
    <w:rsid w:val="006F65AE"/>
    <w:rsid w:val="00700F06"/>
    <w:rsid w:val="00701329"/>
    <w:rsid w:val="007033C3"/>
    <w:rsid w:val="007039AE"/>
    <w:rsid w:val="00703C0C"/>
    <w:rsid w:val="00704170"/>
    <w:rsid w:val="00706105"/>
    <w:rsid w:val="0070666F"/>
    <w:rsid w:val="007112E5"/>
    <w:rsid w:val="007158E5"/>
    <w:rsid w:val="00716C94"/>
    <w:rsid w:val="007175E7"/>
    <w:rsid w:val="00717946"/>
    <w:rsid w:val="00717FAB"/>
    <w:rsid w:val="007234A7"/>
    <w:rsid w:val="007236CA"/>
    <w:rsid w:val="00725955"/>
    <w:rsid w:val="00726BD1"/>
    <w:rsid w:val="00727ACA"/>
    <w:rsid w:val="007308F8"/>
    <w:rsid w:val="00730A84"/>
    <w:rsid w:val="00731A8F"/>
    <w:rsid w:val="007321E1"/>
    <w:rsid w:val="00732E8F"/>
    <w:rsid w:val="0073327A"/>
    <w:rsid w:val="0073392A"/>
    <w:rsid w:val="00734B74"/>
    <w:rsid w:val="00734B93"/>
    <w:rsid w:val="00735BD3"/>
    <w:rsid w:val="00735F70"/>
    <w:rsid w:val="007365B5"/>
    <w:rsid w:val="00736E95"/>
    <w:rsid w:val="00736EBD"/>
    <w:rsid w:val="00736EF7"/>
    <w:rsid w:val="00737181"/>
    <w:rsid w:val="007371F1"/>
    <w:rsid w:val="00737794"/>
    <w:rsid w:val="00737E06"/>
    <w:rsid w:val="00740700"/>
    <w:rsid w:val="00741885"/>
    <w:rsid w:val="00742621"/>
    <w:rsid w:val="00742A0B"/>
    <w:rsid w:val="00742CD8"/>
    <w:rsid w:val="00743CDB"/>
    <w:rsid w:val="00744A0F"/>
    <w:rsid w:val="00744A9E"/>
    <w:rsid w:val="007461AC"/>
    <w:rsid w:val="00746304"/>
    <w:rsid w:val="00750252"/>
    <w:rsid w:val="00752827"/>
    <w:rsid w:val="007530BB"/>
    <w:rsid w:val="007545B7"/>
    <w:rsid w:val="00755E17"/>
    <w:rsid w:val="00756E57"/>
    <w:rsid w:val="00756EA4"/>
    <w:rsid w:val="00757AE7"/>
    <w:rsid w:val="007612E5"/>
    <w:rsid w:val="0076161F"/>
    <w:rsid w:val="00762C05"/>
    <w:rsid w:val="0076328D"/>
    <w:rsid w:val="0076355E"/>
    <w:rsid w:val="00763B8F"/>
    <w:rsid w:val="00764E0D"/>
    <w:rsid w:val="007650F5"/>
    <w:rsid w:val="00765EA2"/>
    <w:rsid w:val="00765FC2"/>
    <w:rsid w:val="00766428"/>
    <w:rsid w:val="00766859"/>
    <w:rsid w:val="00766F93"/>
    <w:rsid w:val="00766FCC"/>
    <w:rsid w:val="0076776D"/>
    <w:rsid w:val="0077056E"/>
    <w:rsid w:val="00770E44"/>
    <w:rsid w:val="00772052"/>
    <w:rsid w:val="007726C7"/>
    <w:rsid w:val="00773DD4"/>
    <w:rsid w:val="00773FEC"/>
    <w:rsid w:val="0077488C"/>
    <w:rsid w:val="00775320"/>
    <w:rsid w:val="00776038"/>
    <w:rsid w:val="00776514"/>
    <w:rsid w:val="00777F73"/>
    <w:rsid w:val="00780B09"/>
    <w:rsid w:val="00780BC4"/>
    <w:rsid w:val="00781DAB"/>
    <w:rsid w:val="0078291C"/>
    <w:rsid w:val="0078301D"/>
    <w:rsid w:val="0078310B"/>
    <w:rsid w:val="00784C60"/>
    <w:rsid w:val="00785E7C"/>
    <w:rsid w:val="0078606C"/>
    <w:rsid w:val="00786E57"/>
    <w:rsid w:val="00787863"/>
    <w:rsid w:val="00787F03"/>
    <w:rsid w:val="0079049E"/>
    <w:rsid w:val="007913DB"/>
    <w:rsid w:val="0079204D"/>
    <w:rsid w:val="00792FE8"/>
    <w:rsid w:val="00793BF3"/>
    <w:rsid w:val="00794C9C"/>
    <w:rsid w:val="007959A7"/>
    <w:rsid w:val="00797514"/>
    <w:rsid w:val="00797BBA"/>
    <w:rsid w:val="007A0B9A"/>
    <w:rsid w:val="007A12A0"/>
    <w:rsid w:val="007A18EB"/>
    <w:rsid w:val="007A1ADE"/>
    <w:rsid w:val="007A290F"/>
    <w:rsid w:val="007A399A"/>
    <w:rsid w:val="007A3E44"/>
    <w:rsid w:val="007A45B0"/>
    <w:rsid w:val="007A4DD3"/>
    <w:rsid w:val="007A7446"/>
    <w:rsid w:val="007A7AC6"/>
    <w:rsid w:val="007B0B84"/>
    <w:rsid w:val="007B0F44"/>
    <w:rsid w:val="007B469C"/>
    <w:rsid w:val="007B541F"/>
    <w:rsid w:val="007B5D6E"/>
    <w:rsid w:val="007B5DFA"/>
    <w:rsid w:val="007B684C"/>
    <w:rsid w:val="007C119F"/>
    <w:rsid w:val="007C1CA0"/>
    <w:rsid w:val="007C266D"/>
    <w:rsid w:val="007C4860"/>
    <w:rsid w:val="007C5472"/>
    <w:rsid w:val="007C56E3"/>
    <w:rsid w:val="007C5A6E"/>
    <w:rsid w:val="007C7363"/>
    <w:rsid w:val="007C7FDD"/>
    <w:rsid w:val="007D0768"/>
    <w:rsid w:val="007D1AAC"/>
    <w:rsid w:val="007D3487"/>
    <w:rsid w:val="007D37D9"/>
    <w:rsid w:val="007D4154"/>
    <w:rsid w:val="007D41A2"/>
    <w:rsid w:val="007D4489"/>
    <w:rsid w:val="007D454F"/>
    <w:rsid w:val="007D4C0C"/>
    <w:rsid w:val="007D4D51"/>
    <w:rsid w:val="007D562E"/>
    <w:rsid w:val="007D5CBD"/>
    <w:rsid w:val="007D7E0F"/>
    <w:rsid w:val="007D7E16"/>
    <w:rsid w:val="007D7E22"/>
    <w:rsid w:val="007E0960"/>
    <w:rsid w:val="007E19F7"/>
    <w:rsid w:val="007E3985"/>
    <w:rsid w:val="007E69E3"/>
    <w:rsid w:val="007E6FF7"/>
    <w:rsid w:val="007E7A3B"/>
    <w:rsid w:val="007F036A"/>
    <w:rsid w:val="007F1D07"/>
    <w:rsid w:val="007F234F"/>
    <w:rsid w:val="007F2D81"/>
    <w:rsid w:val="007F3F45"/>
    <w:rsid w:val="007F6A6A"/>
    <w:rsid w:val="007F6D31"/>
    <w:rsid w:val="007F7FD1"/>
    <w:rsid w:val="00801544"/>
    <w:rsid w:val="00801853"/>
    <w:rsid w:val="00802344"/>
    <w:rsid w:val="00802BC3"/>
    <w:rsid w:val="008034E0"/>
    <w:rsid w:val="00803E2A"/>
    <w:rsid w:val="00804ACC"/>
    <w:rsid w:val="0080543A"/>
    <w:rsid w:val="008062EE"/>
    <w:rsid w:val="00807920"/>
    <w:rsid w:val="00810C56"/>
    <w:rsid w:val="00811F3F"/>
    <w:rsid w:val="00811FD0"/>
    <w:rsid w:val="00812DBD"/>
    <w:rsid w:val="00812E83"/>
    <w:rsid w:val="00813761"/>
    <w:rsid w:val="00815B55"/>
    <w:rsid w:val="00815EBB"/>
    <w:rsid w:val="008169FA"/>
    <w:rsid w:val="00816FD8"/>
    <w:rsid w:val="00817FF5"/>
    <w:rsid w:val="008200E0"/>
    <w:rsid w:val="008206E3"/>
    <w:rsid w:val="00820A5B"/>
    <w:rsid w:val="00820B98"/>
    <w:rsid w:val="008217BD"/>
    <w:rsid w:val="00821B14"/>
    <w:rsid w:val="00821D54"/>
    <w:rsid w:val="00821FA6"/>
    <w:rsid w:val="00822978"/>
    <w:rsid w:val="0082297D"/>
    <w:rsid w:val="0082354E"/>
    <w:rsid w:val="00826402"/>
    <w:rsid w:val="00826CC3"/>
    <w:rsid w:val="00830C63"/>
    <w:rsid w:val="00831E21"/>
    <w:rsid w:val="00834725"/>
    <w:rsid w:val="00834DA9"/>
    <w:rsid w:val="008350BB"/>
    <w:rsid w:val="0083626D"/>
    <w:rsid w:val="00836EB1"/>
    <w:rsid w:val="00840F78"/>
    <w:rsid w:val="00842A48"/>
    <w:rsid w:val="00842DAE"/>
    <w:rsid w:val="00842FA8"/>
    <w:rsid w:val="008449D4"/>
    <w:rsid w:val="00844D45"/>
    <w:rsid w:val="00845CD8"/>
    <w:rsid w:val="00846008"/>
    <w:rsid w:val="00846577"/>
    <w:rsid w:val="008467D4"/>
    <w:rsid w:val="00846B12"/>
    <w:rsid w:val="008479F5"/>
    <w:rsid w:val="00850A3E"/>
    <w:rsid w:val="00850C47"/>
    <w:rsid w:val="00851249"/>
    <w:rsid w:val="0085172B"/>
    <w:rsid w:val="00851D92"/>
    <w:rsid w:val="008522E2"/>
    <w:rsid w:val="0085236A"/>
    <w:rsid w:val="008531E6"/>
    <w:rsid w:val="00854244"/>
    <w:rsid w:val="0085468B"/>
    <w:rsid w:val="0085487A"/>
    <w:rsid w:val="00855B7C"/>
    <w:rsid w:val="0085726A"/>
    <w:rsid w:val="0086088F"/>
    <w:rsid w:val="00860C4A"/>
    <w:rsid w:val="00860DDE"/>
    <w:rsid w:val="00862375"/>
    <w:rsid w:val="00862909"/>
    <w:rsid w:val="00862B7D"/>
    <w:rsid w:val="00862C6E"/>
    <w:rsid w:val="0086319C"/>
    <w:rsid w:val="00863B57"/>
    <w:rsid w:val="00863DFB"/>
    <w:rsid w:val="00864945"/>
    <w:rsid w:val="00865C95"/>
    <w:rsid w:val="00867936"/>
    <w:rsid w:val="008725EC"/>
    <w:rsid w:val="0087271D"/>
    <w:rsid w:val="008736E1"/>
    <w:rsid w:val="0087431A"/>
    <w:rsid w:val="008749A9"/>
    <w:rsid w:val="008753C8"/>
    <w:rsid w:val="00876556"/>
    <w:rsid w:val="008766FB"/>
    <w:rsid w:val="008778C4"/>
    <w:rsid w:val="00877CB6"/>
    <w:rsid w:val="00880A59"/>
    <w:rsid w:val="008826A5"/>
    <w:rsid w:val="00882DF9"/>
    <w:rsid w:val="008840C4"/>
    <w:rsid w:val="00884C3D"/>
    <w:rsid w:val="00887BB6"/>
    <w:rsid w:val="00891007"/>
    <w:rsid w:val="008911D3"/>
    <w:rsid w:val="00891D22"/>
    <w:rsid w:val="00891E48"/>
    <w:rsid w:val="00891E98"/>
    <w:rsid w:val="00892183"/>
    <w:rsid w:val="0089239D"/>
    <w:rsid w:val="00892E6A"/>
    <w:rsid w:val="00893921"/>
    <w:rsid w:val="0089425D"/>
    <w:rsid w:val="00897409"/>
    <w:rsid w:val="008976B3"/>
    <w:rsid w:val="008A0D82"/>
    <w:rsid w:val="008A1C9A"/>
    <w:rsid w:val="008A1ECB"/>
    <w:rsid w:val="008A258C"/>
    <w:rsid w:val="008A2FCE"/>
    <w:rsid w:val="008A3073"/>
    <w:rsid w:val="008A6477"/>
    <w:rsid w:val="008A6636"/>
    <w:rsid w:val="008B0412"/>
    <w:rsid w:val="008B0575"/>
    <w:rsid w:val="008B0D05"/>
    <w:rsid w:val="008B1BCD"/>
    <w:rsid w:val="008B1DD1"/>
    <w:rsid w:val="008B3283"/>
    <w:rsid w:val="008B3A1C"/>
    <w:rsid w:val="008B5C67"/>
    <w:rsid w:val="008B733D"/>
    <w:rsid w:val="008C0ED4"/>
    <w:rsid w:val="008C169C"/>
    <w:rsid w:val="008C1DB6"/>
    <w:rsid w:val="008C1EBC"/>
    <w:rsid w:val="008C25A7"/>
    <w:rsid w:val="008C278D"/>
    <w:rsid w:val="008C2EB1"/>
    <w:rsid w:val="008C3586"/>
    <w:rsid w:val="008C50BD"/>
    <w:rsid w:val="008C62E2"/>
    <w:rsid w:val="008C631D"/>
    <w:rsid w:val="008D0730"/>
    <w:rsid w:val="008D0940"/>
    <w:rsid w:val="008D0BEF"/>
    <w:rsid w:val="008D1805"/>
    <w:rsid w:val="008D47FE"/>
    <w:rsid w:val="008D5E1F"/>
    <w:rsid w:val="008D5F4F"/>
    <w:rsid w:val="008D6D82"/>
    <w:rsid w:val="008D72D3"/>
    <w:rsid w:val="008D7FF6"/>
    <w:rsid w:val="008E0AED"/>
    <w:rsid w:val="008E1C44"/>
    <w:rsid w:val="008E4B22"/>
    <w:rsid w:val="008E5FDB"/>
    <w:rsid w:val="008E6C97"/>
    <w:rsid w:val="008F419F"/>
    <w:rsid w:val="008F510A"/>
    <w:rsid w:val="008F53A6"/>
    <w:rsid w:val="0090131A"/>
    <w:rsid w:val="00901728"/>
    <w:rsid w:val="00901E3B"/>
    <w:rsid w:val="00903345"/>
    <w:rsid w:val="00903907"/>
    <w:rsid w:val="00904C02"/>
    <w:rsid w:val="00904F5E"/>
    <w:rsid w:val="009052E2"/>
    <w:rsid w:val="00905513"/>
    <w:rsid w:val="00905C7F"/>
    <w:rsid w:val="00905CC7"/>
    <w:rsid w:val="00907177"/>
    <w:rsid w:val="009073E5"/>
    <w:rsid w:val="009079E2"/>
    <w:rsid w:val="009107E6"/>
    <w:rsid w:val="00912406"/>
    <w:rsid w:val="009128CA"/>
    <w:rsid w:val="00913755"/>
    <w:rsid w:val="00915059"/>
    <w:rsid w:val="00915273"/>
    <w:rsid w:val="00915BE5"/>
    <w:rsid w:val="00915DD5"/>
    <w:rsid w:val="00916D7C"/>
    <w:rsid w:val="00917A1B"/>
    <w:rsid w:val="009213D1"/>
    <w:rsid w:val="009215FB"/>
    <w:rsid w:val="00921947"/>
    <w:rsid w:val="00921A71"/>
    <w:rsid w:val="009223C7"/>
    <w:rsid w:val="009231FB"/>
    <w:rsid w:val="00923A3C"/>
    <w:rsid w:val="00924480"/>
    <w:rsid w:val="0092485A"/>
    <w:rsid w:val="0092527D"/>
    <w:rsid w:val="00925ED9"/>
    <w:rsid w:val="00926845"/>
    <w:rsid w:val="00926E84"/>
    <w:rsid w:val="009314DC"/>
    <w:rsid w:val="009318E7"/>
    <w:rsid w:val="00935812"/>
    <w:rsid w:val="00936138"/>
    <w:rsid w:val="00936AFA"/>
    <w:rsid w:val="009370AF"/>
    <w:rsid w:val="00937B9D"/>
    <w:rsid w:val="0094055B"/>
    <w:rsid w:val="00940B76"/>
    <w:rsid w:val="00941071"/>
    <w:rsid w:val="0094128B"/>
    <w:rsid w:val="009416CE"/>
    <w:rsid w:val="009418BA"/>
    <w:rsid w:val="00941C2C"/>
    <w:rsid w:val="00942B12"/>
    <w:rsid w:val="00942B7C"/>
    <w:rsid w:val="00943B44"/>
    <w:rsid w:val="00943CCE"/>
    <w:rsid w:val="00945E15"/>
    <w:rsid w:val="00947697"/>
    <w:rsid w:val="009501CB"/>
    <w:rsid w:val="00950C4B"/>
    <w:rsid w:val="0095145B"/>
    <w:rsid w:val="00952944"/>
    <w:rsid w:val="00953B8A"/>
    <w:rsid w:val="009544B7"/>
    <w:rsid w:val="009544CE"/>
    <w:rsid w:val="0095459F"/>
    <w:rsid w:val="0095765C"/>
    <w:rsid w:val="0096090C"/>
    <w:rsid w:val="009611D0"/>
    <w:rsid w:val="00962A82"/>
    <w:rsid w:val="00963213"/>
    <w:rsid w:val="00964687"/>
    <w:rsid w:val="00965D10"/>
    <w:rsid w:val="00967911"/>
    <w:rsid w:val="00967AB8"/>
    <w:rsid w:val="009702C0"/>
    <w:rsid w:val="00970CAA"/>
    <w:rsid w:val="00971DB3"/>
    <w:rsid w:val="00972F84"/>
    <w:rsid w:val="0097326A"/>
    <w:rsid w:val="0097332B"/>
    <w:rsid w:val="009733A0"/>
    <w:rsid w:val="0097424D"/>
    <w:rsid w:val="00976EF7"/>
    <w:rsid w:val="0098047D"/>
    <w:rsid w:val="009838A5"/>
    <w:rsid w:val="0098575E"/>
    <w:rsid w:val="009870B8"/>
    <w:rsid w:val="00987DAD"/>
    <w:rsid w:val="0099137E"/>
    <w:rsid w:val="00991E97"/>
    <w:rsid w:val="00992C29"/>
    <w:rsid w:val="00992D96"/>
    <w:rsid w:val="00993845"/>
    <w:rsid w:val="0099407D"/>
    <w:rsid w:val="0099448A"/>
    <w:rsid w:val="00994E45"/>
    <w:rsid w:val="00995988"/>
    <w:rsid w:val="00996613"/>
    <w:rsid w:val="0099727A"/>
    <w:rsid w:val="009973FE"/>
    <w:rsid w:val="009A0FFD"/>
    <w:rsid w:val="009A2815"/>
    <w:rsid w:val="009A30A4"/>
    <w:rsid w:val="009A46B9"/>
    <w:rsid w:val="009A6007"/>
    <w:rsid w:val="009A62D3"/>
    <w:rsid w:val="009A71CB"/>
    <w:rsid w:val="009A7302"/>
    <w:rsid w:val="009A7CAE"/>
    <w:rsid w:val="009B1B67"/>
    <w:rsid w:val="009B1CF2"/>
    <w:rsid w:val="009B4B06"/>
    <w:rsid w:val="009B4BEA"/>
    <w:rsid w:val="009B54FD"/>
    <w:rsid w:val="009B6484"/>
    <w:rsid w:val="009C6F3F"/>
    <w:rsid w:val="009D0BCD"/>
    <w:rsid w:val="009D399D"/>
    <w:rsid w:val="009D514B"/>
    <w:rsid w:val="009D5518"/>
    <w:rsid w:val="009D6669"/>
    <w:rsid w:val="009D7956"/>
    <w:rsid w:val="009D7DA6"/>
    <w:rsid w:val="009E0CB3"/>
    <w:rsid w:val="009E0F7D"/>
    <w:rsid w:val="009E4B90"/>
    <w:rsid w:val="009E6366"/>
    <w:rsid w:val="009E6CD4"/>
    <w:rsid w:val="009E78A2"/>
    <w:rsid w:val="009F15E6"/>
    <w:rsid w:val="009F24E3"/>
    <w:rsid w:val="009F2FC7"/>
    <w:rsid w:val="009F3C32"/>
    <w:rsid w:val="009F4138"/>
    <w:rsid w:val="009F5E43"/>
    <w:rsid w:val="009F64ED"/>
    <w:rsid w:val="009F6D4D"/>
    <w:rsid w:val="009F753E"/>
    <w:rsid w:val="009F7AAF"/>
    <w:rsid w:val="009F7E00"/>
    <w:rsid w:val="00A00991"/>
    <w:rsid w:val="00A02892"/>
    <w:rsid w:val="00A02976"/>
    <w:rsid w:val="00A033A7"/>
    <w:rsid w:val="00A03724"/>
    <w:rsid w:val="00A064F3"/>
    <w:rsid w:val="00A06833"/>
    <w:rsid w:val="00A07378"/>
    <w:rsid w:val="00A10AB8"/>
    <w:rsid w:val="00A10F51"/>
    <w:rsid w:val="00A1192D"/>
    <w:rsid w:val="00A11A4A"/>
    <w:rsid w:val="00A1262B"/>
    <w:rsid w:val="00A12890"/>
    <w:rsid w:val="00A129D7"/>
    <w:rsid w:val="00A13588"/>
    <w:rsid w:val="00A13DF4"/>
    <w:rsid w:val="00A171E6"/>
    <w:rsid w:val="00A17E7F"/>
    <w:rsid w:val="00A21147"/>
    <w:rsid w:val="00A22FA6"/>
    <w:rsid w:val="00A23E52"/>
    <w:rsid w:val="00A2433E"/>
    <w:rsid w:val="00A26323"/>
    <w:rsid w:val="00A26506"/>
    <w:rsid w:val="00A301E6"/>
    <w:rsid w:val="00A30E98"/>
    <w:rsid w:val="00A31EF2"/>
    <w:rsid w:val="00A33A72"/>
    <w:rsid w:val="00A3420A"/>
    <w:rsid w:val="00A34CA0"/>
    <w:rsid w:val="00A3624A"/>
    <w:rsid w:val="00A368C5"/>
    <w:rsid w:val="00A36FD3"/>
    <w:rsid w:val="00A37CF8"/>
    <w:rsid w:val="00A4047F"/>
    <w:rsid w:val="00A40A8D"/>
    <w:rsid w:val="00A414EA"/>
    <w:rsid w:val="00A4174B"/>
    <w:rsid w:val="00A42E70"/>
    <w:rsid w:val="00A42EF3"/>
    <w:rsid w:val="00A4313D"/>
    <w:rsid w:val="00A472AB"/>
    <w:rsid w:val="00A47AD9"/>
    <w:rsid w:val="00A50021"/>
    <w:rsid w:val="00A5014C"/>
    <w:rsid w:val="00A5064B"/>
    <w:rsid w:val="00A51646"/>
    <w:rsid w:val="00A52442"/>
    <w:rsid w:val="00A52488"/>
    <w:rsid w:val="00A53C03"/>
    <w:rsid w:val="00A54BEB"/>
    <w:rsid w:val="00A557A8"/>
    <w:rsid w:val="00A56A7E"/>
    <w:rsid w:val="00A57104"/>
    <w:rsid w:val="00A60840"/>
    <w:rsid w:val="00A617F8"/>
    <w:rsid w:val="00A6211B"/>
    <w:rsid w:val="00A62F71"/>
    <w:rsid w:val="00A72911"/>
    <w:rsid w:val="00A7345A"/>
    <w:rsid w:val="00A751BD"/>
    <w:rsid w:val="00A75FA6"/>
    <w:rsid w:val="00A76F5D"/>
    <w:rsid w:val="00A77396"/>
    <w:rsid w:val="00A77C62"/>
    <w:rsid w:val="00A77FC9"/>
    <w:rsid w:val="00A801BE"/>
    <w:rsid w:val="00A80C1F"/>
    <w:rsid w:val="00A82C01"/>
    <w:rsid w:val="00A8499D"/>
    <w:rsid w:val="00A84FB9"/>
    <w:rsid w:val="00A86569"/>
    <w:rsid w:val="00A867D7"/>
    <w:rsid w:val="00A8796F"/>
    <w:rsid w:val="00A904CD"/>
    <w:rsid w:val="00A905EA"/>
    <w:rsid w:val="00A91EE6"/>
    <w:rsid w:val="00A938DB"/>
    <w:rsid w:val="00A93D75"/>
    <w:rsid w:val="00A93D93"/>
    <w:rsid w:val="00A93ED9"/>
    <w:rsid w:val="00A943DA"/>
    <w:rsid w:val="00A94550"/>
    <w:rsid w:val="00A94A21"/>
    <w:rsid w:val="00A957AA"/>
    <w:rsid w:val="00AA26EC"/>
    <w:rsid w:val="00AA30C3"/>
    <w:rsid w:val="00AA375E"/>
    <w:rsid w:val="00AA4759"/>
    <w:rsid w:val="00AA49CD"/>
    <w:rsid w:val="00AA4B54"/>
    <w:rsid w:val="00AA4C24"/>
    <w:rsid w:val="00AA5131"/>
    <w:rsid w:val="00AA644F"/>
    <w:rsid w:val="00AA7262"/>
    <w:rsid w:val="00AB0C80"/>
    <w:rsid w:val="00AB12AF"/>
    <w:rsid w:val="00AB24F3"/>
    <w:rsid w:val="00AB2AEC"/>
    <w:rsid w:val="00AB2F4A"/>
    <w:rsid w:val="00AB372C"/>
    <w:rsid w:val="00AB456A"/>
    <w:rsid w:val="00AB4B0F"/>
    <w:rsid w:val="00AB4C19"/>
    <w:rsid w:val="00AB4D1C"/>
    <w:rsid w:val="00AB6945"/>
    <w:rsid w:val="00AB6E7D"/>
    <w:rsid w:val="00AB700A"/>
    <w:rsid w:val="00AC13B2"/>
    <w:rsid w:val="00AC3820"/>
    <w:rsid w:val="00AC44CB"/>
    <w:rsid w:val="00AC4BF8"/>
    <w:rsid w:val="00AC6368"/>
    <w:rsid w:val="00AC7672"/>
    <w:rsid w:val="00AC7BFB"/>
    <w:rsid w:val="00AD09F4"/>
    <w:rsid w:val="00AD0C30"/>
    <w:rsid w:val="00AD176C"/>
    <w:rsid w:val="00AD3A50"/>
    <w:rsid w:val="00AD4C17"/>
    <w:rsid w:val="00AD6341"/>
    <w:rsid w:val="00AD68D9"/>
    <w:rsid w:val="00AD6EC2"/>
    <w:rsid w:val="00AD7C8A"/>
    <w:rsid w:val="00AE09FD"/>
    <w:rsid w:val="00AE0D7D"/>
    <w:rsid w:val="00AE14E3"/>
    <w:rsid w:val="00AE1C97"/>
    <w:rsid w:val="00AE2C94"/>
    <w:rsid w:val="00AE2DE0"/>
    <w:rsid w:val="00AE303E"/>
    <w:rsid w:val="00AE3D26"/>
    <w:rsid w:val="00AE4185"/>
    <w:rsid w:val="00AE4386"/>
    <w:rsid w:val="00AE47DA"/>
    <w:rsid w:val="00AE7371"/>
    <w:rsid w:val="00AE7E68"/>
    <w:rsid w:val="00AF160A"/>
    <w:rsid w:val="00AF2449"/>
    <w:rsid w:val="00AF2790"/>
    <w:rsid w:val="00AF3265"/>
    <w:rsid w:val="00AF389A"/>
    <w:rsid w:val="00AF3CB4"/>
    <w:rsid w:val="00AF51F4"/>
    <w:rsid w:val="00AF67D6"/>
    <w:rsid w:val="00AF766C"/>
    <w:rsid w:val="00AF7A60"/>
    <w:rsid w:val="00AF7AEF"/>
    <w:rsid w:val="00AF7E78"/>
    <w:rsid w:val="00B025CE"/>
    <w:rsid w:val="00B0596B"/>
    <w:rsid w:val="00B07CB6"/>
    <w:rsid w:val="00B111B8"/>
    <w:rsid w:val="00B12499"/>
    <w:rsid w:val="00B13D44"/>
    <w:rsid w:val="00B14769"/>
    <w:rsid w:val="00B14ED2"/>
    <w:rsid w:val="00B150CB"/>
    <w:rsid w:val="00B151C6"/>
    <w:rsid w:val="00B16274"/>
    <w:rsid w:val="00B16499"/>
    <w:rsid w:val="00B16851"/>
    <w:rsid w:val="00B17530"/>
    <w:rsid w:val="00B21523"/>
    <w:rsid w:val="00B22F02"/>
    <w:rsid w:val="00B233E4"/>
    <w:rsid w:val="00B24094"/>
    <w:rsid w:val="00B24855"/>
    <w:rsid w:val="00B26553"/>
    <w:rsid w:val="00B2755F"/>
    <w:rsid w:val="00B300D6"/>
    <w:rsid w:val="00B307B9"/>
    <w:rsid w:val="00B3244A"/>
    <w:rsid w:val="00B33041"/>
    <w:rsid w:val="00B33229"/>
    <w:rsid w:val="00B337A6"/>
    <w:rsid w:val="00B33B3D"/>
    <w:rsid w:val="00B345C0"/>
    <w:rsid w:val="00B357E9"/>
    <w:rsid w:val="00B3630A"/>
    <w:rsid w:val="00B36378"/>
    <w:rsid w:val="00B36723"/>
    <w:rsid w:val="00B371AB"/>
    <w:rsid w:val="00B378F4"/>
    <w:rsid w:val="00B41578"/>
    <w:rsid w:val="00B439E5"/>
    <w:rsid w:val="00B44DC3"/>
    <w:rsid w:val="00B4621E"/>
    <w:rsid w:val="00B463F7"/>
    <w:rsid w:val="00B46C97"/>
    <w:rsid w:val="00B470D6"/>
    <w:rsid w:val="00B475F1"/>
    <w:rsid w:val="00B50311"/>
    <w:rsid w:val="00B50E36"/>
    <w:rsid w:val="00B523D0"/>
    <w:rsid w:val="00B532BF"/>
    <w:rsid w:val="00B536C2"/>
    <w:rsid w:val="00B53EB3"/>
    <w:rsid w:val="00B54476"/>
    <w:rsid w:val="00B54E9E"/>
    <w:rsid w:val="00B55E0A"/>
    <w:rsid w:val="00B56DA6"/>
    <w:rsid w:val="00B57637"/>
    <w:rsid w:val="00B57BF9"/>
    <w:rsid w:val="00B60500"/>
    <w:rsid w:val="00B6083F"/>
    <w:rsid w:val="00B60BDE"/>
    <w:rsid w:val="00B620A4"/>
    <w:rsid w:val="00B62160"/>
    <w:rsid w:val="00B62845"/>
    <w:rsid w:val="00B645FB"/>
    <w:rsid w:val="00B64BA2"/>
    <w:rsid w:val="00B65A4D"/>
    <w:rsid w:val="00B660CF"/>
    <w:rsid w:val="00B66304"/>
    <w:rsid w:val="00B71B8C"/>
    <w:rsid w:val="00B721A0"/>
    <w:rsid w:val="00B7280D"/>
    <w:rsid w:val="00B72854"/>
    <w:rsid w:val="00B7608D"/>
    <w:rsid w:val="00B770A2"/>
    <w:rsid w:val="00B770AF"/>
    <w:rsid w:val="00B823FE"/>
    <w:rsid w:val="00B82C7E"/>
    <w:rsid w:val="00B839E4"/>
    <w:rsid w:val="00B84259"/>
    <w:rsid w:val="00B845D6"/>
    <w:rsid w:val="00B86B1F"/>
    <w:rsid w:val="00B86E18"/>
    <w:rsid w:val="00B90311"/>
    <w:rsid w:val="00B90FB3"/>
    <w:rsid w:val="00B917D4"/>
    <w:rsid w:val="00B91FCD"/>
    <w:rsid w:val="00B93455"/>
    <w:rsid w:val="00B93767"/>
    <w:rsid w:val="00B94239"/>
    <w:rsid w:val="00B94F07"/>
    <w:rsid w:val="00B9505D"/>
    <w:rsid w:val="00B95EA8"/>
    <w:rsid w:val="00B9742E"/>
    <w:rsid w:val="00BA1363"/>
    <w:rsid w:val="00BA34C4"/>
    <w:rsid w:val="00BA35E5"/>
    <w:rsid w:val="00BA4FEB"/>
    <w:rsid w:val="00BA5198"/>
    <w:rsid w:val="00BA5B80"/>
    <w:rsid w:val="00BA6439"/>
    <w:rsid w:val="00BA6BAE"/>
    <w:rsid w:val="00BB23C3"/>
    <w:rsid w:val="00BB2C10"/>
    <w:rsid w:val="00BB2CFF"/>
    <w:rsid w:val="00BB2E1B"/>
    <w:rsid w:val="00BB2EE2"/>
    <w:rsid w:val="00BB3077"/>
    <w:rsid w:val="00BB34F6"/>
    <w:rsid w:val="00BB43DB"/>
    <w:rsid w:val="00BB5AD6"/>
    <w:rsid w:val="00BB61F5"/>
    <w:rsid w:val="00BB63FA"/>
    <w:rsid w:val="00BB6B28"/>
    <w:rsid w:val="00BB7374"/>
    <w:rsid w:val="00BC1040"/>
    <w:rsid w:val="00BC119D"/>
    <w:rsid w:val="00BC267F"/>
    <w:rsid w:val="00BC290A"/>
    <w:rsid w:val="00BC2A91"/>
    <w:rsid w:val="00BC2C6D"/>
    <w:rsid w:val="00BC323A"/>
    <w:rsid w:val="00BC3BE7"/>
    <w:rsid w:val="00BC3C26"/>
    <w:rsid w:val="00BC3C95"/>
    <w:rsid w:val="00BC42C0"/>
    <w:rsid w:val="00BC42C8"/>
    <w:rsid w:val="00BC620B"/>
    <w:rsid w:val="00BC7CD8"/>
    <w:rsid w:val="00BD0204"/>
    <w:rsid w:val="00BD14FF"/>
    <w:rsid w:val="00BD329C"/>
    <w:rsid w:val="00BD3C58"/>
    <w:rsid w:val="00BD43AC"/>
    <w:rsid w:val="00BD519F"/>
    <w:rsid w:val="00BD5986"/>
    <w:rsid w:val="00BD5B1C"/>
    <w:rsid w:val="00BD6BAC"/>
    <w:rsid w:val="00BD7ACF"/>
    <w:rsid w:val="00BD7F64"/>
    <w:rsid w:val="00BE1D98"/>
    <w:rsid w:val="00BE30BF"/>
    <w:rsid w:val="00BE3264"/>
    <w:rsid w:val="00BE4C9C"/>
    <w:rsid w:val="00BE51E4"/>
    <w:rsid w:val="00BE5335"/>
    <w:rsid w:val="00BE5B9A"/>
    <w:rsid w:val="00BE5F00"/>
    <w:rsid w:val="00BE63A6"/>
    <w:rsid w:val="00BE6CBB"/>
    <w:rsid w:val="00BE7CE4"/>
    <w:rsid w:val="00BF00C7"/>
    <w:rsid w:val="00BF020A"/>
    <w:rsid w:val="00BF05A8"/>
    <w:rsid w:val="00BF09A1"/>
    <w:rsid w:val="00BF205B"/>
    <w:rsid w:val="00BF20B7"/>
    <w:rsid w:val="00BF31CA"/>
    <w:rsid w:val="00BF3A06"/>
    <w:rsid w:val="00BF4C46"/>
    <w:rsid w:val="00BF5779"/>
    <w:rsid w:val="00BF5937"/>
    <w:rsid w:val="00BF6E95"/>
    <w:rsid w:val="00BF6EF2"/>
    <w:rsid w:val="00C0025C"/>
    <w:rsid w:val="00C02873"/>
    <w:rsid w:val="00C0493A"/>
    <w:rsid w:val="00C05EAD"/>
    <w:rsid w:val="00C06CBA"/>
    <w:rsid w:val="00C07035"/>
    <w:rsid w:val="00C1006A"/>
    <w:rsid w:val="00C100C0"/>
    <w:rsid w:val="00C1272D"/>
    <w:rsid w:val="00C12F78"/>
    <w:rsid w:val="00C14EE6"/>
    <w:rsid w:val="00C15227"/>
    <w:rsid w:val="00C16677"/>
    <w:rsid w:val="00C16DCB"/>
    <w:rsid w:val="00C17313"/>
    <w:rsid w:val="00C17CC0"/>
    <w:rsid w:val="00C202D0"/>
    <w:rsid w:val="00C20D07"/>
    <w:rsid w:val="00C20E08"/>
    <w:rsid w:val="00C20E4C"/>
    <w:rsid w:val="00C20F65"/>
    <w:rsid w:val="00C216DC"/>
    <w:rsid w:val="00C22702"/>
    <w:rsid w:val="00C22814"/>
    <w:rsid w:val="00C23254"/>
    <w:rsid w:val="00C23ECF"/>
    <w:rsid w:val="00C24FFF"/>
    <w:rsid w:val="00C27DB8"/>
    <w:rsid w:val="00C32BC7"/>
    <w:rsid w:val="00C333A5"/>
    <w:rsid w:val="00C339CF"/>
    <w:rsid w:val="00C34415"/>
    <w:rsid w:val="00C3526E"/>
    <w:rsid w:val="00C366D6"/>
    <w:rsid w:val="00C37558"/>
    <w:rsid w:val="00C40853"/>
    <w:rsid w:val="00C4188C"/>
    <w:rsid w:val="00C4189A"/>
    <w:rsid w:val="00C41F38"/>
    <w:rsid w:val="00C42863"/>
    <w:rsid w:val="00C434C3"/>
    <w:rsid w:val="00C4391E"/>
    <w:rsid w:val="00C43D5D"/>
    <w:rsid w:val="00C512DE"/>
    <w:rsid w:val="00C51366"/>
    <w:rsid w:val="00C51CD6"/>
    <w:rsid w:val="00C522B2"/>
    <w:rsid w:val="00C523D4"/>
    <w:rsid w:val="00C53E9C"/>
    <w:rsid w:val="00C540A4"/>
    <w:rsid w:val="00C5536F"/>
    <w:rsid w:val="00C565C6"/>
    <w:rsid w:val="00C57FAB"/>
    <w:rsid w:val="00C62469"/>
    <w:rsid w:val="00C639F0"/>
    <w:rsid w:val="00C64223"/>
    <w:rsid w:val="00C652AE"/>
    <w:rsid w:val="00C65332"/>
    <w:rsid w:val="00C65489"/>
    <w:rsid w:val="00C65658"/>
    <w:rsid w:val="00C66098"/>
    <w:rsid w:val="00C66270"/>
    <w:rsid w:val="00C71083"/>
    <w:rsid w:val="00C71280"/>
    <w:rsid w:val="00C72270"/>
    <w:rsid w:val="00C72930"/>
    <w:rsid w:val="00C72DE9"/>
    <w:rsid w:val="00C7516A"/>
    <w:rsid w:val="00C76106"/>
    <w:rsid w:val="00C77818"/>
    <w:rsid w:val="00C778E8"/>
    <w:rsid w:val="00C77F40"/>
    <w:rsid w:val="00C8049F"/>
    <w:rsid w:val="00C82F19"/>
    <w:rsid w:val="00C8377E"/>
    <w:rsid w:val="00C85B0C"/>
    <w:rsid w:val="00C92379"/>
    <w:rsid w:val="00C928CD"/>
    <w:rsid w:val="00C933C9"/>
    <w:rsid w:val="00C9364A"/>
    <w:rsid w:val="00C95CD4"/>
    <w:rsid w:val="00C971B4"/>
    <w:rsid w:val="00C97995"/>
    <w:rsid w:val="00C97B98"/>
    <w:rsid w:val="00CA1AC7"/>
    <w:rsid w:val="00CA23DB"/>
    <w:rsid w:val="00CA2499"/>
    <w:rsid w:val="00CA488D"/>
    <w:rsid w:val="00CA5045"/>
    <w:rsid w:val="00CA6A65"/>
    <w:rsid w:val="00CA6FCF"/>
    <w:rsid w:val="00CA70FE"/>
    <w:rsid w:val="00CA7112"/>
    <w:rsid w:val="00CA7629"/>
    <w:rsid w:val="00CA7EC2"/>
    <w:rsid w:val="00CB1D73"/>
    <w:rsid w:val="00CB251C"/>
    <w:rsid w:val="00CB3DA0"/>
    <w:rsid w:val="00CB4E2C"/>
    <w:rsid w:val="00CC0BBB"/>
    <w:rsid w:val="00CC188E"/>
    <w:rsid w:val="00CC4B90"/>
    <w:rsid w:val="00CC4DF9"/>
    <w:rsid w:val="00CC550B"/>
    <w:rsid w:val="00CC6076"/>
    <w:rsid w:val="00CC71D9"/>
    <w:rsid w:val="00CD02E3"/>
    <w:rsid w:val="00CD0CC7"/>
    <w:rsid w:val="00CD157A"/>
    <w:rsid w:val="00CD3241"/>
    <w:rsid w:val="00CD4173"/>
    <w:rsid w:val="00CD4FD6"/>
    <w:rsid w:val="00CD61AE"/>
    <w:rsid w:val="00CD61FE"/>
    <w:rsid w:val="00CD65FA"/>
    <w:rsid w:val="00CD6D3D"/>
    <w:rsid w:val="00CE0069"/>
    <w:rsid w:val="00CE0142"/>
    <w:rsid w:val="00CE0DBE"/>
    <w:rsid w:val="00CE130C"/>
    <w:rsid w:val="00CE18BB"/>
    <w:rsid w:val="00CE1B89"/>
    <w:rsid w:val="00CE1F08"/>
    <w:rsid w:val="00CE21E6"/>
    <w:rsid w:val="00CE2537"/>
    <w:rsid w:val="00CE3AB2"/>
    <w:rsid w:val="00CE4B0C"/>
    <w:rsid w:val="00CE5905"/>
    <w:rsid w:val="00CE6467"/>
    <w:rsid w:val="00CE6DDC"/>
    <w:rsid w:val="00CF02D8"/>
    <w:rsid w:val="00CF1769"/>
    <w:rsid w:val="00CF3C69"/>
    <w:rsid w:val="00CF4D33"/>
    <w:rsid w:val="00CF6EF5"/>
    <w:rsid w:val="00CF7355"/>
    <w:rsid w:val="00CF745F"/>
    <w:rsid w:val="00D01DC3"/>
    <w:rsid w:val="00D0225F"/>
    <w:rsid w:val="00D02539"/>
    <w:rsid w:val="00D02D6F"/>
    <w:rsid w:val="00D02D92"/>
    <w:rsid w:val="00D04496"/>
    <w:rsid w:val="00D0516F"/>
    <w:rsid w:val="00D05C3F"/>
    <w:rsid w:val="00D06F4D"/>
    <w:rsid w:val="00D10D84"/>
    <w:rsid w:val="00D10FDB"/>
    <w:rsid w:val="00D11613"/>
    <w:rsid w:val="00D1380E"/>
    <w:rsid w:val="00D15945"/>
    <w:rsid w:val="00D16411"/>
    <w:rsid w:val="00D165FA"/>
    <w:rsid w:val="00D16EED"/>
    <w:rsid w:val="00D1763D"/>
    <w:rsid w:val="00D179AD"/>
    <w:rsid w:val="00D17C86"/>
    <w:rsid w:val="00D20B32"/>
    <w:rsid w:val="00D20B54"/>
    <w:rsid w:val="00D2257E"/>
    <w:rsid w:val="00D23043"/>
    <w:rsid w:val="00D26053"/>
    <w:rsid w:val="00D27563"/>
    <w:rsid w:val="00D3073B"/>
    <w:rsid w:val="00D30F6A"/>
    <w:rsid w:val="00D30FA0"/>
    <w:rsid w:val="00D312EF"/>
    <w:rsid w:val="00D31631"/>
    <w:rsid w:val="00D3178F"/>
    <w:rsid w:val="00D32202"/>
    <w:rsid w:val="00D3256C"/>
    <w:rsid w:val="00D33B0B"/>
    <w:rsid w:val="00D35263"/>
    <w:rsid w:val="00D36692"/>
    <w:rsid w:val="00D36A08"/>
    <w:rsid w:val="00D409FB"/>
    <w:rsid w:val="00D410DB"/>
    <w:rsid w:val="00D41175"/>
    <w:rsid w:val="00D41B43"/>
    <w:rsid w:val="00D42C4D"/>
    <w:rsid w:val="00D42CC9"/>
    <w:rsid w:val="00D42D59"/>
    <w:rsid w:val="00D4329D"/>
    <w:rsid w:val="00D4347B"/>
    <w:rsid w:val="00D43B4F"/>
    <w:rsid w:val="00D45694"/>
    <w:rsid w:val="00D45B87"/>
    <w:rsid w:val="00D47E28"/>
    <w:rsid w:val="00D50427"/>
    <w:rsid w:val="00D52F8D"/>
    <w:rsid w:val="00D53E9F"/>
    <w:rsid w:val="00D54AFB"/>
    <w:rsid w:val="00D54EC5"/>
    <w:rsid w:val="00D54F75"/>
    <w:rsid w:val="00D55565"/>
    <w:rsid w:val="00D56848"/>
    <w:rsid w:val="00D60ED9"/>
    <w:rsid w:val="00D626F0"/>
    <w:rsid w:val="00D63C5C"/>
    <w:rsid w:val="00D642C0"/>
    <w:rsid w:val="00D652D8"/>
    <w:rsid w:val="00D657B4"/>
    <w:rsid w:val="00D65987"/>
    <w:rsid w:val="00D66FFB"/>
    <w:rsid w:val="00D67296"/>
    <w:rsid w:val="00D67568"/>
    <w:rsid w:val="00D677BC"/>
    <w:rsid w:val="00D67C9B"/>
    <w:rsid w:val="00D7166C"/>
    <w:rsid w:val="00D72001"/>
    <w:rsid w:val="00D720DF"/>
    <w:rsid w:val="00D736EC"/>
    <w:rsid w:val="00D73959"/>
    <w:rsid w:val="00D73B8D"/>
    <w:rsid w:val="00D73F23"/>
    <w:rsid w:val="00D753D5"/>
    <w:rsid w:val="00D75B1F"/>
    <w:rsid w:val="00D75E5F"/>
    <w:rsid w:val="00D760F1"/>
    <w:rsid w:val="00D76C36"/>
    <w:rsid w:val="00D7759A"/>
    <w:rsid w:val="00D809BB"/>
    <w:rsid w:val="00D83C50"/>
    <w:rsid w:val="00D846A2"/>
    <w:rsid w:val="00D847E3"/>
    <w:rsid w:val="00D84F49"/>
    <w:rsid w:val="00D85888"/>
    <w:rsid w:val="00D864CE"/>
    <w:rsid w:val="00D871BD"/>
    <w:rsid w:val="00D9166C"/>
    <w:rsid w:val="00D93278"/>
    <w:rsid w:val="00D93E02"/>
    <w:rsid w:val="00D94CDF"/>
    <w:rsid w:val="00D96151"/>
    <w:rsid w:val="00D96C5E"/>
    <w:rsid w:val="00D96F96"/>
    <w:rsid w:val="00DA0763"/>
    <w:rsid w:val="00DA0E92"/>
    <w:rsid w:val="00DA0EAD"/>
    <w:rsid w:val="00DA30D8"/>
    <w:rsid w:val="00DA440B"/>
    <w:rsid w:val="00DA47CD"/>
    <w:rsid w:val="00DA5265"/>
    <w:rsid w:val="00DA55CB"/>
    <w:rsid w:val="00DA6C4A"/>
    <w:rsid w:val="00DA7257"/>
    <w:rsid w:val="00DB176C"/>
    <w:rsid w:val="00DB2F15"/>
    <w:rsid w:val="00DB2F5E"/>
    <w:rsid w:val="00DB37F7"/>
    <w:rsid w:val="00DB43B6"/>
    <w:rsid w:val="00DB5A80"/>
    <w:rsid w:val="00DB757B"/>
    <w:rsid w:val="00DB77D3"/>
    <w:rsid w:val="00DB7801"/>
    <w:rsid w:val="00DB7DD8"/>
    <w:rsid w:val="00DC0845"/>
    <w:rsid w:val="00DC42B5"/>
    <w:rsid w:val="00DC49F8"/>
    <w:rsid w:val="00DC55F3"/>
    <w:rsid w:val="00DC60B0"/>
    <w:rsid w:val="00DC7BF5"/>
    <w:rsid w:val="00DD02D0"/>
    <w:rsid w:val="00DD0308"/>
    <w:rsid w:val="00DD1BA0"/>
    <w:rsid w:val="00DD4D14"/>
    <w:rsid w:val="00DD5770"/>
    <w:rsid w:val="00DD5994"/>
    <w:rsid w:val="00DD6B47"/>
    <w:rsid w:val="00DD71A3"/>
    <w:rsid w:val="00DD733C"/>
    <w:rsid w:val="00DD7EC1"/>
    <w:rsid w:val="00DE0CC8"/>
    <w:rsid w:val="00DE16BF"/>
    <w:rsid w:val="00DE44F1"/>
    <w:rsid w:val="00DE5466"/>
    <w:rsid w:val="00DE6058"/>
    <w:rsid w:val="00DE6F70"/>
    <w:rsid w:val="00DE7630"/>
    <w:rsid w:val="00DF0EA6"/>
    <w:rsid w:val="00DF322C"/>
    <w:rsid w:val="00DF3848"/>
    <w:rsid w:val="00DF3E9C"/>
    <w:rsid w:val="00DF472B"/>
    <w:rsid w:val="00DF5144"/>
    <w:rsid w:val="00DF6F01"/>
    <w:rsid w:val="00DF7109"/>
    <w:rsid w:val="00DF7E08"/>
    <w:rsid w:val="00E00FD2"/>
    <w:rsid w:val="00E01561"/>
    <w:rsid w:val="00E02125"/>
    <w:rsid w:val="00E0373A"/>
    <w:rsid w:val="00E03CA4"/>
    <w:rsid w:val="00E04AF5"/>
    <w:rsid w:val="00E05B06"/>
    <w:rsid w:val="00E05D1C"/>
    <w:rsid w:val="00E063BE"/>
    <w:rsid w:val="00E06421"/>
    <w:rsid w:val="00E10D2D"/>
    <w:rsid w:val="00E1113C"/>
    <w:rsid w:val="00E1181D"/>
    <w:rsid w:val="00E144BB"/>
    <w:rsid w:val="00E14A3F"/>
    <w:rsid w:val="00E15759"/>
    <w:rsid w:val="00E1591F"/>
    <w:rsid w:val="00E166D0"/>
    <w:rsid w:val="00E16806"/>
    <w:rsid w:val="00E16A02"/>
    <w:rsid w:val="00E17426"/>
    <w:rsid w:val="00E2017C"/>
    <w:rsid w:val="00E20286"/>
    <w:rsid w:val="00E20E19"/>
    <w:rsid w:val="00E20E21"/>
    <w:rsid w:val="00E216E0"/>
    <w:rsid w:val="00E21934"/>
    <w:rsid w:val="00E23B10"/>
    <w:rsid w:val="00E2422A"/>
    <w:rsid w:val="00E2529F"/>
    <w:rsid w:val="00E25B56"/>
    <w:rsid w:val="00E2624C"/>
    <w:rsid w:val="00E30A72"/>
    <w:rsid w:val="00E31C58"/>
    <w:rsid w:val="00E322A6"/>
    <w:rsid w:val="00E32329"/>
    <w:rsid w:val="00E33034"/>
    <w:rsid w:val="00E3389C"/>
    <w:rsid w:val="00E33FC9"/>
    <w:rsid w:val="00E35192"/>
    <w:rsid w:val="00E3616D"/>
    <w:rsid w:val="00E36792"/>
    <w:rsid w:val="00E371D3"/>
    <w:rsid w:val="00E3795A"/>
    <w:rsid w:val="00E37D21"/>
    <w:rsid w:val="00E43104"/>
    <w:rsid w:val="00E431B7"/>
    <w:rsid w:val="00E44717"/>
    <w:rsid w:val="00E44F7D"/>
    <w:rsid w:val="00E45B4E"/>
    <w:rsid w:val="00E46312"/>
    <w:rsid w:val="00E46CC8"/>
    <w:rsid w:val="00E472C4"/>
    <w:rsid w:val="00E47340"/>
    <w:rsid w:val="00E47608"/>
    <w:rsid w:val="00E501E1"/>
    <w:rsid w:val="00E51335"/>
    <w:rsid w:val="00E514CD"/>
    <w:rsid w:val="00E53129"/>
    <w:rsid w:val="00E53AED"/>
    <w:rsid w:val="00E53CC2"/>
    <w:rsid w:val="00E55DFD"/>
    <w:rsid w:val="00E60222"/>
    <w:rsid w:val="00E60CA5"/>
    <w:rsid w:val="00E610AB"/>
    <w:rsid w:val="00E61334"/>
    <w:rsid w:val="00E61A88"/>
    <w:rsid w:val="00E628B4"/>
    <w:rsid w:val="00E64C05"/>
    <w:rsid w:val="00E652E2"/>
    <w:rsid w:val="00E6627E"/>
    <w:rsid w:val="00E6657A"/>
    <w:rsid w:val="00E667C2"/>
    <w:rsid w:val="00E70353"/>
    <w:rsid w:val="00E723D9"/>
    <w:rsid w:val="00E72FCD"/>
    <w:rsid w:val="00E742CC"/>
    <w:rsid w:val="00E752CA"/>
    <w:rsid w:val="00E75749"/>
    <w:rsid w:val="00E77C8B"/>
    <w:rsid w:val="00E77D44"/>
    <w:rsid w:val="00E77DA7"/>
    <w:rsid w:val="00E802ED"/>
    <w:rsid w:val="00E83B4B"/>
    <w:rsid w:val="00E84660"/>
    <w:rsid w:val="00E8494A"/>
    <w:rsid w:val="00E86908"/>
    <w:rsid w:val="00E8738D"/>
    <w:rsid w:val="00E87641"/>
    <w:rsid w:val="00E87DDC"/>
    <w:rsid w:val="00E912AB"/>
    <w:rsid w:val="00E9223E"/>
    <w:rsid w:val="00E92D89"/>
    <w:rsid w:val="00E93461"/>
    <w:rsid w:val="00E9371E"/>
    <w:rsid w:val="00E94CA3"/>
    <w:rsid w:val="00E9592B"/>
    <w:rsid w:val="00E963F6"/>
    <w:rsid w:val="00E9727D"/>
    <w:rsid w:val="00E9736F"/>
    <w:rsid w:val="00EA06E6"/>
    <w:rsid w:val="00EA1A99"/>
    <w:rsid w:val="00EA3717"/>
    <w:rsid w:val="00EA3BF1"/>
    <w:rsid w:val="00EA49E0"/>
    <w:rsid w:val="00EA53A0"/>
    <w:rsid w:val="00EA578F"/>
    <w:rsid w:val="00EA7319"/>
    <w:rsid w:val="00EA766E"/>
    <w:rsid w:val="00EA7AC9"/>
    <w:rsid w:val="00EB0727"/>
    <w:rsid w:val="00EB0A58"/>
    <w:rsid w:val="00EB2770"/>
    <w:rsid w:val="00EB2F38"/>
    <w:rsid w:val="00EB3B72"/>
    <w:rsid w:val="00EB3CEC"/>
    <w:rsid w:val="00EB3F74"/>
    <w:rsid w:val="00EB5037"/>
    <w:rsid w:val="00EB55D4"/>
    <w:rsid w:val="00EB6EA6"/>
    <w:rsid w:val="00EC0530"/>
    <w:rsid w:val="00EC189C"/>
    <w:rsid w:val="00EC2646"/>
    <w:rsid w:val="00EC283C"/>
    <w:rsid w:val="00EC2F23"/>
    <w:rsid w:val="00EC36CB"/>
    <w:rsid w:val="00EC3763"/>
    <w:rsid w:val="00EC38DC"/>
    <w:rsid w:val="00EC47BC"/>
    <w:rsid w:val="00EC5414"/>
    <w:rsid w:val="00EC57FD"/>
    <w:rsid w:val="00EC6489"/>
    <w:rsid w:val="00EC7E36"/>
    <w:rsid w:val="00ED04BF"/>
    <w:rsid w:val="00ED1827"/>
    <w:rsid w:val="00ED4A36"/>
    <w:rsid w:val="00ED75CE"/>
    <w:rsid w:val="00EE1EB0"/>
    <w:rsid w:val="00EE2A50"/>
    <w:rsid w:val="00EE3412"/>
    <w:rsid w:val="00EE3D95"/>
    <w:rsid w:val="00EE5763"/>
    <w:rsid w:val="00EE690F"/>
    <w:rsid w:val="00EE6EC8"/>
    <w:rsid w:val="00EE76C7"/>
    <w:rsid w:val="00EF07D1"/>
    <w:rsid w:val="00EF1DB7"/>
    <w:rsid w:val="00EF1E1E"/>
    <w:rsid w:val="00EF343D"/>
    <w:rsid w:val="00EF3BDD"/>
    <w:rsid w:val="00EF50B1"/>
    <w:rsid w:val="00EF7CF6"/>
    <w:rsid w:val="00F00F9E"/>
    <w:rsid w:val="00F01D45"/>
    <w:rsid w:val="00F01D6C"/>
    <w:rsid w:val="00F0282A"/>
    <w:rsid w:val="00F02E96"/>
    <w:rsid w:val="00F02FB8"/>
    <w:rsid w:val="00F046B4"/>
    <w:rsid w:val="00F069BC"/>
    <w:rsid w:val="00F07008"/>
    <w:rsid w:val="00F073A5"/>
    <w:rsid w:val="00F07709"/>
    <w:rsid w:val="00F10048"/>
    <w:rsid w:val="00F10E76"/>
    <w:rsid w:val="00F12799"/>
    <w:rsid w:val="00F13046"/>
    <w:rsid w:val="00F13947"/>
    <w:rsid w:val="00F141E3"/>
    <w:rsid w:val="00F14A52"/>
    <w:rsid w:val="00F154B9"/>
    <w:rsid w:val="00F158F5"/>
    <w:rsid w:val="00F15CDE"/>
    <w:rsid w:val="00F17149"/>
    <w:rsid w:val="00F17EE6"/>
    <w:rsid w:val="00F20C02"/>
    <w:rsid w:val="00F217F9"/>
    <w:rsid w:val="00F21DD1"/>
    <w:rsid w:val="00F228C0"/>
    <w:rsid w:val="00F22E3C"/>
    <w:rsid w:val="00F23D98"/>
    <w:rsid w:val="00F240AD"/>
    <w:rsid w:val="00F254C9"/>
    <w:rsid w:val="00F2717D"/>
    <w:rsid w:val="00F3043C"/>
    <w:rsid w:val="00F30E2C"/>
    <w:rsid w:val="00F31CCD"/>
    <w:rsid w:val="00F31CD7"/>
    <w:rsid w:val="00F320D0"/>
    <w:rsid w:val="00F32270"/>
    <w:rsid w:val="00F32A46"/>
    <w:rsid w:val="00F32AA5"/>
    <w:rsid w:val="00F32CDE"/>
    <w:rsid w:val="00F335D7"/>
    <w:rsid w:val="00F339E0"/>
    <w:rsid w:val="00F33A43"/>
    <w:rsid w:val="00F358BF"/>
    <w:rsid w:val="00F35FAC"/>
    <w:rsid w:val="00F37CFB"/>
    <w:rsid w:val="00F40126"/>
    <w:rsid w:val="00F430BD"/>
    <w:rsid w:val="00F432B3"/>
    <w:rsid w:val="00F43721"/>
    <w:rsid w:val="00F449D7"/>
    <w:rsid w:val="00F454EC"/>
    <w:rsid w:val="00F45CAC"/>
    <w:rsid w:val="00F50E3F"/>
    <w:rsid w:val="00F51CE8"/>
    <w:rsid w:val="00F52C97"/>
    <w:rsid w:val="00F53056"/>
    <w:rsid w:val="00F53545"/>
    <w:rsid w:val="00F57CF7"/>
    <w:rsid w:val="00F61070"/>
    <w:rsid w:val="00F6194C"/>
    <w:rsid w:val="00F620AF"/>
    <w:rsid w:val="00F6220B"/>
    <w:rsid w:val="00F62CDD"/>
    <w:rsid w:val="00F6327F"/>
    <w:rsid w:val="00F634F0"/>
    <w:rsid w:val="00F641B8"/>
    <w:rsid w:val="00F64E28"/>
    <w:rsid w:val="00F66B96"/>
    <w:rsid w:val="00F67474"/>
    <w:rsid w:val="00F67B3D"/>
    <w:rsid w:val="00F70460"/>
    <w:rsid w:val="00F709EE"/>
    <w:rsid w:val="00F72E50"/>
    <w:rsid w:val="00F736FC"/>
    <w:rsid w:val="00F75D6D"/>
    <w:rsid w:val="00F75E53"/>
    <w:rsid w:val="00F76D9D"/>
    <w:rsid w:val="00F7770A"/>
    <w:rsid w:val="00F77AB2"/>
    <w:rsid w:val="00F8331A"/>
    <w:rsid w:val="00F83F4B"/>
    <w:rsid w:val="00F83FC4"/>
    <w:rsid w:val="00F8496D"/>
    <w:rsid w:val="00F851DD"/>
    <w:rsid w:val="00F8563A"/>
    <w:rsid w:val="00F86054"/>
    <w:rsid w:val="00F902E7"/>
    <w:rsid w:val="00F90861"/>
    <w:rsid w:val="00F90BC7"/>
    <w:rsid w:val="00F920A8"/>
    <w:rsid w:val="00F933A7"/>
    <w:rsid w:val="00F93A34"/>
    <w:rsid w:val="00F9406D"/>
    <w:rsid w:val="00F941F5"/>
    <w:rsid w:val="00F9469C"/>
    <w:rsid w:val="00F94D2F"/>
    <w:rsid w:val="00F95500"/>
    <w:rsid w:val="00F960FB"/>
    <w:rsid w:val="00FA10B6"/>
    <w:rsid w:val="00FA1E20"/>
    <w:rsid w:val="00FA6628"/>
    <w:rsid w:val="00FA7108"/>
    <w:rsid w:val="00FA76FE"/>
    <w:rsid w:val="00FB05B1"/>
    <w:rsid w:val="00FB186C"/>
    <w:rsid w:val="00FB2823"/>
    <w:rsid w:val="00FB37AA"/>
    <w:rsid w:val="00FB3E4B"/>
    <w:rsid w:val="00FC1570"/>
    <w:rsid w:val="00FC1AC9"/>
    <w:rsid w:val="00FC2B53"/>
    <w:rsid w:val="00FC3028"/>
    <w:rsid w:val="00FC412E"/>
    <w:rsid w:val="00FC474F"/>
    <w:rsid w:val="00FC4FC7"/>
    <w:rsid w:val="00FC747C"/>
    <w:rsid w:val="00FC761D"/>
    <w:rsid w:val="00FD27DC"/>
    <w:rsid w:val="00FD2BDD"/>
    <w:rsid w:val="00FD4C65"/>
    <w:rsid w:val="00FD5A7E"/>
    <w:rsid w:val="00FD6786"/>
    <w:rsid w:val="00FD7922"/>
    <w:rsid w:val="00FD7C74"/>
    <w:rsid w:val="00FE02E7"/>
    <w:rsid w:val="00FE11D8"/>
    <w:rsid w:val="00FE1724"/>
    <w:rsid w:val="00FE1B4F"/>
    <w:rsid w:val="00FE1E23"/>
    <w:rsid w:val="00FE20FC"/>
    <w:rsid w:val="00FE2DEF"/>
    <w:rsid w:val="00FE34AA"/>
    <w:rsid w:val="00FE3C2A"/>
    <w:rsid w:val="00FE4EA0"/>
    <w:rsid w:val="00FE564F"/>
    <w:rsid w:val="00FE6276"/>
    <w:rsid w:val="00FE6627"/>
    <w:rsid w:val="00FE75A5"/>
    <w:rsid w:val="00FF01A8"/>
    <w:rsid w:val="00FF1583"/>
    <w:rsid w:val="00FF2A55"/>
    <w:rsid w:val="00FF55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chartTrackingRefBased/>
  <w15:docId w15:val="{93D4D89B-D1F3-4014-8CAD-FE48C5C0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204"/>
    <w:rPr>
      <w:sz w:val="24"/>
      <w:szCs w:val="24"/>
      <w:lang w:val="es-ES" w:eastAsia="es-ES"/>
    </w:rPr>
  </w:style>
  <w:style w:type="paragraph" w:styleId="Ttulo1">
    <w:name w:val="heading 1"/>
    <w:basedOn w:val="Normal"/>
    <w:next w:val="Normal"/>
    <w:link w:val="Ttulo1Car"/>
    <w:uiPriority w:val="9"/>
    <w:qFormat/>
    <w:rsid w:val="003A0D9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BB6B28"/>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AB0C80"/>
    <w:pPr>
      <w:spacing w:before="120" w:after="120"/>
      <w:outlineLvl w:val="2"/>
    </w:pPr>
    <w:rPr>
      <w:rFonts w:ascii="Arial" w:hAnsi="Arial"/>
      <w:bCs/>
      <w:i/>
      <w:szCs w:val="27"/>
      <w:lang w:val="es-MX" w:eastAsia="es-MX"/>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link w:val="TextodegloboCar"/>
    <w:uiPriority w:val="99"/>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link w:val="EncabezadoCar"/>
    <w:uiPriority w:val="99"/>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rsid w:val="00187CA8"/>
    <w:rPr>
      <w:rFonts w:ascii="Courier New" w:hAnsi="Courier New"/>
      <w:sz w:val="20"/>
    </w:rPr>
  </w:style>
  <w:style w:type="character" w:customStyle="1" w:styleId="TextosinformatoCar">
    <w:name w:val="Texto sin formato Car"/>
    <w:link w:val="Textosinformato"/>
    <w:rsid w:val="00187CA8"/>
    <w:rPr>
      <w:rFonts w:ascii="Courier New" w:hAnsi="Courier New"/>
      <w:szCs w:val="24"/>
      <w:lang w:val="es-ES" w:eastAsia="es-ES"/>
    </w:rPr>
  </w:style>
  <w:style w:type="paragraph" w:customStyle="1" w:styleId="Cuadrculamedia21">
    <w:name w:val="Cuadrícula media 21"/>
    <w:link w:val="Cuadrculamedia2Car"/>
    <w:uiPriority w:val="1"/>
    <w:qFormat/>
    <w:rsid w:val="00187CA8"/>
    <w:rPr>
      <w:rFonts w:ascii="Calibri" w:hAnsi="Calibri"/>
      <w:sz w:val="22"/>
      <w:szCs w:val="22"/>
      <w:lang w:val="es-ES" w:eastAsia="en-US"/>
    </w:rPr>
  </w:style>
  <w:style w:type="character" w:customStyle="1" w:styleId="Cuadrculamedia2Car">
    <w:name w:val="Cuadrícula media 2 Car"/>
    <w:link w:val="Cuadrculamedia21"/>
    <w:uiPriority w:val="1"/>
    <w:rsid w:val="00187CA8"/>
    <w:rPr>
      <w:rFonts w:ascii="Calibri" w:hAnsi="Calibri"/>
      <w:sz w:val="22"/>
      <w:szCs w:val="22"/>
      <w:lang w:val="es-ES" w:eastAsia="en-US" w:bidi="ar-SA"/>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Ref. de nota al pie 2"/>
    <w:uiPriority w:val="99"/>
    <w:rsid w:val="00945E15"/>
    <w:rPr>
      <w:vertAlign w:val="superscript"/>
    </w:rPr>
  </w:style>
  <w:style w:type="paragraph" w:customStyle="1" w:styleId="Listavistosa-nfasis11">
    <w:name w:val="Lista vistosa - Énfasis 11"/>
    <w:basedOn w:val="Normal"/>
    <w:uiPriority w:val="34"/>
    <w:qFormat/>
    <w:rsid w:val="003F43C0"/>
    <w:pPr>
      <w:ind w:left="708"/>
    </w:pPr>
  </w:style>
  <w:style w:type="paragraph" w:customStyle="1" w:styleId="Default">
    <w:name w:val="Default"/>
    <w:link w:val="DefaultCar"/>
    <w:rsid w:val="004F58E9"/>
    <w:pPr>
      <w:autoSpaceDE w:val="0"/>
      <w:autoSpaceDN w:val="0"/>
      <w:adjustRightInd w:val="0"/>
    </w:pPr>
    <w:rPr>
      <w:rFonts w:ascii="Arial" w:hAnsi="Arial" w:cs="Arial"/>
      <w:color w:val="000000"/>
      <w:sz w:val="24"/>
      <w:szCs w:val="24"/>
    </w:rPr>
  </w:style>
  <w:style w:type="character" w:customStyle="1" w:styleId="apple-converted-space">
    <w:name w:val="apple-converted-space"/>
    <w:rsid w:val="007033C3"/>
  </w:style>
  <w:style w:type="character" w:styleId="Hipervnculo">
    <w:name w:val="Hyperlink"/>
    <w:uiPriority w:val="99"/>
    <w:unhideWhenUsed/>
    <w:rsid w:val="001A0E88"/>
    <w:rPr>
      <w:color w:val="0000FF"/>
      <w:u w:val="singl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AF160A"/>
    <w:rPr>
      <w:rFonts w:ascii="Arial" w:hAnsi="Arial" w:cs="Arial"/>
      <w:sz w:val="24"/>
      <w:szCs w:val="24"/>
      <w:lang w:val="es-ES_tradnl" w:eastAsia="es-ES_tradnl"/>
    </w:rPr>
  </w:style>
  <w:style w:type="paragraph" w:styleId="Prrafodelista">
    <w:name w:val="List Paragraph"/>
    <w:basedOn w:val="Normal"/>
    <w:uiPriority w:val="34"/>
    <w:qFormat/>
    <w:rsid w:val="00A904CD"/>
    <w:pPr>
      <w:spacing w:after="200" w:line="276" w:lineRule="auto"/>
      <w:ind w:left="720"/>
      <w:contextualSpacing/>
    </w:pPr>
    <w:rPr>
      <w:rFonts w:ascii="Calibri" w:eastAsia="Calibri" w:hAnsi="Calibri"/>
      <w:sz w:val="22"/>
      <w:szCs w:val="22"/>
      <w:lang w:val="es-MX" w:eastAsia="en-US"/>
    </w:rPr>
  </w:style>
  <w:style w:type="paragraph" w:customStyle="1" w:styleId="Estilo">
    <w:name w:val="Estilo"/>
    <w:basedOn w:val="Sinespaciado"/>
    <w:link w:val="EstiloCar"/>
    <w:qFormat/>
    <w:rsid w:val="00A904CD"/>
    <w:pPr>
      <w:jc w:val="both"/>
    </w:pPr>
    <w:rPr>
      <w:rFonts w:ascii="Arial" w:eastAsia="Calibri" w:hAnsi="Arial"/>
      <w:szCs w:val="22"/>
      <w:lang w:val="es-MX" w:eastAsia="en-US"/>
    </w:rPr>
  </w:style>
  <w:style w:type="character" w:customStyle="1" w:styleId="EstiloCar">
    <w:name w:val="Estilo Car"/>
    <w:link w:val="Estilo"/>
    <w:rsid w:val="00A904CD"/>
    <w:rPr>
      <w:rFonts w:ascii="Arial" w:eastAsia="Calibri" w:hAnsi="Arial" w:cs="Times New Roman"/>
      <w:sz w:val="24"/>
      <w:szCs w:val="22"/>
      <w:lang w:eastAsia="en-US"/>
    </w:rPr>
  </w:style>
  <w:style w:type="paragraph" w:styleId="Sinespaciado">
    <w:name w:val="No Spacing"/>
    <w:uiPriority w:val="1"/>
    <w:qFormat/>
    <w:rsid w:val="00A904CD"/>
    <w:rPr>
      <w:sz w:val="24"/>
      <w:szCs w:val="24"/>
      <w:lang w:val="es-ES" w:eastAsia="es-ES"/>
    </w:rPr>
  </w:style>
  <w:style w:type="character" w:customStyle="1" w:styleId="DefaultCar">
    <w:name w:val="Default Car"/>
    <w:link w:val="Default"/>
    <w:rsid w:val="00C41F38"/>
    <w:rPr>
      <w:rFonts w:ascii="Arial" w:hAnsi="Arial" w:cs="Arial"/>
      <w:color w:val="000000"/>
      <w:sz w:val="24"/>
      <w:szCs w:val="24"/>
    </w:rPr>
  </w:style>
  <w:style w:type="character" w:styleId="Refdecomentario">
    <w:name w:val="annotation reference"/>
    <w:uiPriority w:val="99"/>
    <w:rsid w:val="00746304"/>
    <w:rPr>
      <w:sz w:val="16"/>
      <w:szCs w:val="16"/>
    </w:rPr>
  </w:style>
  <w:style w:type="paragraph" w:styleId="Textocomentario">
    <w:name w:val="annotation text"/>
    <w:basedOn w:val="Normal"/>
    <w:link w:val="TextocomentarioCar"/>
    <w:uiPriority w:val="99"/>
    <w:rsid w:val="00746304"/>
    <w:rPr>
      <w:sz w:val="20"/>
      <w:szCs w:val="20"/>
    </w:rPr>
  </w:style>
  <w:style w:type="character" w:customStyle="1" w:styleId="TextocomentarioCar">
    <w:name w:val="Texto comentario Car"/>
    <w:link w:val="Textocomentario"/>
    <w:uiPriority w:val="99"/>
    <w:rsid w:val="00746304"/>
    <w:rPr>
      <w:lang w:val="es-ES" w:eastAsia="es-ES"/>
    </w:rPr>
  </w:style>
  <w:style w:type="paragraph" w:styleId="Asuntodelcomentario">
    <w:name w:val="annotation subject"/>
    <w:basedOn w:val="Textocomentario"/>
    <w:next w:val="Textocomentario"/>
    <w:link w:val="AsuntodelcomentarioCar"/>
    <w:uiPriority w:val="99"/>
    <w:rsid w:val="00746304"/>
    <w:rPr>
      <w:b/>
      <w:bCs/>
    </w:rPr>
  </w:style>
  <w:style w:type="character" w:customStyle="1" w:styleId="AsuntodelcomentarioCar">
    <w:name w:val="Asunto del comentario Car"/>
    <w:link w:val="Asuntodelcomentario"/>
    <w:uiPriority w:val="99"/>
    <w:rsid w:val="00746304"/>
    <w:rPr>
      <w:b/>
      <w:bCs/>
      <w:lang w:val="es-ES" w:eastAsia="es-ES"/>
    </w:rPr>
  </w:style>
  <w:style w:type="character" w:customStyle="1" w:styleId="Ttulo1Car">
    <w:name w:val="Título 1 Car"/>
    <w:link w:val="Ttulo1"/>
    <w:uiPriority w:val="9"/>
    <w:rsid w:val="003A0D96"/>
    <w:rPr>
      <w:rFonts w:ascii="Cambria" w:eastAsia="Times New Roman" w:hAnsi="Cambria" w:cs="Times New Roman"/>
      <w:b/>
      <w:bCs/>
      <w:kern w:val="32"/>
      <w:sz w:val="32"/>
      <w:szCs w:val="32"/>
      <w:lang w:val="es-ES" w:eastAsia="es-ES"/>
    </w:rPr>
  </w:style>
  <w:style w:type="character" w:customStyle="1" w:styleId="Ttulo2Car">
    <w:name w:val="Título 2 Car"/>
    <w:link w:val="Ttulo2"/>
    <w:uiPriority w:val="9"/>
    <w:rsid w:val="00BB6B28"/>
    <w:rPr>
      <w:rFonts w:ascii="Cambria" w:eastAsia="Times New Roman" w:hAnsi="Cambria" w:cs="Times New Roman"/>
      <w:b/>
      <w:bCs/>
      <w:i/>
      <w:iCs/>
      <w:sz w:val="28"/>
      <w:szCs w:val="28"/>
      <w:lang w:val="es-ES" w:eastAsia="es-ES"/>
    </w:rPr>
  </w:style>
  <w:style w:type="character" w:customStyle="1" w:styleId="Ttulo3Car">
    <w:name w:val="Título 3 Car"/>
    <w:link w:val="Ttulo3"/>
    <w:uiPriority w:val="9"/>
    <w:rsid w:val="00AB0C80"/>
    <w:rPr>
      <w:rFonts w:ascii="Arial" w:hAnsi="Arial"/>
      <w:bCs/>
      <w:i/>
      <w:sz w:val="24"/>
      <w:szCs w:val="27"/>
    </w:rPr>
  </w:style>
  <w:style w:type="character" w:customStyle="1" w:styleId="EncabezadoCar">
    <w:name w:val="Encabezado Car"/>
    <w:link w:val="Encabezado"/>
    <w:uiPriority w:val="99"/>
    <w:rsid w:val="00AB0C80"/>
    <w:rPr>
      <w:sz w:val="24"/>
      <w:szCs w:val="24"/>
      <w:lang w:val="es-ES" w:eastAsia="es-ES"/>
    </w:rPr>
  </w:style>
  <w:style w:type="paragraph" w:customStyle="1" w:styleId="Ttulo11">
    <w:name w:val="Título 11"/>
    <w:basedOn w:val="Normal"/>
    <w:next w:val="Normal"/>
    <w:uiPriority w:val="9"/>
    <w:qFormat/>
    <w:rsid w:val="00AB0C80"/>
    <w:pPr>
      <w:keepNext/>
      <w:keepLines/>
      <w:spacing w:before="120" w:after="120"/>
      <w:outlineLvl w:val="0"/>
    </w:pPr>
    <w:rPr>
      <w:rFonts w:ascii="Arial" w:hAnsi="Arial"/>
      <w:b/>
      <w:szCs w:val="32"/>
      <w:lang w:val="es-MX" w:eastAsia="en-US"/>
    </w:rPr>
  </w:style>
  <w:style w:type="paragraph" w:customStyle="1" w:styleId="Ttulo21">
    <w:name w:val="Título 21"/>
    <w:basedOn w:val="Normal"/>
    <w:next w:val="Normal"/>
    <w:uiPriority w:val="9"/>
    <w:unhideWhenUsed/>
    <w:qFormat/>
    <w:rsid w:val="00AB0C80"/>
    <w:pPr>
      <w:keepNext/>
      <w:keepLines/>
      <w:spacing w:before="120" w:after="120"/>
      <w:outlineLvl w:val="1"/>
    </w:pPr>
    <w:rPr>
      <w:rFonts w:ascii="Arial" w:hAnsi="Arial"/>
      <w:i/>
      <w:szCs w:val="26"/>
      <w:lang w:val="es-MX" w:eastAsia="en-US"/>
    </w:rPr>
  </w:style>
  <w:style w:type="numbering" w:customStyle="1" w:styleId="Sinlista1">
    <w:name w:val="Sin lista1"/>
    <w:next w:val="Sinlista"/>
    <w:uiPriority w:val="99"/>
    <w:semiHidden/>
    <w:unhideWhenUsed/>
    <w:rsid w:val="00AB0C80"/>
  </w:style>
  <w:style w:type="character" w:customStyle="1" w:styleId="TextodegloboCar">
    <w:name w:val="Texto de globo Car"/>
    <w:link w:val="Textodeglobo"/>
    <w:uiPriority w:val="99"/>
    <w:semiHidden/>
    <w:rsid w:val="00AB0C80"/>
    <w:rPr>
      <w:rFonts w:ascii="Tahoma" w:hAnsi="Tahoma" w:cs="Tahoma"/>
      <w:sz w:val="16"/>
      <w:szCs w:val="16"/>
      <w:lang w:val="es-ES" w:eastAsia="es-ES"/>
    </w:rPr>
  </w:style>
  <w:style w:type="paragraph" w:customStyle="1" w:styleId="paragraph">
    <w:name w:val="paragraph"/>
    <w:basedOn w:val="Normal"/>
    <w:rsid w:val="00AB0C80"/>
    <w:pPr>
      <w:spacing w:before="100" w:beforeAutospacing="1" w:after="100" w:afterAutospacing="1"/>
    </w:pPr>
    <w:rPr>
      <w:lang w:val="es-MX" w:eastAsia="es-MX"/>
    </w:rPr>
  </w:style>
  <w:style w:type="character" w:customStyle="1" w:styleId="normaltextrun">
    <w:name w:val="normaltextrun"/>
    <w:rsid w:val="00AB0C80"/>
  </w:style>
  <w:style w:type="character" w:customStyle="1" w:styleId="eop">
    <w:name w:val="eop"/>
    <w:rsid w:val="00AB0C80"/>
  </w:style>
  <w:style w:type="character" w:customStyle="1" w:styleId="spellingerror">
    <w:name w:val="spellingerror"/>
    <w:rsid w:val="00AB0C80"/>
  </w:style>
  <w:style w:type="character" w:customStyle="1" w:styleId="findhit">
    <w:name w:val="findhit"/>
    <w:rsid w:val="00AB0C80"/>
  </w:style>
  <w:style w:type="character" w:styleId="Hipervnculovisitado">
    <w:name w:val="FollowedHyperlink"/>
    <w:uiPriority w:val="99"/>
    <w:semiHidden/>
    <w:unhideWhenUsed/>
    <w:rsid w:val="00AB0C80"/>
    <w:rPr>
      <w:color w:val="954F72"/>
      <w:u w:val="single"/>
    </w:rPr>
  </w:style>
  <w:style w:type="paragraph" w:customStyle="1" w:styleId="msonormal0">
    <w:name w:val="msonormal"/>
    <w:basedOn w:val="Normal"/>
    <w:rsid w:val="00AB0C80"/>
    <w:pPr>
      <w:spacing w:before="100" w:beforeAutospacing="1" w:after="100" w:afterAutospacing="1"/>
    </w:pPr>
    <w:rPr>
      <w:lang w:val="es-MX" w:eastAsia="es-MX"/>
    </w:rPr>
  </w:style>
  <w:style w:type="paragraph" w:customStyle="1" w:styleId="xl65">
    <w:name w:val="xl65"/>
    <w:basedOn w:val="Normal"/>
    <w:rsid w:val="00AB0C80"/>
    <w:pPr>
      <w:spacing w:before="100" w:beforeAutospacing="1" w:after="100" w:afterAutospacing="1"/>
    </w:pPr>
    <w:rPr>
      <w:rFonts w:ascii="Barlow" w:hAnsi="Barlow"/>
      <w:lang w:val="es-MX" w:eastAsia="es-MX"/>
    </w:rPr>
  </w:style>
  <w:style w:type="paragraph" w:customStyle="1" w:styleId="xl66">
    <w:name w:val="xl66"/>
    <w:basedOn w:val="Normal"/>
    <w:rsid w:val="00AB0C80"/>
    <w:pPr>
      <w:pBdr>
        <w:top w:val="single" w:sz="4" w:space="0" w:color="BFBFBF"/>
        <w:left w:val="single" w:sz="4" w:space="0" w:color="BFBFBF"/>
        <w:right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67">
    <w:name w:val="xl67"/>
    <w:basedOn w:val="Normal"/>
    <w:rsid w:val="00AB0C80"/>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Barlow" w:hAnsi="Barlow"/>
      <w:lang w:val="es-MX" w:eastAsia="es-MX"/>
    </w:rPr>
  </w:style>
  <w:style w:type="paragraph" w:customStyle="1" w:styleId="xl68">
    <w:name w:val="xl68"/>
    <w:basedOn w:val="Normal"/>
    <w:rsid w:val="00AB0C80"/>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ascii="Barlow" w:hAnsi="Barlow"/>
      <w:b/>
      <w:bCs/>
      <w:lang w:val="es-MX" w:eastAsia="es-MX"/>
    </w:rPr>
  </w:style>
  <w:style w:type="paragraph" w:customStyle="1" w:styleId="xl69">
    <w:name w:val="xl69"/>
    <w:basedOn w:val="Normal"/>
    <w:rsid w:val="00AB0C80"/>
    <w:pPr>
      <w:spacing w:before="100" w:beforeAutospacing="1" w:after="100" w:afterAutospacing="1"/>
      <w:jc w:val="center"/>
    </w:pPr>
    <w:rPr>
      <w:rFonts w:ascii="Barlow" w:hAnsi="Barlow"/>
      <w:lang w:val="es-MX" w:eastAsia="es-MX"/>
    </w:rPr>
  </w:style>
  <w:style w:type="paragraph" w:customStyle="1" w:styleId="xl70">
    <w:name w:val="xl70"/>
    <w:basedOn w:val="Normal"/>
    <w:rsid w:val="00AB0C80"/>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Barlow" w:hAnsi="Barlow"/>
      <w:lang w:val="es-MX" w:eastAsia="es-MX"/>
    </w:rPr>
  </w:style>
  <w:style w:type="paragraph" w:customStyle="1" w:styleId="xl71">
    <w:name w:val="xl71"/>
    <w:basedOn w:val="Normal"/>
    <w:rsid w:val="00AB0C80"/>
    <w:pPr>
      <w:spacing w:before="100" w:beforeAutospacing="1" w:after="100" w:afterAutospacing="1"/>
    </w:pPr>
    <w:rPr>
      <w:rFonts w:ascii="Barlow" w:hAnsi="Barlow"/>
      <w:lang w:val="es-MX" w:eastAsia="es-MX"/>
    </w:rPr>
  </w:style>
  <w:style w:type="paragraph" w:customStyle="1" w:styleId="xl72">
    <w:name w:val="xl72"/>
    <w:basedOn w:val="Normal"/>
    <w:rsid w:val="00AB0C80"/>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Barlow" w:hAnsi="Barlow"/>
      <w:lang w:val="es-MX" w:eastAsia="es-MX"/>
    </w:rPr>
  </w:style>
  <w:style w:type="paragraph" w:customStyle="1" w:styleId="xl73">
    <w:name w:val="xl73"/>
    <w:basedOn w:val="Normal"/>
    <w:rsid w:val="00AB0C80"/>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pPr>
    <w:rPr>
      <w:rFonts w:ascii="Barlow" w:hAnsi="Barlow"/>
      <w:lang w:val="es-MX" w:eastAsia="es-MX"/>
    </w:rPr>
  </w:style>
  <w:style w:type="paragraph" w:customStyle="1" w:styleId="xl74">
    <w:name w:val="xl74"/>
    <w:basedOn w:val="Normal"/>
    <w:rsid w:val="00AB0C80"/>
    <w:pPr>
      <w:pBdr>
        <w:top w:val="single" w:sz="4" w:space="0" w:color="BFBFBF"/>
        <w:left w:val="single" w:sz="4" w:space="0" w:color="BFBFBF"/>
        <w:bottom w:val="single" w:sz="4" w:space="0" w:color="BFBFBF"/>
        <w:right w:val="single" w:sz="4" w:space="0" w:color="BFBFBF"/>
      </w:pBdr>
      <w:shd w:val="clear" w:color="000000" w:fill="auto"/>
      <w:spacing w:before="100" w:beforeAutospacing="1" w:after="100" w:afterAutospacing="1"/>
    </w:pPr>
    <w:rPr>
      <w:rFonts w:ascii="Barlow" w:hAnsi="Barlow"/>
      <w:lang w:val="es-MX" w:eastAsia="es-MX"/>
    </w:rPr>
  </w:style>
  <w:style w:type="paragraph" w:customStyle="1" w:styleId="xl75">
    <w:name w:val="xl75"/>
    <w:basedOn w:val="Normal"/>
    <w:rsid w:val="00AB0C80"/>
    <w:pPr>
      <w:pBdr>
        <w:top w:val="single" w:sz="4" w:space="0" w:color="BFBFBF"/>
        <w:left w:val="single" w:sz="4" w:space="0" w:color="BFBFBF"/>
        <w:bottom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6">
    <w:name w:val="xl76"/>
    <w:basedOn w:val="Normal"/>
    <w:rsid w:val="00AB0C80"/>
    <w:pPr>
      <w:pBdr>
        <w:top w:val="single" w:sz="4" w:space="0" w:color="BFBFBF"/>
        <w:bottom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7">
    <w:name w:val="xl77"/>
    <w:basedOn w:val="Normal"/>
    <w:rsid w:val="00AB0C80"/>
    <w:pPr>
      <w:pBdr>
        <w:top w:val="single" w:sz="4" w:space="0" w:color="BFBFBF"/>
        <w:bottom w:val="single" w:sz="4" w:space="0" w:color="BFBFBF"/>
        <w:right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8">
    <w:name w:val="xl78"/>
    <w:basedOn w:val="Normal"/>
    <w:rsid w:val="00AB0C80"/>
    <w:pPr>
      <w:pBdr>
        <w:left w:val="single" w:sz="4" w:space="0" w:color="BFBFBF"/>
        <w:bottom w:val="single" w:sz="4" w:space="0" w:color="BFBFBF"/>
        <w:right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9">
    <w:name w:val="xl79"/>
    <w:basedOn w:val="Normal"/>
    <w:rsid w:val="00AB0C80"/>
    <w:pPr>
      <w:spacing w:before="100" w:beforeAutospacing="1" w:after="100" w:afterAutospacing="1"/>
      <w:ind w:firstLineChars="200" w:firstLine="200"/>
      <w:textAlignment w:val="top"/>
    </w:pPr>
    <w:rPr>
      <w:rFonts w:ascii="Barlow" w:hAnsi="Barlow"/>
      <w:b/>
      <w:bCs/>
      <w:sz w:val="18"/>
      <w:szCs w:val="18"/>
      <w:lang w:val="es-MX" w:eastAsia="es-MX"/>
    </w:rPr>
  </w:style>
  <w:style w:type="paragraph" w:customStyle="1" w:styleId="xl80">
    <w:name w:val="xl80"/>
    <w:basedOn w:val="Normal"/>
    <w:rsid w:val="00AB0C80"/>
    <w:pPr>
      <w:spacing w:before="100" w:beforeAutospacing="1" w:after="100" w:afterAutospacing="1"/>
      <w:ind w:firstLineChars="400" w:firstLine="400"/>
      <w:textAlignment w:val="top"/>
    </w:pPr>
    <w:rPr>
      <w:rFonts w:ascii="Barlow" w:hAnsi="Barlow"/>
      <w:b/>
      <w:bCs/>
      <w:sz w:val="18"/>
      <w:szCs w:val="18"/>
      <w:lang w:val="es-MX" w:eastAsia="es-MX"/>
    </w:rPr>
  </w:style>
  <w:style w:type="paragraph" w:customStyle="1" w:styleId="xl81">
    <w:name w:val="xl81"/>
    <w:basedOn w:val="Normal"/>
    <w:rsid w:val="00AB0C80"/>
    <w:pPr>
      <w:spacing w:before="100" w:beforeAutospacing="1" w:after="100" w:afterAutospacing="1"/>
      <w:ind w:firstLineChars="400" w:firstLine="400"/>
      <w:textAlignment w:val="top"/>
    </w:pPr>
    <w:rPr>
      <w:rFonts w:ascii="Barlow" w:hAnsi="Barlow"/>
      <w:b/>
      <w:bCs/>
      <w:sz w:val="18"/>
      <w:szCs w:val="18"/>
      <w:lang w:val="es-MX" w:eastAsia="es-MX"/>
    </w:rPr>
  </w:style>
  <w:style w:type="paragraph" w:customStyle="1" w:styleId="xl82">
    <w:name w:val="xl82"/>
    <w:basedOn w:val="Normal"/>
    <w:rsid w:val="00AB0C80"/>
    <w:pPr>
      <w:spacing w:before="100" w:beforeAutospacing="1" w:after="100" w:afterAutospacing="1"/>
      <w:jc w:val="right"/>
      <w:textAlignment w:val="top"/>
    </w:pPr>
    <w:rPr>
      <w:rFonts w:ascii="Barlow" w:hAnsi="Barlow"/>
      <w:sz w:val="18"/>
      <w:szCs w:val="18"/>
      <w:lang w:val="es-MX" w:eastAsia="es-MX"/>
    </w:rPr>
  </w:style>
  <w:style w:type="paragraph" w:customStyle="1" w:styleId="xl83">
    <w:name w:val="xl83"/>
    <w:basedOn w:val="Normal"/>
    <w:rsid w:val="00AB0C80"/>
    <w:pPr>
      <w:spacing w:before="100" w:beforeAutospacing="1" w:after="100" w:afterAutospacing="1"/>
      <w:jc w:val="right"/>
      <w:textAlignment w:val="top"/>
    </w:pPr>
    <w:rPr>
      <w:rFonts w:ascii="Barlow" w:hAnsi="Barlow"/>
      <w:sz w:val="18"/>
      <w:szCs w:val="18"/>
      <w:lang w:val="es-MX" w:eastAsia="es-MX"/>
    </w:rPr>
  </w:style>
  <w:style w:type="paragraph" w:customStyle="1" w:styleId="xl84">
    <w:name w:val="xl84"/>
    <w:basedOn w:val="Normal"/>
    <w:rsid w:val="00AB0C80"/>
    <w:pPr>
      <w:spacing w:before="100" w:beforeAutospacing="1" w:after="100" w:afterAutospacing="1"/>
      <w:textAlignment w:val="top"/>
    </w:pPr>
    <w:rPr>
      <w:rFonts w:ascii="Barlow" w:hAnsi="Barlow"/>
      <w:b/>
      <w:bCs/>
      <w:color w:val="FFFFFF"/>
      <w:sz w:val="18"/>
      <w:szCs w:val="18"/>
      <w:lang w:val="es-MX" w:eastAsia="es-MX"/>
    </w:rPr>
  </w:style>
  <w:style w:type="paragraph" w:customStyle="1" w:styleId="xl85">
    <w:name w:val="xl85"/>
    <w:basedOn w:val="Normal"/>
    <w:rsid w:val="00AB0C80"/>
    <w:pPr>
      <w:spacing w:before="100" w:beforeAutospacing="1" w:after="100" w:afterAutospacing="1"/>
      <w:textAlignment w:val="top"/>
    </w:pPr>
    <w:rPr>
      <w:rFonts w:ascii="Barlow" w:hAnsi="Barlow"/>
      <w:sz w:val="18"/>
      <w:szCs w:val="18"/>
      <w:lang w:val="es-MX" w:eastAsia="es-MX"/>
    </w:rPr>
  </w:style>
  <w:style w:type="paragraph" w:customStyle="1" w:styleId="xl86">
    <w:name w:val="xl86"/>
    <w:basedOn w:val="Normal"/>
    <w:rsid w:val="00AB0C80"/>
    <w:pPr>
      <w:spacing w:before="100" w:beforeAutospacing="1" w:after="100" w:afterAutospacing="1"/>
      <w:textAlignment w:val="top"/>
    </w:pPr>
    <w:rPr>
      <w:rFonts w:ascii="Barlow" w:hAnsi="Barlow"/>
      <w:sz w:val="18"/>
      <w:szCs w:val="18"/>
      <w:lang w:val="es-MX" w:eastAsia="es-MX"/>
    </w:rPr>
  </w:style>
  <w:style w:type="paragraph" w:customStyle="1" w:styleId="xl87">
    <w:name w:val="xl87"/>
    <w:basedOn w:val="Normal"/>
    <w:rsid w:val="00AB0C80"/>
    <w:pPr>
      <w:spacing w:before="100" w:beforeAutospacing="1" w:after="100" w:afterAutospacing="1"/>
      <w:textAlignment w:val="top"/>
    </w:pPr>
    <w:rPr>
      <w:rFonts w:ascii="Barlow" w:hAnsi="Barlow"/>
      <w:sz w:val="18"/>
      <w:szCs w:val="18"/>
      <w:lang w:val="es-MX" w:eastAsia="es-MX"/>
    </w:rPr>
  </w:style>
  <w:style w:type="paragraph" w:customStyle="1" w:styleId="xl88">
    <w:name w:val="xl88"/>
    <w:basedOn w:val="Normal"/>
    <w:rsid w:val="00AB0C80"/>
    <w:pPr>
      <w:spacing w:before="100" w:beforeAutospacing="1" w:after="100" w:afterAutospacing="1"/>
    </w:pPr>
    <w:rPr>
      <w:lang w:val="es-MX" w:eastAsia="es-MX"/>
    </w:rPr>
  </w:style>
  <w:style w:type="paragraph" w:customStyle="1" w:styleId="xl89">
    <w:name w:val="xl89"/>
    <w:basedOn w:val="Normal"/>
    <w:rsid w:val="00AB0C80"/>
    <w:pPr>
      <w:shd w:val="clear" w:color="000000" w:fill="FFFF00"/>
      <w:spacing w:before="100" w:beforeAutospacing="1" w:after="100" w:afterAutospacing="1"/>
      <w:textAlignment w:val="top"/>
    </w:pPr>
    <w:rPr>
      <w:rFonts w:ascii="Barlow" w:hAnsi="Barlow"/>
      <w:sz w:val="18"/>
      <w:szCs w:val="18"/>
      <w:lang w:val="es-MX" w:eastAsia="es-MX"/>
    </w:rPr>
  </w:style>
  <w:style w:type="paragraph" w:customStyle="1" w:styleId="font5">
    <w:name w:val="font5"/>
    <w:basedOn w:val="Normal"/>
    <w:rsid w:val="00AB0C80"/>
    <w:pPr>
      <w:spacing w:before="100" w:beforeAutospacing="1" w:after="100" w:afterAutospacing="1"/>
    </w:pPr>
    <w:rPr>
      <w:rFonts w:ascii="Calibri" w:hAnsi="Calibri"/>
      <w:color w:val="000000"/>
      <w:sz w:val="22"/>
      <w:szCs w:val="22"/>
      <w:lang w:val="en-US" w:eastAsia="en-US"/>
    </w:rPr>
  </w:style>
  <w:style w:type="paragraph" w:customStyle="1" w:styleId="font6">
    <w:name w:val="font6"/>
    <w:basedOn w:val="Normal"/>
    <w:rsid w:val="00AB0C80"/>
    <w:pPr>
      <w:spacing w:before="100" w:beforeAutospacing="1" w:after="100" w:afterAutospacing="1"/>
    </w:pPr>
    <w:rPr>
      <w:rFonts w:ascii="Tahoma" w:hAnsi="Tahoma" w:cs="Tahoma"/>
      <w:b/>
      <w:bCs/>
      <w:color w:val="000000"/>
      <w:sz w:val="18"/>
      <w:szCs w:val="18"/>
      <w:lang w:val="en-US" w:eastAsia="en-US"/>
    </w:rPr>
  </w:style>
  <w:style w:type="paragraph" w:customStyle="1" w:styleId="TtulodeTDC1">
    <w:name w:val="Título de TDC1"/>
    <w:basedOn w:val="Ttulo1"/>
    <w:next w:val="Normal"/>
    <w:uiPriority w:val="39"/>
    <w:unhideWhenUsed/>
    <w:qFormat/>
    <w:rsid w:val="00AB0C80"/>
    <w:pPr>
      <w:keepLines/>
      <w:spacing w:before="480" w:after="0" w:line="360" w:lineRule="auto"/>
    </w:pPr>
    <w:rPr>
      <w:rFonts w:ascii="Arial" w:hAnsi="Arial"/>
      <w:bCs w:val="0"/>
      <w:kern w:val="0"/>
      <w:sz w:val="24"/>
      <w:lang w:val="es-MX" w:eastAsia="en-US"/>
    </w:rPr>
  </w:style>
  <w:style w:type="paragraph" w:styleId="TDC1">
    <w:name w:val="toc 1"/>
    <w:basedOn w:val="Normal"/>
    <w:next w:val="Normal"/>
    <w:autoRedefine/>
    <w:uiPriority w:val="39"/>
    <w:unhideWhenUsed/>
    <w:rsid w:val="00AB0C80"/>
    <w:pPr>
      <w:spacing w:after="100" w:line="259" w:lineRule="auto"/>
    </w:pPr>
    <w:rPr>
      <w:rFonts w:ascii="Barlow" w:eastAsia="Calibri" w:hAnsi="Barlow"/>
      <w:sz w:val="22"/>
      <w:szCs w:val="22"/>
      <w:lang w:val="es-MX" w:eastAsia="en-US"/>
    </w:rPr>
  </w:style>
  <w:style w:type="paragraph" w:styleId="TDC2">
    <w:name w:val="toc 2"/>
    <w:basedOn w:val="Normal"/>
    <w:next w:val="Normal"/>
    <w:autoRedefine/>
    <w:uiPriority w:val="39"/>
    <w:unhideWhenUsed/>
    <w:rsid w:val="00AB0C80"/>
    <w:pPr>
      <w:spacing w:after="100" w:line="259" w:lineRule="auto"/>
      <w:ind w:left="220"/>
    </w:pPr>
    <w:rPr>
      <w:rFonts w:ascii="Barlow" w:eastAsia="Calibri" w:hAnsi="Barlow"/>
      <w:sz w:val="22"/>
      <w:szCs w:val="22"/>
      <w:lang w:val="es-MX" w:eastAsia="en-US"/>
    </w:rPr>
  </w:style>
  <w:style w:type="paragraph" w:styleId="TDC3">
    <w:name w:val="toc 3"/>
    <w:basedOn w:val="Normal"/>
    <w:next w:val="Normal"/>
    <w:autoRedefine/>
    <w:uiPriority w:val="39"/>
    <w:unhideWhenUsed/>
    <w:rsid w:val="00AB0C80"/>
    <w:pPr>
      <w:spacing w:after="100" w:line="259" w:lineRule="auto"/>
      <w:ind w:left="440"/>
    </w:pPr>
    <w:rPr>
      <w:rFonts w:ascii="Barlow" w:eastAsia="Calibri" w:hAnsi="Barlow"/>
      <w:sz w:val="22"/>
      <w:szCs w:val="22"/>
      <w:lang w:val="es-MX" w:eastAsia="en-US"/>
    </w:rPr>
  </w:style>
  <w:style w:type="paragraph" w:customStyle="1" w:styleId="xl63">
    <w:name w:val="xl63"/>
    <w:basedOn w:val="Normal"/>
    <w:rsid w:val="00AB0C80"/>
    <w:pPr>
      <w:pBdr>
        <w:top w:val="single" w:sz="8" w:space="0" w:color="auto"/>
        <w:left w:val="single" w:sz="8" w:space="0" w:color="auto"/>
        <w:bottom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64">
    <w:name w:val="xl64"/>
    <w:basedOn w:val="Normal"/>
    <w:rsid w:val="00AB0C80"/>
    <w:pPr>
      <w:pBdr>
        <w:top w:val="single" w:sz="8" w:space="0" w:color="auto"/>
        <w:bottom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90">
    <w:name w:val="xl90"/>
    <w:basedOn w:val="Normal"/>
    <w:rsid w:val="00AB0C80"/>
    <w:pPr>
      <w:shd w:val="clear" w:color="000000" w:fill="FFFFFF"/>
      <w:spacing w:before="100" w:beforeAutospacing="1" w:after="100" w:afterAutospacing="1"/>
      <w:textAlignment w:val="center"/>
    </w:pPr>
    <w:rPr>
      <w:lang w:val="es-MX" w:eastAsia="es-MX"/>
    </w:rPr>
  </w:style>
  <w:style w:type="paragraph" w:customStyle="1" w:styleId="xl91">
    <w:name w:val="xl91"/>
    <w:basedOn w:val="Normal"/>
    <w:rsid w:val="00AB0C80"/>
    <w:pPr>
      <w:pBdr>
        <w:top w:val="single" w:sz="8" w:space="0" w:color="auto"/>
        <w:bottom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92">
    <w:name w:val="xl92"/>
    <w:basedOn w:val="Normal"/>
    <w:rsid w:val="00AB0C80"/>
    <w:pPr>
      <w:shd w:val="clear" w:color="000000" w:fill="FFFFFF"/>
      <w:spacing w:before="100" w:beforeAutospacing="1" w:after="100" w:afterAutospacing="1"/>
      <w:jc w:val="right"/>
      <w:textAlignment w:val="center"/>
    </w:pPr>
    <w:rPr>
      <w:b/>
      <w:bCs/>
      <w:lang w:val="es-MX" w:eastAsia="es-MX"/>
    </w:rPr>
  </w:style>
  <w:style w:type="paragraph" w:customStyle="1" w:styleId="xl93">
    <w:name w:val="xl93"/>
    <w:basedOn w:val="Normal"/>
    <w:rsid w:val="00AB0C80"/>
    <w:pPr>
      <w:pBdr>
        <w:right w:val="single" w:sz="8" w:space="0" w:color="auto"/>
      </w:pBdr>
      <w:shd w:val="clear" w:color="000000" w:fill="FFFFFF"/>
      <w:spacing w:before="100" w:beforeAutospacing="1" w:after="100" w:afterAutospacing="1"/>
      <w:jc w:val="right"/>
      <w:textAlignment w:val="center"/>
    </w:pPr>
    <w:rPr>
      <w:b/>
      <w:bCs/>
      <w:lang w:val="es-MX" w:eastAsia="es-MX"/>
    </w:rPr>
  </w:style>
  <w:style w:type="paragraph" w:customStyle="1" w:styleId="xl94">
    <w:name w:val="xl94"/>
    <w:basedOn w:val="Normal"/>
    <w:rsid w:val="00AB0C80"/>
    <w:pPr>
      <w:shd w:val="clear" w:color="000000" w:fill="FFFFFF"/>
      <w:spacing w:before="100" w:beforeAutospacing="1" w:after="100" w:afterAutospacing="1"/>
      <w:jc w:val="right"/>
      <w:textAlignment w:val="center"/>
    </w:pPr>
    <w:rPr>
      <w:lang w:val="es-MX" w:eastAsia="es-MX"/>
    </w:rPr>
  </w:style>
  <w:style w:type="paragraph" w:customStyle="1" w:styleId="xl95">
    <w:name w:val="xl95"/>
    <w:basedOn w:val="Normal"/>
    <w:rsid w:val="00AB0C80"/>
    <w:pPr>
      <w:shd w:val="clear" w:color="000000" w:fill="FFFFFF"/>
      <w:spacing w:before="100" w:beforeAutospacing="1" w:after="100" w:afterAutospacing="1"/>
      <w:jc w:val="right"/>
      <w:textAlignment w:val="center"/>
    </w:pPr>
    <w:rPr>
      <w:lang w:val="es-MX" w:eastAsia="es-MX"/>
    </w:rPr>
  </w:style>
  <w:style w:type="paragraph" w:customStyle="1" w:styleId="xl96">
    <w:name w:val="xl96"/>
    <w:basedOn w:val="Normal"/>
    <w:rsid w:val="00AB0C80"/>
    <w:pPr>
      <w:shd w:val="clear" w:color="90EE90" w:fill="BFBFBF"/>
      <w:spacing w:before="100" w:beforeAutospacing="1" w:after="100" w:afterAutospacing="1"/>
      <w:jc w:val="right"/>
      <w:textAlignment w:val="center"/>
    </w:pPr>
    <w:rPr>
      <w:b/>
      <w:bCs/>
      <w:color w:val="000000"/>
      <w:lang w:val="es-MX" w:eastAsia="es-MX"/>
    </w:rPr>
  </w:style>
  <w:style w:type="paragraph" w:customStyle="1" w:styleId="xl97">
    <w:name w:val="xl97"/>
    <w:basedOn w:val="Normal"/>
    <w:rsid w:val="00AB0C80"/>
    <w:pPr>
      <w:pBdr>
        <w:right w:val="single" w:sz="8" w:space="0" w:color="auto"/>
      </w:pBdr>
      <w:shd w:val="clear" w:color="90EE90" w:fill="BFBFBF"/>
      <w:spacing w:before="100" w:beforeAutospacing="1" w:after="100" w:afterAutospacing="1"/>
      <w:jc w:val="right"/>
      <w:textAlignment w:val="center"/>
    </w:pPr>
    <w:rPr>
      <w:b/>
      <w:bCs/>
      <w:color w:val="000000"/>
      <w:lang w:val="es-MX" w:eastAsia="es-MX"/>
    </w:rPr>
  </w:style>
  <w:style w:type="paragraph" w:customStyle="1" w:styleId="xl98">
    <w:name w:val="xl98"/>
    <w:basedOn w:val="Normal"/>
    <w:rsid w:val="00AB0C80"/>
    <w:pPr>
      <w:shd w:val="clear" w:color="000000" w:fill="BFBFBF"/>
      <w:spacing w:before="100" w:beforeAutospacing="1" w:after="100" w:afterAutospacing="1"/>
      <w:jc w:val="right"/>
      <w:textAlignment w:val="center"/>
    </w:pPr>
    <w:rPr>
      <w:b/>
      <w:bCs/>
      <w:color w:val="000000"/>
      <w:lang w:val="es-MX" w:eastAsia="es-MX"/>
    </w:rPr>
  </w:style>
  <w:style w:type="paragraph" w:customStyle="1" w:styleId="xl99">
    <w:name w:val="xl99"/>
    <w:basedOn w:val="Normal"/>
    <w:rsid w:val="00AB0C80"/>
    <w:pPr>
      <w:pBdr>
        <w:right w:val="single" w:sz="8" w:space="0" w:color="auto"/>
      </w:pBdr>
      <w:shd w:val="clear" w:color="000000" w:fill="BFBFBF"/>
      <w:spacing w:before="100" w:beforeAutospacing="1" w:after="100" w:afterAutospacing="1"/>
      <w:jc w:val="right"/>
      <w:textAlignment w:val="center"/>
    </w:pPr>
    <w:rPr>
      <w:b/>
      <w:bCs/>
      <w:color w:val="000000"/>
      <w:lang w:val="es-MX" w:eastAsia="es-MX"/>
    </w:rPr>
  </w:style>
  <w:style w:type="paragraph" w:customStyle="1" w:styleId="xl100">
    <w:name w:val="xl100"/>
    <w:basedOn w:val="Normal"/>
    <w:rsid w:val="00AB0C80"/>
    <w:pPr>
      <w:shd w:val="clear" w:color="000000" w:fill="D9D9D9"/>
      <w:spacing w:before="100" w:beforeAutospacing="1" w:after="100" w:afterAutospacing="1"/>
      <w:jc w:val="right"/>
      <w:textAlignment w:val="center"/>
    </w:pPr>
    <w:rPr>
      <w:b/>
      <w:bCs/>
      <w:lang w:val="es-MX" w:eastAsia="es-MX"/>
    </w:rPr>
  </w:style>
  <w:style w:type="paragraph" w:customStyle="1" w:styleId="xl101">
    <w:name w:val="xl101"/>
    <w:basedOn w:val="Normal"/>
    <w:rsid w:val="00AB0C80"/>
    <w:pPr>
      <w:pBdr>
        <w:right w:val="single" w:sz="8" w:space="0" w:color="auto"/>
      </w:pBdr>
      <w:shd w:val="clear" w:color="000000" w:fill="D9D9D9"/>
      <w:spacing w:before="100" w:beforeAutospacing="1" w:after="100" w:afterAutospacing="1"/>
      <w:jc w:val="right"/>
      <w:textAlignment w:val="center"/>
    </w:pPr>
    <w:rPr>
      <w:b/>
      <w:bCs/>
      <w:lang w:val="es-MX" w:eastAsia="es-MX"/>
    </w:rPr>
  </w:style>
  <w:style w:type="paragraph" w:customStyle="1" w:styleId="xl102">
    <w:name w:val="xl102"/>
    <w:basedOn w:val="Normal"/>
    <w:rsid w:val="00AB0C80"/>
    <w:pPr>
      <w:pBdr>
        <w:bottom w:val="single" w:sz="8" w:space="0" w:color="auto"/>
      </w:pBdr>
      <w:shd w:val="clear" w:color="000000" w:fill="D9D9D9"/>
      <w:spacing w:before="100" w:beforeAutospacing="1" w:after="100" w:afterAutospacing="1"/>
      <w:jc w:val="right"/>
      <w:textAlignment w:val="center"/>
    </w:pPr>
    <w:rPr>
      <w:b/>
      <w:bCs/>
      <w:lang w:val="es-MX" w:eastAsia="es-MX"/>
    </w:rPr>
  </w:style>
  <w:style w:type="paragraph" w:customStyle="1" w:styleId="xl103">
    <w:name w:val="xl103"/>
    <w:basedOn w:val="Normal"/>
    <w:rsid w:val="00AB0C80"/>
    <w:pPr>
      <w:pBdr>
        <w:bottom w:val="single" w:sz="8" w:space="0" w:color="auto"/>
        <w:right w:val="single" w:sz="8" w:space="0" w:color="auto"/>
      </w:pBdr>
      <w:shd w:val="clear" w:color="000000" w:fill="D9D9D9"/>
      <w:spacing w:before="100" w:beforeAutospacing="1" w:after="100" w:afterAutospacing="1"/>
      <w:jc w:val="right"/>
      <w:textAlignment w:val="center"/>
    </w:pPr>
    <w:rPr>
      <w:b/>
      <w:bCs/>
      <w:lang w:val="es-MX" w:eastAsia="es-MX"/>
    </w:rPr>
  </w:style>
  <w:style w:type="paragraph" w:customStyle="1" w:styleId="xl104">
    <w:name w:val="xl104"/>
    <w:basedOn w:val="Normal"/>
    <w:rsid w:val="00AB0C80"/>
    <w:pPr>
      <w:pBdr>
        <w:top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05">
    <w:name w:val="xl105"/>
    <w:basedOn w:val="Normal"/>
    <w:rsid w:val="00AB0C80"/>
    <w:pPr>
      <w:pBdr>
        <w:top w:val="single" w:sz="8" w:space="0" w:color="auto"/>
        <w:righ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06">
    <w:name w:val="xl106"/>
    <w:basedOn w:val="Normal"/>
    <w:rsid w:val="00AB0C80"/>
    <w:pPr>
      <w:shd w:val="clear" w:color="000000" w:fill="FFFFFF"/>
      <w:spacing w:before="100" w:beforeAutospacing="1" w:after="100" w:afterAutospacing="1"/>
      <w:textAlignment w:val="center"/>
    </w:pPr>
    <w:rPr>
      <w:lang w:val="es-MX" w:eastAsia="es-MX"/>
    </w:rPr>
  </w:style>
  <w:style w:type="paragraph" w:customStyle="1" w:styleId="xl107">
    <w:name w:val="xl107"/>
    <w:basedOn w:val="Normal"/>
    <w:rsid w:val="00AB0C80"/>
    <w:pPr>
      <w:shd w:val="clear" w:color="000000" w:fill="FFFFFF"/>
      <w:spacing w:before="100" w:beforeAutospacing="1" w:after="100" w:afterAutospacing="1"/>
      <w:textAlignment w:val="center"/>
    </w:pPr>
    <w:rPr>
      <w:lang w:val="es-MX" w:eastAsia="es-MX"/>
    </w:rPr>
  </w:style>
  <w:style w:type="paragraph" w:customStyle="1" w:styleId="xl108">
    <w:name w:val="xl108"/>
    <w:basedOn w:val="Normal"/>
    <w:rsid w:val="00AB0C80"/>
    <w:pPr>
      <w:shd w:val="clear" w:color="000000" w:fill="A9D08E"/>
      <w:spacing w:before="100" w:beforeAutospacing="1" w:after="100" w:afterAutospacing="1"/>
      <w:textAlignment w:val="center"/>
    </w:pPr>
    <w:rPr>
      <w:b/>
      <w:bCs/>
      <w:color w:val="000000"/>
      <w:lang w:val="es-MX" w:eastAsia="es-MX"/>
    </w:rPr>
  </w:style>
  <w:style w:type="paragraph" w:customStyle="1" w:styleId="xl109">
    <w:name w:val="xl109"/>
    <w:basedOn w:val="Normal"/>
    <w:rsid w:val="00AB0C80"/>
    <w:pPr>
      <w:pBdr>
        <w:right w:val="single" w:sz="8" w:space="0" w:color="auto"/>
      </w:pBdr>
      <w:shd w:val="clear" w:color="000000" w:fill="A9D08E"/>
      <w:spacing w:before="100" w:beforeAutospacing="1" w:after="100" w:afterAutospacing="1"/>
      <w:textAlignment w:val="center"/>
    </w:pPr>
    <w:rPr>
      <w:b/>
      <w:bCs/>
      <w:color w:val="000000"/>
      <w:lang w:val="es-MX" w:eastAsia="es-MX"/>
    </w:rPr>
  </w:style>
  <w:style w:type="paragraph" w:customStyle="1" w:styleId="xl110">
    <w:name w:val="xl110"/>
    <w:basedOn w:val="Normal"/>
    <w:rsid w:val="00AB0C80"/>
    <w:pPr>
      <w:spacing w:before="100" w:beforeAutospacing="1" w:after="100" w:afterAutospacing="1"/>
      <w:textAlignment w:val="center"/>
    </w:pPr>
    <w:rPr>
      <w:lang w:val="es-MX" w:eastAsia="es-MX"/>
    </w:rPr>
  </w:style>
  <w:style w:type="paragraph" w:customStyle="1" w:styleId="xl111">
    <w:name w:val="xl111"/>
    <w:basedOn w:val="Normal"/>
    <w:rsid w:val="00AB0C80"/>
    <w:pPr>
      <w:shd w:val="clear" w:color="000000" w:fill="FFFFFF"/>
      <w:spacing w:before="100" w:beforeAutospacing="1" w:after="100" w:afterAutospacing="1"/>
      <w:textAlignment w:val="center"/>
    </w:pPr>
    <w:rPr>
      <w:color w:val="FFFFFF"/>
      <w:lang w:val="es-MX" w:eastAsia="es-MX"/>
    </w:rPr>
  </w:style>
  <w:style w:type="paragraph" w:customStyle="1" w:styleId="xl112">
    <w:name w:val="xl112"/>
    <w:basedOn w:val="Normal"/>
    <w:rsid w:val="00AB0C80"/>
    <w:pPr>
      <w:shd w:val="clear" w:color="000000" w:fill="FFFFFF"/>
      <w:spacing w:before="100" w:beforeAutospacing="1" w:after="100" w:afterAutospacing="1"/>
      <w:textAlignment w:val="center"/>
    </w:pPr>
    <w:rPr>
      <w:color w:val="FFFFFF"/>
      <w:lang w:val="es-MX" w:eastAsia="es-MX"/>
    </w:rPr>
  </w:style>
  <w:style w:type="paragraph" w:customStyle="1" w:styleId="xl113">
    <w:name w:val="xl113"/>
    <w:basedOn w:val="Normal"/>
    <w:rsid w:val="00AB0C80"/>
    <w:pPr>
      <w:shd w:val="clear" w:color="000000" w:fill="FFFFFF"/>
      <w:spacing w:before="100" w:beforeAutospacing="1" w:after="100" w:afterAutospacing="1"/>
      <w:textAlignment w:val="center"/>
    </w:pPr>
    <w:rPr>
      <w:color w:val="FFFFFF"/>
      <w:lang w:val="es-MX" w:eastAsia="es-MX"/>
    </w:rPr>
  </w:style>
  <w:style w:type="paragraph" w:customStyle="1" w:styleId="xl114">
    <w:name w:val="xl114"/>
    <w:basedOn w:val="Normal"/>
    <w:rsid w:val="00AB0C80"/>
    <w:pPr>
      <w:shd w:val="clear" w:color="F0E68C" w:fill="C6E0B4"/>
      <w:spacing w:before="100" w:beforeAutospacing="1" w:after="100" w:afterAutospacing="1"/>
      <w:textAlignment w:val="center"/>
    </w:pPr>
    <w:rPr>
      <w:b/>
      <w:bCs/>
      <w:color w:val="000000"/>
      <w:lang w:val="es-MX" w:eastAsia="es-MX"/>
    </w:rPr>
  </w:style>
  <w:style w:type="paragraph" w:customStyle="1" w:styleId="xl115">
    <w:name w:val="xl115"/>
    <w:basedOn w:val="Normal"/>
    <w:rsid w:val="00AB0C80"/>
    <w:pPr>
      <w:pBdr>
        <w:right w:val="single" w:sz="8" w:space="0" w:color="auto"/>
      </w:pBdr>
      <w:shd w:val="clear" w:color="F0E68C" w:fill="C6E0B4"/>
      <w:spacing w:before="100" w:beforeAutospacing="1" w:after="100" w:afterAutospacing="1"/>
      <w:textAlignment w:val="center"/>
    </w:pPr>
    <w:rPr>
      <w:b/>
      <w:bCs/>
      <w:color w:val="000000"/>
      <w:lang w:val="es-MX" w:eastAsia="es-MX"/>
    </w:rPr>
  </w:style>
  <w:style w:type="paragraph" w:customStyle="1" w:styleId="xl116">
    <w:name w:val="xl116"/>
    <w:basedOn w:val="Normal"/>
    <w:rsid w:val="00AB0C80"/>
    <w:pPr>
      <w:shd w:val="clear" w:color="000000" w:fill="FFFFFF"/>
      <w:spacing w:before="100" w:beforeAutospacing="1" w:after="100" w:afterAutospacing="1"/>
      <w:textAlignment w:val="center"/>
    </w:pPr>
    <w:rPr>
      <w:b/>
      <w:bCs/>
      <w:lang w:val="es-MX" w:eastAsia="es-MX"/>
    </w:rPr>
  </w:style>
  <w:style w:type="paragraph" w:customStyle="1" w:styleId="xl117">
    <w:name w:val="xl117"/>
    <w:basedOn w:val="Normal"/>
    <w:rsid w:val="00AB0C80"/>
    <w:pPr>
      <w:spacing w:before="100" w:beforeAutospacing="1" w:after="100" w:afterAutospacing="1"/>
      <w:textAlignment w:val="center"/>
    </w:pPr>
    <w:rPr>
      <w:lang w:val="es-MX" w:eastAsia="es-MX"/>
    </w:rPr>
  </w:style>
  <w:style w:type="paragraph" w:customStyle="1" w:styleId="xl118">
    <w:name w:val="xl118"/>
    <w:basedOn w:val="Normal"/>
    <w:rsid w:val="00AB0C80"/>
    <w:pPr>
      <w:shd w:val="clear" w:color="000000" w:fill="FFFFFF"/>
      <w:spacing w:before="100" w:beforeAutospacing="1" w:after="100" w:afterAutospacing="1"/>
      <w:textAlignment w:val="center"/>
    </w:pPr>
    <w:rPr>
      <w:color w:val="000000"/>
      <w:lang w:val="es-MX" w:eastAsia="es-MX"/>
    </w:rPr>
  </w:style>
  <w:style w:type="paragraph" w:customStyle="1" w:styleId="xl119">
    <w:name w:val="xl119"/>
    <w:basedOn w:val="Normal"/>
    <w:rsid w:val="00AB0C80"/>
    <w:pPr>
      <w:pBdr>
        <w:right w:val="single" w:sz="8" w:space="0" w:color="auto"/>
      </w:pBdr>
      <w:shd w:val="clear" w:color="000000" w:fill="FFFFFF"/>
      <w:spacing w:before="100" w:beforeAutospacing="1" w:after="100" w:afterAutospacing="1"/>
      <w:textAlignment w:val="center"/>
    </w:pPr>
    <w:rPr>
      <w:color w:val="000000"/>
      <w:lang w:val="es-MX" w:eastAsia="es-MX"/>
    </w:rPr>
  </w:style>
  <w:style w:type="paragraph" w:customStyle="1" w:styleId="xl120">
    <w:name w:val="xl120"/>
    <w:basedOn w:val="Normal"/>
    <w:rsid w:val="00AB0C80"/>
    <w:pPr>
      <w:pBdr>
        <w:bottom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21">
    <w:name w:val="xl121"/>
    <w:basedOn w:val="Normal"/>
    <w:rsid w:val="00AB0C80"/>
    <w:pPr>
      <w:shd w:val="clear" w:color="000000" w:fill="FFFFFF"/>
      <w:spacing w:before="100" w:beforeAutospacing="1" w:after="100" w:afterAutospacing="1"/>
      <w:textAlignment w:val="center"/>
    </w:pPr>
    <w:rPr>
      <w:lang w:val="es-MX" w:eastAsia="es-MX"/>
    </w:rPr>
  </w:style>
  <w:style w:type="paragraph" w:customStyle="1" w:styleId="xl122">
    <w:name w:val="xl122"/>
    <w:basedOn w:val="Normal"/>
    <w:rsid w:val="00AB0C80"/>
    <w:pPr>
      <w:shd w:val="clear" w:color="000000" w:fill="FFFFFF"/>
      <w:spacing w:before="100" w:beforeAutospacing="1" w:after="100" w:afterAutospacing="1"/>
      <w:textAlignment w:val="center"/>
    </w:pPr>
    <w:rPr>
      <w:lang w:val="es-MX" w:eastAsia="es-MX"/>
    </w:rPr>
  </w:style>
  <w:style w:type="paragraph" w:customStyle="1" w:styleId="xl123">
    <w:name w:val="xl123"/>
    <w:basedOn w:val="Normal"/>
    <w:rsid w:val="00AB0C80"/>
    <w:pPr>
      <w:pBdr>
        <w:left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24">
    <w:name w:val="xl124"/>
    <w:basedOn w:val="Normal"/>
    <w:rsid w:val="00AB0C80"/>
    <w:pPr>
      <w:pBdr>
        <w:left w:val="single" w:sz="8" w:space="0" w:color="auto"/>
      </w:pBdr>
      <w:shd w:val="clear" w:color="D3D3D3" w:fill="9BC2E6"/>
      <w:spacing w:before="100" w:beforeAutospacing="1" w:after="100" w:afterAutospacing="1"/>
      <w:textAlignment w:val="center"/>
    </w:pPr>
    <w:rPr>
      <w:b/>
      <w:bCs/>
      <w:color w:val="000000"/>
      <w:lang w:val="es-MX" w:eastAsia="es-MX"/>
    </w:rPr>
  </w:style>
  <w:style w:type="paragraph" w:customStyle="1" w:styleId="xl125">
    <w:name w:val="xl125"/>
    <w:basedOn w:val="Normal"/>
    <w:rsid w:val="00AB0C80"/>
    <w:pPr>
      <w:pBdr>
        <w:left w:val="single" w:sz="8" w:space="7" w:color="auto"/>
      </w:pBdr>
      <w:shd w:val="clear" w:color="000000" w:fill="FFFFFF"/>
      <w:spacing w:before="100" w:beforeAutospacing="1" w:after="100" w:afterAutospacing="1"/>
      <w:ind w:firstLineChars="100" w:firstLine="100"/>
      <w:textAlignment w:val="center"/>
    </w:pPr>
    <w:rPr>
      <w:b/>
      <w:bCs/>
      <w:color w:val="000000"/>
      <w:lang w:val="es-MX" w:eastAsia="es-MX"/>
    </w:rPr>
  </w:style>
  <w:style w:type="paragraph" w:customStyle="1" w:styleId="xl126">
    <w:name w:val="xl126"/>
    <w:basedOn w:val="Normal"/>
    <w:rsid w:val="00AB0C80"/>
    <w:pPr>
      <w:pBdr>
        <w:left w:val="single" w:sz="8" w:space="7" w:color="auto"/>
      </w:pBdr>
      <w:shd w:val="clear" w:color="000000" w:fill="FFFFFF"/>
      <w:spacing w:before="100" w:beforeAutospacing="1" w:after="100" w:afterAutospacing="1"/>
      <w:ind w:firstLineChars="100" w:firstLine="100"/>
      <w:textAlignment w:val="center"/>
    </w:pPr>
    <w:rPr>
      <w:color w:val="000000"/>
      <w:lang w:val="es-MX" w:eastAsia="es-MX"/>
    </w:rPr>
  </w:style>
  <w:style w:type="paragraph" w:customStyle="1" w:styleId="xl127">
    <w:name w:val="xl127"/>
    <w:basedOn w:val="Normal"/>
    <w:rsid w:val="00AB0C80"/>
    <w:pPr>
      <w:pBdr>
        <w:lef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28">
    <w:name w:val="xl128"/>
    <w:basedOn w:val="Normal"/>
    <w:rsid w:val="00AB0C80"/>
    <w:pPr>
      <w:pBdr>
        <w:left w:val="single" w:sz="8" w:space="0" w:color="auto"/>
      </w:pBdr>
      <w:shd w:val="clear" w:color="000000" w:fill="FFFFFF"/>
      <w:spacing w:before="100" w:beforeAutospacing="1" w:after="100" w:afterAutospacing="1"/>
      <w:textAlignment w:val="center"/>
    </w:pPr>
    <w:rPr>
      <w:b/>
      <w:bCs/>
      <w:color w:val="000000"/>
      <w:lang w:val="es-MX" w:eastAsia="es-MX"/>
    </w:rPr>
  </w:style>
  <w:style w:type="paragraph" w:customStyle="1" w:styleId="xl129">
    <w:name w:val="xl129"/>
    <w:basedOn w:val="Normal"/>
    <w:rsid w:val="00AB0C80"/>
    <w:pPr>
      <w:pBdr>
        <w:left w:val="single" w:sz="8" w:space="0" w:color="auto"/>
      </w:pBdr>
      <w:shd w:val="clear" w:color="000000" w:fill="BFBFBF"/>
      <w:spacing w:before="100" w:beforeAutospacing="1" w:after="100" w:afterAutospacing="1"/>
      <w:textAlignment w:val="center"/>
    </w:pPr>
    <w:rPr>
      <w:b/>
      <w:bCs/>
      <w:color w:val="000000"/>
      <w:lang w:val="es-MX" w:eastAsia="es-MX"/>
    </w:rPr>
  </w:style>
  <w:style w:type="paragraph" w:customStyle="1" w:styleId="xl130">
    <w:name w:val="xl130"/>
    <w:basedOn w:val="Normal"/>
    <w:rsid w:val="00AB0C80"/>
    <w:pPr>
      <w:pBdr>
        <w:left w:val="single" w:sz="8" w:space="0" w:color="auto"/>
      </w:pBdr>
      <w:shd w:val="clear" w:color="000000" w:fill="D9D9D9"/>
      <w:spacing w:before="100" w:beforeAutospacing="1" w:after="100" w:afterAutospacing="1"/>
      <w:textAlignment w:val="center"/>
    </w:pPr>
    <w:rPr>
      <w:color w:val="000000"/>
      <w:lang w:val="es-MX" w:eastAsia="es-MX"/>
    </w:rPr>
  </w:style>
  <w:style w:type="paragraph" w:customStyle="1" w:styleId="xl131">
    <w:name w:val="xl131"/>
    <w:basedOn w:val="Normal"/>
    <w:rsid w:val="00AB0C80"/>
    <w:pPr>
      <w:pBdr>
        <w:left w:val="single" w:sz="8" w:space="0" w:color="auto"/>
        <w:bottom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32">
    <w:name w:val="xl132"/>
    <w:basedOn w:val="Normal"/>
    <w:rsid w:val="00AB0C80"/>
    <w:pPr>
      <w:pBdr>
        <w:top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33">
    <w:name w:val="xl133"/>
    <w:basedOn w:val="Normal"/>
    <w:rsid w:val="00AB0C80"/>
    <w:pPr>
      <w:pBdr>
        <w:top w:val="single" w:sz="8" w:space="0" w:color="auto"/>
        <w:right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34">
    <w:name w:val="xl134"/>
    <w:basedOn w:val="Normal"/>
    <w:rsid w:val="00AB0C80"/>
    <w:pPr>
      <w:pBdr>
        <w:top w:val="single" w:sz="8" w:space="0" w:color="auto"/>
        <w:lef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35">
    <w:name w:val="xl135"/>
    <w:basedOn w:val="Normal"/>
    <w:rsid w:val="00AB0C80"/>
    <w:pPr>
      <w:pBdr>
        <w:left w:val="single" w:sz="8" w:space="0" w:color="auto"/>
      </w:pBdr>
      <w:shd w:val="clear" w:color="90EE90" w:fill="FFFFFF"/>
      <w:spacing w:before="100" w:beforeAutospacing="1" w:after="100" w:afterAutospacing="1"/>
      <w:textAlignment w:val="center"/>
    </w:pPr>
    <w:rPr>
      <w:b/>
      <w:bCs/>
      <w:color w:val="000000"/>
      <w:lang w:val="es-MX" w:eastAsia="es-MX"/>
    </w:rPr>
  </w:style>
  <w:style w:type="paragraph" w:customStyle="1" w:styleId="xl136">
    <w:name w:val="xl136"/>
    <w:basedOn w:val="Normal"/>
    <w:rsid w:val="00AB0C80"/>
    <w:pPr>
      <w:pBdr>
        <w:left w:val="single" w:sz="8" w:space="0" w:color="auto"/>
      </w:pBdr>
      <w:shd w:val="clear" w:color="000000" w:fill="A9D08E"/>
      <w:spacing w:before="100" w:beforeAutospacing="1" w:after="100" w:afterAutospacing="1"/>
      <w:textAlignment w:val="center"/>
    </w:pPr>
    <w:rPr>
      <w:b/>
      <w:bCs/>
      <w:color w:val="000000"/>
      <w:lang w:val="es-MX" w:eastAsia="es-MX"/>
    </w:rPr>
  </w:style>
  <w:style w:type="paragraph" w:customStyle="1" w:styleId="xl137">
    <w:name w:val="xl137"/>
    <w:basedOn w:val="Normal"/>
    <w:rsid w:val="00AB0C80"/>
    <w:pPr>
      <w:pBdr>
        <w:left w:val="single" w:sz="8" w:space="0" w:color="auto"/>
      </w:pBdr>
      <w:shd w:val="clear" w:color="000000" w:fill="FFFFFF"/>
      <w:spacing w:before="100" w:beforeAutospacing="1" w:after="100" w:afterAutospacing="1"/>
      <w:textAlignment w:val="center"/>
    </w:pPr>
    <w:rPr>
      <w:color w:val="FFFFFF"/>
      <w:lang w:val="es-MX" w:eastAsia="es-MX"/>
    </w:rPr>
  </w:style>
  <w:style w:type="paragraph" w:customStyle="1" w:styleId="xl138">
    <w:name w:val="xl138"/>
    <w:basedOn w:val="Normal"/>
    <w:rsid w:val="00AB0C80"/>
    <w:pPr>
      <w:pBdr>
        <w:left w:val="single" w:sz="8" w:space="0" w:color="auto"/>
      </w:pBdr>
      <w:shd w:val="clear" w:color="F0E68C" w:fill="C6E0B4"/>
      <w:spacing w:before="100" w:beforeAutospacing="1" w:after="100" w:afterAutospacing="1"/>
      <w:textAlignment w:val="center"/>
    </w:pPr>
    <w:rPr>
      <w:b/>
      <w:bCs/>
      <w:color w:val="000000"/>
      <w:lang w:val="es-MX" w:eastAsia="es-MX"/>
    </w:rPr>
  </w:style>
  <w:style w:type="paragraph" w:customStyle="1" w:styleId="xl139">
    <w:name w:val="xl139"/>
    <w:basedOn w:val="Normal"/>
    <w:rsid w:val="00AB0C80"/>
    <w:pPr>
      <w:pBdr>
        <w:left w:val="single" w:sz="8" w:space="0" w:color="auto"/>
      </w:pBdr>
      <w:shd w:val="clear" w:color="000000" w:fill="FFFFFF"/>
      <w:spacing w:before="100" w:beforeAutospacing="1" w:after="100" w:afterAutospacing="1"/>
      <w:textAlignment w:val="center"/>
    </w:pPr>
    <w:rPr>
      <w:b/>
      <w:bCs/>
      <w:color w:val="000000"/>
      <w:lang w:val="es-MX" w:eastAsia="es-MX"/>
    </w:rPr>
  </w:style>
  <w:style w:type="paragraph" w:customStyle="1" w:styleId="xl140">
    <w:name w:val="xl140"/>
    <w:basedOn w:val="Normal"/>
    <w:rsid w:val="00AB0C80"/>
    <w:pPr>
      <w:pBdr>
        <w:left w:val="single" w:sz="8" w:space="0" w:color="auto"/>
        <w:bottom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41">
    <w:name w:val="xl141"/>
    <w:basedOn w:val="Normal"/>
    <w:rsid w:val="00AB0C80"/>
    <w:pPr>
      <w:shd w:val="clear" w:color="000000" w:fill="FFFFFF"/>
      <w:spacing w:before="100" w:beforeAutospacing="1" w:after="100" w:afterAutospacing="1"/>
      <w:textAlignment w:val="center"/>
    </w:pPr>
    <w:rPr>
      <w:lang w:val="es-MX" w:eastAsia="es-MX"/>
    </w:rPr>
  </w:style>
  <w:style w:type="paragraph" w:customStyle="1" w:styleId="xl142">
    <w:name w:val="xl142"/>
    <w:basedOn w:val="Normal"/>
    <w:rsid w:val="00AB0C80"/>
    <w:pPr>
      <w:pBdr>
        <w:bottom w:val="single" w:sz="8" w:space="0" w:color="auto"/>
        <w:righ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43">
    <w:name w:val="xl143"/>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ind w:firstLineChars="600" w:firstLine="600"/>
      <w:textAlignment w:val="center"/>
    </w:pPr>
    <w:rPr>
      <w:b/>
      <w:bCs/>
      <w:color w:val="FFFFFF"/>
      <w:lang w:val="es-MX" w:eastAsia="es-MX"/>
    </w:rPr>
  </w:style>
  <w:style w:type="paragraph" w:customStyle="1" w:styleId="xl144">
    <w:name w:val="xl144"/>
    <w:basedOn w:val="Normal"/>
    <w:rsid w:val="00AB0C80"/>
    <w:pPr>
      <w:shd w:val="clear" w:color="000000" w:fill="FFFFFF"/>
      <w:spacing w:before="100" w:beforeAutospacing="1" w:after="100" w:afterAutospacing="1"/>
      <w:textAlignment w:val="center"/>
    </w:pPr>
    <w:rPr>
      <w:lang w:val="es-MX" w:eastAsia="es-MX"/>
    </w:rPr>
  </w:style>
  <w:style w:type="paragraph" w:customStyle="1" w:styleId="xl145">
    <w:name w:val="xl145"/>
    <w:basedOn w:val="Normal"/>
    <w:rsid w:val="00AB0C80"/>
    <w:pPr>
      <w:pBdr>
        <w:right w:val="single" w:sz="8" w:space="0" w:color="auto"/>
      </w:pBdr>
      <w:shd w:val="clear" w:color="000000" w:fill="FFFFFF"/>
      <w:spacing w:before="100" w:beforeAutospacing="1" w:after="100" w:afterAutospacing="1"/>
      <w:jc w:val="right"/>
      <w:textAlignment w:val="center"/>
    </w:pPr>
    <w:rPr>
      <w:color w:val="000000"/>
      <w:lang w:val="es-MX" w:eastAsia="es-MX"/>
    </w:rPr>
  </w:style>
  <w:style w:type="paragraph" w:customStyle="1" w:styleId="xl146">
    <w:name w:val="xl146"/>
    <w:basedOn w:val="Normal"/>
    <w:rsid w:val="00AB0C80"/>
    <w:pPr>
      <w:pBdr>
        <w:right w:val="single" w:sz="8" w:space="0" w:color="auto"/>
      </w:pBdr>
      <w:shd w:val="clear" w:color="F0E68C" w:fill="D9E1F2"/>
      <w:spacing w:before="100" w:beforeAutospacing="1" w:after="100" w:afterAutospacing="1"/>
      <w:jc w:val="right"/>
      <w:textAlignment w:val="center"/>
    </w:pPr>
    <w:rPr>
      <w:b/>
      <w:bCs/>
      <w:color w:val="000000"/>
      <w:lang w:val="es-MX" w:eastAsia="es-MX"/>
    </w:rPr>
  </w:style>
  <w:style w:type="paragraph" w:customStyle="1" w:styleId="xl147">
    <w:name w:val="xl147"/>
    <w:basedOn w:val="Normal"/>
    <w:rsid w:val="00AB0C80"/>
    <w:pPr>
      <w:pBdr>
        <w:right w:val="single" w:sz="8" w:space="0" w:color="auto"/>
      </w:pBdr>
      <w:shd w:val="clear" w:color="F0E68C" w:fill="FFFFFF"/>
      <w:spacing w:before="100" w:beforeAutospacing="1" w:after="100" w:afterAutospacing="1"/>
      <w:jc w:val="right"/>
      <w:textAlignment w:val="center"/>
    </w:pPr>
    <w:rPr>
      <w:b/>
      <w:bCs/>
      <w:color w:val="000000"/>
      <w:lang w:val="es-MX" w:eastAsia="es-MX"/>
    </w:rPr>
  </w:style>
  <w:style w:type="paragraph" w:customStyle="1" w:styleId="xl148">
    <w:name w:val="xl148"/>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149">
    <w:name w:val="xl149"/>
    <w:basedOn w:val="Normal"/>
    <w:rsid w:val="00AB0C80"/>
    <w:pPr>
      <w:pBdr>
        <w:right w:val="single" w:sz="8" w:space="0" w:color="auto"/>
      </w:pBdr>
      <w:shd w:val="clear" w:color="000000" w:fill="FFFFFF"/>
      <w:spacing w:before="100" w:beforeAutospacing="1" w:after="100" w:afterAutospacing="1"/>
      <w:jc w:val="center"/>
      <w:textAlignment w:val="center"/>
    </w:pPr>
    <w:rPr>
      <w:lang w:val="es-MX" w:eastAsia="es-MX"/>
    </w:rPr>
  </w:style>
  <w:style w:type="paragraph" w:customStyle="1" w:styleId="xl150">
    <w:name w:val="xl150"/>
    <w:basedOn w:val="Normal"/>
    <w:rsid w:val="00AB0C80"/>
    <w:pPr>
      <w:pBdr>
        <w:right w:val="single" w:sz="8" w:space="0" w:color="auto"/>
      </w:pBdr>
      <w:shd w:val="clear" w:color="000000" w:fill="FFFFFF"/>
      <w:spacing w:before="100" w:beforeAutospacing="1" w:after="100" w:afterAutospacing="1"/>
      <w:jc w:val="right"/>
      <w:textAlignment w:val="center"/>
    </w:pPr>
    <w:rPr>
      <w:lang w:val="es-MX" w:eastAsia="es-MX"/>
    </w:rPr>
  </w:style>
  <w:style w:type="paragraph" w:customStyle="1" w:styleId="xl151">
    <w:name w:val="xl151"/>
    <w:basedOn w:val="Normal"/>
    <w:rsid w:val="00AB0C80"/>
    <w:pPr>
      <w:pBdr>
        <w:right w:val="single" w:sz="8" w:space="0" w:color="auto"/>
      </w:pBdr>
      <w:shd w:val="clear" w:color="000000" w:fill="FFFFFF"/>
      <w:spacing w:before="100" w:beforeAutospacing="1" w:after="100" w:afterAutospacing="1"/>
      <w:textAlignment w:val="center"/>
    </w:pPr>
    <w:rPr>
      <w:color w:val="FFFFFF"/>
      <w:lang w:val="es-MX" w:eastAsia="es-MX"/>
    </w:rPr>
  </w:style>
  <w:style w:type="paragraph" w:customStyle="1" w:styleId="xl152">
    <w:name w:val="xl152"/>
    <w:basedOn w:val="Normal"/>
    <w:rsid w:val="00AB0C80"/>
    <w:pPr>
      <w:pBdr>
        <w:right w:val="single" w:sz="8" w:space="0" w:color="auto"/>
      </w:pBdr>
      <w:shd w:val="clear" w:color="000000" w:fill="FFFFFF"/>
      <w:spacing w:before="100" w:beforeAutospacing="1" w:after="100" w:afterAutospacing="1"/>
      <w:textAlignment w:val="center"/>
    </w:pPr>
    <w:rPr>
      <w:b/>
      <w:bCs/>
      <w:lang w:val="es-MX" w:eastAsia="es-MX"/>
    </w:rPr>
  </w:style>
  <w:style w:type="paragraph" w:customStyle="1" w:styleId="xl153">
    <w:name w:val="xl153"/>
    <w:basedOn w:val="Normal"/>
    <w:rsid w:val="00AB0C80"/>
    <w:pPr>
      <w:pBdr>
        <w:right w:val="single" w:sz="8" w:space="0" w:color="auto"/>
      </w:pBdr>
      <w:shd w:val="clear" w:color="000000" w:fill="FFFFFF"/>
      <w:spacing w:before="100" w:beforeAutospacing="1" w:after="100" w:afterAutospacing="1"/>
      <w:textAlignment w:val="center"/>
    </w:pPr>
    <w:rPr>
      <w:color w:val="FFFFFF"/>
      <w:lang w:val="es-MX" w:eastAsia="es-MX"/>
    </w:rPr>
  </w:style>
  <w:style w:type="paragraph" w:customStyle="1" w:styleId="xl154">
    <w:name w:val="xl154"/>
    <w:basedOn w:val="Normal"/>
    <w:rsid w:val="00AB0C80"/>
    <w:pPr>
      <w:pBdr>
        <w:right w:val="single" w:sz="8" w:space="0" w:color="auto"/>
      </w:pBdr>
      <w:shd w:val="clear" w:color="000000" w:fill="FFFFFF"/>
      <w:spacing w:before="100" w:beforeAutospacing="1" w:after="100" w:afterAutospacing="1"/>
      <w:jc w:val="right"/>
      <w:textAlignment w:val="center"/>
    </w:pPr>
    <w:rPr>
      <w:color w:val="FFFFFF"/>
      <w:lang w:val="es-MX" w:eastAsia="es-MX"/>
    </w:rPr>
  </w:style>
  <w:style w:type="paragraph" w:customStyle="1" w:styleId="xl155">
    <w:name w:val="xl155"/>
    <w:basedOn w:val="Normal"/>
    <w:rsid w:val="00AB0C80"/>
    <w:pPr>
      <w:pBdr>
        <w:top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6">
    <w:name w:val="xl156"/>
    <w:basedOn w:val="Normal"/>
    <w:rsid w:val="00AB0C80"/>
    <w:pPr>
      <w:pBdr>
        <w:top w:val="single" w:sz="8" w:space="0" w:color="auto"/>
        <w:right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7">
    <w:name w:val="xl157"/>
    <w:basedOn w:val="Normal"/>
    <w:rsid w:val="00AB0C80"/>
    <w:pPr>
      <w:pBdr>
        <w:top w:val="single" w:sz="8" w:space="0" w:color="auto"/>
        <w:left w:val="single" w:sz="8" w:space="0" w:color="auto"/>
        <w:bottom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8">
    <w:name w:val="xl158"/>
    <w:basedOn w:val="Normal"/>
    <w:rsid w:val="00AB0C80"/>
    <w:pPr>
      <w:pBdr>
        <w:top w:val="single" w:sz="8" w:space="0" w:color="auto"/>
        <w:bottom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9">
    <w:name w:val="xl159"/>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60">
    <w:name w:val="xl160"/>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161">
    <w:name w:val="xl161"/>
    <w:basedOn w:val="Normal"/>
    <w:rsid w:val="00AB0C80"/>
    <w:pPr>
      <w:shd w:val="clear" w:color="000000" w:fill="FFFFFF"/>
      <w:spacing w:before="100" w:beforeAutospacing="1" w:after="100" w:afterAutospacing="1"/>
      <w:textAlignment w:val="center"/>
    </w:pPr>
    <w:rPr>
      <w:lang w:val="es-MX" w:eastAsia="es-MX"/>
    </w:rPr>
  </w:style>
  <w:style w:type="paragraph" w:customStyle="1" w:styleId="xl162">
    <w:name w:val="xl162"/>
    <w:basedOn w:val="Normal"/>
    <w:rsid w:val="00AB0C80"/>
    <w:pPr>
      <w:pBdr>
        <w:top w:val="single" w:sz="8" w:space="0" w:color="auto"/>
        <w:left w:val="single" w:sz="8" w:space="0" w:color="auto"/>
        <w:bottom w:val="single" w:sz="8" w:space="0" w:color="auto"/>
        <w:right w:val="single" w:sz="8" w:space="0" w:color="auto"/>
      </w:pBdr>
      <w:shd w:val="clear" w:color="000000" w:fill="00008B"/>
      <w:spacing w:before="100" w:beforeAutospacing="1" w:after="100" w:afterAutospacing="1"/>
    </w:pPr>
    <w:rPr>
      <w:b/>
      <w:bCs/>
      <w:color w:val="FFFFFF"/>
      <w:lang w:val="es-MX" w:eastAsia="es-MX"/>
    </w:rPr>
  </w:style>
  <w:style w:type="paragraph" w:customStyle="1" w:styleId="xl163">
    <w:name w:val="xl163"/>
    <w:basedOn w:val="Normal"/>
    <w:rsid w:val="00AB0C80"/>
    <w:pPr>
      <w:pBdr>
        <w:top w:val="single" w:sz="8" w:space="0" w:color="auto"/>
        <w:left w:val="single" w:sz="8" w:space="0" w:color="auto"/>
        <w:bottom w:val="single" w:sz="8" w:space="0" w:color="auto"/>
      </w:pBdr>
      <w:spacing w:before="100" w:beforeAutospacing="1" w:after="100" w:afterAutospacing="1"/>
    </w:pPr>
    <w:rPr>
      <w:b/>
      <w:bCs/>
      <w:lang w:val="es-MX" w:eastAsia="es-MX"/>
    </w:rPr>
  </w:style>
  <w:style w:type="paragraph" w:customStyle="1" w:styleId="xl164">
    <w:name w:val="xl164"/>
    <w:basedOn w:val="Normal"/>
    <w:rsid w:val="00AB0C80"/>
    <w:pPr>
      <w:pBdr>
        <w:top w:val="single" w:sz="8" w:space="0" w:color="auto"/>
        <w:bottom w:val="single" w:sz="8" w:space="0" w:color="auto"/>
      </w:pBdr>
      <w:spacing w:before="100" w:beforeAutospacing="1" w:after="100" w:afterAutospacing="1"/>
    </w:pPr>
    <w:rPr>
      <w:b/>
      <w:bCs/>
      <w:lang w:val="es-MX" w:eastAsia="es-MX"/>
    </w:rPr>
  </w:style>
  <w:style w:type="paragraph" w:customStyle="1" w:styleId="xl165">
    <w:name w:val="xl165"/>
    <w:basedOn w:val="Normal"/>
    <w:rsid w:val="00AB0C80"/>
    <w:pPr>
      <w:pBdr>
        <w:top w:val="single" w:sz="8" w:space="0" w:color="auto"/>
        <w:bottom w:val="single" w:sz="8" w:space="0" w:color="auto"/>
        <w:right w:val="single" w:sz="8" w:space="0" w:color="auto"/>
      </w:pBdr>
      <w:spacing w:before="100" w:beforeAutospacing="1" w:after="100" w:afterAutospacing="1"/>
    </w:pPr>
    <w:rPr>
      <w:b/>
      <w:bCs/>
      <w:lang w:val="es-MX" w:eastAsia="es-MX"/>
    </w:rPr>
  </w:style>
  <w:style w:type="table" w:customStyle="1" w:styleId="TableNormal">
    <w:name w:val="Table Normal"/>
    <w:uiPriority w:val="2"/>
    <w:semiHidden/>
    <w:unhideWhenUsed/>
    <w:qFormat/>
    <w:rsid w:val="00AB0C8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0C80"/>
    <w:pPr>
      <w:widowControl w:val="0"/>
      <w:autoSpaceDE w:val="0"/>
      <w:autoSpaceDN w:val="0"/>
    </w:pPr>
    <w:rPr>
      <w:rFonts w:ascii="Tahoma" w:eastAsia="Tahoma" w:hAnsi="Tahoma" w:cs="Tahoma"/>
      <w:sz w:val="22"/>
      <w:szCs w:val="22"/>
      <w:lang w:eastAsia="en-US"/>
    </w:rPr>
  </w:style>
  <w:style w:type="character" w:customStyle="1" w:styleId="Ttulo1Car1">
    <w:name w:val="Título 1 Car1"/>
    <w:uiPriority w:val="9"/>
    <w:rsid w:val="00AB0C80"/>
    <w:rPr>
      <w:rFonts w:ascii="Cambria" w:eastAsia="Times New Roman" w:hAnsi="Cambria" w:cs="Times New Roman"/>
      <w:b/>
      <w:bCs/>
      <w:color w:val="365F91"/>
      <w:sz w:val="28"/>
      <w:szCs w:val="28"/>
      <w:lang w:eastAsia="es-MX"/>
    </w:rPr>
  </w:style>
  <w:style w:type="character" w:customStyle="1" w:styleId="Ttulo2Car1">
    <w:name w:val="Título 2 Car1"/>
    <w:uiPriority w:val="9"/>
    <w:semiHidden/>
    <w:rsid w:val="00AB0C80"/>
    <w:rPr>
      <w:rFonts w:ascii="Cambria" w:eastAsia="Times New Roman" w:hAnsi="Cambria" w:cs="Times New Roman"/>
      <w:b/>
      <w:bCs/>
      <w:color w:val="4F81BD"/>
      <w:sz w:val="26"/>
      <w:szCs w:val="26"/>
      <w:lang w:eastAsia="es-MX"/>
    </w:rPr>
  </w:style>
  <w:style w:type="paragraph" w:styleId="Revisin">
    <w:name w:val="Revision"/>
    <w:hidden/>
    <w:uiPriority w:val="99"/>
    <w:semiHidden/>
    <w:rsid w:val="001B04B6"/>
    <w:rPr>
      <w:sz w:val="24"/>
      <w:szCs w:val="22"/>
    </w:rPr>
  </w:style>
  <w:style w:type="paragraph" w:customStyle="1" w:styleId="Texto">
    <w:name w:val="Texto"/>
    <w:basedOn w:val="Normal"/>
    <w:link w:val="TextoCar"/>
    <w:rsid w:val="001B04B6"/>
    <w:pPr>
      <w:spacing w:after="101" w:line="216" w:lineRule="exact"/>
      <w:ind w:firstLine="288"/>
      <w:jc w:val="both"/>
    </w:pPr>
    <w:rPr>
      <w:rFonts w:ascii="Arial" w:hAnsi="Arial" w:cs="Arial"/>
      <w:sz w:val="18"/>
      <w:szCs w:val="20"/>
    </w:rPr>
  </w:style>
  <w:style w:type="character" w:customStyle="1" w:styleId="TextoCar">
    <w:name w:val="Texto Car"/>
    <w:link w:val="Texto"/>
    <w:locked/>
    <w:rsid w:val="001B04B6"/>
    <w:rPr>
      <w:rFonts w:ascii="Arial"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95584197">
      <w:bodyDiv w:val="1"/>
      <w:marLeft w:val="0"/>
      <w:marRight w:val="0"/>
      <w:marTop w:val="0"/>
      <w:marBottom w:val="0"/>
      <w:divBdr>
        <w:top w:val="none" w:sz="0" w:space="0" w:color="auto"/>
        <w:left w:val="none" w:sz="0" w:space="0" w:color="auto"/>
        <w:bottom w:val="none" w:sz="0" w:space="0" w:color="auto"/>
        <w:right w:val="none" w:sz="0" w:space="0" w:color="auto"/>
      </w:divBdr>
    </w:div>
    <w:div w:id="437798153">
      <w:bodyDiv w:val="1"/>
      <w:marLeft w:val="0"/>
      <w:marRight w:val="0"/>
      <w:marTop w:val="0"/>
      <w:marBottom w:val="0"/>
      <w:divBdr>
        <w:top w:val="none" w:sz="0" w:space="0" w:color="auto"/>
        <w:left w:val="none" w:sz="0" w:space="0" w:color="auto"/>
        <w:bottom w:val="none" w:sz="0" w:space="0" w:color="auto"/>
        <w:right w:val="none" w:sz="0" w:space="0" w:color="auto"/>
      </w:divBdr>
    </w:div>
    <w:div w:id="573901406">
      <w:bodyDiv w:val="1"/>
      <w:marLeft w:val="0"/>
      <w:marRight w:val="0"/>
      <w:marTop w:val="0"/>
      <w:marBottom w:val="0"/>
      <w:divBdr>
        <w:top w:val="none" w:sz="0" w:space="0" w:color="auto"/>
        <w:left w:val="none" w:sz="0" w:space="0" w:color="auto"/>
        <w:bottom w:val="none" w:sz="0" w:space="0" w:color="auto"/>
        <w:right w:val="none" w:sz="0" w:space="0" w:color="auto"/>
      </w:divBdr>
    </w:div>
    <w:div w:id="593629852">
      <w:bodyDiv w:val="1"/>
      <w:marLeft w:val="0"/>
      <w:marRight w:val="0"/>
      <w:marTop w:val="0"/>
      <w:marBottom w:val="0"/>
      <w:divBdr>
        <w:top w:val="none" w:sz="0" w:space="0" w:color="auto"/>
        <w:left w:val="none" w:sz="0" w:space="0" w:color="auto"/>
        <w:bottom w:val="none" w:sz="0" w:space="0" w:color="auto"/>
        <w:right w:val="none" w:sz="0" w:space="0" w:color="auto"/>
      </w:divBdr>
    </w:div>
    <w:div w:id="940338439">
      <w:bodyDiv w:val="1"/>
      <w:marLeft w:val="0"/>
      <w:marRight w:val="0"/>
      <w:marTop w:val="0"/>
      <w:marBottom w:val="0"/>
      <w:divBdr>
        <w:top w:val="none" w:sz="0" w:space="0" w:color="auto"/>
        <w:left w:val="none" w:sz="0" w:space="0" w:color="auto"/>
        <w:bottom w:val="none" w:sz="0" w:space="0" w:color="auto"/>
        <w:right w:val="none" w:sz="0" w:space="0" w:color="auto"/>
      </w:divBdr>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476484740">
      <w:bodyDiv w:val="1"/>
      <w:marLeft w:val="0"/>
      <w:marRight w:val="0"/>
      <w:marTop w:val="0"/>
      <w:marBottom w:val="0"/>
      <w:divBdr>
        <w:top w:val="none" w:sz="0" w:space="0" w:color="auto"/>
        <w:left w:val="none" w:sz="0" w:space="0" w:color="auto"/>
        <w:bottom w:val="none" w:sz="0" w:space="0" w:color="auto"/>
        <w:right w:val="none" w:sz="0" w:space="0" w:color="auto"/>
      </w:divBdr>
    </w:div>
    <w:div w:id="1571384210">
      <w:bodyDiv w:val="1"/>
      <w:marLeft w:val="0"/>
      <w:marRight w:val="0"/>
      <w:marTop w:val="0"/>
      <w:marBottom w:val="0"/>
      <w:divBdr>
        <w:top w:val="none" w:sz="0" w:space="0" w:color="auto"/>
        <w:left w:val="none" w:sz="0" w:space="0" w:color="auto"/>
        <w:bottom w:val="none" w:sz="0" w:space="0" w:color="auto"/>
        <w:right w:val="none" w:sz="0" w:space="0" w:color="auto"/>
      </w:divBdr>
      <w:divsChild>
        <w:div w:id="817767746">
          <w:marLeft w:val="0"/>
          <w:marRight w:val="0"/>
          <w:marTop w:val="0"/>
          <w:marBottom w:val="0"/>
          <w:divBdr>
            <w:top w:val="none" w:sz="0" w:space="0" w:color="auto"/>
            <w:left w:val="none" w:sz="0" w:space="0" w:color="auto"/>
            <w:bottom w:val="none" w:sz="0" w:space="0" w:color="auto"/>
            <w:right w:val="none" w:sz="0" w:space="0" w:color="auto"/>
          </w:divBdr>
          <w:divsChild>
            <w:div w:id="474224810">
              <w:marLeft w:val="0"/>
              <w:marRight w:val="0"/>
              <w:marTop w:val="0"/>
              <w:marBottom w:val="0"/>
              <w:divBdr>
                <w:top w:val="none" w:sz="0" w:space="0" w:color="auto"/>
                <w:left w:val="none" w:sz="0" w:space="0" w:color="auto"/>
                <w:bottom w:val="none" w:sz="0" w:space="0" w:color="auto"/>
                <w:right w:val="none" w:sz="0" w:space="0" w:color="auto"/>
              </w:divBdr>
            </w:div>
          </w:divsChild>
        </w:div>
        <w:div w:id="1904755896">
          <w:marLeft w:val="0"/>
          <w:marRight w:val="0"/>
          <w:marTop w:val="0"/>
          <w:marBottom w:val="0"/>
          <w:divBdr>
            <w:top w:val="none" w:sz="0" w:space="0" w:color="auto"/>
            <w:left w:val="none" w:sz="0" w:space="0" w:color="auto"/>
            <w:bottom w:val="none" w:sz="0" w:space="0" w:color="auto"/>
            <w:right w:val="none" w:sz="0" w:space="0" w:color="auto"/>
          </w:divBdr>
          <w:divsChild>
            <w:div w:id="19476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2" Type="http://schemas.openxmlformats.org/officeDocument/2006/relationships/hyperlink" Target="https://www.inegi.org.mx/app/indicesdeprecios/CalculadoraInflacion.aspx" TargetMode="External"/><Relationship Id="rId1" Type="http://schemas.openxmlformats.org/officeDocument/2006/relationships/hyperlink" Target="https://public.tableau.com/app/profile/imss.cpe/viz/Histrico_4/Empleo_h?publish=y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0.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8C7D6-EEE4-4BA4-A251-0A5C4F96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56</Pages>
  <Words>14775</Words>
  <Characters>81268</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95852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subject/>
  <dc:creator>ADDA GRANIEL</dc:creator>
  <cp:keywords/>
  <cp:lastModifiedBy>adda.granier</cp:lastModifiedBy>
  <cp:revision>32</cp:revision>
  <cp:lastPrinted>2022-12-03T19:19:00Z</cp:lastPrinted>
  <dcterms:created xsi:type="dcterms:W3CDTF">2022-11-29T17:01:00Z</dcterms:created>
  <dcterms:modified xsi:type="dcterms:W3CDTF">2022-12-03T19:26:00Z</dcterms:modified>
</cp:coreProperties>
</file>