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887" w:rsidRPr="00F31F1F" w:rsidRDefault="007F6887" w:rsidP="007F6887">
      <w:pPr>
        <w:spacing w:before="100" w:beforeAutospacing="1" w:after="100" w:afterAutospacing="1"/>
        <w:jc w:val="right"/>
        <w:rPr>
          <w:rFonts w:cs="Arial"/>
        </w:rPr>
      </w:pPr>
      <w:r w:rsidRPr="00F31F1F">
        <w:rPr>
          <w:rFonts w:cs="Arial"/>
        </w:rPr>
        <w:t>Mérida, Yuc</w:t>
      </w:r>
      <w:r>
        <w:rPr>
          <w:rFonts w:cs="Arial"/>
        </w:rPr>
        <w:t>atán, a 25 de noviembre de 2020</w:t>
      </w:r>
    </w:p>
    <w:p w:rsidR="007F6887" w:rsidRPr="00F31F1F" w:rsidRDefault="007F6887" w:rsidP="007F6887">
      <w:pPr>
        <w:spacing w:before="100" w:beforeAutospacing="1" w:after="100" w:afterAutospacing="1"/>
        <w:rPr>
          <w:rFonts w:cs="Arial"/>
          <w:b/>
        </w:rPr>
      </w:pPr>
      <w:r w:rsidRPr="00F31F1F">
        <w:rPr>
          <w:rFonts w:cs="Arial"/>
          <w:b/>
        </w:rPr>
        <w:t>H. Congreso del Estado de Yucatán:</w:t>
      </w:r>
    </w:p>
    <w:p w:rsidR="007F6887" w:rsidRPr="00F31F1F" w:rsidRDefault="007F6887" w:rsidP="007F6887">
      <w:pPr>
        <w:spacing w:before="100" w:beforeAutospacing="1" w:after="100" w:afterAutospacing="1"/>
        <w:jc w:val="center"/>
        <w:rPr>
          <w:rFonts w:cs="Arial"/>
          <w:b/>
        </w:rPr>
      </w:pPr>
      <w:r w:rsidRPr="00F31F1F">
        <w:rPr>
          <w:rFonts w:cs="Arial"/>
          <w:b/>
        </w:rPr>
        <w:t>Iniciativa para expedir el Presupuesto de Egresos del Gobierno del Estado de Yucat</w:t>
      </w:r>
      <w:r>
        <w:rPr>
          <w:rFonts w:cs="Arial"/>
          <w:b/>
        </w:rPr>
        <w:t>án para el Ejercicio Fiscal 2021</w:t>
      </w:r>
    </w:p>
    <w:p w:rsidR="007F6887" w:rsidRPr="00F31F1F" w:rsidRDefault="007F6887" w:rsidP="007F6887">
      <w:pPr>
        <w:spacing w:before="100" w:beforeAutospacing="1" w:after="100" w:afterAutospacing="1"/>
        <w:jc w:val="center"/>
        <w:rPr>
          <w:rFonts w:cs="Arial"/>
          <w:b/>
        </w:rPr>
      </w:pPr>
      <w:r w:rsidRPr="00F31F1F">
        <w:rPr>
          <w:rFonts w:cs="Arial"/>
          <w:b/>
        </w:rPr>
        <w:t>Exposición de motivos</w:t>
      </w:r>
    </w:p>
    <w:p w:rsidR="007F6887" w:rsidRPr="00F31F1F" w:rsidRDefault="007F6887" w:rsidP="007F6887">
      <w:pPr>
        <w:spacing w:before="100" w:beforeAutospacing="1" w:after="100" w:afterAutospacing="1"/>
        <w:rPr>
          <w:rFonts w:cs="Arial"/>
          <w:b/>
        </w:rPr>
      </w:pPr>
      <w:r w:rsidRPr="00F31F1F">
        <w:rPr>
          <w:rFonts w:cs="Arial"/>
          <w:b/>
        </w:rPr>
        <w:t>1. Estrategias de política de Gasto</w:t>
      </w:r>
    </w:p>
    <w:p w:rsidR="007F6887" w:rsidRPr="00F31F1F" w:rsidRDefault="007F6887" w:rsidP="007F6887">
      <w:pPr>
        <w:spacing w:before="100" w:beforeAutospacing="1" w:after="100" w:afterAutospacing="1"/>
        <w:rPr>
          <w:rFonts w:cs="Arial"/>
          <w:b/>
        </w:rPr>
      </w:pPr>
      <w:r>
        <w:rPr>
          <w:rFonts w:cs="Arial"/>
          <w:b/>
        </w:rPr>
        <w:t>1.1</w:t>
      </w:r>
      <w:r w:rsidRPr="00F31F1F">
        <w:rPr>
          <w:rFonts w:cs="Arial"/>
          <w:b/>
        </w:rPr>
        <w:t xml:space="preserve"> Estrategia de la Política de Gasto 2021</w:t>
      </w:r>
    </w:p>
    <w:p w:rsidR="007F6887" w:rsidRPr="00F31F1F" w:rsidRDefault="007F6887" w:rsidP="007F6887">
      <w:pPr>
        <w:spacing w:before="100" w:beforeAutospacing="1" w:after="100" w:afterAutospacing="1"/>
        <w:rPr>
          <w:rFonts w:cs="Arial"/>
        </w:rPr>
      </w:pPr>
      <w:r w:rsidRPr="00F31F1F">
        <w:rPr>
          <w:rFonts w:cs="Arial"/>
        </w:rPr>
        <w:t>De conformidad con lo establecido en el Plan Estatal de Desarrollo 2018-2024 (PED), dentro del eje transversal Gobierno Abierto, Eficiente y con Finanzas Sanas, el Proyecto de Paquete Fiscal 2021 se elaboró acorde con la política pública de mantener Finanzas Sanas y atender el objetivo de mejorar la sostenibilidad de las finanzas públicas. Sin embargo, la epidemia sanitaria generada por el virus SARS-CoV-2 obligó a reajustar la estrategia financiera para el año 2021.</w:t>
      </w:r>
    </w:p>
    <w:p w:rsidR="007F6887" w:rsidRPr="00F31F1F" w:rsidRDefault="007F6887" w:rsidP="007F6887">
      <w:pPr>
        <w:spacing w:before="100" w:beforeAutospacing="1" w:after="100" w:afterAutospacing="1"/>
        <w:rPr>
          <w:rFonts w:cs="Arial"/>
          <w:b/>
          <w:i/>
        </w:rPr>
      </w:pPr>
      <w:r w:rsidRPr="00F31F1F">
        <w:rPr>
          <w:rFonts w:cs="Arial"/>
          <w:b/>
          <w:i/>
        </w:rPr>
        <w:t>1.1.1</w:t>
      </w:r>
      <w:r w:rsidRPr="00F31F1F">
        <w:rPr>
          <w:rFonts w:cs="Arial"/>
          <w:b/>
          <w:i/>
        </w:rPr>
        <w:tab/>
        <w:t>Impacto de la Contingencia Sanitaria y Económica en las Finanzas Estatales</w:t>
      </w:r>
    </w:p>
    <w:p w:rsidR="007F6887" w:rsidRPr="00F31F1F" w:rsidRDefault="007F6887" w:rsidP="007F6887">
      <w:pPr>
        <w:spacing w:before="100" w:beforeAutospacing="1" w:after="100" w:afterAutospacing="1"/>
        <w:rPr>
          <w:rFonts w:cs="Arial"/>
        </w:rPr>
      </w:pPr>
      <w:r w:rsidRPr="00F31F1F">
        <w:rPr>
          <w:rFonts w:cs="Arial"/>
        </w:rPr>
        <w:t>El 11 de marzo del 2020, la Organización Mundial de la Salud (OMS) declaró el brote del nuevo coronavirus, denominado SARS-CoV-2, como una pandemia que se ha convertido en una emergencia sanitaria mundial.</w:t>
      </w:r>
    </w:p>
    <w:p w:rsidR="007F6887" w:rsidRPr="00F31F1F" w:rsidRDefault="007F6887" w:rsidP="007F6887">
      <w:pPr>
        <w:spacing w:before="100" w:beforeAutospacing="1" w:after="100" w:afterAutospacing="1"/>
        <w:rPr>
          <w:rFonts w:cs="Arial"/>
        </w:rPr>
      </w:pPr>
      <w:r w:rsidRPr="00F31F1F">
        <w:rPr>
          <w:rFonts w:cs="Arial"/>
        </w:rPr>
        <w:t>Como resultado de esta crisis sanitaria, el país ha padecido una enorme disrupción económica y un sufrimiento humano considerable. En este contexto, la prioridad del Gobierno del estado ha sido la contención oportuna del coronavirus, para lograr la menor pérdida de vidas humanas posible. Sin embargo, existe un costo implícito en la actuación gubernamental para reducir la pandemia que tiene un efecto en la economía del estado. Derivado de lo anterior, ha sido necesario dar una respuesta coordinada que no solo considere medidas para la atención de la crisis sanitaria, sino también la intervención puntual en la economía para minimizar el impacto negativo y acelerar la recuperación económica, buscando proteger en todo momento los empleos y el ingreso de los grupos de mayor vulnerabilidad.</w:t>
      </w:r>
    </w:p>
    <w:p w:rsidR="007F6887" w:rsidRPr="00F31F1F" w:rsidRDefault="007F6887" w:rsidP="007F6887">
      <w:pPr>
        <w:spacing w:before="100" w:beforeAutospacing="1" w:after="100" w:afterAutospacing="1"/>
        <w:rPr>
          <w:rFonts w:cs="Arial"/>
        </w:rPr>
      </w:pPr>
      <w:r w:rsidRPr="00F31F1F">
        <w:rPr>
          <w:rFonts w:cs="Arial"/>
        </w:rPr>
        <w:lastRenderedPageBreak/>
        <w:t>Aunado a lo anterior, las tormentas tropicales y huracanes Amanda, Cristóbal, Gamma, Delta y Zeta que afectaron a distintas zonas del estado, han tenido un impacto severo en el patrimonio de miles de familias yucatecas. Como resultado de lo anterior, se emitieron declaratorias de emergencia en ochenta y nieve municipios del estado por daños a la vivienda, pérdida de huertos y animales de traspatio, así como alrededor de noventa y cinco mil hectáreas de cultivo dañadas.</w:t>
      </w:r>
    </w:p>
    <w:p w:rsidR="007F6887" w:rsidRDefault="007F6887" w:rsidP="007F6887">
      <w:pPr>
        <w:spacing w:before="100" w:beforeAutospacing="1" w:after="100" w:afterAutospacing="1"/>
        <w:rPr>
          <w:rFonts w:cs="Arial"/>
        </w:rPr>
      </w:pPr>
      <w:r w:rsidRPr="00F31F1F">
        <w:rPr>
          <w:rFonts w:cs="Arial"/>
        </w:rPr>
        <w:t>Por todo el anterior, el Gobierno del Estado de Yucatán ha tomado medidas extraordinarias para hacer frente al impacto de estas contingencias, que se estima supondrá un gasto adicional a lo estimado en el Paquete Fiscal 2020. Este esfuerzo, aunado al programa de apoyo alimentario, considera la erogación de los siguientes recursos:</w:t>
      </w:r>
    </w:p>
    <w:p w:rsidR="007F6887" w:rsidRDefault="007F6887" w:rsidP="00535A9D">
      <w:pPr>
        <w:pStyle w:val="Prrafodelista"/>
        <w:numPr>
          <w:ilvl w:val="0"/>
          <w:numId w:val="1"/>
        </w:numPr>
        <w:spacing w:before="100" w:beforeAutospacing="1" w:after="100" w:afterAutospacing="1" w:line="240" w:lineRule="auto"/>
        <w:rPr>
          <w:rFonts w:ascii="Arial" w:hAnsi="Arial" w:cs="Arial"/>
          <w:szCs w:val="24"/>
        </w:rPr>
      </w:pPr>
      <w:r w:rsidRPr="00F31F1F">
        <w:rPr>
          <w:rFonts w:ascii="Arial" w:hAnsi="Arial" w:cs="Arial"/>
          <w:szCs w:val="24"/>
        </w:rPr>
        <w:t>1,500 millones de pesos de gasto extraordinario. Se implementó un Plan Estatal para impulsar la Economía, los Empleos y la Salud, que fue aprobado por el Congreso el 31 de marzo de 2020. El plan contempla 500 millones de pesos en prestación de servicios de salud y 1,000 millones de pesos para desarrollo económico, protección al empleo y protección social.</w:t>
      </w:r>
    </w:p>
    <w:p w:rsidR="007F6887" w:rsidRDefault="007F6887" w:rsidP="00535A9D">
      <w:pPr>
        <w:pStyle w:val="Prrafodelista"/>
        <w:numPr>
          <w:ilvl w:val="0"/>
          <w:numId w:val="1"/>
        </w:numPr>
        <w:spacing w:before="100" w:beforeAutospacing="1" w:after="100" w:afterAutospacing="1" w:line="240" w:lineRule="auto"/>
        <w:rPr>
          <w:rFonts w:ascii="Arial" w:hAnsi="Arial" w:cs="Arial"/>
          <w:szCs w:val="24"/>
        </w:rPr>
      </w:pPr>
      <w:r w:rsidRPr="00F31F1F">
        <w:rPr>
          <w:rFonts w:ascii="Arial" w:hAnsi="Arial" w:cs="Arial"/>
          <w:szCs w:val="24"/>
        </w:rPr>
        <w:t>420 millones de pesos de gasto reasignados para atender la contingencia.</w:t>
      </w:r>
    </w:p>
    <w:p w:rsidR="007F6887" w:rsidRDefault="007F6887" w:rsidP="00535A9D">
      <w:pPr>
        <w:pStyle w:val="Prrafodelista"/>
        <w:numPr>
          <w:ilvl w:val="0"/>
          <w:numId w:val="1"/>
        </w:numPr>
        <w:spacing w:before="100" w:beforeAutospacing="1" w:after="100" w:afterAutospacing="1" w:line="240" w:lineRule="auto"/>
        <w:rPr>
          <w:rFonts w:ascii="Arial" w:hAnsi="Arial" w:cs="Arial"/>
          <w:szCs w:val="24"/>
        </w:rPr>
      </w:pPr>
      <w:r w:rsidRPr="00F31F1F">
        <w:rPr>
          <w:rFonts w:ascii="Arial" w:hAnsi="Arial" w:cs="Arial"/>
          <w:szCs w:val="24"/>
        </w:rPr>
        <w:t>Los gastos anteriores se tradujeron en acciones específic</w:t>
      </w:r>
      <w:r>
        <w:rPr>
          <w:rFonts w:ascii="Arial" w:hAnsi="Arial" w:cs="Arial"/>
          <w:szCs w:val="24"/>
        </w:rPr>
        <w:t>as para limitar el impacto nega</w:t>
      </w:r>
      <w:r w:rsidRPr="00F31F1F">
        <w:rPr>
          <w:rFonts w:ascii="Arial" w:hAnsi="Arial" w:cs="Arial"/>
          <w:szCs w:val="24"/>
        </w:rPr>
        <w:t>tivo de la contingencia, destacando las siguientes:</w:t>
      </w:r>
    </w:p>
    <w:p w:rsidR="007F6887" w:rsidRDefault="007F6887" w:rsidP="007F6887">
      <w:pPr>
        <w:pStyle w:val="Prrafodelista"/>
        <w:spacing w:before="100" w:beforeAutospacing="1" w:after="100" w:afterAutospacing="1" w:line="240" w:lineRule="auto"/>
        <w:rPr>
          <w:rFonts w:ascii="Arial" w:hAnsi="Arial" w:cs="Arial"/>
          <w:szCs w:val="24"/>
        </w:rPr>
      </w:pPr>
    </w:p>
    <w:p w:rsidR="007F6887" w:rsidRDefault="007F6887" w:rsidP="007F6887">
      <w:pPr>
        <w:pStyle w:val="Prrafodelista"/>
        <w:spacing w:before="100" w:beforeAutospacing="1" w:after="100" w:afterAutospacing="1" w:line="240" w:lineRule="auto"/>
        <w:ind w:left="1440"/>
        <w:rPr>
          <w:rFonts w:ascii="Arial" w:hAnsi="Arial" w:cs="Arial"/>
          <w:szCs w:val="24"/>
        </w:rPr>
      </w:pPr>
      <w:r>
        <w:rPr>
          <w:rFonts w:ascii="Arial" w:hAnsi="Arial" w:cs="Arial"/>
          <w:szCs w:val="24"/>
        </w:rPr>
        <w:t xml:space="preserve">1. </w:t>
      </w:r>
      <w:r w:rsidRPr="00F31F1F">
        <w:rPr>
          <w:rFonts w:ascii="Arial" w:hAnsi="Arial" w:cs="Arial"/>
          <w:szCs w:val="24"/>
        </w:rPr>
        <w:t>Programa de Apoyo Alimentario: +2.25 mill</w:t>
      </w:r>
      <w:r>
        <w:rPr>
          <w:rFonts w:ascii="Arial" w:hAnsi="Arial" w:cs="Arial"/>
          <w:szCs w:val="24"/>
        </w:rPr>
        <w:t>ones de paquetes, +450 mil fami</w:t>
      </w:r>
      <w:r w:rsidRPr="00F31F1F">
        <w:rPr>
          <w:rFonts w:ascii="Arial" w:hAnsi="Arial" w:cs="Arial"/>
          <w:szCs w:val="24"/>
        </w:rPr>
        <w:t>lias beneficiadas.</w:t>
      </w:r>
    </w:p>
    <w:p w:rsidR="007F6887" w:rsidRDefault="007F6887" w:rsidP="007F6887">
      <w:pPr>
        <w:pStyle w:val="Prrafodelista"/>
        <w:spacing w:before="100" w:beforeAutospacing="1" w:after="100" w:afterAutospacing="1" w:line="240" w:lineRule="auto"/>
        <w:ind w:left="1440"/>
        <w:rPr>
          <w:rFonts w:ascii="Arial" w:hAnsi="Arial" w:cs="Arial"/>
          <w:szCs w:val="24"/>
        </w:rPr>
      </w:pPr>
      <w:r>
        <w:rPr>
          <w:rFonts w:ascii="Arial" w:hAnsi="Arial" w:cs="Arial"/>
          <w:szCs w:val="24"/>
        </w:rPr>
        <w:t xml:space="preserve">2. </w:t>
      </w:r>
      <w:r w:rsidRPr="00F31F1F">
        <w:rPr>
          <w:rFonts w:ascii="Arial" w:hAnsi="Arial" w:cs="Arial"/>
          <w:szCs w:val="24"/>
        </w:rPr>
        <w:t>Habilitación de un hospital temporal en el Centro de Convenciones Siglo XXI, que se tradujo en una capacidad adicional de atención a pacientes: +490 camas (175 camas para detección y abordaje de infección respiratoria aguda grave).</w:t>
      </w:r>
    </w:p>
    <w:p w:rsidR="007F6887" w:rsidRDefault="007F6887" w:rsidP="007F6887">
      <w:pPr>
        <w:pStyle w:val="Prrafodelista"/>
        <w:spacing w:before="100" w:beforeAutospacing="1" w:after="100" w:afterAutospacing="1" w:line="240" w:lineRule="auto"/>
        <w:ind w:left="1440"/>
        <w:rPr>
          <w:rFonts w:ascii="Arial" w:hAnsi="Arial" w:cs="Arial"/>
          <w:szCs w:val="24"/>
        </w:rPr>
      </w:pPr>
      <w:r>
        <w:rPr>
          <w:rFonts w:ascii="Arial" w:hAnsi="Arial" w:cs="Arial"/>
          <w:szCs w:val="24"/>
        </w:rPr>
        <w:t xml:space="preserve">3. </w:t>
      </w:r>
      <w:r w:rsidRPr="00F31F1F">
        <w:rPr>
          <w:rFonts w:ascii="Arial" w:hAnsi="Arial" w:cs="Arial"/>
          <w:szCs w:val="24"/>
        </w:rPr>
        <w:t>Ampliación temporal del Hospital General de Valladolid: +100 camas (100 de terapia intensiva).</w:t>
      </w:r>
    </w:p>
    <w:p w:rsidR="007F6887" w:rsidRDefault="007F6887" w:rsidP="007F6887">
      <w:pPr>
        <w:pStyle w:val="Prrafodelista"/>
        <w:spacing w:before="100" w:beforeAutospacing="1" w:after="100" w:afterAutospacing="1" w:line="240" w:lineRule="auto"/>
        <w:ind w:left="1440"/>
        <w:rPr>
          <w:rFonts w:ascii="Arial" w:hAnsi="Arial" w:cs="Arial"/>
          <w:szCs w:val="24"/>
        </w:rPr>
      </w:pPr>
      <w:r>
        <w:rPr>
          <w:rFonts w:ascii="Arial" w:hAnsi="Arial" w:cs="Arial"/>
          <w:szCs w:val="24"/>
        </w:rPr>
        <w:t xml:space="preserve">4. </w:t>
      </w:r>
      <w:r w:rsidRPr="00F31F1F">
        <w:rPr>
          <w:rFonts w:ascii="Arial" w:hAnsi="Arial" w:cs="Arial"/>
          <w:szCs w:val="24"/>
        </w:rPr>
        <w:t>Programas de apoyo directo al empleo. Se creó un seguro de desempleo para las personas que hayan perdido su emp</w:t>
      </w:r>
      <w:r>
        <w:rPr>
          <w:rFonts w:ascii="Arial" w:hAnsi="Arial" w:cs="Arial"/>
          <w:szCs w:val="24"/>
        </w:rPr>
        <w:t>leo o aquellas que no tienen em</w:t>
      </w:r>
      <w:r w:rsidRPr="00F31F1F">
        <w:rPr>
          <w:rFonts w:ascii="Arial" w:hAnsi="Arial" w:cs="Arial"/>
          <w:szCs w:val="24"/>
        </w:rPr>
        <w:t>pleos fijos y trabajen por su cuenta, por dos meses para aminorar los efectos del impacto en la economía familiar. El programa tuvo más de 47 mil beneficiaros.</w:t>
      </w:r>
    </w:p>
    <w:p w:rsidR="007F6887" w:rsidRDefault="007F6887" w:rsidP="007F6887">
      <w:pPr>
        <w:pStyle w:val="Prrafodelista"/>
        <w:spacing w:before="100" w:beforeAutospacing="1" w:after="100" w:afterAutospacing="1" w:line="240" w:lineRule="auto"/>
        <w:ind w:left="1440"/>
        <w:rPr>
          <w:rFonts w:ascii="Arial" w:hAnsi="Arial" w:cs="Arial"/>
          <w:szCs w:val="24"/>
        </w:rPr>
      </w:pPr>
      <w:r>
        <w:rPr>
          <w:rFonts w:ascii="Arial" w:hAnsi="Arial" w:cs="Arial"/>
          <w:szCs w:val="24"/>
        </w:rPr>
        <w:t xml:space="preserve">5. </w:t>
      </w:r>
      <w:r w:rsidRPr="00F31F1F">
        <w:rPr>
          <w:rFonts w:ascii="Arial" w:hAnsi="Arial" w:cs="Arial"/>
          <w:szCs w:val="24"/>
        </w:rPr>
        <w:t>Becas económicas a estudiantes: 17 mil estudiantes.</w:t>
      </w:r>
    </w:p>
    <w:p w:rsidR="007F6887" w:rsidRDefault="007F6887" w:rsidP="007F6887">
      <w:pPr>
        <w:pStyle w:val="Prrafodelista"/>
        <w:spacing w:before="100" w:beforeAutospacing="1" w:after="100" w:afterAutospacing="1" w:line="240" w:lineRule="auto"/>
        <w:ind w:left="1440"/>
        <w:rPr>
          <w:rFonts w:ascii="Arial" w:hAnsi="Arial" w:cs="Arial"/>
          <w:szCs w:val="24"/>
        </w:rPr>
      </w:pPr>
      <w:r>
        <w:rPr>
          <w:rFonts w:ascii="Arial" w:hAnsi="Arial" w:cs="Arial"/>
          <w:szCs w:val="24"/>
        </w:rPr>
        <w:t xml:space="preserve">6. </w:t>
      </w:r>
      <w:r w:rsidRPr="00F31F1F">
        <w:rPr>
          <w:rFonts w:ascii="Arial" w:hAnsi="Arial" w:cs="Arial"/>
          <w:szCs w:val="24"/>
        </w:rPr>
        <w:t>Subsidio para la adquisición de viviendas: Subsidio de 45 mil pesos; +3 mil beneficiarios.</w:t>
      </w:r>
    </w:p>
    <w:p w:rsidR="007F6887" w:rsidRDefault="007F6887" w:rsidP="007F6887">
      <w:pPr>
        <w:pStyle w:val="Prrafodelista"/>
        <w:spacing w:before="100" w:beforeAutospacing="1" w:after="100" w:afterAutospacing="1" w:line="240" w:lineRule="auto"/>
        <w:ind w:left="1440"/>
        <w:rPr>
          <w:rFonts w:ascii="Arial" w:hAnsi="Arial" w:cs="Arial"/>
          <w:szCs w:val="24"/>
        </w:rPr>
      </w:pPr>
      <w:r>
        <w:rPr>
          <w:rFonts w:ascii="Arial" w:hAnsi="Arial" w:cs="Arial"/>
          <w:szCs w:val="24"/>
        </w:rPr>
        <w:t xml:space="preserve">7. </w:t>
      </w:r>
      <w:r w:rsidRPr="00F31F1F">
        <w:rPr>
          <w:rFonts w:ascii="Arial" w:hAnsi="Arial" w:cs="Arial"/>
          <w:szCs w:val="24"/>
        </w:rPr>
        <w:t>Descuento en luz eléctrica: Apoyo del 50% del recibo de CFE (consumo de hasta 400 KW).</w:t>
      </w:r>
    </w:p>
    <w:p w:rsidR="007F6887" w:rsidRDefault="007F6887" w:rsidP="007F6887">
      <w:pPr>
        <w:pStyle w:val="Prrafodelista"/>
        <w:spacing w:before="100" w:beforeAutospacing="1" w:after="100" w:afterAutospacing="1" w:line="240" w:lineRule="auto"/>
        <w:ind w:left="1440"/>
        <w:rPr>
          <w:rFonts w:ascii="Arial" w:hAnsi="Arial" w:cs="Arial"/>
          <w:szCs w:val="24"/>
        </w:rPr>
      </w:pPr>
      <w:r>
        <w:rPr>
          <w:rFonts w:ascii="Arial" w:hAnsi="Arial" w:cs="Arial"/>
          <w:szCs w:val="24"/>
        </w:rPr>
        <w:lastRenderedPageBreak/>
        <w:t xml:space="preserve">8. </w:t>
      </w:r>
      <w:r w:rsidRPr="00F31F1F">
        <w:rPr>
          <w:rFonts w:ascii="Arial" w:hAnsi="Arial" w:cs="Arial"/>
          <w:szCs w:val="24"/>
        </w:rPr>
        <w:t>Apoyo al sector pesquero. Se impulsó la economía costera a través de la entrega de estímulos directos a los pescadores.</w:t>
      </w:r>
    </w:p>
    <w:p w:rsidR="007F6887" w:rsidRDefault="007F6887" w:rsidP="007F6887">
      <w:pPr>
        <w:pStyle w:val="Prrafodelista"/>
        <w:spacing w:before="100" w:beforeAutospacing="1" w:after="100" w:afterAutospacing="1" w:line="240" w:lineRule="auto"/>
        <w:ind w:left="1440"/>
        <w:rPr>
          <w:rFonts w:ascii="Arial" w:hAnsi="Arial" w:cs="Arial"/>
          <w:szCs w:val="24"/>
        </w:rPr>
      </w:pPr>
      <w:r>
        <w:rPr>
          <w:rFonts w:ascii="Arial" w:hAnsi="Arial" w:cs="Arial"/>
          <w:szCs w:val="24"/>
        </w:rPr>
        <w:t xml:space="preserve">9. </w:t>
      </w:r>
      <w:r w:rsidRPr="00F31F1F">
        <w:rPr>
          <w:rFonts w:ascii="Arial" w:hAnsi="Arial" w:cs="Arial"/>
          <w:szCs w:val="24"/>
        </w:rPr>
        <w:t>Apoyo al campo. Se entregaron apoyos directos al desarrollo rural y créditos al campo.</w:t>
      </w:r>
    </w:p>
    <w:p w:rsidR="007F6887" w:rsidRDefault="007F6887" w:rsidP="007F6887">
      <w:pPr>
        <w:pStyle w:val="Prrafodelista"/>
        <w:spacing w:before="100" w:beforeAutospacing="1" w:after="100" w:afterAutospacing="1" w:line="240" w:lineRule="auto"/>
        <w:ind w:left="1440"/>
        <w:rPr>
          <w:rFonts w:ascii="Arial" w:hAnsi="Arial" w:cs="Arial"/>
          <w:szCs w:val="24"/>
        </w:rPr>
      </w:pPr>
      <w:r>
        <w:rPr>
          <w:rFonts w:ascii="Arial" w:hAnsi="Arial" w:cs="Arial"/>
          <w:szCs w:val="24"/>
        </w:rPr>
        <w:t xml:space="preserve">10. </w:t>
      </w:r>
      <w:r w:rsidRPr="00F31F1F">
        <w:rPr>
          <w:rFonts w:ascii="Arial" w:hAnsi="Arial" w:cs="Arial"/>
          <w:szCs w:val="24"/>
        </w:rPr>
        <w:t>Apoyo a emprendedores y artesanos. Se</w:t>
      </w:r>
      <w:r>
        <w:rPr>
          <w:rFonts w:ascii="Arial" w:hAnsi="Arial" w:cs="Arial"/>
          <w:szCs w:val="24"/>
        </w:rPr>
        <w:t xml:space="preserve"> implementó un programa de otor</w:t>
      </w:r>
      <w:r w:rsidRPr="00F31F1F">
        <w:rPr>
          <w:rFonts w:ascii="Arial" w:hAnsi="Arial" w:cs="Arial"/>
          <w:szCs w:val="24"/>
        </w:rPr>
        <w:t xml:space="preserve">gamiento de insumos y compra de productos a pequeños artesanos y empren </w:t>
      </w:r>
      <w:proofErr w:type="spellStart"/>
      <w:r w:rsidRPr="00F31F1F">
        <w:rPr>
          <w:rFonts w:ascii="Arial" w:hAnsi="Arial" w:cs="Arial"/>
          <w:szCs w:val="24"/>
        </w:rPr>
        <w:t>dedores</w:t>
      </w:r>
      <w:proofErr w:type="spellEnd"/>
      <w:r w:rsidRPr="00F31F1F">
        <w:rPr>
          <w:rFonts w:ascii="Arial" w:hAnsi="Arial" w:cs="Arial"/>
          <w:szCs w:val="24"/>
        </w:rPr>
        <w:t>.</w:t>
      </w:r>
    </w:p>
    <w:p w:rsidR="007F6887" w:rsidRPr="00F31F1F" w:rsidRDefault="007F6887" w:rsidP="007F6887">
      <w:pPr>
        <w:pStyle w:val="Prrafodelista"/>
        <w:spacing w:before="100" w:beforeAutospacing="1" w:after="100" w:afterAutospacing="1" w:line="240" w:lineRule="auto"/>
        <w:ind w:left="1440"/>
        <w:rPr>
          <w:rFonts w:ascii="Arial" w:hAnsi="Arial" w:cs="Arial"/>
          <w:szCs w:val="24"/>
        </w:rPr>
      </w:pPr>
      <w:r>
        <w:rPr>
          <w:rFonts w:ascii="Arial" w:hAnsi="Arial" w:cs="Arial"/>
          <w:szCs w:val="24"/>
        </w:rPr>
        <w:t xml:space="preserve">11. </w:t>
      </w:r>
      <w:r w:rsidRPr="00F31F1F">
        <w:rPr>
          <w:rFonts w:ascii="Arial" w:hAnsi="Arial" w:cs="Arial"/>
          <w:szCs w:val="24"/>
        </w:rPr>
        <w:t>Apoyo al sector empresarial. Se abrió una línea de crédito de 460 millones de pesos, a través del programa Impulsa Yucatán.</w:t>
      </w:r>
    </w:p>
    <w:p w:rsidR="007F6887" w:rsidRPr="00F31F1F" w:rsidRDefault="007F6887" w:rsidP="007F6887">
      <w:pPr>
        <w:spacing w:before="100" w:beforeAutospacing="1" w:after="100" w:afterAutospacing="1"/>
        <w:rPr>
          <w:rFonts w:cs="Arial"/>
        </w:rPr>
      </w:pPr>
      <w:r w:rsidRPr="00F31F1F">
        <w:rPr>
          <w:rFonts w:cs="Arial"/>
        </w:rPr>
        <w:t>Las anteriores acciones de gobierno fueron tomadas con</w:t>
      </w:r>
      <w:r>
        <w:rPr>
          <w:rFonts w:cs="Arial"/>
        </w:rPr>
        <w:t xml:space="preserve"> inmediatez, mitigando los ries</w:t>
      </w:r>
      <w:r w:rsidRPr="00F31F1F">
        <w:rPr>
          <w:rFonts w:cs="Arial"/>
        </w:rPr>
        <w:t>gos de corto plazo para los ciudadanos y de largo plaz</w:t>
      </w:r>
      <w:r>
        <w:rPr>
          <w:rFonts w:cs="Arial"/>
        </w:rPr>
        <w:t>o para la economía. Estas accio</w:t>
      </w:r>
      <w:r w:rsidRPr="00F31F1F">
        <w:rPr>
          <w:rFonts w:cs="Arial"/>
        </w:rPr>
        <w:t>nes implican costos adicionales pero mayores beneficios económicos en el mediano y largo plazo, así como beneficios sociales inmediatos. Estas medidas contribuirán a una reactivación económica ordenada y permitirán tener sufi</w:t>
      </w:r>
      <w:r>
        <w:rPr>
          <w:rFonts w:cs="Arial"/>
        </w:rPr>
        <w:t>ciencia para la atención a quie</w:t>
      </w:r>
      <w:r w:rsidRPr="00F31F1F">
        <w:rPr>
          <w:rFonts w:cs="Arial"/>
        </w:rPr>
        <w:t>nes padezcan problemas de salud derivados de la pandemia.</w:t>
      </w:r>
    </w:p>
    <w:p w:rsidR="007F6887" w:rsidRPr="00F31F1F" w:rsidRDefault="007F6887" w:rsidP="007F6887">
      <w:pPr>
        <w:spacing w:before="100" w:beforeAutospacing="1" w:after="100" w:afterAutospacing="1"/>
        <w:rPr>
          <w:rFonts w:cs="Arial"/>
          <w:b/>
          <w:i/>
        </w:rPr>
      </w:pPr>
      <w:r w:rsidRPr="00F31F1F">
        <w:rPr>
          <w:rFonts w:cs="Arial"/>
          <w:b/>
          <w:i/>
        </w:rPr>
        <w:t>1.1.2</w:t>
      </w:r>
      <w:r w:rsidRPr="00F31F1F">
        <w:rPr>
          <w:rFonts w:cs="Arial"/>
          <w:b/>
          <w:i/>
        </w:rPr>
        <w:tab/>
        <w:t>Avances de la Política de Gasto</w:t>
      </w:r>
    </w:p>
    <w:p w:rsidR="007F6887" w:rsidRPr="00F31F1F" w:rsidRDefault="007F6887" w:rsidP="007F6887">
      <w:pPr>
        <w:spacing w:before="100" w:beforeAutospacing="1" w:after="100" w:afterAutospacing="1"/>
        <w:rPr>
          <w:rFonts w:cs="Arial"/>
        </w:rPr>
      </w:pPr>
      <w:r w:rsidRPr="00F31F1F">
        <w:rPr>
          <w:rFonts w:cs="Arial"/>
        </w:rPr>
        <w:t>Cada ejercicio presupuestario ha puesto especial énfasis en la consolidación de una Red de Protección Social integrada por los sectores salud, seguridad, educación, así como</w:t>
      </w:r>
      <w:r>
        <w:rPr>
          <w:rFonts w:cs="Arial"/>
        </w:rPr>
        <w:t xml:space="preserve"> </w:t>
      </w:r>
      <w:r w:rsidRPr="00F31F1F">
        <w:rPr>
          <w:rFonts w:cs="Arial"/>
        </w:rPr>
        <w:t>la protección a las personas en situación de vulnerabilidad. Ante esta situación, se han emprendido diversas medidas, destacando lo siguiente:</w:t>
      </w:r>
    </w:p>
    <w:p w:rsidR="007F6887" w:rsidRPr="00F31F1F" w:rsidRDefault="007F6887" w:rsidP="007F6887">
      <w:pPr>
        <w:spacing w:before="100" w:beforeAutospacing="1" w:after="100" w:afterAutospacing="1"/>
        <w:rPr>
          <w:rFonts w:cs="Arial"/>
          <w:b/>
        </w:rPr>
      </w:pPr>
      <w:r w:rsidRPr="00F31F1F">
        <w:rPr>
          <w:rFonts w:cs="Arial"/>
          <w:b/>
        </w:rPr>
        <w:t>Avances en salud</w:t>
      </w:r>
    </w:p>
    <w:p w:rsidR="007F6887" w:rsidRDefault="007F6887" w:rsidP="00535A9D">
      <w:pPr>
        <w:pStyle w:val="Prrafodelista"/>
        <w:numPr>
          <w:ilvl w:val="0"/>
          <w:numId w:val="2"/>
        </w:numPr>
        <w:spacing w:before="100" w:beforeAutospacing="1" w:after="100" w:afterAutospacing="1" w:line="240" w:lineRule="auto"/>
        <w:rPr>
          <w:rFonts w:ascii="Arial" w:hAnsi="Arial" w:cs="Arial"/>
          <w:szCs w:val="24"/>
        </w:rPr>
      </w:pPr>
      <w:r w:rsidRPr="00F31F1F">
        <w:rPr>
          <w:rFonts w:ascii="Arial" w:hAnsi="Arial" w:cs="Arial"/>
          <w:szCs w:val="24"/>
        </w:rPr>
        <w:t xml:space="preserve">Se entregaron nuevos quirófanos para el Hospital </w:t>
      </w:r>
      <w:proofErr w:type="spellStart"/>
      <w:r w:rsidRPr="00F31F1F">
        <w:rPr>
          <w:rFonts w:ascii="Arial" w:hAnsi="Arial" w:cs="Arial"/>
          <w:szCs w:val="24"/>
        </w:rPr>
        <w:t>O’Horán</w:t>
      </w:r>
      <w:proofErr w:type="spellEnd"/>
      <w:r w:rsidRPr="00F31F1F">
        <w:rPr>
          <w:rFonts w:ascii="Arial" w:hAnsi="Arial" w:cs="Arial"/>
          <w:szCs w:val="24"/>
        </w:rPr>
        <w:t>, duplicando la capacidad de los hospitales para realizar cirugías, y se entregó un tomógrafo al Hospital General de Valladolid que beneficia a más de 334 mil habitantes.</w:t>
      </w:r>
    </w:p>
    <w:p w:rsidR="007F6887" w:rsidRDefault="007F6887" w:rsidP="00535A9D">
      <w:pPr>
        <w:pStyle w:val="Prrafodelista"/>
        <w:numPr>
          <w:ilvl w:val="0"/>
          <w:numId w:val="2"/>
        </w:numPr>
        <w:spacing w:before="100" w:beforeAutospacing="1" w:after="100" w:afterAutospacing="1" w:line="240" w:lineRule="auto"/>
        <w:rPr>
          <w:rFonts w:ascii="Arial" w:hAnsi="Arial" w:cs="Arial"/>
          <w:szCs w:val="24"/>
        </w:rPr>
      </w:pPr>
      <w:r w:rsidRPr="00F31F1F">
        <w:rPr>
          <w:rFonts w:ascii="Arial" w:hAnsi="Arial" w:cs="Arial"/>
          <w:szCs w:val="24"/>
        </w:rPr>
        <w:t>Se ha mejorado la infraestructura y equipamiento médico de 80 unidades médicas de las 164 unidades existentes del estado.</w:t>
      </w:r>
    </w:p>
    <w:p w:rsidR="007F6887" w:rsidRDefault="007F6887" w:rsidP="00535A9D">
      <w:pPr>
        <w:pStyle w:val="Prrafodelista"/>
        <w:numPr>
          <w:ilvl w:val="0"/>
          <w:numId w:val="2"/>
        </w:numPr>
        <w:spacing w:before="100" w:beforeAutospacing="1" w:after="100" w:afterAutospacing="1" w:line="240" w:lineRule="auto"/>
        <w:rPr>
          <w:rFonts w:ascii="Arial" w:hAnsi="Arial" w:cs="Arial"/>
          <w:szCs w:val="24"/>
        </w:rPr>
      </w:pPr>
      <w:r w:rsidRPr="00F31F1F">
        <w:rPr>
          <w:rFonts w:ascii="Arial" w:hAnsi="Arial" w:cs="Arial"/>
          <w:szCs w:val="24"/>
        </w:rPr>
        <w:t>El programa médico a domicilio visitó más de 127 mil viviendas en 60 municipios del estado, beneficiando a más de 24 mil personas.</w:t>
      </w:r>
    </w:p>
    <w:p w:rsidR="007F6887" w:rsidRDefault="007F6887" w:rsidP="00535A9D">
      <w:pPr>
        <w:pStyle w:val="Prrafodelista"/>
        <w:numPr>
          <w:ilvl w:val="0"/>
          <w:numId w:val="2"/>
        </w:numPr>
        <w:spacing w:before="100" w:beforeAutospacing="1" w:after="100" w:afterAutospacing="1" w:line="240" w:lineRule="auto"/>
        <w:rPr>
          <w:rFonts w:ascii="Arial" w:hAnsi="Arial" w:cs="Arial"/>
          <w:szCs w:val="24"/>
        </w:rPr>
      </w:pPr>
      <w:r w:rsidRPr="00F31F1F">
        <w:rPr>
          <w:rFonts w:ascii="Arial" w:hAnsi="Arial" w:cs="Arial"/>
          <w:szCs w:val="24"/>
        </w:rPr>
        <w:t>El programa Médico 24/7, que abarca 104 municipios, ha realizado más de 155 mil consultas.</w:t>
      </w:r>
    </w:p>
    <w:p w:rsidR="007F6887" w:rsidRDefault="007F6887" w:rsidP="00535A9D">
      <w:pPr>
        <w:pStyle w:val="Prrafodelista"/>
        <w:numPr>
          <w:ilvl w:val="0"/>
          <w:numId w:val="2"/>
        </w:numPr>
        <w:spacing w:before="100" w:beforeAutospacing="1" w:after="100" w:afterAutospacing="1" w:line="240" w:lineRule="auto"/>
        <w:rPr>
          <w:rFonts w:ascii="Arial" w:hAnsi="Arial" w:cs="Arial"/>
          <w:szCs w:val="24"/>
        </w:rPr>
      </w:pPr>
      <w:r w:rsidRPr="00F31F1F">
        <w:rPr>
          <w:rFonts w:ascii="Arial" w:hAnsi="Arial" w:cs="Arial"/>
          <w:szCs w:val="24"/>
        </w:rPr>
        <w:t xml:space="preserve">Se entregaron 150 vehículos de traslado médico </w:t>
      </w:r>
      <w:r>
        <w:rPr>
          <w:rFonts w:ascii="Arial" w:hAnsi="Arial" w:cs="Arial"/>
          <w:szCs w:val="24"/>
        </w:rPr>
        <w:t>que contribuyen a mejorar el ac</w:t>
      </w:r>
      <w:r w:rsidRPr="00F31F1F">
        <w:rPr>
          <w:rFonts w:ascii="Arial" w:hAnsi="Arial" w:cs="Arial"/>
          <w:szCs w:val="24"/>
        </w:rPr>
        <w:t xml:space="preserve">ceso a los servicios de salud a la población del interior del estado. Asimismo, se entregaron cuatro ambulancias nuevas y equipadas para </w:t>
      </w:r>
      <w:r w:rsidRPr="00F31F1F">
        <w:rPr>
          <w:rFonts w:ascii="Arial" w:hAnsi="Arial" w:cs="Arial"/>
          <w:szCs w:val="24"/>
        </w:rPr>
        <w:lastRenderedPageBreak/>
        <w:t xml:space="preserve">urgencias básicas en el Centro de Salud de Servicios Ampliados de Progreso y los hospitales en </w:t>
      </w:r>
      <w:proofErr w:type="spellStart"/>
      <w:r w:rsidRPr="00F31F1F">
        <w:rPr>
          <w:rFonts w:ascii="Arial" w:hAnsi="Arial" w:cs="Arial"/>
          <w:szCs w:val="24"/>
        </w:rPr>
        <w:t>Ticul</w:t>
      </w:r>
      <w:proofErr w:type="spellEnd"/>
      <w:r w:rsidRPr="00F31F1F">
        <w:rPr>
          <w:rFonts w:ascii="Arial" w:hAnsi="Arial" w:cs="Arial"/>
          <w:szCs w:val="24"/>
        </w:rPr>
        <w:t xml:space="preserve">, Peto y </w:t>
      </w:r>
      <w:proofErr w:type="spellStart"/>
      <w:r w:rsidRPr="00F31F1F">
        <w:rPr>
          <w:rFonts w:ascii="Arial" w:hAnsi="Arial" w:cs="Arial"/>
          <w:szCs w:val="24"/>
        </w:rPr>
        <w:t>Tizimín</w:t>
      </w:r>
      <w:proofErr w:type="spellEnd"/>
      <w:r w:rsidRPr="00F31F1F">
        <w:rPr>
          <w:rFonts w:ascii="Arial" w:hAnsi="Arial" w:cs="Arial"/>
          <w:szCs w:val="24"/>
        </w:rPr>
        <w:t>.</w:t>
      </w:r>
    </w:p>
    <w:p w:rsidR="007F6887" w:rsidRPr="00F31F1F" w:rsidRDefault="007F6887" w:rsidP="00535A9D">
      <w:pPr>
        <w:pStyle w:val="Prrafodelista"/>
        <w:numPr>
          <w:ilvl w:val="0"/>
          <w:numId w:val="2"/>
        </w:numPr>
        <w:spacing w:before="100" w:beforeAutospacing="1" w:after="100" w:afterAutospacing="1" w:line="240" w:lineRule="auto"/>
        <w:rPr>
          <w:rFonts w:ascii="Arial" w:hAnsi="Arial" w:cs="Arial"/>
          <w:szCs w:val="24"/>
        </w:rPr>
      </w:pPr>
      <w:r w:rsidRPr="00F31F1F">
        <w:rPr>
          <w:rFonts w:ascii="Arial" w:hAnsi="Arial" w:cs="Arial"/>
          <w:szCs w:val="24"/>
        </w:rPr>
        <w:t xml:space="preserve">El Hospital General de </w:t>
      </w:r>
      <w:proofErr w:type="spellStart"/>
      <w:r w:rsidRPr="00F31F1F">
        <w:rPr>
          <w:rFonts w:ascii="Arial" w:hAnsi="Arial" w:cs="Arial"/>
          <w:szCs w:val="24"/>
        </w:rPr>
        <w:t>Tekax</w:t>
      </w:r>
      <w:proofErr w:type="spellEnd"/>
      <w:r w:rsidRPr="00F31F1F">
        <w:rPr>
          <w:rFonts w:ascii="Arial" w:hAnsi="Arial" w:cs="Arial"/>
          <w:szCs w:val="24"/>
        </w:rPr>
        <w:t xml:space="preserve"> se convirtió en el primer nosocomio del Instituto de Salud para el Bienestar en todo el país, con el inicio de su operación al 100% de su capacidad, luego de la contratación de nuevos médicos, enfermeros y especialistas.</w:t>
      </w:r>
    </w:p>
    <w:p w:rsidR="007F6887" w:rsidRPr="00F31F1F" w:rsidRDefault="007F6887" w:rsidP="007F6887">
      <w:pPr>
        <w:spacing w:before="100" w:beforeAutospacing="1" w:after="100" w:afterAutospacing="1"/>
        <w:rPr>
          <w:rFonts w:cs="Arial"/>
          <w:b/>
        </w:rPr>
      </w:pPr>
      <w:r w:rsidRPr="00F31F1F">
        <w:rPr>
          <w:rFonts w:cs="Arial"/>
          <w:b/>
        </w:rPr>
        <w:t>Medidas de salud para hacer frente a la contingencia COVID19</w:t>
      </w:r>
    </w:p>
    <w:p w:rsidR="007F6887" w:rsidRDefault="007F6887" w:rsidP="00535A9D">
      <w:pPr>
        <w:pStyle w:val="Prrafodelista"/>
        <w:numPr>
          <w:ilvl w:val="0"/>
          <w:numId w:val="3"/>
        </w:numPr>
        <w:spacing w:before="100" w:beforeAutospacing="1" w:after="100" w:afterAutospacing="1" w:line="240" w:lineRule="auto"/>
        <w:rPr>
          <w:rFonts w:ascii="Arial" w:hAnsi="Arial" w:cs="Arial"/>
          <w:szCs w:val="24"/>
        </w:rPr>
      </w:pPr>
      <w:r w:rsidRPr="00F31F1F">
        <w:rPr>
          <w:rFonts w:ascii="Arial" w:hAnsi="Arial" w:cs="Arial"/>
          <w:szCs w:val="24"/>
        </w:rPr>
        <w:t>Se creó un comité de asesoramiento integrado por los mejores epidemiólogos y expertos en salud pública y privada de Yucatán.</w:t>
      </w:r>
    </w:p>
    <w:p w:rsidR="007F6887" w:rsidRDefault="007F6887" w:rsidP="00535A9D">
      <w:pPr>
        <w:pStyle w:val="Prrafodelista"/>
        <w:numPr>
          <w:ilvl w:val="0"/>
          <w:numId w:val="3"/>
        </w:numPr>
        <w:spacing w:before="100" w:beforeAutospacing="1" w:after="100" w:afterAutospacing="1" w:line="240" w:lineRule="auto"/>
        <w:rPr>
          <w:rFonts w:ascii="Arial" w:hAnsi="Arial" w:cs="Arial"/>
          <w:szCs w:val="24"/>
        </w:rPr>
      </w:pPr>
      <w:r w:rsidRPr="00F31F1F">
        <w:rPr>
          <w:rFonts w:ascii="Arial" w:hAnsi="Arial" w:cs="Arial"/>
          <w:szCs w:val="24"/>
        </w:rPr>
        <w:t>Se instalaron filtros sanitarios en el estado a fin de evitar la propagación del coronavirus SARS-CoV-2. Yucatán adquirió 190 nuevos respiradores y 20 cápsulas aislantes de alta tecnología para la atención de pacientes con coronavirus.</w:t>
      </w:r>
    </w:p>
    <w:p w:rsidR="007F6887" w:rsidRDefault="007F6887" w:rsidP="00535A9D">
      <w:pPr>
        <w:pStyle w:val="Prrafodelista"/>
        <w:numPr>
          <w:ilvl w:val="0"/>
          <w:numId w:val="3"/>
        </w:numPr>
        <w:spacing w:before="100" w:beforeAutospacing="1" w:after="100" w:afterAutospacing="1" w:line="240" w:lineRule="auto"/>
        <w:rPr>
          <w:rFonts w:ascii="Arial" w:hAnsi="Arial" w:cs="Arial"/>
          <w:szCs w:val="24"/>
        </w:rPr>
      </w:pPr>
      <w:r w:rsidRPr="00F31F1F">
        <w:rPr>
          <w:rFonts w:ascii="Arial" w:hAnsi="Arial" w:cs="Arial"/>
          <w:szCs w:val="24"/>
        </w:rPr>
        <w:t xml:space="preserve">Los internos del CERESO han producido 30 mil </w:t>
      </w:r>
      <w:proofErr w:type="spellStart"/>
      <w:r w:rsidRPr="00F31F1F">
        <w:rPr>
          <w:rFonts w:ascii="Arial" w:hAnsi="Arial" w:cs="Arial"/>
          <w:szCs w:val="24"/>
        </w:rPr>
        <w:t>cubrebocas</w:t>
      </w:r>
      <w:proofErr w:type="spellEnd"/>
      <w:r w:rsidRPr="00F31F1F">
        <w:rPr>
          <w:rFonts w:ascii="Arial" w:hAnsi="Arial" w:cs="Arial"/>
          <w:szCs w:val="24"/>
        </w:rPr>
        <w:t xml:space="preserve">. La SSP del estado entregó más de 150,000 </w:t>
      </w:r>
      <w:proofErr w:type="spellStart"/>
      <w:r w:rsidRPr="00F31F1F">
        <w:rPr>
          <w:rFonts w:ascii="Arial" w:hAnsi="Arial" w:cs="Arial"/>
          <w:szCs w:val="24"/>
        </w:rPr>
        <w:t>cubrebocas</w:t>
      </w:r>
      <w:proofErr w:type="spellEnd"/>
      <w:r w:rsidRPr="00F31F1F">
        <w:rPr>
          <w:rFonts w:ascii="Arial" w:hAnsi="Arial" w:cs="Arial"/>
          <w:szCs w:val="24"/>
        </w:rPr>
        <w:t xml:space="preserve"> y 20,000 guantes de látex a la población. Universidades, empresas y el IYEM elaboraron 64,000 caretas de protección </w:t>
      </w:r>
      <w:r>
        <w:rPr>
          <w:rFonts w:ascii="Arial" w:hAnsi="Arial" w:cs="Arial"/>
          <w:szCs w:val="24"/>
        </w:rPr>
        <w:t>sa</w:t>
      </w:r>
      <w:r w:rsidRPr="00F31F1F">
        <w:rPr>
          <w:rFonts w:ascii="Arial" w:hAnsi="Arial" w:cs="Arial"/>
          <w:szCs w:val="24"/>
        </w:rPr>
        <w:t>nitaria, 400 cajas anti-aerosol y 10 camillas cubiertas.</w:t>
      </w:r>
    </w:p>
    <w:p w:rsidR="007F6887" w:rsidRDefault="007F6887" w:rsidP="00535A9D">
      <w:pPr>
        <w:pStyle w:val="Prrafodelista"/>
        <w:numPr>
          <w:ilvl w:val="0"/>
          <w:numId w:val="3"/>
        </w:numPr>
        <w:spacing w:before="100" w:beforeAutospacing="1" w:after="100" w:afterAutospacing="1" w:line="240" w:lineRule="auto"/>
        <w:rPr>
          <w:rFonts w:ascii="Arial" w:hAnsi="Arial" w:cs="Arial"/>
          <w:szCs w:val="24"/>
        </w:rPr>
      </w:pPr>
      <w:r w:rsidRPr="00F31F1F">
        <w:rPr>
          <w:rFonts w:ascii="Arial" w:hAnsi="Arial" w:cs="Arial"/>
          <w:szCs w:val="24"/>
        </w:rPr>
        <w:t>La reconversión hospitalaria realizada garantiza 234 camas exclusivamente para atención de pacientes con coronavirus y disponer de 68 nuevas unidades de cuidados intensivos.</w:t>
      </w:r>
    </w:p>
    <w:p w:rsidR="007F6887" w:rsidRDefault="007F6887" w:rsidP="00535A9D">
      <w:pPr>
        <w:pStyle w:val="Prrafodelista"/>
        <w:numPr>
          <w:ilvl w:val="0"/>
          <w:numId w:val="3"/>
        </w:numPr>
        <w:spacing w:before="100" w:beforeAutospacing="1" w:after="100" w:afterAutospacing="1" w:line="240" w:lineRule="auto"/>
        <w:rPr>
          <w:rFonts w:ascii="Arial" w:hAnsi="Arial" w:cs="Arial"/>
          <w:szCs w:val="24"/>
        </w:rPr>
      </w:pPr>
      <w:r w:rsidRPr="00F31F1F">
        <w:rPr>
          <w:rFonts w:ascii="Arial" w:hAnsi="Arial" w:cs="Arial"/>
          <w:szCs w:val="24"/>
        </w:rPr>
        <w:t>Se construyó el hospital provisional de Valladoli</w:t>
      </w:r>
      <w:r>
        <w:rPr>
          <w:rFonts w:ascii="Arial" w:hAnsi="Arial" w:cs="Arial"/>
          <w:szCs w:val="24"/>
        </w:rPr>
        <w:t>d que permite contar con 100 ca</w:t>
      </w:r>
      <w:r w:rsidRPr="00F31F1F">
        <w:rPr>
          <w:rFonts w:ascii="Arial" w:hAnsi="Arial" w:cs="Arial"/>
          <w:szCs w:val="24"/>
        </w:rPr>
        <w:t>mas adicionales y se habilitó el hospital temporal en el Centro Convenciones Siglo XXI, con una capacidad de 490 camas.</w:t>
      </w:r>
    </w:p>
    <w:p w:rsidR="007F6887" w:rsidRDefault="007F6887" w:rsidP="00535A9D">
      <w:pPr>
        <w:pStyle w:val="Prrafodelista"/>
        <w:numPr>
          <w:ilvl w:val="0"/>
          <w:numId w:val="3"/>
        </w:numPr>
        <w:spacing w:before="100" w:beforeAutospacing="1" w:after="100" w:afterAutospacing="1" w:line="240" w:lineRule="auto"/>
        <w:rPr>
          <w:rFonts w:ascii="Arial" w:hAnsi="Arial" w:cs="Arial"/>
          <w:szCs w:val="24"/>
        </w:rPr>
      </w:pPr>
      <w:r w:rsidRPr="00F31F1F">
        <w:rPr>
          <w:rFonts w:ascii="Arial" w:hAnsi="Arial" w:cs="Arial"/>
          <w:szCs w:val="24"/>
        </w:rPr>
        <w:t>Se establecieron 15 Unidades de Monitoreo de Enfermedades Respiratorias en hospitales y clínicas públicas de todo el estado.</w:t>
      </w:r>
    </w:p>
    <w:p w:rsidR="007F6887" w:rsidRDefault="007F6887" w:rsidP="00535A9D">
      <w:pPr>
        <w:pStyle w:val="Prrafodelista"/>
        <w:numPr>
          <w:ilvl w:val="0"/>
          <w:numId w:val="3"/>
        </w:numPr>
        <w:spacing w:before="100" w:beforeAutospacing="1" w:after="100" w:afterAutospacing="1" w:line="240" w:lineRule="auto"/>
        <w:rPr>
          <w:rFonts w:ascii="Arial" w:hAnsi="Arial" w:cs="Arial"/>
          <w:szCs w:val="24"/>
        </w:rPr>
      </w:pPr>
      <w:r w:rsidRPr="00F31F1F">
        <w:rPr>
          <w:rFonts w:ascii="Arial" w:hAnsi="Arial" w:cs="Arial"/>
          <w:szCs w:val="24"/>
        </w:rPr>
        <w:t>Se realizó una campaña intensiva y permanente de comunicación y medidas de higiene y prevención en lengua maya y español.</w:t>
      </w:r>
    </w:p>
    <w:p w:rsidR="007F6887" w:rsidRPr="00F31F1F" w:rsidRDefault="007F6887" w:rsidP="00535A9D">
      <w:pPr>
        <w:pStyle w:val="Prrafodelista"/>
        <w:numPr>
          <w:ilvl w:val="0"/>
          <w:numId w:val="3"/>
        </w:numPr>
        <w:spacing w:before="100" w:beforeAutospacing="1" w:after="100" w:afterAutospacing="1" w:line="240" w:lineRule="auto"/>
        <w:rPr>
          <w:rFonts w:ascii="Arial" w:hAnsi="Arial" w:cs="Arial"/>
          <w:szCs w:val="24"/>
        </w:rPr>
      </w:pPr>
      <w:r w:rsidRPr="00F31F1F">
        <w:rPr>
          <w:rFonts w:ascii="Arial" w:hAnsi="Arial" w:cs="Arial"/>
          <w:szCs w:val="24"/>
        </w:rPr>
        <w:t xml:space="preserve">Se realizaron labores diarias de </w:t>
      </w:r>
      <w:proofErr w:type="spellStart"/>
      <w:r w:rsidRPr="00F31F1F">
        <w:rPr>
          <w:rFonts w:ascii="Arial" w:hAnsi="Arial" w:cs="Arial"/>
          <w:szCs w:val="24"/>
        </w:rPr>
        <w:t>sanitización</w:t>
      </w:r>
      <w:proofErr w:type="spellEnd"/>
      <w:r w:rsidRPr="00F31F1F">
        <w:rPr>
          <w:rFonts w:ascii="Arial" w:hAnsi="Arial" w:cs="Arial"/>
          <w:szCs w:val="24"/>
        </w:rPr>
        <w:t xml:space="preserve"> a las unidades de transporte público y se habilitaron 24 rutas especiales de transporte pú</w:t>
      </w:r>
      <w:r>
        <w:rPr>
          <w:rFonts w:ascii="Arial" w:hAnsi="Arial" w:cs="Arial"/>
          <w:szCs w:val="24"/>
        </w:rPr>
        <w:t>blico para garantizar la seguri</w:t>
      </w:r>
      <w:r w:rsidRPr="00F31F1F">
        <w:rPr>
          <w:rFonts w:ascii="Arial" w:hAnsi="Arial" w:cs="Arial"/>
          <w:szCs w:val="24"/>
        </w:rPr>
        <w:t>dad y economía de los trabajadores de la salud.</w:t>
      </w:r>
    </w:p>
    <w:p w:rsidR="007F6887" w:rsidRPr="00F31F1F" w:rsidRDefault="007F6887" w:rsidP="007F6887">
      <w:pPr>
        <w:spacing w:before="100" w:beforeAutospacing="1" w:after="100" w:afterAutospacing="1"/>
        <w:rPr>
          <w:rFonts w:cs="Arial"/>
          <w:b/>
        </w:rPr>
      </w:pPr>
      <w:r w:rsidRPr="00F31F1F">
        <w:rPr>
          <w:rFonts w:cs="Arial"/>
          <w:b/>
        </w:rPr>
        <w:t>Avances en Seguridad</w:t>
      </w:r>
    </w:p>
    <w:p w:rsidR="007F6887" w:rsidRDefault="007F6887" w:rsidP="00535A9D">
      <w:pPr>
        <w:pStyle w:val="Prrafodelista"/>
        <w:numPr>
          <w:ilvl w:val="0"/>
          <w:numId w:val="4"/>
        </w:numPr>
        <w:spacing w:before="100" w:beforeAutospacing="1" w:after="100" w:afterAutospacing="1" w:line="240" w:lineRule="auto"/>
        <w:rPr>
          <w:rFonts w:ascii="Arial" w:hAnsi="Arial" w:cs="Arial"/>
          <w:szCs w:val="24"/>
        </w:rPr>
      </w:pPr>
      <w:r w:rsidRPr="00F31F1F">
        <w:rPr>
          <w:rFonts w:ascii="Arial" w:hAnsi="Arial" w:cs="Arial"/>
          <w:szCs w:val="24"/>
        </w:rPr>
        <w:t>En 2019, se contrataron policías para alcanzar 1.8</w:t>
      </w:r>
      <w:r>
        <w:rPr>
          <w:rFonts w:ascii="Arial" w:hAnsi="Arial" w:cs="Arial"/>
          <w:szCs w:val="24"/>
        </w:rPr>
        <w:t xml:space="preserve"> elementos por cada mil habitan</w:t>
      </w:r>
      <w:r w:rsidRPr="00F31F1F">
        <w:rPr>
          <w:rFonts w:ascii="Arial" w:hAnsi="Arial" w:cs="Arial"/>
          <w:szCs w:val="24"/>
        </w:rPr>
        <w:t>tes y se implementó la mejora de condiciones laborales para el fortalecimiento del desarrollo policial, en alineación con el modelo óptimo de la función policial.</w:t>
      </w:r>
    </w:p>
    <w:p w:rsidR="007F6887" w:rsidRDefault="007F6887" w:rsidP="00535A9D">
      <w:pPr>
        <w:pStyle w:val="Prrafodelista"/>
        <w:numPr>
          <w:ilvl w:val="0"/>
          <w:numId w:val="4"/>
        </w:numPr>
        <w:spacing w:before="100" w:beforeAutospacing="1" w:after="100" w:afterAutospacing="1" w:line="240" w:lineRule="auto"/>
        <w:rPr>
          <w:rFonts w:ascii="Arial" w:hAnsi="Arial" w:cs="Arial"/>
          <w:szCs w:val="24"/>
        </w:rPr>
      </w:pPr>
      <w:r w:rsidRPr="00F31F1F">
        <w:rPr>
          <w:rFonts w:ascii="Arial" w:hAnsi="Arial" w:cs="Arial"/>
          <w:szCs w:val="24"/>
        </w:rPr>
        <w:t xml:space="preserve">Por cuarto año consecutivo Yucatán es el estado más pacífico del país, con base en el Índice de Paz México, siendo reconocido como el estado con </w:t>
      </w:r>
      <w:r w:rsidRPr="00F31F1F">
        <w:rPr>
          <w:rFonts w:ascii="Arial" w:hAnsi="Arial" w:cs="Arial"/>
          <w:szCs w:val="24"/>
        </w:rPr>
        <w:lastRenderedPageBreak/>
        <w:t>menor tasa de homicidios, secuestros y robo de vehículos en todo el país. Cabe destacar que no se han presentado secuestros en 2020.</w:t>
      </w:r>
    </w:p>
    <w:p w:rsidR="007F6887" w:rsidRDefault="007F6887" w:rsidP="00535A9D">
      <w:pPr>
        <w:pStyle w:val="Prrafodelista"/>
        <w:numPr>
          <w:ilvl w:val="0"/>
          <w:numId w:val="4"/>
        </w:numPr>
        <w:spacing w:before="100" w:beforeAutospacing="1" w:after="100" w:afterAutospacing="1" w:line="240" w:lineRule="auto"/>
        <w:rPr>
          <w:rFonts w:ascii="Arial" w:hAnsi="Arial" w:cs="Arial"/>
          <w:szCs w:val="24"/>
        </w:rPr>
      </w:pPr>
      <w:r w:rsidRPr="00F31F1F">
        <w:rPr>
          <w:rFonts w:ascii="Arial" w:hAnsi="Arial" w:cs="Arial"/>
          <w:szCs w:val="24"/>
        </w:rPr>
        <w:t>Mérida ocupa la posición 21 entre las ciudades más seguras a nivel mundial. Es la ciudad más segura de América, solo por debajo de Quebec, Canadá.</w:t>
      </w:r>
    </w:p>
    <w:p w:rsidR="007F6887" w:rsidRDefault="007F6887" w:rsidP="00535A9D">
      <w:pPr>
        <w:pStyle w:val="Prrafodelista"/>
        <w:numPr>
          <w:ilvl w:val="0"/>
          <w:numId w:val="4"/>
        </w:numPr>
        <w:spacing w:before="100" w:beforeAutospacing="1" w:after="100" w:afterAutospacing="1" w:line="240" w:lineRule="auto"/>
        <w:rPr>
          <w:rFonts w:ascii="Arial" w:hAnsi="Arial" w:cs="Arial"/>
          <w:szCs w:val="24"/>
        </w:rPr>
      </w:pPr>
      <w:r w:rsidRPr="00F31F1F">
        <w:rPr>
          <w:rFonts w:ascii="Arial" w:hAnsi="Arial" w:cs="Arial"/>
          <w:szCs w:val="24"/>
        </w:rPr>
        <w:t>La tasa de incidencia delictiva, en el periodo de enero a septiembre, ha disminuido en -303.33 delitos por cada 100,000 habitantes con respecto al mismo período de 2019.</w:t>
      </w:r>
    </w:p>
    <w:p w:rsidR="007F6887" w:rsidRDefault="007F6887" w:rsidP="00535A9D">
      <w:pPr>
        <w:pStyle w:val="Prrafodelista"/>
        <w:numPr>
          <w:ilvl w:val="0"/>
          <w:numId w:val="4"/>
        </w:numPr>
        <w:spacing w:before="100" w:beforeAutospacing="1" w:after="100" w:afterAutospacing="1" w:line="240" w:lineRule="auto"/>
        <w:rPr>
          <w:rFonts w:ascii="Arial" w:hAnsi="Arial" w:cs="Arial"/>
          <w:szCs w:val="24"/>
        </w:rPr>
      </w:pPr>
      <w:r w:rsidRPr="00F31F1F">
        <w:rPr>
          <w:rFonts w:ascii="Arial" w:hAnsi="Arial" w:cs="Arial"/>
          <w:szCs w:val="24"/>
        </w:rPr>
        <w:t>La entidad mejoró 16 posiciones, al pasar del lugar veinte en 2019 al cuarto en 2020, entre las entidades con menor número de robos a casa habitación por cada 100 mil habitantes.</w:t>
      </w:r>
    </w:p>
    <w:p w:rsidR="007F6887" w:rsidRDefault="007F6887" w:rsidP="00535A9D">
      <w:pPr>
        <w:pStyle w:val="Prrafodelista"/>
        <w:numPr>
          <w:ilvl w:val="0"/>
          <w:numId w:val="4"/>
        </w:numPr>
        <w:spacing w:before="100" w:beforeAutospacing="1" w:after="100" w:afterAutospacing="1" w:line="240" w:lineRule="auto"/>
        <w:rPr>
          <w:rFonts w:ascii="Arial" w:hAnsi="Arial" w:cs="Arial"/>
          <w:szCs w:val="24"/>
        </w:rPr>
      </w:pPr>
      <w:r w:rsidRPr="00F31F1F">
        <w:rPr>
          <w:rFonts w:ascii="Arial" w:hAnsi="Arial" w:cs="Arial"/>
          <w:szCs w:val="24"/>
        </w:rPr>
        <w:t>En enero de 2020 se entregó un nuevo helicópte</w:t>
      </w:r>
      <w:r>
        <w:rPr>
          <w:rFonts w:ascii="Arial" w:hAnsi="Arial" w:cs="Arial"/>
          <w:szCs w:val="24"/>
        </w:rPr>
        <w:t>ro Bell-429 y 145 nuevos vehícu</w:t>
      </w:r>
      <w:r w:rsidRPr="00F31F1F">
        <w:rPr>
          <w:rFonts w:ascii="Arial" w:hAnsi="Arial" w:cs="Arial"/>
          <w:szCs w:val="24"/>
        </w:rPr>
        <w:t>los equipados, sumando un total de 530 nuevos vehículos entregados en lo que va de la administración, a la Secretaría de Seguridad Pública (SSP).</w:t>
      </w:r>
    </w:p>
    <w:p w:rsidR="007F6887" w:rsidRDefault="007F6887" w:rsidP="00535A9D">
      <w:pPr>
        <w:pStyle w:val="Prrafodelista"/>
        <w:numPr>
          <w:ilvl w:val="0"/>
          <w:numId w:val="4"/>
        </w:numPr>
        <w:spacing w:before="100" w:beforeAutospacing="1" w:after="100" w:afterAutospacing="1" w:line="240" w:lineRule="auto"/>
        <w:rPr>
          <w:rFonts w:ascii="Arial" w:hAnsi="Arial" w:cs="Arial"/>
          <w:szCs w:val="24"/>
        </w:rPr>
      </w:pPr>
      <w:r w:rsidRPr="00F31F1F">
        <w:rPr>
          <w:rFonts w:ascii="Arial" w:hAnsi="Arial" w:cs="Arial"/>
          <w:szCs w:val="24"/>
        </w:rPr>
        <w:t>Se han entregado más de 400 becas del 100% de educación superior, a hijos de policías provenientes de 40 municipios.</w:t>
      </w:r>
    </w:p>
    <w:p w:rsidR="007F6887" w:rsidRPr="00F31F1F" w:rsidRDefault="007F6887" w:rsidP="00535A9D">
      <w:pPr>
        <w:pStyle w:val="Prrafodelista"/>
        <w:numPr>
          <w:ilvl w:val="0"/>
          <w:numId w:val="4"/>
        </w:numPr>
        <w:spacing w:before="100" w:beforeAutospacing="1" w:after="100" w:afterAutospacing="1" w:line="240" w:lineRule="auto"/>
        <w:rPr>
          <w:rFonts w:ascii="Arial" w:hAnsi="Arial" w:cs="Arial"/>
          <w:szCs w:val="24"/>
        </w:rPr>
      </w:pPr>
      <w:r w:rsidRPr="00F31F1F">
        <w:rPr>
          <w:rFonts w:ascii="Arial" w:hAnsi="Arial" w:cs="Arial"/>
          <w:szCs w:val="24"/>
        </w:rPr>
        <w:t>El INFONAVIT resolvió la incorporación de las instituciones policiacas al régimen de vivienda bajo el esquema del otorgamiento de un sistema complementario de seguridad social a su favor.</w:t>
      </w:r>
    </w:p>
    <w:p w:rsidR="007F6887" w:rsidRPr="00F31F1F" w:rsidRDefault="007F6887" w:rsidP="007F6887">
      <w:pPr>
        <w:spacing w:before="100" w:beforeAutospacing="1" w:after="100" w:afterAutospacing="1"/>
        <w:rPr>
          <w:rFonts w:cs="Arial"/>
          <w:b/>
        </w:rPr>
      </w:pPr>
      <w:r w:rsidRPr="00F31F1F">
        <w:rPr>
          <w:rFonts w:cs="Arial"/>
          <w:b/>
        </w:rPr>
        <w:t>Avances en Educación</w:t>
      </w:r>
    </w:p>
    <w:p w:rsidR="007F6887" w:rsidRDefault="007F6887" w:rsidP="00535A9D">
      <w:pPr>
        <w:pStyle w:val="Prrafodelista"/>
        <w:numPr>
          <w:ilvl w:val="0"/>
          <w:numId w:val="5"/>
        </w:numPr>
        <w:spacing w:before="100" w:beforeAutospacing="1" w:after="100" w:afterAutospacing="1" w:line="240" w:lineRule="auto"/>
        <w:rPr>
          <w:rFonts w:ascii="Arial" w:hAnsi="Arial" w:cs="Arial"/>
          <w:szCs w:val="24"/>
        </w:rPr>
      </w:pPr>
      <w:r w:rsidRPr="00F31F1F">
        <w:rPr>
          <w:rFonts w:ascii="Arial" w:hAnsi="Arial" w:cs="Arial"/>
          <w:szCs w:val="24"/>
        </w:rPr>
        <w:t xml:space="preserve">Se puso en marcha el programa “La Escuela es </w:t>
      </w:r>
      <w:r>
        <w:rPr>
          <w:rFonts w:ascii="Arial" w:hAnsi="Arial" w:cs="Arial"/>
          <w:szCs w:val="24"/>
        </w:rPr>
        <w:t>Nuestra”, para impulsar la cons</w:t>
      </w:r>
      <w:r w:rsidRPr="00F31F1F">
        <w:rPr>
          <w:rFonts w:ascii="Arial" w:hAnsi="Arial" w:cs="Arial"/>
          <w:szCs w:val="24"/>
        </w:rPr>
        <w:t>trucción, mantenimiento y equipamiento de planteles de educación básica en 80 municipios, dando prioridad a zonas con alta marginación.</w:t>
      </w:r>
    </w:p>
    <w:p w:rsidR="007F6887" w:rsidRDefault="007F6887" w:rsidP="00535A9D">
      <w:pPr>
        <w:pStyle w:val="Prrafodelista"/>
        <w:numPr>
          <w:ilvl w:val="0"/>
          <w:numId w:val="5"/>
        </w:numPr>
        <w:spacing w:before="100" w:beforeAutospacing="1" w:after="100" w:afterAutospacing="1" w:line="240" w:lineRule="auto"/>
        <w:rPr>
          <w:rFonts w:ascii="Arial" w:hAnsi="Arial" w:cs="Arial"/>
          <w:szCs w:val="24"/>
        </w:rPr>
      </w:pPr>
      <w:r w:rsidRPr="00F31F1F">
        <w:rPr>
          <w:rFonts w:ascii="Arial" w:hAnsi="Arial" w:cs="Arial"/>
          <w:szCs w:val="24"/>
        </w:rPr>
        <w:t>En lo que va de la administración se han entregado más de 213 mil becas y apoyos para la educación.</w:t>
      </w:r>
    </w:p>
    <w:p w:rsidR="007F6887" w:rsidRDefault="007F6887" w:rsidP="00535A9D">
      <w:pPr>
        <w:pStyle w:val="Prrafodelista"/>
        <w:numPr>
          <w:ilvl w:val="0"/>
          <w:numId w:val="5"/>
        </w:numPr>
        <w:spacing w:before="100" w:beforeAutospacing="1" w:after="100" w:afterAutospacing="1" w:line="240" w:lineRule="auto"/>
        <w:rPr>
          <w:rFonts w:ascii="Arial" w:hAnsi="Arial" w:cs="Arial"/>
          <w:szCs w:val="24"/>
        </w:rPr>
      </w:pPr>
      <w:r w:rsidRPr="00F31F1F">
        <w:rPr>
          <w:rFonts w:ascii="Arial" w:hAnsi="Arial" w:cs="Arial"/>
          <w:szCs w:val="24"/>
        </w:rPr>
        <w:t>Mantenimiento en escuelas: Se realizaron 2,431 acciones, con una inversión de 96 millones de pesos, en beneficio de 1,315 escuelas.</w:t>
      </w:r>
    </w:p>
    <w:p w:rsidR="007F6887" w:rsidRPr="00F31F1F" w:rsidRDefault="007F6887" w:rsidP="00535A9D">
      <w:pPr>
        <w:pStyle w:val="Prrafodelista"/>
        <w:numPr>
          <w:ilvl w:val="0"/>
          <w:numId w:val="5"/>
        </w:numPr>
        <w:spacing w:before="100" w:beforeAutospacing="1" w:after="100" w:afterAutospacing="1" w:line="240" w:lineRule="auto"/>
        <w:rPr>
          <w:rFonts w:ascii="Arial" w:hAnsi="Arial" w:cs="Arial"/>
          <w:szCs w:val="24"/>
        </w:rPr>
      </w:pPr>
      <w:r w:rsidRPr="00F31F1F">
        <w:rPr>
          <w:rFonts w:ascii="Arial" w:hAnsi="Arial" w:cs="Arial"/>
          <w:szCs w:val="24"/>
        </w:rPr>
        <w:t>El Gobierno del Estado de Yucatán agregó a la barra programática local la señal de Tele Yucatán, la cual cuenta con emisiones d</w:t>
      </w:r>
      <w:r>
        <w:rPr>
          <w:rFonts w:ascii="Arial" w:hAnsi="Arial" w:cs="Arial"/>
          <w:szCs w:val="24"/>
        </w:rPr>
        <w:t>e contenidos exclusivamente edu</w:t>
      </w:r>
      <w:r w:rsidRPr="00F31F1F">
        <w:rPr>
          <w:rFonts w:ascii="Arial" w:hAnsi="Arial" w:cs="Arial"/>
          <w:szCs w:val="24"/>
        </w:rPr>
        <w:t>cativos, específicamente de secundaria, para que los estudiantes continúen cumpliendo desde sus hogares el ciclo escolar 2019-2020. El alcance de la transmisión cuenta con una cobertura de 70 kilómetros, lo que significa un alcance de poco más de la mitad de los municipios del estado.</w:t>
      </w:r>
    </w:p>
    <w:p w:rsidR="007F6887" w:rsidRPr="00F31F1F" w:rsidRDefault="007F6887" w:rsidP="007F6887">
      <w:pPr>
        <w:spacing w:before="100" w:beforeAutospacing="1" w:after="100" w:afterAutospacing="1"/>
        <w:rPr>
          <w:rFonts w:cs="Arial"/>
          <w:b/>
        </w:rPr>
      </w:pPr>
      <w:r w:rsidRPr="00F31F1F">
        <w:rPr>
          <w:rFonts w:cs="Arial"/>
          <w:b/>
        </w:rPr>
        <w:t>Avances en campo</w:t>
      </w:r>
    </w:p>
    <w:p w:rsidR="007F6887"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lastRenderedPageBreak/>
        <w:t>A través del Programa de Veda del Mero, de febrero a marzo de 2020, se entregaron más de 74 mil apoyos en vales de despensa semanales, beneficiando a más de 9 mil pescadores. Lo anterior refleja un crecimiento de 66.6% con respecto a 2019.</w:t>
      </w:r>
    </w:p>
    <w:p w:rsidR="007F6887"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t>Con el Programa Peso a Peso, componente pesca y acuacultura, se han entre gado apoyos en especie a más de 1,000 pescadores y productores de 26 municipios.</w:t>
      </w:r>
    </w:p>
    <w:p w:rsidR="007F6887"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t>El Programa de Mejoramiento Genético y Repoblamiento Ganadero ha beneficiado más de 1,400 productores de ganado bovino y ovino.</w:t>
      </w:r>
    </w:p>
    <w:p w:rsidR="007F6887"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t>Se apoyaron más de 200 proyectos de equipamiento e infraestructura en beneficio de productores de ganado bovino, avícola, apícola y ovino de 61 municipios.</w:t>
      </w:r>
    </w:p>
    <w:p w:rsidR="007F6887"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t xml:space="preserve">Se atendieron más de 75 kilómetros de caminos rurales y alimentadores, beneficiando a los habitantes de los municipios de </w:t>
      </w:r>
      <w:proofErr w:type="spellStart"/>
      <w:r w:rsidRPr="00F31F1F">
        <w:rPr>
          <w:rFonts w:ascii="Arial" w:hAnsi="Arial" w:cs="Arial"/>
          <w:szCs w:val="24"/>
        </w:rPr>
        <w:t>Akil</w:t>
      </w:r>
      <w:proofErr w:type="spellEnd"/>
      <w:r w:rsidRPr="00F31F1F">
        <w:rPr>
          <w:rFonts w:ascii="Arial" w:hAnsi="Arial" w:cs="Arial"/>
          <w:szCs w:val="24"/>
        </w:rPr>
        <w:t xml:space="preserve">, </w:t>
      </w:r>
      <w:proofErr w:type="spellStart"/>
      <w:r w:rsidRPr="00F31F1F">
        <w:rPr>
          <w:rFonts w:ascii="Arial" w:hAnsi="Arial" w:cs="Arial"/>
          <w:szCs w:val="24"/>
        </w:rPr>
        <w:t>Chapab</w:t>
      </w:r>
      <w:proofErr w:type="spellEnd"/>
      <w:r w:rsidRPr="00F31F1F">
        <w:rPr>
          <w:rFonts w:ascii="Arial" w:hAnsi="Arial" w:cs="Arial"/>
          <w:szCs w:val="24"/>
        </w:rPr>
        <w:t xml:space="preserve">, </w:t>
      </w:r>
      <w:proofErr w:type="spellStart"/>
      <w:r w:rsidRPr="00F31F1F">
        <w:rPr>
          <w:rFonts w:ascii="Arial" w:hAnsi="Arial" w:cs="Arial"/>
          <w:szCs w:val="24"/>
        </w:rPr>
        <w:t>Chumayel</w:t>
      </w:r>
      <w:proofErr w:type="spellEnd"/>
      <w:r w:rsidRPr="00F31F1F">
        <w:rPr>
          <w:rFonts w:ascii="Arial" w:hAnsi="Arial" w:cs="Arial"/>
          <w:szCs w:val="24"/>
        </w:rPr>
        <w:t xml:space="preserve">, </w:t>
      </w:r>
      <w:proofErr w:type="spellStart"/>
      <w:r w:rsidRPr="00F31F1F">
        <w:rPr>
          <w:rFonts w:ascii="Arial" w:hAnsi="Arial" w:cs="Arial"/>
          <w:szCs w:val="24"/>
        </w:rPr>
        <w:t>Dzán</w:t>
      </w:r>
      <w:proofErr w:type="spellEnd"/>
      <w:r w:rsidRPr="00F31F1F">
        <w:rPr>
          <w:rFonts w:ascii="Arial" w:hAnsi="Arial" w:cs="Arial"/>
          <w:szCs w:val="24"/>
        </w:rPr>
        <w:t xml:space="preserve">, Maní, </w:t>
      </w:r>
      <w:proofErr w:type="spellStart"/>
      <w:r w:rsidRPr="00F31F1F">
        <w:rPr>
          <w:rFonts w:ascii="Arial" w:hAnsi="Arial" w:cs="Arial"/>
          <w:szCs w:val="24"/>
        </w:rPr>
        <w:t>Opichén</w:t>
      </w:r>
      <w:proofErr w:type="spellEnd"/>
      <w:r w:rsidRPr="00F31F1F">
        <w:rPr>
          <w:rFonts w:ascii="Arial" w:hAnsi="Arial" w:cs="Arial"/>
          <w:szCs w:val="24"/>
        </w:rPr>
        <w:t xml:space="preserve">, </w:t>
      </w:r>
      <w:proofErr w:type="spellStart"/>
      <w:r w:rsidRPr="00F31F1F">
        <w:rPr>
          <w:rFonts w:ascii="Arial" w:hAnsi="Arial" w:cs="Arial"/>
          <w:szCs w:val="24"/>
        </w:rPr>
        <w:t>Oxkutzcab</w:t>
      </w:r>
      <w:proofErr w:type="spellEnd"/>
      <w:r w:rsidRPr="00F31F1F">
        <w:rPr>
          <w:rFonts w:ascii="Arial" w:hAnsi="Arial" w:cs="Arial"/>
          <w:szCs w:val="24"/>
        </w:rPr>
        <w:t xml:space="preserve">, </w:t>
      </w:r>
      <w:proofErr w:type="spellStart"/>
      <w:r w:rsidRPr="00F31F1F">
        <w:rPr>
          <w:rFonts w:ascii="Arial" w:hAnsi="Arial" w:cs="Arial"/>
          <w:szCs w:val="24"/>
        </w:rPr>
        <w:t>Sacalum</w:t>
      </w:r>
      <w:proofErr w:type="spellEnd"/>
      <w:r w:rsidRPr="00F31F1F">
        <w:rPr>
          <w:rFonts w:ascii="Arial" w:hAnsi="Arial" w:cs="Arial"/>
          <w:szCs w:val="24"/>
        </w:rPr>
        <w:t xml:space="preserve">, Santa Elena, </w:t>
      </w:r>
      <w:proofErr w:type="spellStart"/>
      <w:r w:rsidRPr="00F31F1F">
        <w:rPr>
          <w:rFonts w:ascii="Arial" w:hAnsi="Arial" w:cs="Arial"/>
          <w:szCs w:val="24"/>
        </w:rPr>
        <w:t>Tekax</w:t>
      </w:r>
      <w:proofErr w:type="spellEnd"/>
      <w:r w:rsidRPr="00F31F1F">
        <w:rPr>
          <w:rFonts w:ascii="Arial" w:hAnsi="Arial" w:cs="Arial"/>
          <w:szCs w:val="24"/>
        </w:rPr>
        <w:t xml:space="preserve">, </w:t>
      </w:r>
      <w:proofErr w:type="spellStart"/>
      <w:r w:rsidRPr="00F31F1F">
        <w:rPr>
          <w:rFonts w:ascii="Arial" w:hAnsi="Arial" w:cs="Arial"/>
          <w:szCs w:val="24"/>
        </w:rPr>
        <w:t>Ticul</w:t>
      </w:r>
      <w:proofErr w:type="spellEnd"/>
      <w:r w:rsidRPr="00F31F1F">
        <w:rPr>
          <w:rFonts w:ascii="Arial" w:hAnsi="Arial" w:cs="Arial"/>
          <w:szCs w:val="24"/>
        </w:rPr>
        <w:t xml:space="preserve"> y </w:t>
      </w:r>
      <w:proofErr w:type="spellStart"/>
      <w:r w:rsidRPr="00F31F1F">
        <w:rPr>
          <w:rFonts w:ascii="Arial" w:hAnsi="Arial" w:cs="Arial"/>
          <w:szCs w:val="24"/>
        </w:rPr>
        <w:t>Tzucacab</w:t>
      </w:r>
      <w:proofErr w:type="spellEnd"/>
      <w:r w:rsidRPr="00F31F1F">
        <w:rPr>
          <w:rFonts w:ascii="Arial" w:hAnsi="Arial" w:cs="Arial"/>
          <w:szCs w:val="24"/>
        </w:rPr>
        <w:t>.</w:t>
      </w:r>
    </w:p>
    <w:p w:rsidR="007F6887"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t>Se construyeron 10 Centros de Producción de Abejas Reina en 10 municipios y se entregaron 6,500 abejas reinas a productores.</w:t>
      </w:r>
    </w:p>
    <w:p w:rsidR="007F6887"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t>Se apoyó a más de 600 productores agrícolas para establecer más de 99 nuevas hectáreas de henequén y se tecnificaron más de 280 hectáreas con sistema de riego, adquisición de 16 tractores y 70 implementos agrícolas.</w:t>
      </w:r>
    </w:p>
    <w:p w:rsidR="007F6887"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t xml:space="preserve">Con el programa de Entrega de Estímulos a los Productores de Fibra de henequén, se incentivó la producción de 5,500 toneladas de fibra de Henequén. Más de 1,000 </w:t>
      </w:r>
      <w:proofErr w:type="spellStart"/>
      <w:r w:rsidRPr="00F31F1F">
        <w:rPr>
          <w:rFonts w:ascii="Arial" w:hAnsi="Arial" w:cs="Arial"/>
          <w:szCs w:val="24"/>
        </w:rPr>
        <w:t>henequeneros</w:t>
      </w:r>
      <w:proofErr w:type="spellEnd"/>
      <w:r w:rsidRPr="00F31F1F">
        <w:rPr>
          <w:rFonts w:ascii="Arial" w:hAnsi="Arial" w:cs="Arial"/>
          <w:szCs w:val="24"/>
        </w:rPr>
        <w:t xml:space="preserve"> de 36 municipios resultaron beneficiados.</w:t>
      </w:r>
    </w:p>
    <w:p w:rsidR="007F6887"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t>A través del programa “Fomento a la Productiv</w:t>
      </w:r>
      <w:r>
        <w:rPr>
          <w:rFonts w:ascii="Arial" w:hAnsi="Arial" w:cs="Arial"/>
          <w:szCs w:val="24"/>
        </w:rPr>
        <w:t>idad Pesquera y Acuícola” se en</w:t>
      </w:r>
      <w:r w:rsidRPr="00F31F1F">
        <w:rPr>
          <w:rFonts w:ascii="Arial" w:hAnsi="Arial" w:cs="Arial"/>
          <w:szCs w:val="24"/>
        </w:rPr>
        <w:t>tregaron más de 220 equipos satelitales, 47 embarcaciones menores y 264 motores marinos a 537 pescadores en 17 municipios costeros.</w:t>
      </w:r>
    </w:p>
    <w:p w:rsidR="007F6887"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t>Se llevó a cabo la contratación del seguro agrícola que protege los cultivos y la producción de más de 112 mil hectáreas de pequeños productores.</w:t>
      </w:r>
    </w:p>
    <w:p w:rsidR="007F6887"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t>Se llevó a cabo el programa de ayuda denominado “Apoyo Estatal a Pescadores por Contingencia de Coronavirus”. El programa consistió en otorgar apoyos económicos para la protección social del sector pesquero y sus familias. También se otorgó un apoyo en los meses de abril y mayo, en dos exhibiciones de 2 mil pesos. El programa inició el 16 de abril y hasta el día 25 de mayo se entregaron más de 23 mil apoyos a los beneficiarios.</w:t>
      </w:r>
    </w:p>
    <w:p w:rsidR="007F6887" w:rsidRPr="00F31F1F" w:rsidRDefault="007F6887" w:rsidP="00535A9D">
      <w:pPr>
        <w:pStyle w:val="Prrafodelista"/>
        <w:numPr>
          <w:ilvl w:val="0"/>
          <w:numId w:val="6"/>
        </w:numPr>
        <w:spacing w:before="100" w:beforeAutospacing="1" w:after="100" w:afterAutospacing="1" w:line="240" w:lineRule="auto"/>
        <w:rPr>
          <w:rFonts w:ascii="Arial" w:hAnsi="Arial" w:cs="Arial"/>
          <w:szCs w:val="24"/>
        </w:rPr>
      </w:pPr>
      <w:r w:rsidRPr="00F31F1F">
        <w:rPr>
          <w:rFonts w:ascii="Arial" w:hAnsi="Arial" w:cs="Arial"/>
          <w:szCs w:val="24"/>
        </w:rPr>
        <w:t>A través del Fondo de Apoyo a la Productivida</w:t>
      </w:r>
      <w:r>
        <w:rPr>
          <w:rFonts w:ascii="Arial" w:hAnsi="Arial" w:cs="Arial"/>
          <w:szCs w:val="24"/>
        </w:rPr>
        <w:t>d Agropecuaria del Estado de Yu</w:t>
      </w:r>
      <w:r w:rsidRPr="00F31F1F">
        <w:rPr>
          <w:rFonts w:ascii="Arial" w:hAnsi="Arial" w:cs="Arial"/>
          <w:szCs w:val="24"/>
        </w:rPr>
        <w:t>catán (</w:t>
      </w:r>
      <w:proofErr w:type="spellStart"/>
      <w:r w:rsidRPr="00F31F1F">
        <w:rPr>
          <w:rFonts w:ascii="Arial" w:hAnsi="Arial" w:cs="Arial"/>
          <w:szCs w:val="24"/>
        </w:rPr>
        <w:t>Foproyuc</w:t>
      </w:r>
      <w:proofErr w:type="spellEnd"/>
      <w:r w:rsidRPr="00F31F1F">
        <w:rPr>
          <w:rFonts w:ascii="Arial" w:hAnsi="Arial" w:cs="Arial"/>
          <w:szCs w:val="24"/>
        </w:rPr>
        <w:t>) y el Fondo de Crédito Agropecuario y Pesquero de Yucatán (FOCAPY), se han entregado durante la presente ad</w:t>
      </w:r>
      <w:r>
        <w:rPr>
          <w:rFonts w:ascii="Arial" w:hAnsi="Arial" w:cs="Arial"/>
          <w:szCs w:val="24"/>
        </w:rPr>
        <w:t>ministración cerca de 250 crédi</w:t>
      </w:r>
      <w:r w:rsidRPr="00F31F1F">
        <w:rPr>
          <w:rFonts w:ascii="Arial" w:hAnsi="Arial" w:cs="Arial"/>
          <w:szCs w:val="24"/>
        </w:rPr>
        <w:t>tos en beneficio de más de 500 productores agropecuarios y agroindustriales de 24 municipios.</w:t>
      </w:r>
    </w:p>
    <w:p w:rsidR="007F6887" w:rsidRPr="00F31F1F" w:rsidRDefault="007F6887" w:rsidP="007F6887">
      <w:pPr>
        <w:spacing w:before="100" w:beforeAutospacing="1" w:after="100" w:afterAutospacing="1"/>
        <w:rPr>
          <w:rFonts w:cs="Arial"/>
          <w:b/>
        </w:rPr>
      </w:pPr>
      <w:r w:rsidRPr="00F31F1F">
        <w:rPr>
          <w:rFonts w:cs="Arial"/>
          <w:b/>
        </w:rPr>
        <w:lastRenderedPageBreak/>
        <w:t>Avances en Cultura</w:t>
      </w:r>
    </w:p>
    <w:p w:rsidR="007F6887" w:rsidRDefault="007F6887" w:rsidP="00535A9D">
      <w:pPr>
        <w:pStyle w:val="Prrafodelista"/>
        <w:numPr>
          <w:ilvl w:val="0"/>
          <w:numId w:val="7"/>
        </w:numPr>
        <w:spacing w:before="100" w:beforeAutospacing="1" w:after="100" w:afterAutospacing="1" w:line="240" w:lineRule="auto"/>
        <w:rPr>
          <w:rFonts w:ascii="Arial" w:hAnsi="Arial" w:cs="Arial"/>
          <w:szCs w:val="24"/>
        </w:rPr>
      </w:pPr>
      <w:r w:rsidRPr="00F31F1F">
        <w:rPr>
          <w:rFonts w:ascii="Arial" w:hAnsi="Arial" w:cs="Arial"/>
          <w:szCs w:val="24"/>
        </w:rPr>
        <w:t>El programa “Cultura para Todos” reactivó las Casas de la Cultura en 25 de 59 municipios con la impartición de talleres de música, artes visuales, danza y literatura y conciertos didácticos con ensambles de la Orquesta Sinfónica de Yucatán. En el mes de febrero se reinició el programa en los mismos 25 municipios, en los que han impartido más de 50 talleres.</w:t>
      </w:r>
    </w:p>
    <w:p w:rsidR="007F6887" w:rsidRDefault="007F6887" w:rsidP="00535A9D">
      <w:pPr>
        <w:pStyle w:val="Prrafodelista"/>
        <w:numPr>
          <w:ilvl w:val="0"/>
          <w:numId w:val="7"/>
        </w:numPr>
        <w:spacing w:before="100" w:beforeAutospacing="1" w:after="100" w:afterAutospacing="1" w:line="240" w:lineRule="auto"/>
        <w:rPr>
          <w:rFonts w:ascii="Arial" w:hAnsi="Arial" w:cs="Arial"/>
          <w:szCs w:val="24"/>
        </w:rPr>
      </w:pPr>
      <w:r w:rsidRPr="00F31F1F">
        <w:rPr>
          <w:rFonts w:ascii="Arial" w:hAnsi="Arial" w:cs="Arial"/>
          <w:szCs w:val="24"/>
        </w:rPr>
        <w:t>Durante la presente administración se han realiza</w:t>
      </w:r>
      <w:r>
        <w:rPr>
          <w:rFonts w:ascii="Arial" w:hAnsi="Arial" w:cs="Arial"/>
          <w:szCs w:val="24"/>
        </w:rPr>
        <w:t>do más de 850 acciones cultura</w:t>
      </w:r>
      <w:r w:rsidRPr="00F31F1F">
        <w:rPr>
          <w:rFonts w:ascii="Arial" w:hAnsi="Arial" w:cs="Arial"/>
          <w:szCs w:val="24"/>
        </w:rPr>
        <w:t>les y artísticas, entre visitas guiadas a museos, exposiciones, eventos artísticos multidisciplinarios, talleres temáticos y diagnósticos a museos comunitarios.</w:t>
      </w:r>
    </w:p>
    <w:p w:rsidR="007F6887" w:rsidRDefault="007F6887" w:rsidP="00535A9D">
      <w:pPr>
        <w:pStyle w:val="Prrafodelista"/>
        <w:numPr>
          <w:ilvl w:val="0"/>
          <w:numId w:val="7"/>
        </w:numPr>
        <w:spacing w:before="100" w:beforeAutospacing="1" w:after="100" w:afterAutospacing="1" w:line="240" w:lineRule="auto"/>
        <w:rPr>
          <w:rFonts w:ascii="Arial" w:hAnsi="Arial" w:cs="Arial"/>
          <w:szCs w:val="24"/>
        </w:rPr>
      </w:pPr>
      <w:r w:rsidRPr="00F31F1F">
        <w:rPr>
          <w:rFonts w:ascii="Arial" w:hAnsi="Arial" w:cs="Arial"/>
          <w:szCs w:val="24"/>
        </w:rPr>
        <w:t>Con el propósito de incrementar la riqueza cultural y artística, se implementó el “Programa de Formación de Nuevos Creadores”, apoyando proyectos culturales. Asimismo, se realizó el primer Foro de Arte, Cultura y Ciudadanía; 10 talleres de gestión cultural, 29 talleres de artes escénicas y</w:t>
      </w:r>
      <w:r>
        <w:rPr>
          <w:rFonts w:ascii="Arial" w:hAnsi="Arial" w:cs="Arial"/>
          <w:szCs w:val="24"/>
        </w:rPr>
        <w:t xml:space="preserve"> un encuentro de creadores escé</w:t>
      </w:r>
      <w:r w:rsidRPr="00F31F1F">
        <w:rPr>
          <w:rFonts w:ascii="Arial" w:hAnsi="Arial" w:cs="Arial"/>
          <w:szCs w:val="24"/>
        </w:rPr>
        <w:t>nicos.</w:t>
      </w:r>
    </w:p>
    <w:p w:rsidR="007F6887" w:rsidRPr="00F31F1F" w:rsidRDefault="007F6887" w:rsidP="00535A9D">
      <w:pPr>
        <w:pStyle w:val="Prrafodelista"/>
        <w:numPr>
          <w:ilvl w:val="0"/>
          <w:numId w:val="7"/>
        </w:numPr>
        <w:spacing w:before="100" w:beforeAutospacing="1" w:after="100" w:afterAutospacing="1" w:line="240" w:lineRule="auto"/>
        <w:rPr>
          <w:rFonts w:ascii="Arial" w:hAnsi="Arial" w:cs="Arial"/>
          <w:szCs w:val="24"/>
        </w:rPr>
      </w:pPr>
      <w:r w:rsidRPr="00F31F1F">
        <w:rPr>
          <w:rFonts w:ascii="Arial" w:hAnsi="Arial" w:cs="Arial"/>
          <w:szCs w:val="24"/>
        </w:rPr>
        <w:t>En 2020, se estableció la Comisión de Planeación y Apoyo a la Creación Popular (CACREP), órgano colegiado conformado por representantes de las autoridades</w:t>
      </w:r>
      <w:r>
        <w:rPr>
          <w:rFonts w:ascii="Arial" w:hAnsi="Arial" w:cs="Arial"/>
          <w:szCs w:val="24"/>
        </w:rPr>
        <w:t xml:space="preserve"> </w:t>
      </w:r>
      <w:r w:rsidRPr="00F31F1F">
        <w:rPr>
          <w:rFonts w:ascii="Arial" w:hAnsi="Arial" w:cs="Arial"/>
          <w:szCs w:val="24"/>
        </w:rPr>
        <w:t>culturales locales y federales, así como de la sociedad civil, que estará encargado de validar los procesos de trabajo del programa, asegurando su transparencia.</w:t>
      </w:r>
    </w:p>
    <w:p w:rsidR="007F6887" w:rsidRPr="00F31F1F" w:rsidRDefault="007F6887" w:rsidP="007F6887">
      <w:pPr>
        <w:spacing w:before="100" w:beforeAutospacing="1" w:after="100" w:afterAutospacing="1"/>
        <w:rPr>
          <w:rFonts w:cs="Arial"/>
          <w:b/>
        </w:rPr>
      </w:pPr>
      <w:r w:rsidRPr="00F31F1F">
        <w:rPr>
          <w:rFonts w:cs="Arial"/>
          <w:b/>
        </w:rPr>
        <w:t>Avances en materia deportiva</w:t>
      </w:r>
    </w:p>
    <w:p w:rsidR="007F6887" w:rsidRDefault="007F6887" w:rsidP="00535A9D">
      <w:pPr>
        <w:pStyle w:val="Prrafodelista"/>
        <w:numPr>
          <w:ilvl w:val="0"/>
          <w:numId w:val="8"/>
        </w:numPr>
        <w:spacing w:before="100" w:beforeAutospacing="1" w:after="100" w:afterAutospacing="1" w:line="240" w:lineRule="auto"/>
        <w:rPr>
          <w:rFonts w:ascii="Arial" w:hAnsi="Arial" w:cs="Arial"/>
          <w:szCs w:val="24"/>
        </w:rPr>
      </w:pPr>
      <w:r w:rsidRPr="00F31F1F">
        <w:rPr>
          <w:rFonts w:ascii="Arial" w:hAnsi="Arial" w:cs="Arial"/>
          <w:szCs w:val="24"/>
        </w:rPr>
        <w:t>A través del programa de Activación Física se realizaron actividades físicas, re creativas y deportivas, a fin de contribuir a la dis</w:t>
      </w:r>
      <w:r>
        <w:rPr>
          <w:rFonts w:ascii="Arial" w:hAnsi="Arial" w:cs="Arial"/>
          <w:szCs w:val="24"/>
        </w:rPr>
        <w:t>minución de la obesidad y el se</w:t>
      </w:r>
      <w:r w:rsidRPr="00F31F1F">
        <w:rPr>
          <w:rFonts w:ascii="Arial" w:hAnsi="Arial" w:cs="Arial"/>
          <w:szCs w:val="24"/>
        </w:rPr>
        <w:t>dentarismo en la población yucateca. Se efectuaron</w:t>
      </w:r>
      <w:r>
        <w:rPr>
          <w:rFonts w:ascii="Arial" w:hAnsi="Arial" w:cs="Arial"/>
          <w:szCs w:val="24"/>
        </w:rPr>
        <w:t xml:space="preserve"> dos eventos masivos, 21 activi</w:t>
      </w:r>
      <w:r w:rsidRPr="00F31F1F">
        <w:rPr>
          <w:rFonts w:ascii="Arial" w:hAnsi="Arial" w:cs="Arial"/>
          <w:szCs w:val="24"/>
        </w:rPr>
        <w:t>dades en línea y 54 rutinas de apoyo, beneficiando a 372,363 personas.</w:t>
      </w:r>
    </w:p>
    <w:p w:rsidR="007F6887" w:rsidRDefault="007F6887" w:rsidP="00535A9D">
      <w:pPr>
        <w:pStyle w:val="Prrafodelista"/>
        <w:numPr>
          <w:ilvl w:val="0"/>
          <w:numId w:val="8"/>
        </w:numPr>
        <w:spacing w:before="100" w:beforeAutospacing="1" w:after="100" w:afterAutospacing="1" w:line="240" w:lineRule="auto"/>
        <w:rPr>
          <w:rFonts w:ascii="Arial" w:hAnsi="Arial" w:cs="Arial"/>
          <w:szCs w:val="24"/>
        </w:rPr>
      </w:pPr>
      <w:r w:rsidRPr="00F31F1F">
        <w:rPr>
          <w:rFonts w:ascii="Arial" w:hAnsi="Arial" w:cs="Arial"/>
          <w:szCs w:val="24"/>
        </w:rPr>
        <w:t>A través del programa de Promoción Deportiva se promueve, difunde e inculca la práctica deportiva en el estado mediante diversos eventos como torneos, carreras y campeonatos, entre otras actividades deportivas y recreativas. De igual manera, mediante este programa se proporciona apoyo logí</w:t>
      </w:r>
      <w:r>
        <w:rPr>
          <w:rFonts w:ascii="Arial" w:hAnsi="Arial" w:cs="Arial"/>
          <w:szCs w:val="24"/>
        </w:rPr>
        <w:t>stico a diversas actividades de</w:t>
      </w:r>
      <w:r w:rsidRPr="00F31F1F">
        <w:rPr>
          <w:rFonts w:ascii="Arial" w:hAnsi="Arial" w:cs="Arial"/>
          <w:szCs w:val="24"/>
        </w:rPr>
        <w:t>portivas del estado. En 2020, se realizaron 23 caravanas deportivas, dos eventos masivos y 268 eventos de apoyo logístico, beneficiando a 440,970 personas.</w:t>
      </w:r>
    </w:p>
    <w:p w:rsidR="007F6887" w:rsidRDefault="007F6887" w:rsidP="00535A9D">
      <w:pPr>
        <w:pStyle w:val="Prrafodelista"/>
        <w:numPr>
          <w:ilvl w:val="0"/>
          <w:numId w:val="8"/>
        </w:numPr>
        <w:spacing w:before="100" w:beforeAutospacing="1" w:after="100" w:afterAutospacing="1" w:line="240" w:lineRule="auto"/>
        <w:rPr>
          <w:rFonts w:ascii="Arial" w:hAnsi="Arial" w:cs="Arial"/>
          <w:szCs w:val="24"/>
        </w:rPr>
      </w:pPr>
      <w:r w:rsidRPr="00F31F1F">
        <w:rPr>
          <w:rFonts w:ascii="Arial" w:hAnsi="Arial" w:cs="Arial"/>
          <w:szCs w:val="24"/>
        </w:rPr>
        <w:t>A través de las Academias Deportivas de béisbol y fútbol en los municipios del interior del estado se impartieron entrenamientos a niños y niñas entre 6 y 12 años, beneficiando a 2,500 pequeños deportistas.</w:t>
      </w:r>
    </w:p>
    <w:p w:rsidR="007F6887" w:rsidRPr="00F31F1F" w:rsidRDefault="007F6887" w:rsidP="00535A9D">
      <w:pPr>
        <w:pStyle w:val="Prrafodelista"/>
        <w:numPr>
          <w:ilvl w:val="0"/>
          <w:numId w:val="8"/>
        </w:numPr>
        <w:spacing w:before="100" w:beforeAutospacing="1" w:after="100" w:afterAutospacing="1" w:line="240" w:lineRule="auto"/>
        <w:rPr>
          <w:rFonts w:ascii="Arial" w:hAnsi="Arial" w:cs="Arial"/>
          <w:szCs w:val="24"/>
        </w:rPr>
      </w:pPr>
      <w:r w:rsidRPr="00F31F1F">
        <w:rPr>
          <w:rFonts w:ascii="Arial" w:hAnsi="Arial" w:cs="Arial"/>
          <w:szCs w:val="24"/>
        </w:rPr>
        <w:t>Se benefició a 223 deportistas de alto rendimiento,</w:t>
      </w:r>
      <w:r>
        <w:rPr>
          <w:rFonts w:ascii="Arial" w:hAnsi="Arial" w:cs="Arial"/>
          <w:szCs w:val="24"/>
        </w:rPr>
        <w:t xml:space="preserve"> talentos deportivos y a los ga</w:t>
      </w:r>
      <w:r w:rsidRPr="00F31F1F">
        <w:rPr>
          <w:rFonts w:ascii="Arial" w:hAnsi="Arial" w:cs="Arial"/>
          <w:szCs w:val="24"/>
        </w:rPr>
        <w:t xml:space="preserve">nadores del primer lugar del mérito deportivo yucateco con becas </w:t>
      </w:r>
      <w:r w:rsidRPr="00F31F1F">
        <w:rPr>
          <w:rFonts w:ascii="Arial" w:hAnsi="Arial" w:cs="Arial"/>
          <w:szCs w:val="24"/>
        </w:rPr>
        <w:lastRenderedPageBreak/>
        <w:t>para que puedan dedicarse con mayor entrega a la práctica y desarrollo de su deporte.</w:t>
      </w:r>
    </w:p>
    <w:p w:rsidR="007F6887" w:rsidRPr="00F31F1F" w:rsidRDefault="007F6887" w:rsidP="007F6887">
      <w:pPr>
        <w:spacing w:before="100" w:beforeAutospacing="1" w:after="100" w:afterAutospacing="1"/>
        <w:rPr>
          <w:rFonts w:cs="Arial"/>
          <w:b/>
        </w:rPr>
      </w:pPr>
      <w:r w:rsidRPr="00F31F1F">
        <w:rPr>
          <w:rFonts w:cs="Arial"/>
          <w:b/>
        </w:rPr>
        <w:t>Avances en Infraestructura</w:t>
      </w:r>
    </w:p>
    <w:p w:rsidR="007F6887"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 xml:space="preserve">Se invierten más de 1,954 millones de pesos en el Sistema Integral de </w:t>
      </w:r>
      <w:proofErr w:type="spellStart"/>
      <w:r w:rsidRPr="00F31F1F">
        <w:rPr>
          <w:rFonts w:ascii="Arial" w:hAnsi="Arial" w:cs="Arial"/>
          <w:szCs w:val="24"/>
        </w:rPr>
        <w:t>Videovigilancia</w:t>
      </w:r>
      <w:proofErr w:type="spellEnd"/>
      <w:r w:rsidRPr="00F31F1F">
        <w:rPr>
          <w:rFonts w:ascii="Arial" w:hAnsi="Arial" w:cs="Arial"/>
          <w:szCs w:val="24"/>
        </w:rPr>
        <w:t xml:space="preserve"> para el Fortalecimiento Tecnológico de Seguridad y Monitoreo del Estado de Yucatán.</w:t>
      </w:r>
    </w:p>
    <w:p w:rsidR="007F6887"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Se invirtieron más 201 millones de pesos en infraestructura escolar.</w:t>
      </w:r>
    </w:p>
    <w:p w:rsidR="007F6887"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Mejoramiento de la imagen urbana de la costa.</w:t>
      </w:r>
    </w:p>
    <w:p w:rsidR="007F6887"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 xml:space="preserve">Modernización y reconstrucción de la carretera </w:t>
      </w:r>
      <w:proofErr w:type="spellStart"/>
      <w:r w:rsidRPr="00F31F1F">
        <w:rPr>
          <w:rFonts w:ascii="Arial" w:hAnsi="Arial" w:cs="Arial"/>
          <w:szCs w:val="24"/>
        </w:rPr>
        <w:t>Hunucmá</w:t>
      </w:r>
      <w:proofErr w:type="spellEnd"/>
      <w:r w:rsidRPr="00F31F1F">
        <w:rPr>
          <w:rFonts w:ascii="Arial" w:hAnsi="Arial" w:cs="Arial"/>
          <w:szCs w:val="24"/>
        </w:rPr>
        <w:t>-Sisal.</w:t>
      </w:r>
    </w:p>
    <w:p w:rsidR="007F6887"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 xml:space="preserve">Construcción del Paso Superior Vehicular de la carretera Mérida – </w:t>
      </w:r>
      <w:proofErr w:type="spellStart"/>
      <w:r w:rsidRPr="00F31F1F">
        <w:rPr>
          <w:rFonts w:ascii="Arial" w:hAnsi="Arial" w:cs="Arial"/>
          <w:szCs w:val="24"/>
        </w:rPr>
        <w:t>Tetiz</w:t>
      </w:r>
      <w:proofErr w:type="spellEnd"/>
      <w:r w:rsidRPr="00F31F1F">
        <w:rPr>
          <w:rFonts w:ascii="Arial" w:hAnsi="Arial" w:cs="Arial"/>
          <w:szCs w:val="24"/>
        </w:rPr>
        <w:t>.</w:t>
      </w:r>
    </w:p>
    <w:p w:rsidR="007F6887"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Se efectuará la construcción y reconstrucción d</w:t>
      </w:r>
      <w:r>
        <w:rPr>
          <w:rFonts w:ascii="Arial" w:hAnsi="Arial" w:cs="Arial"/>
          <w:szCs w:val="24"/>
        </w:rPr>
        <w:t>e calles en el municipio de Pro</w:t>
      </w:r>
      <w:r w:rsidRPr="00F31F1F">
        <w:rPr>
          <w:rFonts w:ascii="Arial" w:hAnsi="Arial" w:cs="Arial"/>
          <w:szCs w:val="24"/>
        </w:rPr>
        <w:t>greso.</w:t>
      </w:r>
    </w:p>
    <w:p w:rsidR="007F6887"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 xml:space="preserve">Repavimentación de la calle 60 prolongación x Av. 49 Cámara de Comercio y Av. 25 </w:t>
      </w:r>
      <w:proofErr w:type="spellStart"/>
      <w:r w:rsidRPr="00F31F1F">
        <w:rPr>
          <w:rFonts w:ascii="Arial" w:hAnsi="Arial" w:cs="Arial"/>
          <w:szCs w:val="24"/>
        </w:rPr>
        <w:t>Cordemex</w:t>
      </w:r>
      <w:proofErr w:type="spellEnd"/>
      <w:r w:rsidRPr="00F31F1F">
        <w:rPr>
          <w:rFonts w:ascii="Arial" w:hAnsi="Arial" w:cs="Arial"/>
          <w:szCs w:val="24"/>
        </w:rPr>
        <w:t>, en la ciudad de Mérida.</w:t>
      </w:r>
    </w:p>
    <w:p w:rsidR="007F6887"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 xml:space="preserve">Ampliación y reconstrucción de calles en el municipio de </w:t>
      </w:r>
      <w:proofErr w:type="spellStart"/>
      <w:r w:rsidRPr="00F31F1F">
        <w:rPr>
          <w:rFonts w:ascii="Arial" w:hAnsi="Arial" w:cs="Arial"/>
          <w:szCs w:val="24"/>
        </w:rPr>
        <w:t>Tekax</w:t>
      </w:r>
      <w:proofErr w:type="spellEnd"/>
      <w:r w:rsidRPr="00F31F1F">
        <w:rPr>
          <w:rFonts w:ascii="Arial" w:hAnsi="Arial" w:cs="Arial"/>
          <w:szCs w:val="24"/>
        </w:rPr>
        <w:t>.</w:t>
      </w:r>
    </w:p>
    <w:p w:rsidR="007F6887"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 xml:space="preserve">Trabajos de atención </w:t>
      </w:r>
      <w:r>
        <w:rPr>
          <w:rFonts w:ascii="Arial" w:hAnsi="Arial" w:cs="Arial"/>
          <w:szCs w:val="24"/>
        </w:rPr>
        <w:t>de</w:t>
      </w:r>
      <w:r w:rsidRPr="00F31F1F">
        <w:rPr>
          <w:rFonts w:ascii="Arial" w:hAnsi="Arial" w:cs="Arial"/>
          <w:szCs w:val="24"/>
        </w:rPr>
        <w:t xml:space="preserve"> zonas críticas de erosión</w:t>
      </w:r>
      <w:r>
        <w:rPr>
          <w:rFonts w:ascii="Arial" w:hAnsi="Arial" w:cs="Arial"/>
          <w:szCs w:val="24"/>
        </w:rPr>
        <w:t xml:space="preserve"> costera en el municipio de Pro</w:t>
      </w:r>
      <w:r w:rsidRPr="00F31F1F">
        <w:rPr>
          <w:rFonts w:ascii="Arial" w:hAnsi="Arial" w:cs="Arial"/>
          <w:szCs w:val="24"/>
        </w:rPr>
        <w:t>greso.</w:t>
      </w:r>
    </w:p>
    <w:p w:rsidR="007F6887"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Construcción de la tercera etapa del Parque Metropolitano en Francisco de Montejo, “Paseo Henequenes”.</w:t>
      </w:r>
    </w:p>
    <w:p w:rsidR="007F6887"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Mantenimiento y Conservación del Centro Esta</w:t>
      </w:r>
      <w:r>
        <w:rPr>
          <w:rFonts w:ascii="Arial" w:hAnsi="Arial" w:cs="Arial"/>
          <w:szCs w:val="24"/>
        </w:rPr>
        <w:t>tal de Emprendedores de Vallado</w:t>
      </w:r>
      <w:r w:rsidRPr="00F31F1F">
        <w:rPr>
          <w:rFonts w:ascii="Arial" w:hAnsi="Arial" w:cs="Arial"/>
          <w:szCs w:val="24"/>
        </w:rPr>
        <w:t>lid.</w:t>
      </w:r>
    </w:p>
    <w:p w:rsidR="007F6887" w:rsidRPr="00F31F1F" w:rsidRDefault="007F6887" w:rsidP="00535A9D">
      <w:pPr>
        <w:pStyle w:val="Prrafodelista"/>
        <w:numPr>
          <w:ilvl w:val="0"/>
          <w:numId w:val="9"/>
        </w:numPr>
        <w:spacing w:before="100" w:beforeAutospacing="1" w:after="100" w:afterAutospacing="1" w:line="240" w:lineRule="auto"/>
        <w:rPr>
          <w:rFonts w:ascii="Arial" w:hAnsi="Arial" w:cs="Arial"/>
          <w:szCs w:val="24"/>
        </w:rPr>
      </w:pPr>
      <w:r w:rsidRPr="00F31F1F">
        <w:rPr>
          <w:rFonts w:ascii="Arial" w:hAnsi="Arial" w:cs="Arial"/>
          <w:szCs w:val="24"/>
        </w:rPr>
        <w:t>Se invirtieron más de 201 millones de pesos en infraestructura escolar durante el 2020, con 567 acciones para mejorar y construir nuevas aulas de clase y áreas complementarias en 437 escuelas públicas de nivel básico, medio superior y superior de 79 municipios del estado.</w:t>
      </w:r>
    </w:p>
    <w:p w:rsidR="007F6887" w:rsidRPr="00F31F1F" w:rsidRDefault="007F6887" w:rsidP="007F6887">
      <w:pPr>
        <w:spacing w:before="100" w:beforeAutospacing="1" w:after="100" w:afterAutospacing="1"/>
        <w:rPr>
          <w:rFonts w:cs="Arial"/>
          <w:b/>
        </w:rPr>
      </w:pPr>
      <w:r w:rsidRPr="00F31F1F">
        <w:rPr>
          <w:rFonts w:cs="Arial"/>
          <w:b/>
        </w:rPr>
        <w:t>Avances en Atención a personas con discapacidad</w:t>
      </w:r>
    </w:p>
    <w:p w:rsidR="007F6887" w:rsidRDefault="007F6887" w:rsidP="00535A9D">
      <w:pPr>
        <w:pStyle w:val="Prrafodelista"/>
        <w:numPr>
          <w:ilvl w:val="0"/>
          <w:numId w:val="10"/>
        </w:numPr>
        <w:spacing w:before="100" w:beforeAutospacing="1" w:after="100" w:afterAutospacing="1" w:line="240" w:lineRule="auto"/>
        <w:rPr>
          <w:rFonts w:ascii="Arial" w:hAnsi="Arial" w:cs="Arial"/>
          <w:szCs w:val="24"/>
        </w:rPr>
      </w:pPr>
      <w:r w:rsidRPr="00F31F1F">
        <w:rPr>
          <w:rFonts w:ascii="Arial" w:hAnsi="Arial" w:cs="Arial"/>
          <w:szCs w:val="24"/>
        </w:rPr>
        <w:t>Durante la presente administración se han brindado más de 875 mil acciones, en beneficio de 45,842 personas con alguna discapacidad.</w:t>
      </w:r>
    </w:p>
    <w:p w:rsidR="007F6887" w:rsidRDefault="007F6887" w:rsidP="00535A9D">
      <w:pPr>
        <w:pStyle w:val="Prrafodelista"/>
        <w:numPr>
          <w:ilvl w:val="0"/>
          <w:numId w:val="10"/>
        </w:numPr>
        <w:spacing w:before="100" w:beforeAutospacing="1" w:after="100" w:afterAutospacing="1" w:line="240" w:lineRule="auto"/>
        <w:rPr>
          <w:rFonts w:ascii="Arial" w:hAnsi="Arial" w:cs="Arial"/>
          <w:szCs w:val="24"/>
        </w:rPr>
      </w:pPr>
      <w:r w:rsidRPr="00F31F1F">
        <w:rPr>
          <w:rFonts w:ascii="Arial" w:hAnsi="Arial" w:cs="Arial"/>
          <w:szCs w:val="24"/>
        </w:rPr>
        <w:t>Durante la presente administración se han entre</w:t>
      </w:r>
      <w:r>
        <w:rPr>
          <w:rFonts w:ascii="Arial" w:hAnsi="Arial" w:cs="Arial"/>
          <w:szCs w:val="24"/>
        </w:rPr>
        <w:t xml:space="preserve">gado más de 2,300 aparatos </w:t>
      </w:r>
      <w:proofErr w:type="spellStart"/>
      <w:r>
        <w:rPr>
          <w:rFonts w:ascii="Arial" w:hAnsi="Arial" w:cs="Arial"/>
          <w:szCs w:val="24"/>
        </w:rPr>
        <w:t>orté</w:t>
      </w:r>
      <w:r w:rsidRPr="00F31F1F">
        <w:rPr>
          <w:rFonts w:ascii="Arial" w:hAnsi="Arial" w:cs="Arial"/>
          <w:szCs w:val="24"/>
        </w:rPr>
        <w:t>sicos</w:t>
      </w:r>
      <w:proofErr w:type="spellEnd"/>
      <w:r w:rsidRPr="00F31F1F">
        <w:rPr>
          <w:rFonts w:ascii="Arial" w:hAnsi="Arial" w:cs="Arial"/>
          <w:szCs w:val="24"/>
        </w:rPr>
        <w:t xml:space="preserve"> o protésicos, beneficiando a 1,305 personas.</w:t>
      </w:r>
    </w:p>
    <w:p w:rsidR="007F6887" w:rsidRPr="00F31F1F" w:rsidRDefault="007F6887" w:rsidP="00535A9D">
      <w:pPr>
        <w:pStyle w:val="Prrafodelista"/>
        <w:numPr>
          <w:ilvl w:val="0"/>
          <w:numId w:val="10"/>
        </w:numPr>
        <w:spacing w:before="100" w:beforeAutospacing="1" w:after="100" w:afterAutospacing="1" w:line="240" w:lineRule="auto"/>
        <w:rPr>
          <w:rFonts w:ascii="Arial" w:hAnsi="Arial" w:cs="Arial"/>
          <w:szCs w:val="24"/>
        </w:rPr>
      </w:pPr>
      <w:r w:rsidRPr="00F31F1F">
        <w:rPr>
          <w:rFonts w:ascii="Arial" w:hAnsi="Arial" w:cs="Arial"/>
          <w:szCs w:val="24"/>
        </w:rPr>
        <w:t>Inclusión y equidad educativa: Se realizaron ca</w:t>
      </w:r>
      <w:r>
        <w:rPr>
          <w:rFonts w:ascii="Arial" w:hAnsi="Arial" w:cs="Arial"/>
          <w:szCs w:val="24"/>
        </w:rPr>
        <w:t>pacitaciones a docentes en bene</w:t>
      </w:r>
      <w:r w:rsidRPr="00F31F1F">
        <w:rPr>
          <w:rFonts w:ascii="Arial" w:hAnsi="Arial" w:cs="Arial"/>
          <w:szCs w:val="24"/>
        </w:rPr>
        <w:t xml:space="preserve">ficio de alumnos con problemas de aprendizaje, TDAH, discapacidad </w:t>
      </w:r>
      <w:r>
        <w:rPr>
          <w:rFonts w:ascii="Arial" w:hAnsi="Arial" w:cs="Arial"/>
          <w:szCs w:val="24"/>
        </w:rPr>
        <w:t>múltiple, au</w:t>
      </w:r>
      <w:r w:rsidRPr="00F31F1F">
        <w:rPr>
          <w:rFonts w:ascii="Arial" w:hAnsi="Arial" w:cs="Arial"/>
          <w:szCs w:val="24"/>
        </w:rPr>
        <w:t>ditiva y aptitudes sobresalientes, así como talleres especializados a docentes y rehabilitadores físicos de educación especial.</w:t>
      </w:r>
    </w:p>
    <w:p w:rsidR="007F6887" w:rsidRPr="00F31F1F" w:rsidRDefault="007F6887" w:rsidP="007F6887">
      <w:pPr>
        <w:spacing w:before="100" w:beforeAutospacing="1" w:after="100" w:afterAutospacing="1"/>
        <w:rPr>
          <w:rFonts w:cs="Arial"/>
          <w:b/>
        </w:rPr>
      </w:pPr>
      <w:r w:rsidRPr="00F31F1F">
        <w:rPr>
          <w:rFonts w:cs="Arial"/>
          <w:b/>
        </w:rPr>
        <w:t>Avances en materia de Perspectiva de Género</w:t>
      </w:r>
    </w:p>
    <w:p w:rsidR="007F6887" w:rsidRDefault="007F6887" w:rsidP="00535A9D">
      <w:pPr>
        <w:pStyle w:val="Prrafodelista"/>
        <w:numPr>
          <w:ilvl w:val="0"/>
          <w:numId w:val="11"/>
        </w:numPr>
        <w:spacing w:before="100" w:beforeAutospacing="1" w:after="100" w:afterAutospacing="1" w:line="240" w:lineRule="auto"/>
        <w:rPr>
          <w:rFonts w:ascii="Arial" w:hAnsi="Arial" w:cs="Arial"/>
          <w:szCs w:val="24"/>
        </w:rPr>
      </w:pPr>
      <w:r w:rsidRPr="00103EE1">
        <w:rPr>
          <w:rFonts w:ascii="Arial" w:hAnsi="Arial" w:cs="Arial"/>
          <w:szCs w:val="24"/>
        </w:rPr>
        <w:lastRenderedPageBreak/>
        <w:t>Se creó la Secretaría de las Mujeres y en 2020 se incrementó su presupuesto en un 10%.</w:t>
      </w:r>
    </w:p>
    <w:p w:rsidR="007F6887" w:rsidRDefault="007F6887" w:rsidP="00535A9D">
      <w:pPr>
        <w:pStyle w:val="Prrafodelista"/>
        <w:numPr>
          <w:ilvl w:val="0"/>
          <w:numId w:val="11"/>
        </w:numPr>
        <w:spacing w:before="100" w:beforeAutospacing="1" w:after="100" w:afterAutospacing="1" w:line="240" w:lineRule="auto"/>
        <w:rPr>
          <w:rFonts w:ascii="Arial" w:hAnsi="Arial" w:cs="Arial"/>
          <w:szCs w:val="24"/>
        </w:rPr>
      </w:pPr>
      <w:r w:rsidRPr="00103EE1">
        <w:rPr>
          <w:rFonts w:ascii="Arial" w:hAnsi="Arial" w:cs="Arial"/>
          <w:szCs w:val="24"/>
        </w:rPr>
        <w:t xml:space="preserve">Se han creado 19 Instancias Municipales de las </w:t>
      </w:r>
      <w:r>
        <w:rPr>
          <w:rFonts w:ascii="Arial" w:hAnsi="Arial" w:cs="Arial"/>
          <w:szCs w:val="24"/>
        </w:rPr>
        <w:t>Mujeres en las que se han reali</w:t>
      </w:r>
      <w:r w:rsidRPr="00103EE1">
        <w:rPr>
          <w:rFonts w:ascii="Arial" w:hAnsi="Arial" w:cs="Arial"/>
          <w:szCs w:val="24"/>
        </w:rPr>
        <w:t>zado más de 60 acciones de capacitación.</w:t>
      </w:r>
    </w:p>
    <w:p w:rsidR="007F6887" w:rsidRDefault="007F6887" w:rsidP="00535A9D">
      <w:pPr>
        <w:pStyle w:val="Prrafodelista"/>
        <w:numPr>
          <w:ilvl w:val="0"/>
          <w:numId w:val="11"/>
        </w:numPr>
        <w:spacing w:before="100" w:beforeAutospacing="1" w:after="100" w:afterAutospacing="1" w:line="240" w:lineRule="auto"/>
        <w:rPr>
          <w:rFonts w:ascii="Arial" w:hAnsi="Arial" w:cs="Arial"/>
          <w:szCs w:val="24"/>
        </w:rPr>
      </w:pPr>
      <w:r w:rsidRPr="00103EE1">
        <w:rPr>
          <w:rFonts w:ascii="Arial" w:hAnsi="Arial" w:cs="Arial"/>
          <w:szCs w:val="24"/>
        </w:rPr>
        <w:t>Se han realizado 14 ferias, 6 recorridos comunitarios y 229 talleres sobre prevención a la violencia contra las mujeres en 35 municipios.</w:t>
      </w:r>
    </w:p>
    <w:p w:rsidR="007F6887" w:rsidRDefault="007F6887" w:rsidP="00535A9D">
      <w:pPr>
        <w:pStyle w:val="Prrafodelista"/>
        <w:numPr>
          <w:ilvl w:val="0"/>
          <w:numId w:val="11"/>
        </w:numPr>
        <w:spacing w:before="100" w:beforeAutospacing="1" w:after="100" w:afterAutospacing="1" w:line="240" w:lineRule="auto"/>
        <w:rPr>
          <w:rFonts w:ascii="Arial" w:hAnsi="Arial" w:cs="Arial"/>
          <w:szCs w:val="24"/>
        </w:rPr>
      </w:pPr>
      <w:r w:rsidRPr="00103EE1">
        <w:rPr>
          <w:rFonts w:ascii="Arial" w:hAnsi="Arial" w:cs="Arial"/>
          <w:szCs w:val="24"/>
        </w:rPr>
        <w:t xml:space="preserve">A través del programa </w:t>
      </w:r>
      <w:proofErr w:type="spellStart"/>
      <w:r w:rsidRPr="00103EE1">
        <w:rPr>
          <w:rFonts w:ascii="Arial" w:hAnsi="Arial" w:cs="Arial"/>
          <w:szCs w:val="24"/>
        </w:rPr>
        <w:t>MicroYuc</w:t>
      </w:r>
      <w:proofErr w:type="spellEnd"/>
      <w:r w:rsidRPr="00103EE1">
        <w:rPr>
          <w:rFonts w:ascii="Arial" w:hAnsi="Arial" w:cs="Arial"/>
          <w:szCs w:val="24"/>
        </w:rPr>
        <w:t xml:space="preserve"> Mujeres se han otorgado más de 15 créditos a mujeres emprendedoras.</w:t>
      </w:r>
    </w:p>
    <w:p w:rsidR="007F6887" w:rsidRDefault="007F6887" w:rsidP="00535A9D">
      <w:pPr>
        <w:pStyle w:val="Prrafodelista"/>
        <w:numPr>
          <w:ilvl w:val="0"/>
          <w:numId w:val="11"/>
        </w:numPr>
        <w:spacing w:before="100" w:beforeAutospacing="1" w:after="100" w:afterAutospacing="1" w:line="240" w:lineRule="auto"/>
        <w:rPr>
          <w:rFonts w:ascii="Arial" w:hAnsi="Arial" w:cs="Arial"/>
          <w:szCs w:val="24"/>
        </w:rPr>
      </w:pPr>
      <w:r w:rsidRPr="00103EE1">
        <w:rPr>
          <w:rFonts w:ascii="Arial" w:hAnsi="Arial" w:cs="Arial"/>
          <w:szCs w:val="24"/>
        </w:rPr>
        <w:t>Se han realizado más de 220 sesiones de talleres de prevención del embarazo, con un alcance superior a 7,700 personas. Se han realizado más de 44 mil servicios de trabajo social, psicológicos y jurídicos a más de 12 mil mujeres, a través de los 13 Centros Municipales de Atención a la Violencia contra las Mujeres.</w:t>
      </w:r>
    </w:p>
    <w:p w:rsidR="007F6887" w:rsidRDefault="007F6887" w:rsidP="00535A9D">
      <w:pPr>
        <w:pStyle w:val="Prrafodelista"/>
        <w:numPr>
          <w:ilvl w:val="0"/>
          <w:numId w:val="11"/>
        </w:numPr>
        <w:spacing w:before="100" w:beforeAutospacing="1" w:after="100" w:afterAutospacing="1" w:line="240" w:lineRule="auto"/>
        <w:rPr>
          <w:rFonts w:ascii="Arial" w:hAnsi="Arial" w:cs="Arial"/>
          <w:szCs w:val="24"/>
        </w:rPr>
      </w:pPr>
      <w:r w:rsidRPr="00103EE1">
        <w:rPr>
          <w:rFonts w:ascii="Arial" w:hAnsi="Arial" w:cs="Arial"/>
          <w:szCs w:val="24"/>
        </w:rPr>
        <w:t>Se inauguró la Feria del Empleo Orientada a la Mujer, en donde se ofertaron más de 770 vacantes laborales en 46 empresas.</w:t>
      </w:r>
    </w:p>
    <w:p w:rsidR="007F6887" w:rsidRPr="00103EE1" w:rsidRDefault="007F6887" w:rsidP="00535A9D">
      <w:pPr>
        <w:pStyle w:val="Prrafodelista"/>
        <w:numPr>
          <w:ilvl w:val="0"/>
          <w:numId w:val="11"/>
        </w:numPr>
        <w:spacing w:before="100" w:beforeAutospacing="1" w:after="100" w:afterAutospacing="1" w:line="240" w:lineRule="auto"/>
        <w:rPr>
          <w:rFonts w:ascii="Arial" w:hAnsi="Arial" w:cs="Arial"/>
          <w:szCs w:val="24"/>
        </w:rPr>
      </w:pPr>
      <w:r w:rsidRPr="00103EE1">
        <w:rPr>
          <w:rFonts w:ascii="Arial" w:hAnsi="Arial" w:cs="Arial"/>
          <w:szCs w:val="24"/>
        </w:rPr>
        <w:t xml:space="preserve">Durante la contingencia estatal por el virus SARS-CoV2 se han brindado más de 2,300 servicios de atención psicológica, jurídica y de trabajo social mediante línea telefónica, </w:t>
      </w:r>
      <w:proofErr w:type="spellStart"/>
      <w:r w:rsidRPr="00103EE1">
        <w:rPr>
          <w:rFonts w:ascii="Arial" w:hAnsi="Arial" w:cs="Arial"/>
          <w:szCs w:val="24"/>
        </w:rPr>
        <w:t>WhatsApp</w:t>
      </w:r>
      <w:proofErr w:type="spellEnd"/>
      <w:r w:rsidRPr="00103EE1">
        <w:rPr>
          <w:rFonts w:ascii="Arial" w:hAnsi="Arial" w:cs="Arial"/>
          <w:szCs w:val="24"/>
        </w:rPr>
        <w:t xml:space="preserve">, líneas de emergencia, </w:t>
      </w:r>
      <w:proofErr w:type="spellStart"/>
      <w:r w:rsidRPr="00103EE1">
        <w:rPr>
          <w:rFonts w:ascii="Arial" w:hAnsi="Arial" w:cs="Arial"/>
          <w:szCs w:val="24"/>
        </w:rPr>
        <w:t>Call</w:t>
      </w:r>
      <w:proofErr w:type="spellEnd"/>
      <w:r w:rsidRPr="00103EE1">
        <w:rPr>
          <w:rFonts w:ascii="Arial" w:hAnsi="Arial" w:cs="Arial"/>
          <w:szCs w:val="24"/>
        </w:rPr>
        <w:t xml:space="preserve"> Center y redes sociales.</w:t>
      </w:r>
    </w:p>
    <w:p w:rsidR="007F6887" w:rsidRPr="00103EE1" w:rsidRDefault="007F6887" w:rsidP="007F6887">
      <w:pPr>
        <w:spacing w:before="100" w:beforeAutospacing="1" w:after="100" w:afterAutospacing="1"/>
        <w:rPr>
          <w:rFonts w:cs="Arial"/>
          <w:b/>
        </w:rPr>
      </w:pPr>
      <w:r w:rsidRPr="00103EE1">
        <w:rPr>
          <w:rFonts w:cs="Arial"/>
          <w:b/>
        </w:rPr>
        <w:t>Avances en gobierno abierto</w:t>
      </w:r>
    </w:p>
    <w:p w:rsidR="007F6887" w:rsidRDefault="007F6887" w:rsidP="00535A9D">
      <w:pPr>
        <w:pStyle w:val="Prrafodelista"/>
        <w:numPr>
          <w:ilvl w:val="0"/>
          <w:numId w:val="12"/>
        </w:numPr>
        <w:spacing w:before="100" w:beforeAutospacing="1" w:after="100" w:afterAutospacing="1" w:line="240" w:lineRule="auto"/>
        <w:rPr>
          <w:rFonts w:ascii="Arial" w:hAnsi="Arial" w:cs="Arial"/>
          <w:szCs w:val="24"/>
        </w:rPr>
      </w:pPr>
      <w:r w:rsidRPr="00103EE1">
        <w:rPr>
          <w:rFonts w:ascii="Arial" w:hAnsi="Arial" w:cs="Arial"/>
          <w:szCs w:val="24"/>
        </w:rPr>
        <w:t xml:space="preserve">A nivel nacional, Yucatán ocupa el tercer lugar en el Indicador </w:t>
      </w:r>
      <w:proofErr w:type="spellStart"/>
      <w:r w:rsidRPr="00103EE1">
        <w:rPr>
          <w:rFonts w:ascii="Arial" w:hAnsi="Arial" w:cs="Arial"/>
          <w:szCs w:val="24"/>
        </w:rPr>
        <w:t>Subnacional</w:t>
      </w:r>
      <w:proofErr w:type="spellEnd"/>
      <w:r w:rsidRPr="00103EE1">
        <w:rPr>
          <w:rFonts w:ascii="Arial" w:hAnsi="Arial" w:cs="Arial"/>
          <w:szCs w:val="24"/>
        </w:rPr>
        <w:t xml:space="preserve"> de Mejora Regulatoria y el segundo en percepción de cumplimiento de los objetivos y en el Índice de Transparencia y Disponibilidad de la información Fiscal de las</w:t>
      </w:r>
      <w:r>
        <w:rPr>
          <w:rFonts w:ascii="Arial" w:hAnsi="Arial" w:cs="Arial"/>
          <w:szCs w:val="24"/>
        </w:rPr>
        <w:t xml:space="preserve"> </w:t>
      </w:r>
      <w:r w:rsidRPr="00103EE1">
        <w:rPr>
          <w:rFonts w:ascii="Arial" w:hAnsi="Arial" w:cs="Arial"/>
          <w:szCs w:val="24"/>
        </w:rPr>
        <w:t>Entidades Federativas, lo que confirma que la disponibilidad de la información fiscal relativa a las gestiones financieras es accesible y transparente.</w:t>
      </w:r>
    </w:p>
    <w:p w:rsidR="007F6887" w:rsidRDefault="007F6887" w:rsidP="00535A9D">
      <w:pPr>
        <w:pStyle w:val="Prrafodelista"/>
        <w:numPr>
          <w:ilvl w:val="0"/>
          <w:numId w:val="12"/>
        </w:numPr>
        <w:spacing w:before="100" w:beforeAutospacing="1" w:after="100" w:afterAutospacing="1" w:line="240" w:lineRule="auto"/>
        <w:rPr>
          <w:rFonts w:ascii="Arial" w:hAnsi="Arial" w:cs="Arial"/>
          <w:szCs w:val="24"/>
        </w:rPr>
      </w:pPr>
      <w:r w:rsidRPr="00103EE1">
        <w:rPr>
          <w:rFonts w:ascii="Arial" w:hAnsi="Arial" w:cs="Arial"/>
          <w:szCs w:val="24"/>
        </w:rPr>
        <w:t>Con respecto a la calificación que asigna el Sistema de Alertas de la Secretaría de Hacienda y Crédito Público (SHCP) al endeud</w:t>
      </w:r>
      <w:r>
        <w:rPr>
          <w:rFonts w:ascii="Arial" w:hAnsi="Arial" w:cs="Arial"/>
          <w:szCs w:val="24"/>
        </w:rPr>
        <w:t>amiento del estado, ésta se man</w:t>
      </w:r>
      <w:r w:rsidRPr="00103EE1">
        <w:rPr>
          <w:rFonts w:ascii="Arial" w:hAnsi="Arial" w:cs="Arial"/>
          <w:szCs w:val="24"/>
        </w:rPr>
        <w:t xml:space="preserve">tiene en un nivel de endeudamiento sostenible. Por otra parte, las calificadoras HR Ratings, </w:t>
      </w:r>
      <w:proofErr w:type="spellStart"/>
      <w:r w:rsidRPr="00103EE1">
        <w:rPr>
          <w:rFonts w:ascii="Arial" w:hAnsi="Arial" w:cs="Arial"/>
          <w:szCs w:val="24"/>
        </w:rPr>
        <w:t>Fitch</w:t>
      </w:r>
      <w:proofErr w:type="spellEnd"/>
      <w:r w:rsidRPr="00103EE1">
        <w:rPr>
          <w:rFonts w:ascii="Arial" w:hAnsi="Arial" w:cs="Arial"/>
          <w:szCs w:val="24"/>
        </w:rPr>
        <w:t xml:space="preserve"> Ratings y </w:t>
      </w:r>
      <w:proofErr w:type="spellStart"/>
      <w:r w:rsidRPr="00103EE1">
        <w:rPr>
          <w:rFonts w:ascii="Arial" w:hAnsi="Arial" w:cs="Arial"/>
          <w:szCs w:val="24"/>
        </w:rPr>
        <w:t>Moody´s</w:t>
      </w:r>
      <w:proofErr w:type="spellEnd"/>
      <w:r w:rsidRPr="00103EE1">
        <w:rPr>
          <w:rFonts w:ascii="Arial" w:hAnsi="Arial" w:cs="Arial"/>
          <w:szCs w:val="24"/>
        </w:rPr>
        <w:t xml:space="preserve"> México ratificaron las calificaciones del estado, a pesar del panorama adverso actual, lo que se traduce en que la perspectiva crediticia del estado se mantiene estable en el la</w:t>
      </w:r>
      <w:r>
        <w:rPr>
          <w:rFonts w:ascii="Arial" w:hAnsi="Arial" w:cs="Arial"/>
          <w:szCs w:val="24"/>
        </w:rPr>
        <w:t>rgo plazo. Para obtener esta ca</w:t>
      </w:r>
      <w:r w:rsidRPr="00103EE1">
        <w:rPr>
          <w:rFonts w:ascii="Arial" w:hAnsi="Arial" w:cs="Arial"/>
          <w:szCs w:val="24"/>
        </w:rPr>
        <w:t>lificación, ha sido clave la solidez y adaptabilidad d</w:t>
      </w:r>
      <w:r>
        <w:rPr>
          <w:rFonts w:ascii="Arial" w:hAnsi="Arial" w:cs="Arial"/>
          <w:szCs w:val="24"/>
        </w:rPr>
        <w:t>e los ingresos, así como la sos</w:t>
      </w:r>
      <w:r w:rsidRPr="00103EE1">
        <w:rPr>
          <w:rFonts w:ascii="Arial" w:hAnsi="Arial" w:cs="Arial"/>
          <w:szCs w:val="24"/>
        </w:rPr>
        <w:t>tenibilidad de los gastos y la liquidez financiera. En la percepción de la corrupción, Yucatán es la entidad federativa en la que se percibe menor corrupción.</w:t>
      </w:r>
    </w:p>
    <w:p w:rsidR="007F6887" w:rsidRDefault="007F6887" w:rsidP="00535A9D">
      <w:pPr>
        <w:pStyle w:val="Prrafodelista"/>
        <w:numPr>
          <w:ilvl w:val="0"/>
          <w:numId w:val="12"/>
        </w:numPr>
        <w:spacing w:before="100" w:beforeAutospacing="1" w:after="100" w:afterAutospacing="1" w:line="240" w:lineRule="auto"/>
        <w:rPr>
          <w:rFonts w:ascii="Arial" w:hAnsi="Arial" w:cs="Arial"/>
          <w:szCs w:val="24"/>
        </w:rPr>
      </w:pPr>
      <w:r w:rsidRPr="00103EE1">
        <w:rPr>
          <w:rFonts w:ascii="Arial" w:hAnsi="Arial" w:cs="Arial"/>
          <w:szCs w:val="24"/>
        </w:rPr>
        <w:t xml:space="preserve">Yucatán tuvo un avance de 5.6% en el Índice de </w:t>
      </w:r>
      <w:r>
        <w:rPr>
          <w:rFonts w:ascii="Arial" w:hAnsi="Arial" w:cs="Arial"/>
          <w:szCs w:val="24"/>
        </w:rPr>
        <w:t>Calidad en la información repor</w:t>
      </w:r>
      <w:r w:rsidRPr="00103EE1">
        <w:rPr>
          <w:rFonts w:ascii="Arial" w:hAnsi="Arial" w:cs="Arial"/>
          <w:szCs w:val="24"/>
        </w:rPr>
        <w:t xml:space="preserve">tada sobre Recursos Federales transferidos con respecto al mismo </w:t>
      </w:r>
      <w:r w:rsidRPr="00103EE1">
        <w:rPr>
          <w:rFonts w:ascii="Arial" w:hAnsi="Arial" w:cs="Arial"/>
          <w:szCs w:val="24"/>
        </w:rPr>
        <w:lastRenderedPageBreak/>
        <w:t>período del año anterior, situándose como la séptima entidad federativa con mayor avance en el indicador global.</w:t>
      </w:r>
    </w:p>
    <w:p w:rsidR="007F6887" w:rsidRDefault="007F6887" w:rsidP="00535A9D">
      <w:pPr>
        <w:pStyle w:val="Prrafodelista"/>
        <w:numPr>
          <w:ilvl w:val="0"/>
          <w:numId w:val="12"/>
        </w:numPr>
        <w:spacing w:before="100" w:beforeAutospacing="1" w:after="100" w:afterAutospacing="1" w:line="240" w:lineRule="auto"/>
        <w:rPr>
          <w:rFonts w:ascii="Arial" w:hAnsi="Arial" w:cs="Arial"/>
          <w:szCs w:val="24"/>
        </w:rPr>
      </w:pPr>
      <w:r w:rsidRPr="00103EE1">
        <w:rPr>
          <w:rFonts w:ascii="Arial" w:hAnsi="Arial" w:cs="Arial"/>
          <w:szCs w:val="24"/>
        </w:rPr>
        <w:t>La Secretaría de Administración y Finanzas (SAF) obtuvo una calificación histórica en materia de transparencia, al registrar resultados del 100% de cumplimiento dentro de la Verificación de Obligaciones de Transparencia 2019 que realizó el Instituto Estatal de Transparencia, Acceso a la Información Pública y Protección de Datos Personales de Yucatán. Antes de iniciar el actual Gobierno estatal, el puntaje fue de 58 de un total de 100 puntos.</w:t>
      </w:r>
    </w:p>
    <w:p w:rsidR="007F6887" w:rsidRPr="00103EE1" w:rsidRDefault="007F6887" w:rsidP="00535A9D">
      <w:pPr>
        <w:pStyle w:val="Prrafodelista"/>
        <w:numPr>
          <w:ilvl w:val="0"/>
          <w:numId w:val="12"/>
        </w:numPr>
        <w:spacing w:before="100" w:beforeAutospacing="1" w:after="100" w:afterAutospacing="1" w:line="240" w:lineRule="auto"/>
        <w:rPr>
          <w:rFonts w:ascii="Arial" w:hAnsi="Arial" w:cs="Arial"/>
          <w:szCs w:val="24"/>
        </w:rPr>
      </w:pPr>
      <w:r w:rsidRPr="00103EE1">
        <w:rPr>
          <w:rFonts w:ascii="Arial" w:hAnsi="Arial" w:cs="Arial"/>
          <w:szCs w:val="24"/>
        </w:rPr>
        <w:t>Se expidió el Decreto 199/2020 por el que se establece la ampliación presupuestal en materia de prestación y servicios de salud, desarrollo económico, protección del empleo y protección social.</w:t>
      </w:r>
    </w:p>
    <w:p w:rsidR="007F6887" w:rsidRPr="00103EE1" w:rsidRDefault="007F6887" w:rsidP="007F6887">
      <w:pPr>
        <w:spacing w:before="100" w:beforeAutospacing="1" w:after="100" w:afterAutospacing="1"/>
        <w:rPr>
          <w:rFonts w:cs="Arial"/>
          <w:b/>
        </w:rPr>
      </w:pPr>
      <w:r w:rsidRPr="00103EE1">
        <w:rPr>
          <w:rFonts w:cs="Arial"/>
          <w:b/>
        </w:rPr>
        <w:t>Avances sociales</w:t>
      </w:r>
    </w:p>
    <w:p w:rsidR="007F6887" w:rsidRDefault="007F6887" w:rsidP="00535A9D">
      <w:pPr>
        <w:pStyle w:val="Prrafodelista"/>
        <w:numPr>
          <w:ilvl w:val="0"/>
          <w:numId w:val="13"/>
        </w:numPr>
        <w:spacing w:before="100" w:beforeAutospacing="1" w:after="100" w:afterAutospacing="1" w:line="240" w:lineRule="auto"/>
        <w:rPr>
          <w:rFonts w:ascii="Arial" w:hAnsi="Arial" w:cs="Arial"/>
          <w:szCs w:val="24"/>
        </w:rPr>
      </w:pPr>
      <w:r w:rsidRPr="00103EE1">
        <w:rPr>
          <w:rFonts w:ascii="Arial" w:hAnsi="Arial" w:cs="Arial"/>
          <w:szCs w:val="24"/>
        </w:rPr>
        <w:t>Se han beneficiado anualmente a más de 120 mil niños de escuelas públicas con desayunos fríos y más de 12 mil con desayunos calientes.</w:t>
      </w:r>
    </w:p>
    <w:p w:rsidR="007F6887" w:rsidRDefault="007F6887" w:rsidP="00535A9D">
      <w:pPr>
        <w:pStyle w:val="Prrafodelista"/>
        <w:numPr>
          <w:ilvl w:val="0"/>
          <w:numId w:val="13"/>
        </w:numPr>
        <w:spacing w:before="100" w:beforeAutospacing="1" w:after="100" w:afterAutospacing="1" w:line="240" w:lineRule="auto"/>
        <w:rPr>
          <w:rFonts w:ascii="Arial" w:hAnsi="Arial" w:cs="Arial"/>
          <w:szCs w:val="24"/>
        </w:rPr>
      </w:pPr>
      <w:r w:rsidRPr="00103EE1">
        <w:rPr>
          <w:rFonts w:ascii="Arial" w:hAnsi="Arial" w:cs="Arial"/>
          <w:szCs w:val="24"/>
        </w:rPr>
        <w:t>El programa Caravanas Diferentes ha llegado a 10 localidades con los diversos servicios que otorga el DIF Yucatán, como son: alimentación, servicios médicos, programas de atención a la infancia y la familia, trámites de foto credenciales para personas con discapacidad y valoraciones ortopé</w:t>
      </w:r>
      <w:r>
        <w:rPr>
          <w:rFonts w:ascii="Arial" w:hAnsi="Arial" w:cs="Arial"/>
          <w:szCs w:val="24"/>
        </w:rPr>
        <w:t>dicas y asesorías jurídicas, me</w:t>
      </w:r>
      <w:r w:rsidRPr="00103EE1">
        <w:rPr>
          <w:rFonts w:ascii="Arial" w:hAnsi="Arial" w:cs="Arial"/>
          <w:szCs w:val="24"/>
        </w:rPr>
        <w:t>diante unidades móviles y la instalación de mes</w:t>
      </w:r>
      <w:r>
        <w:rPr>
          <w:rFonts w:ascii="Arial" w:hAnsi="Arial" w:cs="Arial"/>
          <w:szCs w:val="24"/>
        </w:rPr>
        <w:t>as en las que se brinda informa</w:t>
      </w:r>
      <w:r w:rsidRPr="00103EE1">
        <w:rPr>
          <w:rFonts w:ascii="Arial" w:hAnsi="Arial" w:cs="Arial"/>
          <w:szCs w:val="24"/>
        </w:rPr>
        <w:t>ción.</w:t>
      </w:r>
    </w:p>
    <w:p w:rsidR="007F6887" w:rsidRDefault="007F6887" w:rsidP="00535A9D">
      <w:pPr>
        <w:pStyle w:val="Prrafodelista"/>
        <w:numPr>
          <w:ilvl w:val="0"/>
          <w:numId w:val="13"/>
        </w:numPr>
        <w:spacing w:before="100" w:beforeAutospacing="1" w:after="100" w:afterAutospacing="1" w:line="240" w:lineRule="auto"/>
        <w:rPr>
          <w:rFonts w:ascii="Arial" w:hAnsi="Arial" w:cs="Arial"/>
          <w:szCs w:val="24"/>
        </w:rPr>
      </w:pPr>
      <w:r w:rsidRPr="00103EE1">
        <w:rPr>
          <w:rFonts w:ascii="Arial" w:hAnsi="Arial" w:cs="Arial"/>
          <w:szCs w:val="24"/>
        </w:rPr>
        <w:t>Mediante el Programa "Ver Bien para Aprender Mej</w:t>
      </w:r>
      <w:r>
        <w:rPr>
          <w:rFonts w:ascii="Arial" w:hAnsi="Arial" w:cs="Arial"/>
          <w:szCs w:val="24"/>
        </w:rPr>
        <w:t>or” que se realiza entre la Fun</w:t>
      </w:r>
      <w:r w:rsidRPr="00103EE1">
        <w:rPr>
          <w:rFonts w:ascii="Arial" w:hAnsi="Arial" w:cs="Arial"/>
          <w:szCs w:val="24"/>
        </w:rPr>
        <w:t>dación Ver Bien para Aprender Mejor y el Gobierno del estado, se han realizado más de 18 mil atenciones optométricas a alumnos de educación básica y 3 mil anteojos gratuitos entregados. Se prevé que a finales de 2020 se realicen 317 mil exámenes de vista y la entrega de 40 mil lentes.</w:t>
      </w:r>
    </w:p>
    <w:p w:rsidR="007F6887" w:rsidRPr="00103EE1" w:rsidRDefault="007F6887" w:rsidP="00535A9D">
      <w:pPr>
        <w:pStyle w:val="Prrafodelista"/>
        <w:numPr>
          <w:ilvl w:val="0"/>
          <w:numId w:val="13"/>
        </w:numPr>
        <w:spacing w:before="100" w:beforeAutospacing="1" w:after="100" w:afterAutospacing="1" w:line="240" w:lineRule="auto"/>
        <w:rPr>
          <w:rFonts w:ascii="Arial" w:hAnsi="Arial" w:cs="Arial"/>
          <w:szCs w:val="24"/>
        </w:rPr>
      </w:pPr>
      <w:r w:rsidRPr="00103EE1">
        <w:rPr>
          <w:rFonts w:ascii="Arial" w:hAnsi="Arial" w:cs="Arial"/>
          <w:szCs w:val="24"/>
        </w:rPr>
        <w:t>A través de la Estrategia Yucatán Hambre Cero se ha beneficiado a más de 26 mil personas.</w:t>
      </w:r>
    </w:p>
    <w:p w:rsidR="007F6887" w:rsidRPr="00103EE1" w:rsidRDefault="007F6887" w:rsidP="007F6887">
      <w:pPr>
        <w:spacing w:before="100" w:beforeAutospacing="1" w:after="100" w:afterAutospacing="1"/>
        <w:rPr>
          <w:rFonts w:cs="Arial"/>
          <w:b/>
        </w:rPr>
      </w:pPr>
      <w:r>
        <w:rPr>
          <w:rFonts w:cs="Arial"/>
          <w:b/>
        </w:rPr>
        <w:t>Reducción Estructural del Gasto</w:t>
      </w:r>
    </w:p>
    <w:p w:rsidR="007F6887" w:rsidRPr="00F31F1F" w:rsidRDefault="007F6887" w:rsidP="007F6887">
      <w:pPr>
        <w:spacing w:before="100" w:beforeAutospacing="1" w:after="100" w:afterAutospacing="1"/>
        <w:rPr>
          <w:rFonts w:cs="Arial"/>
        </w:rPr>
      </w:pPr>
      <w:r w:rsidRPr="00F31F1F">
        <w:rPr>
          <w:rFonts w:cs="Arial"/>
        </w:rPr>
        <w:t>Desde el inicio de la administración, se han implement</w:t>
      </w:r>
      <w:r>
        <w:rPr>
          <w:rFonts w:cs="Arial"/>
        </w:rPr>
        <w:t>ado diversas medidas de austeri</w:t>
      </w:r>
      <w:r w:rsidRPr="00F31F1F">
        <w:rPr>
          <w:rFonts w:cs="Arial"/>
        </w:rPr>
        <w:t xml:space="preserve">dad, eficiencia y control del gasto. Destaca la inversión para modernizar la infraestructura tecnológica y de sistemas en entidades y dependencias para mejorar la administración de sus recursos materiales y financieros. Estas medidas han permitido reorientar el presupuesto para destinar mayores recursos a programas orientados a mejorar los servicios esenciales de Seguridad, Educación y Salud, así como a construir una Red de Protección Social a partir de políticas </w:t>
      </w:r>
      <w:r w:rsidRPr="00F31F1F">
        <w:rPr>
          <w:rFonts w:cs="Arial"/>
        </w:rPr>
        <w:lastRenderedPageBreak/>
        <w:t>dirigidas a las mujeres y a la población en situación de vulnerabilidad, con programas como Médico a Domicilio y Médico 24/7.</w:t>
      </w:r>
    </w:p>
    <w:p w:rsidR="007F6887" w:rsidRDefault="007F6887" w:rsidP="007F6887">
      <w:pPr>
        <w:spacing w:before="100" w:beforeAutospacing="1" w:after="100" w:afterAutospacing="1"/>
        <w:rPr>
          <w:rFonts w:cs="Arial"/>
        </w:rPr>
      </w:pPr>
      <w:r w:rsidRPr="00F31F1F">
        <w:rPr>
          <w:rFonts w:cs="Arial"/>
        </w:rPr>
        <w:t>Al mismo tiempo, esta política proactiva de control del gasto y eficiencia administrativa ha permitido enfrentar las contingencias sin comprometer la sostenibilidad de las finanzas estatales. De haber continuado con la tendencia del gasto 2013-2018, el gasto estimado de libre disposición para 2020 superaría por más de 5,800 millones de pesos nuestra proyección de cierre. Aunque el escenario actual es complejo, la sostenibili</w:t>
      </w:r>
      <w:r>
        <w:rPr>
          <w:rFonts w:cs="Arial"/>
        </w:rPr>
        <w:t>dad del estado no está en juego.</w:t>
      </w:r>
    </w:p>
    <w:p w:rsidR="007F6887" w:rsidRPr="004D5D60" w:rsidRDefault="007F6887" w:rsidP="007F6887">
      <w:pPr>
        <w:pStyle w:val="Sinespaciado"/>
        <w:spacing w:before="120" w:after="120"/>
        <w:jc w:val="center"/>
        <w:rPr>
          <w:rFonts w:ascii="Arial" w:hAnsi="Arial"/>
        </w:rPr>
      </w:pPr>
      <w:r w:rsidRPr="004D5D60">
        <w:rPr>
          <w:rFonts w:ascii="Arial" w:hAnsi="Arial"/>
        </w:rPr>
        <w:t xml:space="preserve">Gasto de Libre Disposición en </w:t>
      </w:r>
      <w:proofErr w:type="spellStart"/>
      <w:r w:rsidRPr="004D5D60">
        <w:rPr>
          <w:rFonts w:ascii="Arial" w:hAnsi="Arial"/>
        </w:rPr>
        <w:t>mdp</w:t>
      </w:r>
      <w:proofErr w:type="spellEnd"/>
    </w:p>
    <w:p w:rsidR="007F6887" w:rsidRPr="004D5D60" w:rsidRDefault="007F6887" w:rsidP="007F6887">
      <w:pPr>
        <w:pStyle w:val="Sinespaciado"/>
        <w:spacing w:before="120" w:after="120"/>
        <w:jc w:val="center"/>
        <w:rPr>
          <w:rFonts w:ascii="Arial" w:hAnsi="Arial"/>
        </w:rPr>
      </w:pPr>
      <w:proofErr w:type="gramStart"/>
      <w:r w:rsidRPr="004D5D60">
        <w:rPr>
          <w:rFonts w:ascii="Arial" w:hAnsi="Arial"/>
        </w:rPr>
        <w:t>ejercido</w:t>
      </w:r>
      <w:proofErr w:type="gramEnd"/>
      <w:r w:rsidRPr="004D5D60">
        <w:rPr>
          <w:rFonts w:ascii="Arial" w:hAnsi="Arial"/>
        </w:rPr>
        <w:t xml:space="preserve"> 2013-2019, proyectado 2020*</w:t>
      </w:r>
    </w:p>
    <w:p w:rsidR="007F6887" w:rsidRPr="004D5D60" w:rsidRDefault="007F6887" w:rsidP="007F6887">
      <w:pPr>
        <w:pStyle w:val="Sinespaciado"/>
        <w:spacing w:before="120" w:after="120"/>
        <w:jc w:val="center"/>
        <w:rPr>
          <w:rFonts w:ascii="Arial" w:hAnsi="Arial"/>
        </w:rPr>
      </w:pPr>
      <w:r>
        <w:rPr>
          <w:rFonts w:ascii="Arial" w:hAnsi="Arial"/>
          <w:noProof/>
          <w:color w:val="002060"/>
          <w:lang w:val="es-MX" w:eastAsia="es-MX"/>
        </w:rPr>
        <w:drawing>
          <wp:inline distT="0" distB="0" distL="0" distR="0">
            <wp:extent cx="4714875" cy="2609850"/>
            <wp:effectExtent l="0" t="0" r="952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cstate="print"/>
                    <a:srcRect t="14655"/>
                    <a:stretch>
                      <a:fillRect/>
                    </a:stretch>
                  </pic:blipFill>
                  <pic:spPr bwMode="auto">
                    <a:xfrm>
                      <a:off x="0" y="0"/>
                      <a:ext cx="4714875" cy="2609850"/>
                    </a:xfrm>
                    <a:prstGeom prst="rect">
                      <a:avLst/>
                    </a:prstGeom>
                    <a:noFill/>
                    <a:ln w="9525">
                      <a:noFill/>
                      <a:miter lim="800000"/>
                      <a:headEnd/>
                      <a:tailEnd/>
                    </a:ln>
                  </pic:spPr>
                </pic:pic>
              </a:graphicData>
            </a:graphic>
          </wp:inline>
        </w:drawing>
      </w:r>
    </w:p>
    <w:p w:rsidR="007F6887" w:rsidRPr="00C428DD" w:rsidRDefault="007F6887" w:rsidP="007F6887">
      <w:pPr>
        <w:spacing w:before="120"/>
        <w:jc w:val="center"/>
        <w:rPr>
          <w:color w:val="000000"/>
        </w:rPr>
      </w:pPr>
      <w:r w:rsidRPr="00C428DD">
        <w:rPr>
          <w:color w:val="000000"/>
        </w:rPr>
        <w:t>*Excluyendo Financiamientos y Contingencia COVID19</w:t>
      </w:r>
    </w:p>
    <w:p w:rsidR="007F6887" w:rsidRPr="00D650D1" w:rsidRDefault="007F6887" w:rsidP="007F6887">
      <w:pPr>
        <w:spacing w:before="100" w:beforeAutospacing="1" w:after="100" w:afterAutospacing="1"/>
        <w:rPr>
          <w:rFonts w:cs="Arial"/>
          <w:b/>
          <w:i/>
        </w:rPr>
      </w:pPr>
      <w:r w:rsidRPr="00D650D1">
        <w:rPr>
          <w:rFonts w:cs="Arial"/>
          <w:b/>
          <w:i/>
        </w:rPr>
        <w:t>1.1.3</w:t>
      </w:r>
      <w:r w:rsidRPr="00D650D1">
        <w:rPr>
          <w:rFonts w:cs="Arial"/>
          <w:b/>
          <w:i/>
        </w:rPr>
        <w:tab/>
        <w:t>Cierre 2020</w:t>
      </w:r>
    </w:p>
    <w:p w:rsidR="007F6887" w:rsidRPr="00D650D1" w:rsidRDefault="007F6887" w:rsidP="007F6887">
      <w:pPr>
        <w:spacing w:before="100" w:beforeAutospacing="1" w:after="100" w:afterAutospacing="1"/>
        <w:rPr>
          <w:rFonts w:cs="Arial"/>
          <w:b/>
        </w:rPr>
      </w:pPr>
      <w:r w:rsidRPr="00D650D1">
        <w:rPr>
          <w:rFonts w:cs="Arial"/>
          <w:b/>
        </w:rPr>
        <w:t>Margen limitado para recortes adi</w:t>
      </w:r>
      <w:r>
        <w:rPr>
          <w:rFonts w:cs="Arial"/>
          <w:b/>
        </w:rPr>
        <w:t>cionales</w:t>
      </w:r>
    </w:p>
    <w:p w:rsidR="007F6887" w:rsidRPr="00D650D1" w:rsidRDefault="007F6887" w:rsidP="007F6887">
      <w:pPr>
        <w:spacing w:before="100" w:beforeAutospacing="1" w:after="100" w:afterAutospacing="1"/>
        <w:rPr>
          <w:rFonts w:cs="Arial"/>
        </w:rPr>
      </w:pPr>
      <w:r w:rsidRPr="00D650D1">
        <w:rPr>
          <w:rFonts w:cs="Arial"/>
        </w:rPr>
        <w:t xml:space="preserve">A pesar de los esfuerzos de reducción del gasto, los recursos transferidos por el gobierno federal han disminuido desde 2018. En particular, la disponibilidad de recursos </w:t>
      </w:r>
      <w:proofErr w:type="spellStart"/>
      <w:r w:rsidRPr="00D650D1">
        <w:rPr>
          <w:rFonts w:cs="Arial"/>
        </w:rPr>
        <w:t>prove</w:t>
      </w:r>
      <w:proofErr w:type="spellEnd"/>
      <w:r w:rsidRPr="00D650D1">
        <w:rPr>
          <w:rFonts w:cs="Arial"/>
        </w:rPr>
        <w:t xml:space="preserve"> </w:t>
      </w:r>
      <w:proofErr w:type="spellStart"/>
      <w:r w:rsidRPr="00D650D1">
        <w:rPr>
          <w:rFonts w:cs="Arial"/>
        </w:rPr>
        <w:t>nientes</w:t>
      </w:r>
      <w:proofErr w:type="spellEnd"/>
      <w:r w:rsidRPr="00D650D1">
        <w:rPr>
          <w:rFonts w:cs="Arial"/>
        </w:rPr>
        <w:t xml:space="preserve"> del ramo 23 (Fondo de Fortalecimiento Financiero) y el Programa “U080 Apoyo a Centros y Organizaciones de Educación” se redujeron en 3,268 millones de pesos respecto a 2018, en términos reales. Por ejemplo, entre 2015 y 2018, la federación transfirió 3,365 millones de pesos de recursos extraordinarios, en promedio, para subsanar el efecto del Déficit Educativo. Sin </w:t>
      </w:r>
      <w:r w:rsidRPr="00D650D1">
        <w:rPr>
          <w:rFonts w:cs="Arial"/>
        </w:rPr>
        <w:lastRenderedPageBreak/>
        <w:t>embargo, en 2019 solo llegaron 1,000 millones de pesos y en 2020 no han llegado esos recursos. Como resultado de estos recortes, el margen de maniobra financiera del estado es cada vez menor, como se pude observar en la siguiente gráfica.</w:t>
      </w:r>
    </w:p>
    <w:p w:rsidR="007F6887" w:rsidRPr="004D5D60" w:rsidRDefault="00D5198F" w:rsidP="007F6887">
      <w:pPr>
        <w:spacing w:before="120"/>
        <w:jc w:val="center"/>
      </w:pPr>
      <w:r w:rsidRPr="00D5198F">
        <w:rPr>
          <w:rFonts w:asciiTheme="minorHAnsi" w:hAnsiTheme="minorHAnsi"/>
          <w:noProof/>
          <w:lang w:eastAsia="es-MX"/>
        </w:rPr>
        <w:pict>
          <v:rect id="Rectángulo 72340821" o:spid="_x0000_s1026" style="position:absolute;left:0;text-align:left;margin-left:95.55pt;margin-top:3.25pt;width:369.35pt;height:39.9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" fillcolor="#0e1d55" stroked="f" strokeweight="1pt">
            <v:path arrowok="t"/>
          </v:rect>
        </w:pict>
      </w:r>
      <w:r w:rsidRPr="00D5198F">
        <w:rPr>
          <w:rFonts w:asciiTheme="minorHAnsi" w:hAnsiTheme="minorHAnsi"/>
          <w:noProof/>
          <w:lang w:eastAsia="es-MX"/>
        </w:rPr>
        <w:pict>
          <v:shapetype id="_x0000_t202" coordsize="21600,21600" o:spt="202" path="m,l,21600r21600,l21600,xe">
            <v:stroke joinstyle="miter"/>
            <v:path gradientshapeok="t" o:connecttype="rect"/>
          </v:shapetype>
          <v:shape id="Cuadro de texto 72340820" o:spid="_x0000_s1107" type="#_x0000_t202" style="position:absolute;left:0;text-align:left;margin-left:97.4pt;margin-top:.45pt;width:261.8pt;height:50.6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" filled="f" stroked="f" strokeweight=".5pt">
            <v:path arrowok="t"/>
            <v:textbox style="mso-next-textbox:#Cuadro de texto 72340820">
              <w:txbxContent>
                <w:p w:rsidR="00923562" w:rsidRPr="00D07CA8" w:rsidRDefault="00923562" w:rsidP="007F6887">
                  <w:pPr>
                    <w:rPr>
                      <w:rFonts w:ascii="Barlow SemiBold" w:hAnsi="Barlow SemiBold"/>
                      <w:b/>
                      <w:color w:val="F2F2F2"/>
                    </w:rPr>
                  </w:pPr>
                  <w:r w:rsidRPr="00D07CA8">
                    <w:rPr>
                      <w:rFonts w:ascii="Barlow SemiBold" w:hAnsi="Barlow SemiBold"/>
                      <w:b/>
                      <w:color w:val="F2F2F2"/>
                    </w:rPr>
                    <w:t xml:space="preserve">Evolución del Gasto de Libre Disposición* </w:t>
                  </w:r>
                </w:p>
                <w:p w:rsidR="00923562" w:rsidRPr="00D07CA8" w:rsidRDefault="00923562" w:rsidP="007F6887">
                  <w:pPr>
                    <w:rPr>
                      <w:rFonts w:ascii="Barlow SemiBold" w:hAnsi="Barlow SemiBold"/>
                      <w:b/>
                      <w:color w:val="F2F2F2"/>
                    </w:rPr>
                  </w:pPr>
                  <w:r w:rsidRPr="00D07CA8">
                    <w:rPr>
                      <w:rFonts w:ascii="Barlow SemiBold" w:hAnsi="Barlow SemiBold"/>
                      <w:b/>
                      <w:color w:val="F2F2F2"/>
                    </w:rPr>
                    <w:t>(</w:t>
                  </w:r>
                  <w:proofErr w:type="gramStart"/>
                  <w:r w:rsidRPr="00D07CA8">
                    <w:rPr>
                      <w:rFonts w:ascii="Barlow SemiBold" w:hAnsi="Barlow SemiBold"/>
                      <w:b/>
                      <w:color w:val="F2F2F2"/>
                    </w:rPr>
                    <w:t>millones</w:t>
                  </w:r>
                  <w:proofErr w:type="gramEnd"/>
                  <w:r w:rsidRPr="00D07CA8">
                    <w:rPr>
                      <w:rFonts w:ascii="Barlow SemiBold" w:hAnsi="Barlow SemiBold"/>
                      <w:b/>
                      <w:color w:val="F2F2F2"/>
                    </w:rPr>
                    <w:t xml:space="preserve"> de pesos </w:t>
                  </w:r>
                  <w:r w:rsidRPr="00D07CA8">
                    <w:rPr>
                      <w:rFonts w:ascii="Barlow SemiBold" w:hAnsi="Barlow SemiBold"/>
                      <w:b/>
                      <w:bCs/>
                      <w:iCs/>
                      <w:color w:val="F2F2F2"/>
                    </w:rPr>
                    <w:t>constantes de 2021)</w:t>
                  </w:r>
                </w:p>
                <w:p w:rsidR="00923562" w:rsidRPr="00253985" w:rsidRDefault="00923562" w:rsidP="007F6887">
                  <w:pPr>
                    <w:rPr>
                      <w:rFonts w:ascii="Barlow SemiBold" w:hAnsi="Barlow SemiBold"/>
                      <w:b/>
                      <w:bCs/>
                      <w:iCs/>
                      <w:color w:val="F2F2F2"/>
                      <w:sz w:val="28"/>
                      <w:szCs w:val="28"/>
                    </w:rPr>
                  </w:pPr>
                  <w:r w:rsidRPr="00253985">
                    <w:rPr>
                      <w:rFonts w:ascii="Barlow SemiBold" w:hAnsi="Barlow SemiBold"/>
                      <w:b/>
                      <w:color w:val="F2F2F2"/>
                      <w:sz w:val="28"/>
                      <w:szCs w:val="28"/>
                    </w:rPr>
                    <w:t xml:space="preserve"> </w:t>
                  </w:r>
                </w:p>
                <w:p w:rsidR="00923562" w:rsidRPr="00253985" w:rsidRDefault="00923562" w:rsidP="007F6887"/>
              </w:txbxContent>
            </v:textbox>
          </v:shape>
        </w:pict>
      </w:r>
      <w:r w:rsidRPr="00D5198F">
        <w:rPr>
          <w:rFonts w:asciiTheme="minorHAnsi" w:hAnsiTheme="minorHAnsi"/>
          <w:noProof/>
          <w:lang w:eastAsia="es-MX"/>
        </w:rPr>
        <w:pict>
          <v:rect id="Rectángulo 72340819" o:spid="_x0000_s1106" style="position:absolute;left:0;text-align:left;margin-left:1.4pt;margin-top:4.55pt;width:88.1pt;height:39.4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" fillcolor="#ffc000" stroked="f" strokeweight="1pt">
            <v:path arrowok="t"/>
          </v:rect>
        </w:pict>
      </w:r>
      <w:r w:rsidRPr="00D5198F">
        <w:rPr>
          <w:rFonts w:asciiTheme="minorHAnsi" w:hAnsiTheme="minorHAnsi"/>
          <w:noProof/>
          <w:lang w:eastAsia="es-MX"/>
        </w:rPr>
        <w:pict>
          <v:shape id="Cuadro de texto 72340818" o:spid="_x0000_s1027" type="#_x0000_t202" style="position:absolute;left:0;text-align:left;margin-left:0;margin-top:9.15pt;width:103.8pt;height:32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" filled="f" stroked="f" strokeweight=".5pt">
            <v:path arrowok="t"/>
            <v:textbox style="mso-next-textbox:#Cuadro de texto 72340818">
              <w:txbxContent>
                <w:p w:rsidR="00923562" w:rsidRPr="00D07CA8" w:rsidRDefault="00923562" w:rsidP="007F6887">
                  <w:pPr>
                    <w:rPr>
                      <w:rFonts w:ascii="Barlow SemiBold" w:hAnsi="Barlow SemiBold"/>
                      <w:b/>
                      <w:bCs/>
                      <w:color w:val="000000"/>
                      <w:lang w:val="es-ES"/>
                    </w:rPr>
                  </w:pPr>
                  <w:r w:rsidRPr="00D07CA8">
                    <w:rPr>
                      <w:rFonts w:ascii="Barlow SemiBold" w:hAnsi="Barlow SemiBold"/>
                      <w:b/>
                      <w:bCs/>
                      <w:color w:val="000000"/>
                      <w:lang w:val="es-ES"/>
                    </w:rPr>
                    <w:t xml:space="preserve">GRÁFICO </w:t>
                  </w:r>
                  <w:r>
                    <w:rPr>
                      <w:rFonts w:ascii="Barlow SemiBold" w:hAnsi="Barlow SemiBold"/>
                      <w:b/>
                      <w:bCs/>
                      <w:color w:val="000000"/>
                      <w:lang w:val="es-ES"/>
                    </w:rPr>
                    <w:t>1</w:t>
                  </w:r>
                  <w:r w:rsidRPr="00D07CA8">
                    <w:rPr>
                      <w:rFonts w:ascii="Barlow SemiBold" w:hAnsi="Barlow SemiBold"/>
                      <w:b/>
                      <w:bCs/>
                      <w:color w:val="000000"/>
                      <w:lang w:val="es-ES"/>
                    </w:rPr>
                    <w:t>.2</w:t>
                  </w:r>
                </w:p>
              </w:txbxContent>
            </v:textbox>
          </v:shape>
        </w:pict>
      </w:r>
    </w:p>
    <w:p w:rsidR="007F6887" w:rsidRPr="004D5D60" w:rsidRDefault="00D5198F" w:rsidP="007F6887">
      <w:pPr>
        <w:spacing w:before="120"/>
        <w:jc w:val="center"/>
      </w:pPr>
      <w:r w:rsidRPr="00D5198F">
        <w:rPr>
          <w:rFonts w:asciiTheme="minorHAnsi" w:hAnsiTheme="minorHAnsi"/>
          <w:noProof/>
          <w:lang w:eastAsia="es-MX"/>
        </w:rPr>
        <w:pict>
          <v:shape id="Cuadro de texto 72340817" o:spid="_x0000_s1028" type="#_x0000_t202" style="position:absolute;left:0;text-align:left;margin-left:379.4pt;margin-top:19.3pt;width:140.8pt;height:60.65pt;z-index:25166438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" filled="f" stroked="f">
            <v:path arrowok="t"/>
            <v:textbox style="mso-next-textbox:#Cuadro de texto 72340817">
              <w:txbxContent>
                <w:p w:rsidR="00923562" w:rsidRPr="00FA3C76" w:rsidRDefault="00923562" w:rsidP="007F6887">
                  <w:pPr>
                    <w:jc w:val="center"/>
                    <w:rPr>
                      <w:sz w:val="14"/>
                      <w:szCs w:val="14"/>
                    </w:rPr>
                  </w:pPr>
                  <w:r w:rsidRPr="00C428DD">
                    <w:rPr>
                      <w:rFonts w:ascii="Calibri" w:hAnsi="Calibri"/>
                      <w:b/>
                      <w:color w:val="000000"/>
                      <w:kern w:val="24"/>
                      <w:sz w:val="20"/>
                      <w:szCs w:val="20"/>
                    </w:rPr>
                    <w:t>El Disponible para el Ejecutivo se reduce en:</w:t>
                  </w:r>
                </w:p>
                <w:p w:rsidR="00923562" w:rsidRPr="00FA3C76" w:rsidRDefault="00923562" w:rsidP="007F6887">
                  <w:pPr>
                    <w:jc w:val="center"/>
                    <w:rPr>
                      <w:sz w:val="14"/>
                      <w:szCs w:val="14"/>
                    </w:rPr>
                  </w:pPr>
                  <w:r w:rsidRPr="00FA3C76">
                    <w:rPr>
                      <w:rFonts w:ascii="Calibri" w:hAnsi="Calibri"/>
                      <w:b/>
                      <w:color w:val="C00000"/>
                      <w:kern w:val="24"/>
                      <w:sz w:val="28"/>
                      <w:szCs w:val="28"/>
                    </w:rPr>
                    <w:t xml:space="preserve">-5,758 </w:t>
                  </w:r>
                  <w:proofErr w:type="spellStart"/>
                  <w:r w:rsidRPr="00FA3C76">
                    <w:rPr>
                      <w:rFonts w:ascii="Calibri" w:hAnsi="Calibri"/>
                      <w:b/>
                      <w:color w:val="C00000"/>
                      <w:kern w:val="24"/>
                      <w:sz w:val="28"/>
                      <w:szCs w:val="28"/>
                    </w:rPr>
                    <w:t>mdp</w:t>
                  </w:r>
                  <w:proofErr w:type="spellEnd"/>
                </w:p>
              </w:txbxContent>
            </v:textbox>
            <w10:wrap anchorx="page"/>
          </v:shape>
        </w:pict>
      </w:r>
    </w:p>
    <w:p w:rsidR="007F6887" w:rsidRPr="004D5D60" w:rsidRDefault="00D5198F" w:rsidP="007F6887">
      <w:pPr>
        <w:spacing w:before="120"/>
        <w:jc w:val="center"/>
      </w:pPr>
      <w:r w:rsidRPr="00D5198F">
        <w:rPr>
          <w:rFonts w:asciiTheme="minorHAnsi" w:hAnsiTheme="minorHAnsi"/>
          <w:noProof/>
          <w:lang w:eastAsia="es-MX"/>
        </w:rPr>
        <w:pict>
          <v:shapetype id="_x0000_t32" coordsize="21600,21600" o:spt="32" o:oned="t" path="m,l21600,21600e" filled="f">
            <v:path arrowok="t" fillok="f" o:connecttype="none"/>
            <o:lock v:ext="edit" shapetype="t"/>
          </v:shapetype>
          <v:shape id="Conector recto de flecha 72340816" o:spid="_x0000_s1105" type="#_x0000_t32" style="position:absolute;left:0;text-align:left;margin-left:307.9pt;margin-top:5.8pt;width:0;height:38.2pt;z-index:25166336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" strokecolor="#c00000" strokeweight="1pt">
            <v:stroke startarrow="block" endarrow="block" joinstyle="miter"/>
            <o:lock v:ext="edit" shapetype="f"/>
          </v:shape>
        </w:pict>
      </w:r>
      <w:r w:rsidR="007F6887">
        <w:rPr>
          <w:noProof/>
          <w:lang w:eastAsia="es-MX"/>
        </w:rPr>
        <w:drawing>
          <wp:inline distT="0" distB="0" distL="0" distR="0">
            <wp:extent cx="5614035" cy="2860040"/>
            <wp:effectExtent l="0" t="0" r="0" b="0"/>
            <wp:docPr id="8"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F6887" w:rsidRPr="00D650D1" w:rsidRDefault="007F6887" w:rsidP="007F6887">
      <w:pPr>
        <w:spacing w:before="120"/>
        <w:rPr>
          <w:rStyle w:val="CitaCar"/>
          <w:color w:val="auto"/>
        </w:rPr>
      </w:pPr>
      <w:r w:rsidRPr="00D650D1">
        <w:rPr>
          <w:rStyle w:val="CitaCar"/>
          <w:color w:val="auto"/>
        </w:rPr>
        <w:t>Excluyendo Venta de Bienes y Servicios, Financiamientos y Contingencia Estatal Covid19. U080 sin recursos en 2020 y 2021.</w:t>
      </w:r>
    </w:p>
    <w:p w:rsidR="007F6887" w:rsidRPr="00D650D1" w:rsidRDefault="007F6887" w:rsidP="007F6887">
      <w:pPr>
        <w:spacing w:before="120"/>
        <w:rPr>
          <w:rStyle w:val="CitaCar"/>
          <w:color w:val="auto"/>
        </w:rPr>
      </w:pPr>
      <w:r w:rsidRPr="00D650D1">
        <w:rPr>
          <w:rStyle w:val="CitaCar"/>
          <w:color w:val="auto"/>
        </w:rPr>
        <w:t>Considera inflación anual de 4.09% para 2020*</w:t>
      </w:r>
    </w:p>
    <w:p w:rsidR="007F6887" w:rsidRPr="00D650D1" w:rsidRDefault="007F6887" w:rsidP="007F6887">
      <w:pPr>
        <w:spacing w:before="100" w:beforeAutospacing="1" w:after="100" w:afterAutospacing="1"/>
        <w:rPr>
          <w:rFonts w:cs="Arial"/>
          <w:b/>
        </w:rPr>
      </w:pPr>
      <w:r w:rsidRPr="00D650D1">
        <w:rPr>
          <w:rFonts w:cs="Arial"/>
          <w:b/>
        </w:rPr>
        <w:t>Cierre 2020</w:t>
      </w:r>
    </w:p>
    <w:p w:rsidR="007F6887" w:rsidRPr="00D650D1" w:rsidRDefault="007F6887" w:rsidP="007F6887">
      <w:pPr>
        <w:spacing w:before="100" w:beforeAutospacing="1" w:after="100" w:afterAutospacing="1"/>
        <w:rPr>
          <w:rFonts w:cs="Arial"/>
        </w:rPr>
      </w:pPr>
      <w:r w:rsidRPr="00D650D1">
        <w:rPr>
          <w:rFonts w:cs="Arial"/>
        </w:rPr>
        <w:t xml:space="preserve">De 2015 a 2018, las finanzas estatales mantuvieron resultados deficitarios. En 2019, </w:t>
      </w:r>
      <w:proofErr w:type="spellStart"/>
      <w:r w:rsidRPr="00D650D1">
        <w:rPr>
          <w:rFonts w:cs="Arial"/>
        </w:rPr>
        <w:t>pri</w:t>
      </w:r>
      <w:proofErr w:type="spellEnd"/>
      <w:r w:rsidRPr="00D650D1">
        <w:rPr>
          <w:rFonts w:cs="Arial"/>
        </w:rPr>
        <w:t xml:space="preserve"> </w:t>
      </w:r>
      <w:proofErr w:type="spellStart"/>
      <w:r w:rsidRPr="00D650D1">
        <w:rPr>
          <w:rFonts w:cs="Arial"/>
        </w:rPr>
        <w:t>mer</w:t>
      </w:r>
      <w:proofErr w:type="spellEnd"/>
      <w:r w:rsidRPr="00D650D1">
        <w:rPr>
          <w:rFonts w:cs="Arial"/>
        </w:rPr>
        <w:t xml:space="preserve"> año completo de esta administración, se alcanzó por primera vez en más de 5 años un cierre balanceado, el cual se había planteado para el ejercicio 2020.</w:t>
      </w:r>
    </w:p>
    <w:p w:rsidR="007F6887" w:rsidRPr="00D650D1" w:rsidRDefault="007F6887" w:rsidP="007F6887">
      <w:pPr>
        <w:spacing w:before="100" w:beforeAutospacing="1" w:after="100" w:afterAutospacing="1"/>
        <w:rPr>
          <w:rFonts w:cs="Arial"/>
        </w:rPr>
      </w:pPr>
      <w:r w:rsidRPr="00D650D1">
        <w:rPr>
          <w:rFonts w:cs="Arial"/>
        </w:rPr>
        <w:t xml:space="preserve">No obstante, la contingencia por el virus COVID-19 ha tenido un efecto negativo en las finanzas del estado, derivado tanto de la necesidad de realizar gastos extraordinarios para atender a la población como de la reducción de ingresos propios. La magnitud de la caída en los ingresos propios todavía es incierta, </w:t>
      </w:r>
      <w:r w:rsidRPr="00D650D1">
        <w:rPr>
          <w:rFonts w:cs="Arial"/>
        </w:rPr>
        <w:lastRenderedPageBreak/>
        <w:t>debido a que las políticas implementadas por esta administración han permitido reactivar la economía de Yucatán.</w:t>
      </w:r>
    </w:p>
    <w:p w:rsidR="007F6887" w:rsidRPr="00D650D1" w:rsidRDefault="007F6887" w:rsidP="007F6887">
      <w:pPr>
        <w:spacing w:before="100" w:beforeAutospacing="1" w:after="100" w:afterAutospacing="1"/>
        <w:rPr>
          <w:rFonts w:cs="Arial"/>
        </w:rPr>
      </w:pPr>
      <w:r w:rsidRPr="00D650D1">
        <w:rPr>
          <w:rFonts w:cs="Arial"/>
        </w:rPr>
        <w:t xml:space="preserve">Además, el cambio de FAEB a FONE generó un déficit estructural en las finanzas </w:t>
      </w:r>
      <w:proofErr w:type="spellStart"/>
      <w:r w:rsidRPr="00D650D1">
        <w:rPr>
          <w:rFonts w:cs="Arial"/>
        </w:rPr>
        <w:t>públi</w:t>
      </w:r>
      <w:proofErr w:type="spellEnd"/>
      <w:r w:rsidRPr="00D650D1">
        <w:rPr>
          <w:rFonts w:cs="Arial"/>
        </w:rPr>
        <w:t xml:space="preserve"> cas de Yucatán que no ha sido resuelto de forma definitiva. Para subsanar este déficit, como se mencionó en el apartado anterior, entre 2015 y 2018 la federación transfirió 3,365 millones de pesos en términos reales de recursos extraordinarios, en promedio. Sin embargo, en 2019, la federación sólo transfirió 1,000 millones de pesos. En 2020, por primera ocasión, al 15 de noviembre de 2020 el Estado no ha recibido recursos extraordinarios para este fin. Para solucionar este faltante, Yucatán requiere recursos extraordinarios del Fondo U080 por 2,984 millones de pesos.</w:t>
      </w:r>
    </w:p>
    <w:p w:rsidR="007F6887" w:rsidRPr="00D650D1" w:rsidRDefault="007F6887" w:rsidP="007F6887">
      <w:pPr>
        <w:spacing w:before="100" w:beforeAutospacing="1" w:after="100" w:afterAutospacing="1"/>
        <w:rPr>
          <w:rFonts w:cs="Arial"/>
        </w:rPr>
      </w:pPr>
      <w:r w:rsidRPr="00D650D1">
        <w:rPr>
          <w:rFonts w:cs="Arial"/>
        </w:rPr>
        <w:t>Por estos dos eventos extraordinarios y el déficit estructural educativo, el diferencial entre el ingreso y el gasto esperado se estima que sea entre -1,000 y -3,000 millones de pesos, el cual será subsanado en la medida que la reactivación económica permita normalizar la actividad económica del estado. El nivel del diferencial estimado dependerá de los recursos que el gobierno federal destine para subsanar el déficit estructural educativo y de la reactivación económica en el estado.</w:t>
      </w:r>
    </w:p>
    <w:p w:rsidR="007F6887" w:rsidRPr="00D650D1" w:rsidRDefault="007F6887" w:rsidP="007F6887">
      <w:pPr>
        <w:spacing w:before="100" w:beforeAutospacing="1" w:after="100" w:afterAutospacing="1"/>
        <w:rPr>
          <w:rFonts w:cs="Arial"/>
        </w:rPr>
      </w:pPr>
      <w:r w:rsidRPr="00D650D1">
        <w:rPr>
          <w:rFonts w:cs="Arial"/>
        </w:rPr>
        <w:t>Dependiendo de qué escenario se materialice, se definirá el financiamiento de corto plazo adicional en el que se tenga que incurrir para hacer frente a las obligaciones del estado. En este sentido, se prevé la aplicación del Financiamiento Neto Adicional conforme al artículo 46, segundo párrafo, de la Ley de Disciplina Financiera para las Entidades Federativas y los Municipios. Este numeral establece que se autorizará Financiamiento Neto adicional al Techo de Financiamiento Neto contemplado en el propio artículo 46, hasta por el monto de Financiamiento Neto necesario para solventar las causas que generaron el Balance presupuestario de recursos disponibles negativo.</w:t>
      </w:r>
    </w:p>
    <w:p w:rsidR="007F6887" w:rsidRPr="00D650D1" w:rsidRDefault="007F6887" w:rsidP="007F6887">
      <w:pPr>
        <w:spacing w:before="100" w:beforeAutospacing="1" w:after="100" w:afterAutospacing="1"/>
        <w:rPr>
          <w:rFonts w:cs="Arial"/>
        </w:rPr>
      </w:pPr>
      <w:r w:rsidRPr="00D650D1">
        <w:rPr>
          <w:rFonts w:cs="Arial"/>
        </w:rPr>
        <w:t>No obstante lo anterior, para mitigar estos impactos negativos, el gobierno del estado ha realizado esfuerzos importantes para realizar recortes presupuestarios en 2020, que se estiman alcancen 755 millones de pesos. Una parte de estos recursos se destinarán a reducir el balance negativo esperado.</w:t>
      </w:r>
    </w:p>
    <w:p w:rsidR="007F6887" w:rsidRPr="00D650D1" w:rsidRDefault="007F6887" w:rsidP="007F6887">
      <w:pPr>
        <w:spacing w:before="100" w:beforeAutospacing="1" w:after="100" w:afterAutospacing="1"/>
        <w:rPr>
          <w:rFonts w:cs="Arial"/>
        </w:rPr>
      </w:pPr>
      <w:r w:rsidRPr="00D650D1">
        <w:rPr>
          <w:rFonts w:cs="Arial"/>
        </w:rPr>
        <w:t xml:space="preserve">Es decir, a pesar del impacto negativo que la pandemia ha tenido sobre las finanzas del estado, gracias a las acciones financieras proactivas que se han realizado desde el inicio de la presente administración, el balance presupuestario de recursos disponible será re establecido en el ejercicio 2021, manteniendo su </w:t>
      </w:r>
      <w:r w:rsidRPr="00D650D1">
        <w:rPr>
          <w:rFonts w:cs="Arial"/>
        </w:rPr>
        <w:lastRenderedPageBreak/>
        <w:t xml:space="preserve">nivel sostenible, cumpliendo con lo es </w:t>
      </w:r>
      <w:proofErr w:type="spellStart"/>
      <w:r w:rsidRPr="00D650D1">
        <w:rPr>
          <w:rFonts w:cs="Arial"/>
        </w:rPr>
        <w:t>tablecido</w:t>
      </w:r>
      <w:proofErr w:type="spellEnd"/>
      <w:r w:rsidRPr="00D650D1">
        <w:rPr>
          <w:rFonts w:cs="Arial"/>
        </w:rPr>
        <w:t xml:space="preserve"> en el artículo 6, fracción III, de la Ley de Disciplina Financiera de las Entidades Federativas y los </w:t>
      </w:r>
      <w:proofErr w:type="gramStart"/>
      <w:r w:rsidRPr="00D650D1">
        <w:rPr>
          <w:rFonts w:cs="Arial"/>
        </w:rPr>
        <w:t>Municipios .</w:t>
      </w:r>
      <w:proofErr w:type="gramEnd"/>
    </w:p>
    <w:p w:rsidR="007F6887" w:rsidRPr="00D650D1" w:rsidRDefault="007F6887" w:rsidP="007F6887">
      <w:pPr>
        <w:spacing w:before="100" w:beforeAutospacing="1" w:after="100" w:afterAutospacing="1"/>
        <w:rPr>
          <w:rFonts w:cs="Arial"/>
          <w:b/>
        </w:rPr>
      </w:pPr>
      <w:r w:rsidRPr="00D650D1">
        <w:rPr>
          <w:rFonts w:cs="Arial"/>
          <w:b/>
        </w:rPr>
        <w:t>1.2 Estrategia de la Política del Gasto 2021</w:t>
      </w:r>
    </w:p>
    <w:p w:rsidR="007F6887" w:rsidRPr="00D650D1" w:rsidRDefault="007F6887" w:rsidP="007F6887">
      <w:pPr>
        <w:spacing w:before="100" w:beforeAutospacing="1" w:after="100" w:afterAutospacing="1"/>
        <w:rPr>
          <w:rFonts w:cs="Arial"/>
        </w:rPr>
      </w:pPr>
      <w:r w:rsidRPr="00D650D1">
        <w:rPr>
          <w:rFonts w:cs="Arial"/>
        </w:rPr>
        <w:t>El Paquete Fiscal 2021 se presenta balanceado con ingresos iguales a los egresos. La construcción de este paquete se apegó a las siguientes prioridades:</w:t>
      </w:r>
    </w:p>
    <w:p w:rsidR="007F6887" w:rsidRDefault="007F6887" w:rsidP="00535A9D">
      <w:pPr>
        <w:pStyle w:val="Prrafodelista"/>
        <w:numPr>
          <w:ilvl w:val="0"/>
          <w:numId w:val="14"/>
        </w:numPr>
        <w:spacing w:before="100" w:beforeAutospacing="1" w:after="100" w:afterAutospacing="1" w:line="240" w:lineRule="auto"/>
        <w:rPr>
          <w:rFonts w:ascii="Arial" w:hAnsi="Arial" w:cs="Arial"/>
          <w:szCs w:val="24"/>
        </w:rPr>
      </w:pPr>
      <w:r w:rsidRPr="00D650D1">
        <w:rPr>
          <w:rFonts w:ascii="Arial" w:hAnsi="Arial" w:cs="Arial"/>
          <w:szCs w:val="24"/>
        </w:rPr>
        <w:t xml:space="preserve">Atención a la Contingencia COVID-19. Para hacer frente a la pandemia, se </w:t>
      </w:r>
      <w:proofErr w:type="spellStart"/>
      <w:r w:rsidRPr="00D650D1">
        <w:rPr>
          <w:rFonts w:ascii="Arial" w:hAnsi="Arial" w:cs="Arial"/>
          <w:szCs w:val="24"/>
        </w:rPr>
        <w:t>im</w:t>
      </w:r>
      <w:proofErr w:type="spellEnd"/>
      <w:r w:rsidRPr="00D650D1">
        <w:rPr>
          <w:rFonts w:ascii="Arial" w:hAnsi="Arial" w:cs="Arial"/>
          <w:szCs w:val="24"/>
        </w:rPr>
        <w:t xml:space="preserve"> pulsan programas para apoyo al Empleo, la Salud y la reactivación Económica. Dicha contingencia restringe la capacidad recaudatoria del Estado y viene </w:t>
      </w:r>
      <w:proofErr w:type="spellStart"/>
      <w:r w:rsidRPr="00D650D1">
        <w:rPr>
          <w:rFonts w:ascii="Arial" w:hAnsi="Arial" w:cs="Arial"/>
          <w:szCs w:val="24"/>
        </w:rPr>
        <w:t>acom</w:t>
      </w:r>
      <w:proofErr w:type="spellEnd"/>
      <w:r w:rsidRPr="00D650D1">
        <w:rPr>
          <w:rFonts w:ascii="Arial" w:hAnsi="Arial" w:cs="Arial"/>
          <w:szCs w:val="24"/>
        </w:rPr>
        <w:t xml:space="preserve"> </w:t>
      </w:r>
      <w:proofErr w:type="spellStart"/>
      <w:r w:rsidRPr="00D650D1">
        <w:rPr>
          <w:rFonts w:ascii="Arial" w:hAnsi="Arial" w:cs="Arial"/>
          <w:szCs w:val="24"/>
        </w:rPr>
        <w:t>pañada</w:t>
      </w:r>
      <w:proofErr w:type="spellEnd"/>
      <w:r w:rsidRPr="00D650D1">
        <w:rPr>
          <w:rFonts w:ascii="Arial" w:hAnsi="Arial" w:cs="Arial"/>
          <w:szCs w:val="24"/>
        </w:rPr>
        <w:t xml:space="preserve"> de gastos adicionales para atender a la población.</w:t>
      </w:r>
    </w:p>
    <w:p w:rsidR="007F6887" w:rsidRDefault="007F6887" w:rsidP="00535A9D">
      <w:pPr>
        <w:pStyle w:val="Prrafodelista"/>
        <w:numPr>
          <w:ilvl w:val="0"/>
          <w:numId w:val="14"/>
        </w:numPr>
        <w:spacing w:before="100" w:beforeAutospacing="1" w:after="100" w:afterAutospacing="1" w:line="240" w:lineRule="auto"/>
        <w:rPr>
          <w:rFonts w:ascii="Arial" w:hAnsi="Arial" w:cs="Arial"/>
          <w:szCs w:val="24"/>
        </w:rPr>
      </w:pPr>
      <w:r w:rsidRPr="00D650D1">
        <w:rPr>
          <w:rFonts w:ascii="Arial" w:hAnsi="Arial" w:cs="Arial"/>
          <w:szCs w:val="24"/>
        </w:rPr>
        <w:t>Continuar con el avance progresivo en el goce efectivo de los Derechos Económicos, Sociales Culturales y Ambientales. Constituyen la base para que los ciudadanos satisfagan sus necesidades básicas, como: los derechos a un nivel  de vida adecuado, a la alimentación, a la salud, al agua, al saneamiento, al trabajo, a la seguridad social, a una vivienda adecuada, a la educación, a la cultura, así como al medio ambiente sano.</w:t>
      </w:r>
    </w:p>
    <w:p w:rsidR="007F6887" w:rsidRPr="00D650D1" w:rsidRDefault="007F6887" w:rsidP="00535A9D">
      <w:pPr>
        <w:pStyle w:val="Prrafodelista"/>
        <w:numPr>
          <w:ilvl w:val="0"/>
          <w:numId w:val="14"/>
        </w:numPr>
        <w:spacing w:before="100" w:beforeAutospacing="1" w:after="100" w:afterAutospacing="1" w:line="240" w:lineRule="auto"/>
        <w:rPr>
          <w:rFonts w:ascii="Arial" w:hAnsi="Arial" w:cs="Arial"/>
          <w:szCs w:val="24"/>
        </w:rPr>
      </w:pPr>
      <w:r w:rsidRPr="00D650D1">
        <w:rPr>
          <w:rFonts w:ascii="Arial" w:hAnsi="Arial" w:cs="Arial"/>
          <w:szCs w:val="24"/>
        </w:rPr>
        <w:t xml:space="preserve">Promover el Desarrollo Sostenible, a través del cumplimiento de la Agenda 2030. Yucatán tiene como objetivo promover el desarrollo de su población, satis </w:t>
      </w:r>
      <w:proofErr w:type="spellStart"/>
      <w:r w:rsidRPr="00D650D1">
        <w:rPr>
          <w:rFonts w:ascii="Arial" w:hAnsi="Arial" w:cs="Arial"/>
          <w:szCs w:val="24"/>
        </w:rPr>
        <w:t>faciendo</w:t>
      </w:r>
      <w:proofErr w:type="spellEnd"/>
      <w:r w:rsidRPr="00D650D1">
        <w:rPr>
          <w:rFonts w:ascii="Arial" w:hAnsi="Arial" w:cs="Arial"/>
          <w:szCs w:val="24"/>
        </w:rPr>
        <w:t xml:space="preserve"> las necesidades del presente sin comprometer la capacidad de las </w:t>
      </w:r>
      <w:proofErr w:type="spellStart"/>
      <w:r w:rsidRPr="00D650D1">
        <w:rPr>
          <w:rFonts w:ascii="Arial" w:hAnsi="Arial" w:cs="Arial"/>
          <w:szCs w:val="24"/>
        </w:rPr>
        <w:t>futu</w:t>
      </w:r>
      <w:proofErr w:type="spellEnd"/>
      <w:r w:rsidRPr="00D650D1">
        <w:rPr>
          <w:rFonts w:ascii="Arial" w:hAnsi="Arial" w:cs="Arial"/>
          <w:szCs w:val="24"/>
        </w:rPr>
        <w:t xml:space="preserve"> ras generaciones para satisfacer sus propias necesidades.</w:t>
      </w:r>
    </w:p>
    <w:p w:rsidR="007F6887" w:rsidRPr="00D650D1" w:rsidRDefault="007F6887" w:rsidP="007F6887">
      <w:pPr>
        <w:spacing w:before="100" w:beforeAutospacing="1" w:after="100" w:afterAutospacing="1"/>
        <w:rPr>
          <w:rFonts w:cs="Arial"/>
        </w:rPr>
      </w:pPr>
      <w:r w:rsidRPr="00D650D1">
        <w:rPr>
          <w:rFonts w:cs="Arial"/>
        </w:rPr>
        <w:t xml:space="preserve">La incorporación de los enfoques de resultados, derechos humanos, inclusión y </w:t>
      </w:r>
      <w:proofErr w:type="spellStart"/>
      <w:r w:rsidRPr="00D650D1">
        <w:rPr>
          <w:rFonts w:cs="Arial"/>
        </w:rPr>
        <w:t>sosteni</w:t>
      </w:r>
      <w:proofErr w:type="spellEnd"/>
      <w:r w:rsidRPr="00D650D1">
        <w:rPr>
          <w:rFonts w:cs="Arial"/>
        </w:rPr>
        <w:t xml:space="preserve"> </w:t>
      </w:r>
      <w:proofErr w:type="spellStart"/>
      <w:r w:rsidRPr="00D650D1">
        <w:rPr>
          <w:rFonts w:cs="Arial"/>
        </w:rPr>
        <w:t>bilidad</w:t>
      </w:r>
      <w:proofErr w:type="spellEnd"/>
      <w:r w:rsidRPr="00D650D1">
        <w:rPr>
          <w:rFonts w:cs="Arial"/>
        </w:rPr>
        <w:t xml:space="preserve"> en la estructura de objetivos de la administración, en un contexto de contracción económica a nivel nacional, requiere esfuerzos adicionales para proporcionar los bienes y servicios que requiere la población.</w:t>
      </w:r>
    </w:p>
    <w:p w:rsidR="007F6887" w:rsidRDefault="007F6887" w:rsidP="007F6887">
      <w:pPr>
        <w:spacing w:before="100" w:beforeAutospacing="1" w:after="100" w:afterAutospacing="1"/>
        <w:rPr>
          <w:rFonts w:cs="Arial"/>
        </w:rPr>
      </w:pPr>
      <w:r w:rsidRPr="00D650D1">
        <w:rPr>
          <w:rFonts w:cs="Arial"/>
        </w:rPr>
        <w:t xml:space="preserve">En 2021, continuarán las circunstancias extraordinarias de 2020, pues continúa la tendencia de reducción de los recursos federales, habrá necesidades crecientes para atender  la contingencia sanitaria, al tiempo que el margen de maniobra del estado es limitado. En este contexto, el presupuesto presentará una reducción del gasto que no debe entenderse como una política inercial, sino como una respuesta excepcional </w:t>
      </w:r>
      <w:r>
        <w:rPr>
          <w:rFonts w:cs="Arial"/>
        </w:rPr>
        <w:t>a una situación extraordinaria.</w:t>
      </w:r>
    </w:p>
    <w:p w:rsidR="007F6887" w:rsidRPr="00D650D1" w:rsidRDefault="007F6887" w:rsidP="007F6887">
      <w:pPr>
        <w:spacing w:before="100" w:beforeAutospacing="1" w:after="100" w:afterAutospacing="1"/>
        <w:rPr>
          <w:rFonts w:cs="Arial"/>
          <w:b/>
          <w:i/>
        </w:rPr>
      </w:pPr>
      <w:r w:rsidRPr="00D650D1">
        <w:rPr>
          <w:rFonts w:cs="Arial"/>
          <w:b/>
          <w:i/>
        </w:rPr>
        <w:t>1.2.1</w:t>
      </w:r>
      <w:r w:rsidRPr="00D650D1">
        <w:rPr>
          <w:rFonts w:cs="Arial"/>
          <w:b/>
          <w:i/>
        </w:rPr>
        <w:tab/>
        <w:t>Política de Asignación del Gasto</w:t>
      </w:r>
    </w:p>
    <w:p w:rsidR="007F6887" w:rsidRPr="00E35302" w:rsidRDefault="007F6887" w:rsidP="007F6887">
      <w:pPr>
        <w:spacing w:before="100" w:beforeAutospacing="1" w:after="100" w:afterAutospacing="1"/>
        <w:rPr>
          <w:rFonts w:cs="Arial"/>
        </w:rPr>
      </w:pPr>
      <w:r w:rsidRPr="00E35302">
        <w:rPr>
          <w:rFonts w:cs="Arial"/>
        </w:rPr>
        <w:t>Como se establece en el Capítulo I, Criterios Generales de Política Económica, el Plan Estatal de Desarrollo está alineado a los objetivos y estrategias establecidas en el Plan Nacional de Desarrollo 2019 – 2024.</w:t>
      </w:r>
    </w:p>
    <w:p w:rsidR="007F6887" w:rsidRPr="00E35302" w:rsidRDefault="007F6887" w:rsidP="007F6887">
      <w:pPr>
        <w:spacing w:before="100" w:beforeAutospacing="1" w:after="100" w:afterAutospacing="1"/>
        <w:rPr>
          <w:rFonts w:cs="Arial"/>
        </w:rPr>
      </w:pPr>
      <w:r w:rsidRPr="00E35302">
        <w:rPr>
          <w:rFonts w:cs="Arial"/>
        </w:rPr>
        <w:lastRenderedPageBreak/>
        <w:t xml:space="preserve">El diseño de los programas presupuestarios se deriva de los objetivos del Plan Estatal de Desarrollo, aplicando la metodología de marco lógico y utilizando </w:t>
      </w:r>
      <w:proofErr w:type="spellStart"/>
      <w:r w:rsidRPr="00E35302">
        <w:rPr>
          <w:rFonts w:cs="Arial"/>
        </w:rPr>
        <w:t>herra</w:t>
      </w:r>
      <w:proofErr w:type="spellEnd"/>
      <w:r w:rsidRPr="00E35302">
        <w:rPr>
          <w:rFonts w:cs="Arial"/>
        </w:rPr>
        <w:t xml:space="preserve"> mientas que favorecen la toma de decisiones basada en datos y en evidencia.</w:t>
      </w:r>
    </w:p>
    <w:p w:rsidR="007F6887" w:rsidRPr="00E35302" w:rsidRDefault="007F6887" w:rsidP="007F6887">
      <w:pPr>
        <w:spacing w:before="100" w:beforeAutospacing="1" w:after="100" w:afterAutospacing="1"/>
        <w:rPr>
          <w:rFonts w:cs="Arial"/>
        </w:rPr>
      </w:pPr>
      <w:r w:rsidRPr="00E35302">
        <w:rPr>
          <w:rFonts w:cs="Arial"/>
        </w:rPr>
        <w:t xml:space="preserve">La estructura del presupuesto, por tanto, contribuye al financiamiento de </w:t>
      </w:r>
      <w:proofErr w:type="spellStart"/>
      <w:r w:rsidRPr="00E35302">
        <w:rPr>
          <w:rFonts w:cs="Arial"/>
        </w:rPr>
        <w:t>progra</w:t>
      </w:r>
      <w:proofErr w:type="spellEnd"/>
      <w:r w:rsidRPr="00E35302">
        <w:rPr>
          <w:rFonts w:cs="Arial"/>
        </w:rPr>
        <w:t xml:space="preserve"> mas que inciden directamente en el logro de los objetivos, estrategias y líneas de acción del PED.</w:t>
      </w:r>
    </w:p>
    <w:p w:rsidR="007F6887" w:rsidRDefault="007F6887" w:rsidP="007F6887">
      <w:pPr>
        <w:spacing w:before="100" w:beforeAutospacing="1" w:after="100" w:afterAutospacing="1"/>
        <w:rPr>
          <w:rFonts w:cs="Arial"/>
        </w:rPr>
      </w:pPr>
      <w:r w:rsidRPr="00E35302">
        <w:rPr>
          <w:rFonts w:cs="Arial"/>
        </w:rPr>
        <w:t>La estructura del PED 2018-2024 se basa en cuatro ejes rectores asociados a los Derechos Económicos, Sociales, Culturales y Ambientales (</w:t>
      </w:r>
      <w:proofErr w:type="spellStart"/>
      <w:r w:rsidRPr="00E35302">
        <w:rPr>
          <w:rFonts w:cs="Arial"/>
        </w:rPr>
        <w:t>Desca</w:t>
      </w:r>
      <w:proofErr w:type="spellEnd"/>
      <w:r w:rsidRPr="00E35302">
        <w:rPr>
          <w:rFonts w:cs="Arial"/>
        </w:rPr>
        <w:t>), además de plantear la interrelación de cinco ejes transversales:</w:t>
      </w:r>
    </w:p>
    <w:p w:rsidR="007F6887" w:rsidRPr="00E35302" w:rsidRDefault="007F6887" w:rsidP="007F6887">
      <w:pPr>
        <w:spacing w:before="100" w:beforeAutospacing="1" w:after="100" w:afterAutospacing="1"/>
        <w:rPr>
          <w:rFonts w:cs="Arial"/>
        </w:rPr>
      </w:pPr>
    </w:p>
    <w:p w:rsidR="007F6887" w:rsidRPr="004D5D60" w:rsidRDefault="00D5198F" w:rsidP="007F6887">
      <w:pPr>
        <w:spacing w:before="120"/>
        <w:rPr>
          <w:rFonts w:eastAsia="Barlow Medium"/>
          <w:color w:val="002060"/>
          <w:shd w:val="clear" w:color="auto" w:fill="FFFFFF"/>
        </w:rPr>
      </w:pPr>
      <w:r w:rsidRPr="00D5198F">
        <w:rPr>
          <w:rFonts w:asciiTheme="minorHAnsi" w:hAnsiTheme="minorHAnsi"/>
          <w:noProof/>
          <w:lang w:eastAsia="es-MX"/>
        </w:rPr>
        <w:pict>
          <v:rect id="Rectángulo 72340815" o:spid="_x0000_s1104" style="position:absolute;left:0;text-align:left;margin-left:45.85pt;margin-top:25.1pt;width:605pt;height:106.6pt;z-index:-25165004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" fillcolor="#f2f2f2" stroked="f" strokeweight="1pt">
            <v:path arrowok="t"/>
            <w10:wrap anchorx="page"/>
          </v:rect>
        </w:pict>
      </w:r>
    </w:p>
    <w:p w:rsidR="007F6887" w:rsidRPr="004D5D60" w:rsidRDefault="007F6887" w:rsidP="007F6887">
      <w:pPr>
        <w:pStyle w:val="Revisin"/>
        <w:spacing w:before="120" w:after="120"/>
        <w:ind w:left="720"/>
        <w:rPr>
          <w:rFonts w:ascii="Arial" w:hAnsi="Arial"/>
          <w:color w:val="002060"/>
        </w:rPr>
      </w:pPr>
      <w:r>
        <w:rPr>
          <w:noProof/>
          <w:lang w:eastAsia="es-MX"/>
        </w:rPr>
        <w:drawing>
          <wp:anchor distT="0" distB="0" distL="114300" distR="114300" simplePos="0" relativeHeight="251668480" behindDoc="1" locked="0" layoutInCell="1" allowOverlap="1">
            <wp:simplePos x="0" y="0"/>
            <wp:positionH relativeFrom="column">
              <wp:posOffset>6985</wp:posOffset>
            </wp:positionH>
            <wp:positionV relativeFrom="paragraph">
              <wp:posOffset>57150</wp:posOffset>
            </wp:positionV>
            <wp:extent cx="558800" cy="558800"/>
            <wp:effectExtent l="19050" t="0" r="0" b="0"/>
            <wp:wrapNone/>
            <wp:docPr id="53"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9" cstate="print"/>
                    <a:srcRect/>
                    <a:stretch>
                      <a:fillRect/>
                    </a:stretch>
                  </pic:blipFill>
                  <pic:spPr bwMode="auto">
                    <a:xfrm>
                      <a:off x="0" y="0"/>
                      <a:ext cx="558800" cy="558800"/>
                    </a:xfrm>
                    <a:prstGeom prst="rect">
                      <a:avLst/>
                    </a:prstGeom>
                    <a:noFill/>
                    <a:ln w="9525">
                      <a:noFill/>
                      <a:miter lim="800000"/>
                      <a:headEnd/>
                      <a:tailEnd/>
                    </a:ln>
                  </pic:spPr>
                </pic:pic>
              </a:graphicData>
            </a:graphic>
          </wp:anchor>
        </w:drawing>
      </w:r>
    </w:p>
    <w:p w:rsidR="007F6887" w:rsidRPr="004D5D60" w:rsidRDefault="007F6887" w:rsidP="00535A9D">
      <w:pPr>
        <w:pStyle w:val="Prrafodelista"/>
        <w:numPr>
          <w:ilvl w:val="0"/>
          <w:numId w:val="15"/>
        </w:numPr>
        <w:spacing w:before="120" w:after="120" w:line="240" w:lineRule="auto"/>
        <w:jc w:val="left"/>
        <w:textAlignment w:val="baseline"/>
        <w:rPr>
          <w:rFonts w:ascii="Arial" w:hAnsi="Arial"/>
          <w:b/>
          <w:bCs/>
          <w:color w:val="002060"/>
        </w:rPr>
      </w:pPr>
      <w:r w:rsidRPr="004D5D60">
        <w:rPr>
          <w:rFonts w:ascii="Arial" w:hAnsi="Arial"/>
          <w:b/>
          <w:bCs/>
          <w:color w:val="002060"/>
        </w:rPr>
        <w:t>Yucatán con economía inclusiva</w:t>
      </w:r>
    </w:p>
    <w:p w:rsidR="007F6887" w:rsidRPr="004D5D60" w:rsidRDefault="007F6887" w:rsidP="007F6887">
      <w:pPr>
        <w:spacing w:before="120"/>
        <w:rPr>
          <w:rFonts w:eastAsia="Barlow Medium"/>
          <w:color w:val="002060"/>
          <w:shd w:val="clear" w:color="auto" w:fill="FFFFFF"/>
        </w:rPr>
      </w:pPr>
    </w:p>
    <w:p w:rsidR="007F6887" w:rsidRPr="004D5D60" w:rsidRDefault="007F6887" w:rsidP="007F6887">
      <w:pPr>
        <w:spacing w:before="120"/>
        <w:rPr>
          <w:color w:val="002060"/>
        </w:rPr>
      </w:pPr>
      <w:r w:rsidRPr="004D5D60">
        <w:rPr>
          <w:color w:val="002060"/>
        </w:rPr>
        <w:t>Busca que las personas puedan desarrollarse económicamente en cualquier actividad estratégica del estado y al mismo tiempo impulsar el desarrollo económico de Yucatán.</w:t>
      </w:r>
    </w:p>
    <w:p w:rsidR="007F6887" w:rsidRPr="004D5D60" w:rsidRDefault="007F6887" w:rsidP="007F6887">
      <w:pPr>
        <w:pStyle w:val="Prrafodelista"/>
        <w:spacing w:before="120" w:line="240" w:lineRule="auto"/>
        <w:rPr>
          <w:rFonts w:ascii="Arial" w:hAnsi="Arial"/>
          <w:color w:val="002060"/>
        </w:rPr>
      </w:pPr>
    </w:p>
    <w:p w:rsidR="007F6887" w:rsidRPr="004D5D60" w:rsidRDefault="007F6887" w:rsidP="007F6887">
      <w:pPr>
        <w:pStyle w:val="Prrafodelista"/>
        <w:spacing w:before="120" w:line="240" w:lineRule="auto"/>
        <w:rPr>
          <w:rFonts w:ascii="Arial" w:hAnsi="Arial"/>
          <w:color w:val="002060"/>
        </w:rPr>
      </w:pPr>
      <w:r>
        <w:rPr>
          <w:noProof/>
          <w:lang w:eastAsia="es-MX"/>
        </w:rPr>
        <w:drawing>
          <wp:anchor distT="0" distB="0" distL="114300" distR="114300" simplePos="0" relativeHeight="251669504" behindDoc="1" locked="0" layoutInCell="1" allowOverlap="1">
            <wp:simplePos x="0" y="0"/>
            <wp:positionH relativeFrom="column">
              <wp:posOffset>-6350</wp:posOffset>
            </wp:positionH>
            <wp:positionV relativeFrom="paragraph">
              <wp:posOffset>46990</wp:posOffset>
            </wp:positionV>
            <wp:extent cx="533400" cy="533400"/>
            <wp:effectExtent l="19050" t="0" r="0" b="0"/>
            <wp:wrapNone/>
            <wp:docPr id="54"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0"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p>
    <w:p w:rsidR="007F6887" w:rsidRPr="004D5D60" w:rsidRDefault="007F6887" w:rsidP="00535A9D">
      <w:pPr>
        <w:pStyle w:val="Prrafodelista"/>
        <w:numPr>
          <w:ilvl w:val="0"/>
          <w:numId w:val="15"/>
        </w:numPr>
        <w:spacing w:before="120" w:after="120" w:line="240" w:lineRule="auto"/>
        <w:jc w:val="left"/>
        <w:textAlignment w:val="baseline"/>
        <w:rPr>
          <w:rFonts w:ascii="Arial" w:hAnsi="Arial"/>
          <w:b/>
          <w:bCs/>
          <w:color w:val="002060"/>
        </w:rPr>
      </w:pPr>
      <w:r w:rsidRPr="004D5D60">
        <w:rPr>
          <w:rFonts w:ascii="Arial" w:hAnsi="Arial"/>
          <w:b/>
          <w:bCs/>
          <w:color w:val="002060"/>
        </w:rPr>
        <w:t>Yucatán con calidad de vida y bienestar social</w:t>
      </w:r>
    </w:p>
    <w:p w:rsidR="007F6887" w:rsidRPr="004D5D60" w:rsidRDefault="007F6887" w:rsidP="007F6887">
      <w:pPr>
        <w:spacing w:before="120"/>
        <w:rPr>
          <w:rFonts w:eastAsia="Barlow Medium"/>
          <w:color w:val="002060"/>
          <w:shd w:val="clear" w:color="auto" w:fill="FFFFFF"/>
        </w:rPr>
      </w:pPr>
    </w:p>
    <w:p w:rsidR="007F6887" w:rsidRPr="008848F5" w:rsidRDefault="007F6887" w:rsidP="007F6887">
      <w:pPr>
        <w:spacing w:before="120"/>
        <w:rPr>
          <w:rFonts w:eastAsia="Barlow Medium"/>
          <w:color w:val="002060"/>
          <w:shd w:val="clear" w:color="auto" w:fill="FFFFFF"/>
        </w:rPr>
      </w:pPr>
      <w:r w:rsidRPr="004D5D60">
        <w:rPr>
          <w:rFonts w:eastAsia="Barlow Medium"/>
          <w:color w:val="002060"/>
          <w:shd w:val="clear" w:color="auto" w:fill="FFFFFF"/>
        </w:rPr>
        <w:t>Prioriza la vida digna de la población del estado alcanzando la satisfacción de las necesidades básicas de los ciudadanos.</w:t>
      </w:r>
    </w:p>
    <w:p w:rsidR="007F6887" w:rsidRPr="004D5D60" w:rsidRDefault="00D5198F" w:rsidP="007F6887">
      <w:pPr>
        <w:spacing w:before="120"/>
        <w:rPr>
          <w:color w:val="002060"/>
        </w:rPr>
      </w:pPr>
      <w:r w:rsidRPr="00D5198F">
        <w:rPr>
          <w:rFonts w:asciiTheme="minorHAnsi" w:hAnsiTheme="minorHAnsi"/>
          <w:noProof/>
          <w:lang w:eastAsia="es-MX"/>
        </w:rPr>
        <w:pict>
          <v:rect id="Rectángulo 72340814" o:spid="_x0000_s1103" style="position:absolute;left:0;text-align:left;margin-left:-45.8pt;margin-top:3.9pt;width:621.25pt;height:116.9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" fillcolor="#f2f2f2" stroked="f" strokeweight="1pt">
            <v:path arrowok="t"/>
          </v:rect>
        </w:pict>
      </w:r>
      <w:r w:rsidR="007F6887">
        <w:rPr>
          <w:noProof/>
          <w:lang w:eastAsia="es-MX"/>
        </w:rPr>
        <w:drawing>
          <wp:anchor distT="0" distB="0" distL="114300" distR="114300" simplePos="0" relativeHeight="251670528" behindDoc="0" locked="0" layoutInCell="1" allowOverlap="1">
            <wp:simplePos x="0" y="0"/>
            <wp:positionH relativeFrom="column">
              <wp:posOffset>-31115</wp:posOffset>
            </wp:positionH>
            <wp:positionV relativeFrom="paragraph">
              <wp:posOffset>140970</wp:posOffset>
            </wp:positionV>
            <wp:extent cx="533400" cy="533400"/>
            <wp:effectExtent l="19050" t="0" r="0" b="0"/>
            <wp:wrapNone/>
            <wp:docPr id="55"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1"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r w:rsidR="007F6887" w:rsidRPr="004D5D60">
        <w:rPr>
          <w:color w:val="002060"/>
        </w:rPr>
        <w:tab/>
      </w:r>
    </w:p>
    <w:p w:rsidR="007F6887" w:rsidRPr="004D5D60" w:rsidRDefault="007F6887" w:rsidP="007F6887">
      <w:pPr>
        <w:spacing w:before="120"/>
        <w:rPr>
          <w:color w:val="002060"/>
        </w:rPr>
      </w:pPr>
    </w:p>
    <w:p w:rsidR="007F6887" w:rsidRPr="004D5D60" w:rsidRDefault="007F6887" w:rsidP="00535A9D">
      <w:pPr>
        <w:pStyle w:val="Prrafodelista"/>
        <w:numPr>
          <w:ilvl w:val="0"/>
          <w:numId w:val="15"/>
        </w:numPr>
        <w:spacing w:before="120" w:after="120" w:line="240" w:lineRule="auto"/>
        <w:jc w:val="left"/>
        <w:textAlignment w:val="baseline"/>
        <w:rPr>
          <w:rFonts w:ascii="Arial" w:hAnsi="Arial"/>
          <w:b/>
          <w:bCs/>
          <w:color w:val="002060"/>
        </w:rPr>
      </w:pPr>
      <w:r w:rsidRPr="004D5D60">
        <w:rPr>
          <w:rFonts w:ascii="Arial" w:hAnsi="Arial"/>
          <w:b/>
          <w:bCs/>
          <w:color w:val="002060"/>
        </w:rPr>
        <w:t>Yucatán cultural con identidad para el desarrollo</w:t>
      </w:r>
    </w:p>
    <w:p w:rsidR="007F6887" w:rsidRPr="004D5D60" w:rsidRDefault="007F6887" w:rsidP="007F6887">
      <w:pPr>
        <w:spacing w:before="120"/>
        <w:rPr>
          <w:color w:val="002060"/>
        </w:rPr>
      </w:pPr>
      <w:r w:rsidRPr="004D5D60">
        <w:rPr>
          <w:color w:val="002060"/>
        </w:rPr>
        <w:t>Busca garantizar que las personas y comunidades tengan acceso a la cultura para el disfrute de sus componentes en condiciones de igualdad, dignidad humana y no discriminación.</w:t>
      </w:r>
    </w:p>
    <w:p w:rsidR="007F6887" w:rsidRPr="004D5D60" w:rsidRDefault="007F6887" w:rsidP="007F6887">
      <w:pPr>
        <w:pStyle w:val="Prrafodelista"/>
        <w:spacing w:before="120" w:line="240" w:lineRule="auto"/>
        <w:rPr>
          <w:rFonts w:ascii="Arial" w:hAnsi="Arial"/>
          <w:color w:val="002060"/>
        </w:rPr>
      </w:pPr>
    </w:p>
    <w:p w:rsidR="007F6887" w:rsidRPr="004D5D60" w:rsidRDefault="007F6887" w:rsidP="007F6887">
      <w:pPr>
        <w:pStyle w:val="Prrafodelista"/>
        <w:spacing w:before="120" w:line="240" w:lineRule="auto"/>
        <w:rPr>
          <w:rFonts w:ascii="Arial" w:hAnsi="Arial"/>
          <w:color w:val="002060"/>
        </w:rPr>
      </w:pPr>
      <w:r>
        <w:rPr>
          <w:noProof/>
          <w:lang w:eastAsia="es-MX"/>
        </w:rPr>
        <w:drawing>
          <wp:anchor distT="0" distB="0" distL="114300" distR="114300" simplePos="0" relativeHeight="251671552" behindDoc="1" locked="0" layoutInCell="1" allowOverlap="1">
            <wp:simplePos x="0" y="0"/>
            <wp:positionH relativeFrom="column">
              <wp:posOffset>-55245</wp:posOffset>
            </wp:positionH>
            <wp:positionV relativeFrom="paragraph">
              <wp:posOffset>134620</wp:posOffset>
            </wp:positionV>
            <wp:extent cx="617855" cy="617855"/>
            <wp:effectExtent l="19050" t="0" r="0" b="0"/>
            <wp:wrapNone/>
            <wp:docPr id="5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2" cstate="print"/>
                    <a:srcRect/>
                    <a:stretch>
                      <a:fillRect/>
                    </a:stretch>
                  </pic:blipFill>
                  <pic:spPr bwMode="auto">
                    <a:xfrm>
                      <a:off x="0" y="0"/>
                      <a:ext cx="617855" cy="617855"/>
                    </a:xfrm>
                    <a:prstGeom prst="rect">
                      <a:avLst/>
                    </a:prstGeom>
                    <a:noFill/>
                    <a:ln w="9525">
                      <a:noFill/>
                      <a:miter lim="800000"/>
                      <a:headEnd/>
                      <a:tailEnd/>
                    </a:ln>
                  </pic:spPr>
                </pic:pic>
              </a:graphicData>
            </a:graphic>
          </wp:anchor>
        </w:drawing>
      </w:r>
    </w:p>
    <w:p w:rsidR="007F6887" w:rsidRPr="004D5D60" w:rsidRDefault="007F6887" w:rsidP="00535A9D">
      <w:pPr>
        <w:pStyle w:val="Prrafodelista"/>
        <w:numPr>
          <w:ilvl w:val="0"/>
          <w:numId w:val="15"/>
        </w:numPr>
        <w:spacing w:before="120" w:after="120" w:line="240" w:lineRule="auto"/>
        <w:jc w:val="left"/>
        <w:textAlignment w:val="baseline"/>
        <w:rPr>
          <w:rFonts w:ascii="Arial" w:hAnsi="Arial"/>
          <w:b/>
          <w:bCs/>
          <w:color w:val="002060"/>
        </w:rPr>
      </w:pPr>
      <w:r w:rsidRPr="004D5D60">
        <w:rPr>
          <w:rFonts w:ascii="Arial" w:hAnsi="Arial"/>
          <w:b/>
          <w:bCs/>
          <w:color w:val="002060"/>
        </w:rPr>
        <w:t>Yucatán verde y sustentable</w:t>
      </w:r>
    </w:p>
    <w:p w:rsidR="007F6887" w:rsidRPr="004D5D60" w:rsidRDefault="007F6887" w:rsidP="007F6887">
      <w:pPr>
        <w:spacing w:before="120"/>
        <w:rPr>
          <w:rFonts w:eastAsia="Barlow Medium"/>
          <w:color w:val="002060"/>
          <w:shd w:val="clear" w:color="auto" w:fill="FFFFFF"/>
        </w:rPr>
      </w:pPr>
    </w:p>
    <w:p w:rsidR="007F6887" w:rsidRDefault="00D5198F" w:rsidP="007F6887">
      <w:pPr>
        <w:spacing w:before="120"/>
        <w:rPr>
          <w:rFonts w:eastAsia="Barlow Medium"/>
          <w:color w:val="002060"/>
          <w:shd w:val="clear" w:color="auto" w:fill="FFFFFF"/>
        </w:rPr>
      </w:pPr>
      <w:r w:rsidRPr="00D5198F">
        <w:rPr>
          <w:rFonts w:asciiTheme="minorHAnsi" w:hAnsiTheme="minorHAnsi"/>
          <w:noProof/>
          <w:lang w:eastAsia="es-MX"/>
        </w:rPr>
        <w:pict>
          <v:rect id="Rectángulo 72340813" o:spid="_x0000_s1102" style="position:absolute;left:0;text-align:left;margin-left:-50.05pt;margin-top:57.3pt;width:629.25pt;height:102.8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" fillcolor="#f2f2f2" stroked="f" strokeweight="1pt">
            <v:path arrowok="t"/>
          </v:rect>
        </w:pict>
      </w:r>
      <w:r w:rsidR="007F6887" w:rsidRPr="004D5D60">
        <w:rPr>
          <w:rFonts w:eastAsia="Barlow Medium"/>
          <w:color w:val="002060"/>
          <w:shd w:val="clear" w:color="auto" w:fill="FFFFFF"/>
        </w:rPr>
        <w:t>Tiene como propósito la regulación de las actividades humanas respecto al uso, explotación y aprovechamiento de los recursos naturales para garantizar el goce colectivo a los bienes ambientales velando por su integridad natural y con ello promover el desarrollo económico sostenible.</w:t>
      </w:r>
    </w:p>
    <w:p w:rsidR="007F6887" w:rsidRPr="004D5D60" w:rsidRDefault="007F6887" w:rsidP="007F6887">
      <w:pPr>
        <w:pStyle w:val="Prrafodelista"/>
        <w:spacing w:before="120" w:line="240" w:lineRule="auto"/>
        <w:rPr>
          <w:rFonts w:ascii="Arial" w:hAnsi="Arial"/>
          <w:color w:val="002060"/>
        </w:rPr>
      </w:pPr>
      <w:r>
        <w:rPr>
          <w:noProof/>
          <w:lang w:eastAsia="es-MX"/>
        </w:rPr>
        <w:drawing>
          <wp:anchor distT="0" distB="0" distL="114300" distR="114300" simplePos="0" relativeHeight="251672576" behindDoc="1" locked="0" layoutInCell="1" allowOverlap="1">
            <wp:simplePos x="0" y="0"/>
            <wp:positionH relativeFrom="column">
              <wp:posOffset>-69850</wp:posOffset>
            </wp:positionH>
            <wp:positionV relativeFrom="paragraph">
              <wp:posOffset>220980</wp:posOffset>
            </wp:positionV>
            <wp:extent cx="596900" cy="596900"/>
            <wp:effectExtent l="19050" t="0" r="0" b="0"/>
            <wp:wrapNone/>
            <wp:docPr id="57"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13" cstate="print"/>
                    <a:srcRect/>
                    <a:stretch>
                      <a:fillRect/>
                    </a:stretch>
                  </pic:blipFill>
                  <pic:spPr bwMode="auto">
                    <a:xfrm>
                      <a:off x="0" y="0"/>
                      <a:ext cx="596900" cy="596900"/>
                    </a:xfrm>
                    <a:prstGeom prst="rect">
                      <a:avLst/>
                    </a:prstGeom>
                    <a:noFill/>
                    <a:ln w="9525">
                      <a:noFill/>
                      <a:miter lim="800000"/>
                      <a:headEnd/>
                      <a:tailEnd/>
                    </a:ln>
                  </pic:spPr>
                </pic:pic>
              </a:graphicData>
            </a:graphic>
          </wp:anchor>
        </w:drawing>
      </w:r>
    </w:p>
    <w:p w:rsidR="007F6887" w:rsidRPr="004D5D60" w:rsidRDefault="007F6887" w:rsidP="007F6887">
      <w:pPr>
        <w:pStyle w:val="Prrafodelista"/>
        <w:spacing w:before="120" w:line="240" w:lineRule="auto"/>
        <w:rPr>
          <w:rFonts w:ascii="Arial" w:hAnsi="Arial"/>
          <w:color w:val="002060"/>
        </w:rPr>
      </w:pPr>
    </w:p>
    <w:p w:rsidR="007F6887" w:rsidRPr="004D5D60" w:rsidRDefault="007F6887" w:rsidP="00535A9D">
      <w:pPr>
        <w:pStyle w:val="Prrafodelista"/>
        <w:numPr>
          <w:ilvl w:val="0"/>
          <w:numId w:val="15"/>
        </w:numPr>
        <w:spacing w:before="120" w:after="120" w:line="240" w:lineRule="auto"/>
        <w:jc w:val="left"/>
        <w:textAlignment w:val="baseline"/>
        <w:rPr>
          <w:rFonts w:ascii="Arial" w:hAnsi="Arial"/>
          <w:b/>
          <w:bCs/>
          <w:color w:val="002060"/>
        </w:rPr>
      </w:pPr>
      <w:r w:rsidRPr="004D5D60">
        <w:rPr>
          <w:rFonts w:ascii="Arial" w:hAnsi="Arial"/>
          <w:b/>
          <w:bCs/>
          <w:color w:val="002060"/>
        </w:rPr>
        <w:t>Igualdad de género, oportunidades y no discriminación</w:t>
      </w:r>
    </w:p>
    <w:p w:rsidR="007F6887" w:rsidRPr="004D5D60" w:rsidRDefault="007F6887" w:rsidP="007F6887">
      <w:pPr>
        <w:pStyle w:val="Prrafodelista"/>
        <w:spacing w:before="120" w:line="240" w:lineRule="auto"/>
        <w:rPr>
          <w:rFonts w:ascii="Arial" w:hAnsi="Arial"/>
          <w:color w:val="002060"/>
        </w:rPr>
      </w:pPr>
    </w:p>
    <w:p w:rsidR="007F6887" w:rsidRDefault="007F6887" w:rsidP="007F6887">
      <w:pPr>
        <w:spacing w:before="120"/>
        <w:rPr>
          <w:color w:val="002060"/>
        </w:rPr>
      </w:pPr>
      <w:r w:rsidRPr="004D5D60">
        <w:rPr>
          <w:color w:val="002060"/>
        </w:rPr>
        <w:t>Busca el desarrollo igualitario en el bienestar de la población haciendo valer los derechos de los grupos en situación de vulnerabilidad, para abatir las brechas existentes</w:t>
      </w:r>
    </w:p>
    <w:p w:rsidR="007F6887" w:rsidRPr="004D5D60" w:rsidRDefault="007F6887" w:rsidP="007F6887">
      <w:pPr>
        <w:spacing w:before="120"/>
        <w:rPr>
          <w:color w:val="002060"/>
        </w:rPr>
      </w:pPr>
    </w:p>
    <w:p w:rsidR="007F6887" w:rsidRPr="004D5D60" w:rsidRDefault="007F6887" w:rsidP="007F6887">
      <w:pPr>
        <w:spacing w:before="120"/>
      </w:pPr>
      <w:r>
        <w:rPr>
          <w:noProof/>
          <w:lang w:eastAsia="es-MX"/>
        </w:rPr>
        <w:drawing>
          <wp:anchor distT="0" distB="0" distL="114300" distR="114300" simplePos="0" relativeHeight="251675648" behindDoc="1" locked="0" layoutInCell="1" allowOverlap="1">
            <wp:simplePos x="0" y="0"/>
            <wp:positionH relativeFrom="column">
              <wp:posOffset>-6350</wp:posOffset>
            </wp:positionH>
            <wp:positionV relativeFrom="paragraph">
              <wp:posOffset>58420</wp:posOffset>
            </wp:positionV>
            <wp:extent cx="508000" cy="508000"/>
            <wp:effectExtent l="19050" t="0" r="6350" b="0"/>
            <wp:wrapNone/>
            <wp:docPr id="60"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srcRect/>
                    <a:stretch>
                      <a:fillRect/>
                    </a:stretch>
                  </pic:blipFill>
                  <pic:spPr bwMode="auto">
                    <a:xfrm>
                      <a:off x="0" y="0"/>
                      <a:ext cx="508000" cy="508000"/>
                    </a:xfrm>
                    <a:prstGeom prst="rect">
                      <a:avLst/>
                    </a:prstGeom>
                    <a:noFill/>
                    <a:ln w="9525">
                      <a:noFill/>
                      <a:miter lim="800000"/>
                      <a:headEnd/>
                      <a:tailEnd/>
                    </a:ln>
                  </pic:spPr>
                </pic:pic>
              </a:graphicData>
            </a:graphic>
          </wp:anchor>
        </w:drawing>
      </w:r>
    </w:p>
    <w:p w:rsidR="007F6887" w:rsidRPr="004D5D60" w:rsidRDefault="007F6887" w:rsidP="00535A9D">
      <w:pPr>
        <w:pStyle w:val="Prrafodelista"/>
        <w:numPr>
          <w:ilvl w:val="0"/>
          <w:numId w:val="15"/>
        </w:numPr>
        <w:spacing w:before="120" w:after="120" w:line="240" w:lineRule="auto"/>
        <w:jc w:val="left"/>
        <w:textAlignment w:val="baseline"/>
        <w:rPr>
          <w:rFonts w:ascii="Arial" w:hAnsi="Arial"/>
          <w:b/>
          <w:bCs/>
          <w:color w:val="002060"/>
        </w:rPr>
      </w:pPr>
      <w:r w:rsidRPr="004D5D60">
        <w:rPr>
          <w:rFonts w:ascii="Arial" w:hAnsi="Arial"/>
          <w:b/>
          <w:bCs/>
          <w:color w:val="002060"/>
        </w:rPr>
        <w:t>Innovación, conocimiento y tecnología</w:t>
      </w:r>
    </w:p>
    <w:p w:rsidR="007F6887" w:rsidRPr="004D5D60" w:rsidRDefault="007F6887" w:rsidP="007F6887">
      <w:pPr>
        <w:spacing w:before="120"/>
        <w:rPr>
          <w:rFonts w:eastAsia="Barlow Medium"/>
          <w:color w:val="002060"/>
          <w:shd w:val="clear" w:color="auto" w:fill="FFFFFF"/>
        </w:rPr>
      </w:pPr>
    </w:p>
    <w:p w:rsidR="007F6887" w:rsidRPr="004D5D60" w:rsidRDefault="007F6887" w:rsidP="007F6887">
      <w:pPr>
        <w:spacing w:before="120"/>
        <w:rPr>
          <w:color w:val="002060"/>
        </w:rPr>
      </w:pPr>
      <w:r w:rsidRPr="004D5D60">
        <w:rPr>
          <w:rFonts w:eastAsia="Barlow Medium"/>
          <w:color w:val="002060"/>
          <w:shd w:val="clear" w:color="auto" w:fill="FFFFFF"/>
        </w:rPr>
        <w:t>Pretende generar conocimiento en distintas áreas con el objetivo de impulsar los ejes sectoriales mediante el uso de la innovación y tecnología para mejorar la calidad de vida de las personas.</w:t>
      </w:r>
    </w:p>
    <w:p w:rsidR="007F6887" w:rsidRPr="004D5D60" w:rsidRDefault="00D5198F" w:rsidP="007F6887">
      <w:pPr>
        <w:spacing w:before="120"/>
        <w:rPr>
          <w:color w:val="002060"/>
        </w:rPr>
      </w:pPr>
      <w:r w:rsidRPr="00D5198F">
        <w:rPr>
          <w:rFonts w:asciiTheme="minorHAnsi" w:hAnsiTheme="minorHAnsi"/>
          <w:noProof/>
          <w:lang w:eastAsia="es-MX"/>
        </w:rPr>
        <w:pict>
          <v:rect id="Rectángulo 72340812" o:spid="_x0000_s1101" style="position:absolute;left:0;text-align:left;margin-left:-50.45pt;margin-top:4.9pt;width:626.25pt;height:113.15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" fillcolor="#f2f2f2" stroked="f" strokeweight="1pt">
            <v:path arrowok="t"/>
          </v:rect>
        </w:pict>
      </w:r>
      <w:r w:rsidR="007F6887">
        <w:rPr>
          <w:noProof/>
          <w:lang w:eastAsia="es-MX"/>
        </w:rPr>
        <w:drawing>
          <wp:anchor distT="0" distB="0" distL="114300" distR="114300" simplePos="0" relativeHeight="251676672" behindDoc="1" locked="0" layoutInCell="1" allowOverlap="1">
            <wp:simplePos x="0" y="0"/>
            <wp:positionH relativeFrom="column">
              <wp:posOffset>-55245</wp:posOffset>
            </wp:positionH>
            <wp:positionV relativeFrom="paragraph">
              <wp:posOffset>-11430</wp:posOffset>
            </wp:positionV>
            <wp:extent cx="609600" cy="609600"/>
            <wp:effectExtent l="19050" t="0" r="0" b="0"/>
            <wp:wrapNone/>
            <wp:docPr id="61"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5"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7F6887" w:rsidRPr="004D5D60" w:rsidRDefault="007F6887" w:rsidP="00535A9D">
      <w:pPr>
        <w:pStyle w:val="Prrafodelista"/>
        <w:numPr>
          <w:ilvl w:val="0"/>
          <w:numId w:val="15"/>
        </w:numPr>
        <w:spacing w:before="120" w:after="120" w:line="240" w:lineRule="auto"/>
        <w:jc w:val="left"/>
        <w:textAlignment w:val="baseline"/>
        <w:rPr>
          <w:rFonts w:ascii="Arial" w:hAnsi="Arial"/>
          <w:b/>
          <w:bCs/>
          <w:color w:val="002060"/>
        </w:rPr>
      </w:pPr>
      <w:r w:rsidRPr="004D5D60">
        <w:rPr>
          <w:rFonts w:ascii="Arial" w:hAnsi="Arial"/>
          <w:b/>
          <w:bCs/>
          <w:color w:val="002060"/>
        </w:rPr>
        <w:t>Paz, justicia y gobernabilidad</w:t>
      </w:r>
    </w:p>
    <w:p w:rsidR="007F6887" w:rsidRPr="004D5D60" w:rsidRDefault="007F6887" w:rsidP="007F6887">
      <w:pPr>
        <w:spacing w:before="120"/>
        <w:rPr>
          <w:color w:val="002060"/>
        </w:rPr>
      </w:pPr>
      <w:r w:rsidRPr="004D5D60">
        <w:rPr>
          <w:color w:val="002060"/>
        </w:rPr>
        <w:t>Promueve sociedades pacíficas e inclusivas para el desarrollo sostenible, facilitar el acceso a la justicia para todos y construir, a todos los niveles, instituciones eficaces e inclusivas que rindan cuentas.</w:t>
      </w:r>
    </w:p>
    <w:p w:rsidR="007F6887" w:rsidRPr="004D5D60" w:rsidRDefault="007F6887" w:rsidP="007F6887">
      <w:pPr>
        <w:pStyle w:val="Prrafodelista"/>
        <w:spacing w:before="120" w:line="240" w:lineRule="auto"/>
        <w:rPr>
          <w:rFonts w:ascii="Arial" w:hAnsi="Arial"/>
          <w:color w:val="002060"/>
        </w:rPr>
      </w:pPr>
    </w:p>
    <w:p w:rsidR="007F6887" w:rsidRPr="004D5D60" w:rsidRDefault="007F6887" w:rsidP="007F6887">
      <w:pPr>
        <w:pStyle w:val="Prrafodelista"/>
        <w:spacing w:before="120" w:line="240" w:lineRule="auto"/>
        <w:rPr>
          <w:rFonts w:ascii="Arial" w:hAnsi="Arial"/>
          <w:color w:val="002060"/>
        </w:rPr>
      </w:pPr>
    </w:p>
    <w:p w:rsidR="007F6887" w:rsidRPr="004D5D60" w:rsidRDefault="007F6887" w:rsidP="007F6887">
      <w:pPr>
        <w:pStyle w:val="Prrafodelista"/>
        <w:spacing w:before="120" w:line="240" w:lineRule="auto"/>
        <w:rPr>
          <w:rFonts w:ascii="Arial" w:hAnsi="Arial"/>
          <w:color w:val="002060"/>
        </w:rPr>
      </w:pPr>
      <w:r>
        <w:rPr>
          <w:noProof/>
          <w:lang w:eastAsia="es-MX"/>
        </w:rPr>
        <w:drawing>
          <wp:anchor distT="0" distB="0" distL="114300" distR="114300" simplePos="0" relativeHeight="251677696" behindDoc="1" locked="0" layoutInCell="1" allowOverlap="1">
            <wp:simplePos x="0" y="0"/>
            <wp:positionH relativeFrom="column">
              <wp:posOffset>-6350</wp:posOffset>
            </wp:positionH>
            <wp:positionV relativeFrom="paragraph">
              <wp:posOffset>20955</wp:posOffset>
            </wp:positionV>
            <wp:extent cx="508000" cy="508000"/>
            <wp:effectExtent l="19050" t="0" r="6350" b="0"/>
            <wp:wrapNone/>
            <wp:docPr id="6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6" cstate="print"/>
                    <a:srcRect/>
                    <a:stretch>
                      <a:fillRect/>
                    </a:stretch>
                  </pic:blipFill>
                  <pic:spPr bwMode="auto">
                    <a:xfrm>
                      <a:off x="0" y="0"/>
                      <a:ext cx="508000" cy="508000"/>
                    </a:xfrm>
                    <a:prstGeom prst="rect">
                      <a:avLst/>
                    </a:prstGeom>
                    <a:noFill/>
                    <a:ln w="9525">
                      <a:noFill/>
                      <a:miter lim="800000"/>
                      <a:headEnd/>
                      <a:tailEnd/>
                    </a:ln>
                  </pic:spPr>
                </pic:pic>
              </a:graphicData>
            </a:graphic>
          </wp:anchor>
        </w:drawing>
      </w:r>
    </w:p>
    <w:p w:rsidR="007F6887" w:rsidRPr="004D5D60" w:rsidRDefault="007F6887" w:rsidP="00535A9D">
      <w:pPr>
        <w:pStyle w:val="Prrafodelista"/>
        <w:numPr>
          <w:ilvl w:val="0"/>
          <w:numId w:val="15"/>
        </w:numPr>
        <w:spacing w:before="120" w:after="120" w:line="240" w:lineRule="auto"/>
        <w:jc w:val="left"/>
        <w:textAlignment w:val="baseline"/>
        <w:rPr>
          <w:rFonts w:ascii="Arial" w:hAnsi="Arial"/>
          <w:b/>
          <w:bCs/>
          <w:color w:val="002060"/>
        </w:rPr>
      </w:pPr>
      <w:r w:rsidRPr="004D5D60">
        <w:rPr>
          <w:rFonts w:ascii="Arial" w:hAnsi="Arial"/>
          <w:b/>
          <w:bCs/>
          <w:color w:val="002060"/>
        </w:rPr>
        <w:t>Gobierno abierto, eficiente y con finanzas sanas</w:t>
      </w:r>
    </w:p>
    <w:p w:rsidR="007F6887" w:rsidRPr="004D5D60" w:rsidRDefault="007F6887" w:rsidP="007F6887">
      <w:pPr>
        <w:spacing w:before="120"/>
        <w:rPr>
          <w:rFonts w:eastAsia="Barlow Medium"/>
          <w:color w:val="002060"/>
          <w:shd w:val="clear" w:color="auto" w:fill="FFFFFF"/>
        </w:rPr>
      </w:pPr>
    </w:p>
    <w:p w:rsidR="007F6887" w:rsidRPr="004D5D60" w:rsidRDefault="007F6887" w:rsidP="007F6887">
      <w:pPr>
        <w:spacing w:before="120"/>
        <w:rPr>
          <w:color w:val="002060"/>
        </w:rPr>
      </w:pPr>
      <w:r w:rsidRPr="004D5D60">
        <w:rPr>
          <w:rFonts w:eastAsia="Barlow Medium"/>
          <w:color w:val="002060"/>
          <w:shd w:val="clear" w:color="auto" w:fill="FFFFFF"/>
        </w:rPr>
        <w:t>Impulsa un gobierno austero y eficiente, que sea transparente, cercano a la gente, que combata la corrupción y que rinda cuentas.</w:t>
      </w:r>
    </w:p>
    <w:p w:rsidR="007F6887" w:rsidRPr="004D5D60" w:rsidRDefault="00D5198F" w:rsidP="007F6887">
      <w:pPr>
        <w:pStyle w:val="Prrafodelista"/>
        <w:spacing w:before="120" w:line="240" w:lineRule="auto"/>
        <w:rPr>
          <w:rFonts w:ascii="Arial" w:hAnsi="Arial"/>
          <w:color w:val="002060"/>
        </w:rPr>
      </w:pPr>
      <w:r w:rsidRPr="00D5198F">
        <w:rPr>
          <w:rFonts w:asciiTheme="minorHAnsi" w:hAnsiTheme="minorHAnsi"/>
          <w:noProof/>
          <w:lang w:eastAsia="es-MX"/>
        </w:rPr>
        <w:pict>
          <v:rect id="Rectángulo 72340811" o:spid="_x0000_s1100" style="position:absolute;left:0;text-align:left;margin-left:-44.35pt;margin-top:9.85pt;width:621.25pt;height:50.35pt;z-index:-25164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" fillcolor="#f2f2f2" stroked="f" strokeweight="1pt">
            <v:path arrowok="t"/>
          </v:rect>
        </w:pict>
      </w:r>
    </w:p>
    <w:p w:rsidR="007F6887" w:rsidRPr="004D5D60" w:rsidRDefault="007F6887" w:rsidP="007F6887">
      <w:pPr>
        <w:pStyle w:val="Prrafodelista"/>
        <w:spacing w:before="120" w:line="240" w:lineRule="auto"/>
        <w:rPr>
          <w:rFonts w:ascii="Arial" w:hAnsi="Arial"/>
          <w:color w:val="002060"/>
        </w:rPr>
      </w:pPr>
      <w:r>
        <w:rPr>
          <w:noProof/>
          <w:lang w:eastAsia="es-MX"/>
        </w:rPr>
        <w:drawing>
          <wp:anchor distT="0" distB="0" distL="114300" distR="114300" simplePos="0" relativeHeight="251678720" behindDoc="1" locked="0" layoutInCell="1" allowOverlap="1">
            <wp:simplePos x="0" y="0"/>
            <wp:positionH relativeFrom="margin">
              <wp:align>left</wp:align>
            </wp:positionH>
            <wp:positionV relativeFrom="paragraph">
              <wp:posOffset>9525</wp:posOffset>
            </wp:positionV>
            <wp:extent cx="495300" cy="457200"/>
            <wp:effectExtent l="19050" t="0" r="0" b="0"/>
            <wp:wrapNone/>
            <wp:docPr id="6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7" cstate="print"/>
                    <a:srcRect/>
                    <a:stretch>
                      <a:fillRect/>
                    </a:stretch>
                  </pic:blipFill>
                  <pic:spPr bwMode="auto">
                    <a:xfrm>
                      <a:off x="0" y="0"/>
                      <a:ext cx="495300" cy="457200"/>
                    </a:xfrm>
                    <a:prstGeom prst="rect">
                      <a:avLst/>
                    </a:prstGeom>
                    <a:noFill/>
                    <a:ln w="9525">
                      <a:noFill/>
                      <a:miter lim="800000"/>
                      <a:headEnd/>
                      <a:tailEnd/>
                    </a:ln>
                  </pic:spPr>
                </pic:pic>
              </a:graphicData>
            </a:graphic>
          </wp:anchor>
        </w:drawing>
      </w:r>
    </w:p>
    <w:p w:rsidR="007F6887" w:rsidRPr="004D5D60" w:rsidRDefault="007F6887" w:rsidP="00535A9D">
      <w:pPr>
        <w:pStyle w:val="Prrafodelista"/>
        <w:numPr>
          <w:ilvl w:val="0"/>
          <w:numId w:val="15"/>
        </w:numPr>
        <w:spacing w:before="120" w:after="120" w:line="240" w:lineRule="auto"/>
        <w:jc w:val="left"/>
        <w:textAlignment w:val="baseline"/>
        <w:rPr>
          <w:rFonts w:ascii="Arial" w:hAnsi="Arial"/>
          <w:b/>
          <w:bCs/>
          <w:color w:val="002060"/>
        </w:rPr>
      </w:pPr>
      <w:r w:rsidRPr="004D5D60">
        <w:rPr>
          <w:rFonts w:ascii="Arial" w:hAnsi="Arial"/>
          <w:b/>
          <w:bCs/>
          <w:color w:val="002060"/>
        </w:rPr>
        <w:t>Ciudades y comunidades sostenibles</w:t>
      </w:r>
    </w:p>
    <w:p w:rsidR="007F6887" w:rsidRPr="004D5D60" w:rsidRDefault="007F6887" w:rsidP="007F6887">
      <w:pPr>
        <w:spacing w:before="120"/>
        <w:rPr>
          <w:rFonts w:eastAsia="Barlow Medium"/>
          <w:color w:val="002060"/>
        </w:rPr>
      </w:pPr>
    </w:p>
    <w:p w:rsidR="007F6887" w:rsidRPr="004D5D60" w:rsidRDefault="007F6887" w:rsidP="007F6887">
      <w:pPr>
        <w:spacing w:before="120"/>
        <w:rPr>
          <w:color w:val="002060"/>
        </w:rPr>
      </w:pPr>
      <w:r w:rsidRPr="004D5D60">
        <w:rPr>
          <w:rFonts w:eastAsia="Barlow Medium"/>
          <w:color w:val="002060"/>
        </w:rPr>
        <w:t>Mejora la prosperidad de las ciudades y comunidades en el estado por medio de una infraestructura accesible y sostenible, así como una adecuada planeación de los espacios urbanos y rurales.</w:t>
      </w:r>
    </w:p>
    <w:p w:rsidR="007F6887" w:rsidRDefault="007F6887" w:rsidP="007F6887">
      <w:pPr>
        <w:spacing w:before="100" w:beforeAutospacing="1" w:after="100" w:afterAutospacing="1"/>
        <w:rPr>
          <w:rFonts w:cs="Arial"/>
        </w:rPr>
      </w:pPr>
    </w:p>
    <w:p w:rsidR="007F6887" w:rsidRPr="00E35302" w:rsidRDefault="007F6887" w:rsidP="007F6887">
      <w:pPr>
        <w:spacing w:before="100" w:beforeAutospacing="1" w:after="100" w:afterAutospacing="1"/>
        <w:rPr>
          <w:rFonts w:cs="Arial"/>
        </w:rPr>
      </w:pPr>
      <w:r w:rsidRPr="00E35302">
        <w:rPr>
          <w:rFonts w:cs="Arial"/>
        </w:rPr>
        <w:t>Cada eje se estructura en políticas públicas y estas tienen, al menos, un objetivo, que en total suman 86. El siguiente gráfico muestra la estructura del PED, los 4 ejes sectoriales, cada uno con sus políticas públicas. Los ejes transversales se observan en la base del cuadro.</w:t>
      </w:r>
    </w:p>
    <w:p w:rsidR="007F6887" w:rsidRDefault="00D5198F" w:rsidP="007F6887">
      <w:pPr>
        <w:pStyle w:val="Textoindependiente"/>
        <w:spacing w:before="100" w:beforeAutospacing="1" w:after="100" w:afterAutospacing="1"/>
        <w:rPr>
          <w:sz w:val="14"/>
          <w:lang w:val="es-MX"/>
        </w:rPr>
      </w:pPr>
      <w:r w:rsidRPr="00D5198F">
        <w:rPr>
          <w:noProof/>
          <w:sz w:val="23"/>
          <w:lang w:val="es-MX" w:eastAsia="es-MX" w:bidi="ar-SA"/>
        </w:rPr>
        <w:pict>
          <v:group id="Grupo 32" o:spid="_x0000_s1029" style="position:absolute;margin-left:73.35pt;margin-top:10.4pt;width:94.55pt;height:36.8pt;z-index:-251635712;mso-wrap-distance-left:0;mso-wrap-distance-right:0;mso-position-horizontal-relative:page" coordorigin="1467,208" coordsize="189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">
            <v:rect id="Rectangle 366" o:spid="_x0000_s1030" style="position:absolute;left:1580;top:207;width:1714;height: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" fillcolor="#bfbfbf" stroked="f"/>
            <v:shape id="AutoShape 365" o:spid="_x0000_s1031" style="position:absolute;left:1467;top:304;width:1891;height:464;visibility:visible" coordsize="1891,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" adj="0,,0" path="m1885,r-58,l1827,10r53,l1880,454r-53,l1827,464r58,l1889,463r1,-4l1890,5r-1,-3l1885,xm114,l5,,2,2,,5,,459r2,4l5,464r109,l114,454r-104,l10,10r104,l114,xe" stroked="f">
              <v:stroke joinstyle="round"/>
              <v:formulas/>
              <v:path arrowok="t" o:connecttype="custom" o:connectlocs="1885,304;1827,304;1827,314;1880,314;1880,758;1827,758;1827,768;1885,768;1889,767;1890,763;1890,309;1889,306;1885,304;114,304;5,304;2,306;0,309;0,763;2,767;5,768;114,768;114,758;10,758;10,314;114,314;114,304" o:connectangles="0,0,0,0,0,0,0,0,0,0,0,0,0,0,0,0,0,0,0,0,0,0,0,0,0,0"/>
            </v:shape>
            <v:shape id="AutoShape 364" o:spid="_x0000_s1032" style="position:absolute;left:1580;top:304;width:1714;height:464;visibility:visible" coordsize="1714,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" adj="0,,0" path="m1713,454l,454r,10l1713,464r,-10xm1713,l,,,10r1713,l1713,xe" fillcolor="#bfbfbf" stroked="f">
              <v:stroke joinstyle="round"/>
              <v:formulas/>
              <v:path arrowok="t" o:connecttype="custom" o:connectlocs="1713,758;0,758;0,768;1713,768;1713,758;1713,304;0,304;0,314;1713,314;1713,304" o:connectangles="0,0,0,0,0,0,0,0,0,0"/>
            </v:shape>
            <v:shape id="Text Box 363" o:spid="_x0000_s1033" type="#_x0000_t202" style="position:absolute;left:1467;top:207;width:1891;height: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" filled="f" stroked="f">
              <v:textbox style="mso-next-textbox:#Text Box 363" inset="0,0,0,0">
                <w:txbxContent>
                  <w:p w:rsidR="00923562" w:rsidRDefault="00923562" w:rsidP="007F6887">
                    <w:pPr>
                      <w:spacing w:before="179"/>
                      <w:ind w:left="327"/>
                      <w:rPr>
                        <w:rFonts w:ascii="Univia Pro" w:hAnsi="Univia Pro"/>
                        <w:sz w:val="23"/>
                      </w:rPr>
                    </w:pPr>
                    <w:r>
                      <w:rPr>
                        <w:rFonts w:ascii="Univia Pro" w:hAnsi="Univia Pro"/>
                        <w:color w:val="0F0F0F"/>
                        <w:sz w:val="23"/>
                      </w:rPr>
                      <w:t>GRÁFICO 1.4</w:t>
                    </w:r>
                  </w:p>
                </w:txbxContent>
              </v:textbox>
            </v:shape>
            <w10:wrap type="topAndBottom" anchorx="page"/>
          </v:group>
        </w:pict>
      </w:r>
      <w:r w:rsidRPr="00D5198F">
        <w:rPr>
          <w:noProof/>
          <w:sz w:val="23"/>
          <w:lang w:val="es-MX" w:eastAsia="es-MX" w:bidi="ar-SA"/>
        </w:rPr>
        <w:pict>
          <v:shape id="Cuadro de texto 22" o:spid="_x0000_s1034" type="#_x0000_t202" style="position:absolute;margin-left:170.8pt;margin-top:10.3pt;width:327.3pt;height:36.8pt;z-index:-251634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" fillcolor="#0d0d0d" stroked="f">
            <v:textbox style="mso-next-textbox:#Cuadro de texto 22" inset="0,0,0,0">
              <w:txbxContent>
                <w:p w:rsidR="00923562" w:rsidRPr="00E372E9" w:rsidRDefault="00923562" w:rsidP="007F6887">
                  <w:pPr>
                    <w:spacing w:before="190"/>
                    <w:ind w:left="198"/>
                    <w:rPr>
                      <w:rFonts w:ascii="Barlow"/>
                      <w:b/>
                      <w:sz w:val="23"/>
                    </w:rPr>
                  </w:pPr>
                  <w:r w:rsidRPr="00E372E9">
                    <w:rPr>
                      <w:rFonts w:ascii="Barlow"/>
                      <w:b/>
                      <w:color w:val="FFFFFF"/>
                      <w:sz w:val="23"/>
                    </w:rPr>
                    <w:t>Estructura del Plan Estatal de Desarrollo 2018 - 2024</w:t>
                  </w:r>
                </w:p>
              </w:txbxContent>
            </v:textbox>
            <w10:wrap type="topAndBottom" anchorx="page"/>
          </v:shape>
        </w:pict>
      </w:r>
      <w:r w:rsidR="007F6887" w:rsidRPr="00913672">
        <w:rPr>
          <w:noProof/>
          <w:lang w:val="es-MX" w:eastAsia="es-MX" w:bidi="ar-SA"/>
        </w:rPr>
        <w:drawing>
          <wp:anchor distT="0" distB="0" distL="0" distR="0" simplePos="0" relativeHeight="251679744" behindDoc="0" locked="0" layoutInCell="1" allowOverlap="1">
            <wp:simplePos x="0" y="0"/>
            <wp:positionH relativeFrom="page">
              <wp:posOffset>1560561</wp:posOffset>
            </wp:positionH>
            <wp:positionV relativeFrom="paragraph">
              <wp:posOffset>724547</wp:posOffset>
            </wp:positionV>
            <wp:extent cx="4359141" cy="2240280"/>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8" cstate="print"/>
                    <a:stretch>
                      <a:fillRect/>
                    </a:stretch>
                  </pic:blipFill>
                  <pic:spPr>
                    <a:xfrm>
                      <a:off x="0" y="0"/>
                      <a:ext cx="4359141" cy="2240280"/>
                    </a:xfrm>
                    <a:prstGeom prst="rect">
                      <a:avLst/>
                    </a:prstGeom>
                  </pic:spPr>
                </pic:pic>
              </a:graphicData>
            </a:graphic>
          </wp:anchor>
        </w:drawing>
      </w:r>
    </w:p>
    <w:p w:rsidR="007F6887" w:rsidRPr="00913672" w:rsidRDefault="007F6887" w:rsidP="007F6887">
      <w:pPr>
        <w:spacing w:before="100" w:beforeAutospacing="1" w:after="100" w:afterAutospacing="1"/>
        <w:ind w:left="113" w:right="393"/>
        <w:jc w:val="center"/>
        <w:rPr>
          <w:b/>
          <w:i/>
          <w:sz w:val="17"/>
        </w:rPr>
      </w:pPr>
      <w:r w:rsidRPr="00913672">
        <w:rPr>
          <w:b/>
          <w:i/>
          <w:color w:val="0F0F0F"/>
          <w:w w:val="105"/>
          <w:sz w:val="17"/>
        </w:rPr>
        <w:t>Fuente: SEPLAN 2019</w:t>
      </w:r>
    </w:p>
    <w:p w:rsidR="007F6887" w:rsidRPr="00E35302" w:rsidRDefault="007F6887" w:rsidP="007F6887">
      <w:pPr>
        <w:spacing w:before="100" w:beforeAutospacing="1" w:after="100" w:afterAutospacing="1"/>
        <w:rPr>
          <w:rFonts w:cs="Arial"/>
          <w:b/>
        </w:rPr>
      </w:pPr>
      <w:r w:rsidRPr="00E35302">
        <w:rPr>
          <w:rFonts w:cs="Arial"/>
          <w:b/>
        </w:rPr>
        <w:t>Derechos Económicos, Sociales, Culturales y Ambientales y Objetivos de Desarrollo Sostenible</w:t>
      </w:r>
    </w:p>
    <w:p w:rsidR="007F6887" w:rsidRPr="00E35302" w:rsidRDefault="007F6887" w:rsidP="007F6887">
      <w:pPr>
        <w:spacing w:before="100" w:beforeAutospacing="1" w:after="100" w:afterAutospacing="1"/>
        <w:rPr>
          <w:rFonts w:cs="Arial"/>
        </w:rPr>
      </w:pPr>
      <w:r w:rsidRPr="00E35302">
        <w:rPr>
          <w:rFonts w:cs="Arial"/>
        </w:rPr>
        <w:t>La preocupación por mejorar las condiciones de vida de la población comienza por reconocer los Derechos Económicos, Sociales, Culturales y Ambientales de todas las personas, por lo que el estado se obliga a establecer los mecanismos y acciones que garanticen su disfrute.</w:t>
      </w:r>
    </w:p>
    <w:p w:rsidR="007F6887" w:rsidRDefault="007F6887" w:rsidP="007F6887">
      <w:pPr>
        <w:spacing w:before="100" w:beforeAutospacing="1" w:after="100" w:afterAutospacing="1"/>
        <w:rPr>
          <w:rFonts w:cs="Arial"/>
        </w:rPr>
      </w:pPr>
      <w:r w:rsidRPr="00E35302">
        <w:rPr>
          <w:rFonts w:cs="Arial"/>
        </w:rPr>
        <w:lastRenderedPageBreak/>
        <w:t>La Ley General de Desarrollo Social establece, en su artículo 6, que son derechos para el desarrollo social la educación, la salud, la alimentación nutritiva y de calidad, la vivienda digna y decorosa, el disfrute de un medio ambiente sano, el trabajo y la seguridad social y los relativos a la no discriminación en los términos de la Constitución Política de los Estados Unidos Mexicanos. Estos derechos se entienden de la siguiente forma:</w:t>
      </w:r>
    </w:p>
    <w:p w:rsidR="007F6887" w:rsidRDefault="007F6887" w:rsidP="00535A9D">
      <w:pPr>
        <w:pStyle w:val="Prrafodelista"/>
        <w:numPr>
          <w:ilvl w:val="0"/>
          <w:numId w:val="16"/>
        </w:numPr>
        <w:spacing w:before="100" w:beforeAutospacing="1" w:after="100" w:afterAutospacing="1" w:line="240" w:lineRule="auto"/>
        <w:rPr>
          <w:rFonts w:ascii="Arial" w:hAnsi="Arial" w:cs="Arial"/>
          <w:szCs w:val="24"/>
        </w:rPr>
      </w:pPr>
      <w:r w:rsidRPr="00E35302">
        <w:rPr>
          <w:rFonts w:ascii="Arial" w:hAnsi="Arial" w:cs="Arial"/>
          <w:szCs w:val="24"/>
        </w:rPr>
        <w:t xml:space="preserve">De conformidad con el artículo 3o constitucional, toda persona tiene derecho a la educación. El Estado impartirá y garantizará la educación inicial, preescolar, primaria, secundaria, media superior y superior. </w:t>
      </w:r>
    </w:p>
    <w:p w:rsidR="007F6887" w:rsidRDefault="007F6887" w:rsidP="00535A9D">
      <w:pPr>
        <w:pStyle w:val="Prrafodelista"/>
        <w:numPr>
          <w:ilvl w:val="0"/>
          <w:numId w:val="16"/>
        </w:numPr>
        <w:spacing w:before="100" w:beforeAutospacing="1" w:after="100" w:afterAutospacing="1" w:line="240" w:lineRule="auto"/>
        <w:rPr>
          <w:rFonts w:ascii="Arial" w:hAnsi="Arial" w:cs="Arial"/>
          <w:szCs w:val="24"/>
        </w:rPr>
      </w:pPr>
      <w:r w:rsidRPr="00E35302">
        <w:rPr>
          <w:rFonts w:ascii="Arial" w:hAnsi="Arial" w:cs="Arial"/>
          <w:szCs w:val="24"/>
        </w:rPr>
        <w:t>De conformidad con el artículo 4o constitucional, toda persona tiene derecho a la protección de la salud, y establecerá la concurrencia de la Federación y las entidades federativas en materia de salubridad general.</w:t>
      </w:r>
    </w:p>
    <w:p w:rsidR="007F6887" w:rsidRDefault="007F6887" w:rsidP="00535A9D">
      <w:pPr>
        <w:pStyle w:val="Prrafodelista"/>
        <w:numPr>
          <w:ilvl w:val="0"/>
          <w:numId w:val="16"/>
        </w:numPr>
        <w:spacing w:before="100" w:beforeAutospacing="1" w:after="100" w:afterAutospacing="1" w:line="240" w:lineRule="auto"/>
        <w:rPr>
          <w:rFonts w:ascii="Arial" w:hAnsi="Arial" w:cs="Arial"/>
          <w:szCs w:val="24"/>
        </w:rPr>
      </w:pPr>
      <w:r w:rsidRPr="00E35302">
        <w:rPr>
          <w:rFonts w:ascii="Arial" w:hAnsi="Arial" w:cs="Arial"/>
          <w:szCs w:val="24"/>
        </w:rPr>
        <w:t>De conformidad con el artículo 4o constitucional, toda persona tiene derecho a la alimentación nutritiva, suficiente y de calidad, y el Estado lo garantizará.</w:t>
      </w:r>
    </w:p>
    <w:p w:rsidR="007F6887" w:rsidRDefault="007F6887" w:rsidP="00535A9D">
      <w:pPr>
        <w:pStyle w:val="Prrafodelista"/>
        <w:numPr>
          <w:ilvl w:val="0"/>
          <w:numId w:val="16"/>
        </w:numPr>
        <w:spacing w:before="100" w:beforeAutospacing="1" w:after="100" w:afterAutospacing="1" w:line="240" w:lineRule="auto"/>
        <w:rPr>
          <w:rFonts w:ascii="Arial" w:hAnsi="Arial" w:cs="Arial"/>
          <w:szCs w:val="24"/>
        </w:rPr>
      </w:pPr>
      <w:r w:rsidRPr="00E35302">
        <w:rPr>
          <w:rFonts w:ascii="Arial" w:hAnsi="Arial" w:cs="Arial"/>
          <w:szCs w:val="24"/>
        </w:rPr>
        <w:t xml:space="preserve">De conformidad con el artículo 4o constitucional, toda familia tiene derecho a disfrutar de una vivienda digna y decorosa. </w:t>
      </w:r>
    </w:p>
    <w:p w:rsidR="007F6887" w:rsidRDefault="007F6887" w:rsidP="00535A9D">
      <w:pPr>
        <w:pStyle w:val="Prrafodelista"/>
        <w:numPr>
          <w:ilvl w:val="0"/>
          <w:numId w:val="16"/>
        </w:numPr>
        <w:spacing w:before="100" w:beforeAutospacing="1" w:after="100" w:afterAutospacing="1" w:line="240" w:lineRule="auto"/>
        <w:rPr>
          <w:rFonts w:ascii="Arial" w:hAnsi="Arial" w:cs="Arial"/>
          <w:szCs w:val="24"/>
        </w:rPr>
      </w:pPr>
      <w:r w:rsidRPr="00E35302">
        <w:rPr>
          <w:rFonts w:ascii="Arial" w:hAnsi="Arial" w:cs="Arial"/>
          <w:szCs w:val="24"/>
        </w:rPr>
        <w:t>De conformidad con el artículo 4o constitucional, toda persona tiene derecho a un medio ambiente sano para su desarrollo y bienestar, el Estado garantizará el respeto a este derecho, y el daño y deterioro ambiental generará responsabilidad para quien lo provoque.</w:t>
      </w:r>
    </w:p>
    <w:p w:rsidR="007F6887" w:rsidRDefault="007F6887" w:rsidP="00535A9D">
      <w:pPr>
        <w:pStyle w:val="Prrafodelista"/>
        <w:numPr>
          <w:ilvl w:val="0"/>
          <w:numId w:val="16"/>
        </w:numPr>
        <w:spacing w:before="100" w:beforeAutospacing="1" w:after="100" w:afterAutospacing="1" w:line="240" w:lineRule="auto"/>
        <w:rPr>
          <w:rFonts w:ascii="Arial" w:hAnsi="Arial" w:cs="Arial"/>
          <w:szCs w:val="24"/>
        </w:rPr>
      </w:pPr>
      <w:r w:rsidRPr="00E35302">
        <w:rPr>
          <w:rFonts w:ascii="Arial" w:hAnsi="Arial" w:cs="Arial"/>
          <w:szCs w:val="24"/>
        </w:rPr>
        <w:t>De conformidad el artículo 5o constitucional, a ninguna persona podrá impedirse que se dedique a la profesión, industria, comercio o trabajo que le acomode. Igualmente, nadie podrá ser obligado a prestar trabajos personales sin justa retribución y sin su pleno consentimiento.</w:t>
      </w:r>
    </w:p>
    <w:p w:rsidR="007F6887" w:rsidRDefault="007F6887" w:rsidP="00535A9D">
      <w:pPr>
        <w:pStyle w:val="Prrafodelista"/>
        <w:numPr>
          <w:ilvl w:val="0"/>
          <w:numId w:val="16"/>
        </w:numPr>
        <w:spacing w:before="100" w:beforeAutospacing="1" w:after="100" w:afterAutospacing="1" w:line="240" w:lineRule="auto"/>
        <w:rPr>
          <w:rFonts w:ascii="Arial" w:hAnsi="Arial" w:cs="Arial"/>
          <w:szCs w:val="24"/>
        </w:rPr>
      </w:pPr>
      <w:r w:rsidRPr="00E35302">
        <w:rPr>
          <w:rFonts w:ascii="Arial" w:hAnsi="Arial" w:cs="Arial"/>
          <w:szCs w:val="24"/>
        </w:rPr>
        <w:t>De conformidad con el artículo 4o constitucional, al tener toda persona derecho a la protección de la salud, las leyes definirían un sistema de salud para el bienestar, con el fin de garantizar la extensión progresiva, cuantitativa y cualitativa de los servicios de salud para la atención integral y gratuita de las personas que no cuenten con seguridad social. La seguridad social se refiere a que toda persona tiene derecho a que la proteja contra las consecuencias de la vejez y de la incapacidad que la imposibilite física o mentalmente para obtener los medios para llevar una vida digna y decorosa. Cuando se trate de personas que se encuentran trabajando, el derecho a la seguridad social cubrirá al menos la atención médica y el subsidio o jubilación en casos de accidentes de trabajo o de enfermedad profesional y, cuando se trate de mujeres, licencia retribuida por maternidad antes y después del parto.</w:t>
      </w:r>
    </w:p>
    <w:p w:rsidR="007F6887" w:rsidRPr="00E35302" w:rsidRDefault="007F6887" w:rsidP="00535A9D">
      <w:pPr>
        <w:pStyle w:val="Prrafodelista"/>
        <w:numPr>
          <w:ilvl w:val="0"/>
          <w:numId w:val="16"/>
        </w:numPr>
        <w:spacing w:before="100" w:beforeAutospacing="1" w:after="100" w:afterAutospacing="1" w:line="240" w:lineRule="auto"/>
        <w:rPr>
          <w:rFonts w:ascii="Arial" w:hAnsi="Arial" w:cs="Arial"/>
          <w:szCs w:val="24"/>
        </w:rPr>
      </w:pPr>
      <w:r w:rsidRPr="00E35302">
        <w:rPr>
          <w:rFonts w:ascii="Arial" w:hAnsi="Arial" w:cs="Arial"/>
          <w:szCs w:val="24"/>
        </w:rPr>
        <w:t xml:space="preserve">De conformidad con el artículo 4o constitucional, toda persona tiene derecho al acceso a la cultura y al disfrute de los bienes y servicios que </w:t>
      </w:r>
      <w:r w:rsidRPr="00E35302">
        <w:rPr>
          <w:rFonts w:ascii="Arial" w:hAnsi="Arial" w:cs="Arial"/>
          <w:szCs w:val="24"/>
        </w:rPr>
        <w:lastRenderedPageBreak/>
        <w:t>presta el Estado en la materia, así como el ejercicio de sus derechos culturales.</w:t>
      </w:r>
    </w:p>
    <w:p w:rsidR="007F6887" w:rsidRPr="00E35302" w:rsidRDefault="007F6887" w:rsidP="007F6887">
      <w:pPr>
        <w:spacing w:before="100" w:beforeAutospacing="1" w:after="100" w:afterAutospacing="1"/>
        <w:rPr>
          <w:rFonts w:cs="Arial"/>
        </w:rPr>
      </w:pPr>
      <w:r w:rsidRPr="00E35302">
        <w:rPr>
          <w:rFonts w:cs="Arial"/>
        </w:rPr>
        <w:t>La Ley General de Desarrollo Social, en su artículo 8, también establece que toda persona o grupo social en situación de vulnerabilidad tiene derecho a recibir acciones y apoyos tendientes a disminuir su desventaja.</w:t>
      </w:r>
    </w:p>
    <w:p w:rsidR="007F6887" w:rsidRDefault="007F6887" w:rsidP="007F6887">
      <w:pPr>
        <w:spacing w:before="100" w:beforeAutospacing="1" w:after="100" w:afterAutospacing="1"/>
        <w:rPr>
          <w:rFonts w:cs="Arial"/>
        </w:rPr>
      </w:pPr>
      <w:r w:rsidRPr="00E35302">
        <w:rPr>
          <w:rFonts w:cs="Arial"/>
        </w:rPr>
        <w:t>La articulación de la política de combate a la pobreza se basa en la definición y medición realizadas por el Consejo Nacional de Evaluación de la Política de Desarrollo Social, siendo estas de aplicación obligatoria para las entidades y dependencias públicas que participen en la ejecución de los programas de desarrollo social. Los indicadores en los que se basa la medición son:</w:t>
      </w:r>
    </w:p>
    <w:p w:rsidR="007F6887" w:rsidRDefault="007F6887" w:rsidP="00535A9D">
      <w:pPr>
        <w:pStyle w:val="Prrafodelista"/>
        <w:numPr>
          <w:ilvl w:val="0"/>
          <w:numId w:val="17"/>
        </w:numPr>
        <w:spacing w:before="100" w:beforeAutospacing="1" w:after="100" w:afterAutospacing="1" w:line="240" w:lineRule="auto"/>
        <w:rPr>
          <w:rFonts w:ascii="Arial" w:hAnsi="Arial" w:cs="Arial"/>
          <w:szCs w:val="24"/>
        </w:rPr>
      </w:pPr>
      <w:r w:rsidRPr="00E35302">
        <w:rPr>
          <w:rFonts w:ascii="Arial" w:hAnsi="Arial" w:cs="Arial"/>
          <w:szCs w:val="24"/>
        </w:rPr>
        <w:t>Ingreso corriente per cápita;</w:t>
      </w:r>
    </w:p>
    <w:p w:rsidR="007F6887" w:rsidRDefault="007F6887" w:rsidP="00535A9D">
      <w:pPr>
        <w:pStyle w:val="Prrafodelista"/>
        <w:numPr>
          <w:ilvl w:val="0"/>
          <w:numId w:val="17"/>
        </w:numPr>
        <w:spacing w:before="100" w:beforeAutospacing="1" w:after="100" w:afterAutospacing="1" w:line="240" w:lineRule="auto"/>
        <w:rPr>
          <w:rFonts w:ascii="Arial" w:hAnsi="Arial" w:cs="Arial"/>
          <w:szCs w:val="24"/>
        </w:rPr>
      </w:pPr>
      <w:r w:rsidRPr="00E35302">
        <w:rPr>
          <w:rFonts w:ascii="Arial" w:hAnsi="Arial" w:cs="Arial"/>
          <w:szCs w:val="24"/>
        </w:rPr>
        <w:t>Rezago educativo promedio en el hogar;</w:t>
      </w:r>
    </w:p>
    <w:p w:rsidR="007F6887" w:rsidRDefault="007F6887" w:rsidP="00535A9D">
      <w:pPr>
        <w:pStyle w:val="Prrafodelista"/>
        <w:numPr>
          <w:ilvl w:val="0"/>
          <w:numId w:val="17"/>
        </w:numPr>
        <w:spacing w:before="100" w:beforeAutospacing="1" w:after="100" w:afterAutospacing="1" w:line="240" w:lineRule="auto"/>
        <w:rPr>
          <w:rFonts w:ascii="Arial" w:hAnsi="Arial" w:cs="Arial"/>
          <w:szCs w:val="24"/>
        </w:rPr>
      </w:pPr>
      <w:r w:rsidRPr="00E35302">
        <w:rPr>
          <w:rFonts w:ascii="Arial" w:hAnsi="Arial" w:cs="Arial"/>
          <w:szCs w:val="24"/>
        </w:rPr>
        <w:t>Acceso a los servicios de salud;</w:t>
      </w:r>
    </w:p>
    <w:p w:rsidR="007F6887" w:rsidRDefault="007F6887" w:rsidP="00535A9D">
      <w:pPr>
        <w:pStyle w:val="Prrafodelista"/>
        <w:numPr>
          <w:ilvl w:val="0"/>
          <w:numId w:val="17"/>
        </w:numPr>
        <w:spacing w:before="100" w:beforeAutospacing="1" w:after="100" w:afterAutospacing="1" w:line="240" w:lineRule="auto"/>
        <w:rPr>
          <w:rFonts w:ascii="Arial" w:hAnsi="Arial" w:cs="Arial"/>
          <w:szCs w:val="24"/>
        </w:rPr>
      </w:pPr>
      <w:r w:rsidRPr="00E35302">
        <w:rPr>
          <w:rFonts w:ascii="Arial" w:hAnsi="Arial" w:cs="Arial"/>
          <w:szCs w:val="24"/>
        </w:rPr>
        <w:t>Acceso a la seguridad social;</w:t>
      </w:r>
    </w:p>
    <w:p w:rsidR="007F6887" w:rsidRDefault="007F6887" w:rsidP="00535A9D">
      <w:pPr>
        <w:pStyle w:val="Prrafodelista"/>
        <w:numPr>
          <w:ilvl w:val="0"/>
          <w:numId w:val="17"/>
        </w:numPr>
        <w:spacing w:before="100" w:beforeAutospacing="1" w:after="100" w:afterAutospacing="1" w:line="240" w:lineRule="auto"/>
        <w:rPr>
          <w:rFonts w:ascii="Arial" w:hAnsi="Arial" w:cs="Arial"/>
          <w:szCs w:val="24"/>
        </w:rPr>
      </w:pPr>
      <w:r w:rsidRPr="00E35302">
        <w:rPr>
          <w:rFonts w:ascii="Arial" w:hAnsi="Arial" w:cs="Arial"/>
          <w:szCs w:val="24"/>
        </w:rPr>
        <w:t>Calidad y espacios de la vivienda;</w:t>
      </w:r>
    </w:p>
    <w:p w:rsidR="007F6887" w:rsidRDefault="007F6887" w:rsidP="00535A9D">
      <w:pPr>
        <w:pStyle w:val="Prrafodelista"/>
        <w:numPr>
          <w:ilvl w:val="0"/>
          <w:numId w:val="17"/>
        </w:numPr>
        <w:spacing w:before="100" w:beforeAutospacing="1" w:after="100" w:afterAutospacing="1" w:line="240" w:lineRule="auto"/>
        <w:rPr>
          <w:rFonts w:ascii="Arial" w:hAnsi="Arial" w:cs="Arial"/>
          <w:szCs w:val="24"/>
        </w:rPr>
      </w:pPr>
      <w:r w:rsidRPr="00E35302">
        <w:rPr>
          <w:rFonts w:ascii="Arial" w:hAnsi="Arial" w:cs="Arial"/>
          <w:szCs w:val="24"/>
        </w:rPr>
        <w:t>Acceso a los servicios básicos en la vivienda;</w:t>
      </w:r>
    </w:p>
    <w:p w:rsidR="007F6887" w:rsidRDefault="007F6887" w:rsidP="00535A9D">
      <w:pPr>
        <w:pStyle w:val="Prrafodelista"/>
        <w:numPr>
          <w:ilvl w:val="0"/>
          <w:numId w:val="17"/>
        </w:numPr>
        <w:spacing w:before="100" w:beforeAutospacing="1" w:after="100" w:afterAutospacing="1" w:line="240" w:lineRule="auto"/>
        <w:rPr>
          <w:rFonts w:ascii="Arial" w:hAnsi="Arial" w:cs="Arial"/>
          <w:szCs w:val="24"/>
        </w:rPr>
      </w:pPr>
      <w:r w:rsidRPr="00E35302">
        <w:rPr>
          <w:rFonts w:ascii="Arial" w:hAnsi="Arial" w:cs="Arial"/>
          <w:szCs w:val="24"/>
        </w:rPr>
        <w:t>Acceso a la alimentación;</w:t>
      </w:r>
    </w:p>
    <w:p w:rsidR="007F6887" w:rsidRDefault="007F6887" w:rsidP="00535A9D">
      <w:pPr>
        <w:pStyle w:val="Prrafodelista"/>
        <w:numPr>
          <w:ilvl w:val="0"/>
          <w:numId w:val="17"/>
        </w:numPr>
        <w:spacing w:before="100" w:beforeAutospacing="1" w:after="100" w:afterAutospacing="1" w:line="240" w:lineRule="auto"/>
        <w:rPr>
          <w:rFonts w:ascii="Arial" w:hAnsi="Arial" w:cs="Arial"/>
          <w:szCs w:val="24"/>
        </w:rPr>
      </w:pPr>
      <w:r w:rsidRPr="00E35302">
        <w:rPr>
          <w:rFonts w:ascii="Arial" w:hAnsi="Arial" w:cs="Arial"/>
          <w:szCs w:val="24"/>
        </w:rPr>
        <w:t>Grado de cohesión social, y</w:t>
      </w:r>
    </w:p>
    <w:p w:rsidR="007F6887" w:rsidRPr="00E35302" w:rsidRDefault="007F6887" w:rsidP="00535A9D">
      <w:pPr>
        <w:pStyle w:val="Prrafodelista"/>
        <w:numPr>
          <w:ilvl w:val="0"/>
          <w:numId w:val="17"/>
        </w:numPr>
        <w:spacing w:before="100" w:beforeAutospacing="1" w:after="100" w:afterAutospacing="1" w:line="240" w:lineRule="auto"/>
        <w:rPr>
          <w:rFonts w:ascii="Arial" w:hAnsi="Arial" w:cs="Arial"/>
          <w:szCs w:val="24"/>
        </w:rPr>
      </w:pPr>
      <w:r w:rsidRPr="00E35302">
        <w:rPr>
          <w:rFonts w:ascii="Arial" w:hAnsi="Arial" w:cs="Arial"/>
          <w:szCs w:val="24"/>
        </w:rPr>
        <w:t>Grado de Accesibilidad a carretera pavimentada.</w:t>
      </w:r>
    </w:p>
    <w:p w:rsidR="007F6887" w:rsidRPr="00E35302" w:rsidRDefault="007F6887" w:rsidP="007F6887">
      <w:pPr>
        <w:spacing w:before="100" w:beforeAutospacing="1" w:after="100" w:afterAutospacing="1"/>
        <w:rPr>
          <w:rFonts w:cs="Arial"/>
          <w:b/>
        </w:rPr>
      </w:pPr>
      <w:r w:rsidRPr="00E35302">
        <w:rPr>
          <w:rFonts w:cs="Arial"/>
          <w:b/>
        </w:rPr>
        <w:t>La Agenda 2030 para el Desarrollo Sostenible (ODS)</w:t>
      </w:r>
    </w:p>
    <w:p w:rsidR="007F6887" w:rsidRDefault="007F6887" w:rsidP="007F6887">
      <w:pPr>
        <w:spacing w:before="100" w:beforeAutospacing="1" w:after="100" w:afterAutospacing="1"/>
        <w:rPr>
          <w:rFonts w:cs="Arial"/>
        </w:rPr>
      </w:pPr>
      <w:r w:rsidRPr="00E35302">
        <w:rPr>
          <w:rFonts w:cs="Arial"/>
        </w:rPr>
        <w:t>La Agenda 2030 está constituida por 17 Objetivos de Desarrollo Sostenible y 169 metas. Los objetivos son:</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Poner fin a la pobreza en todas sus formas y en todo el mundo.</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Poner fin al hambre, lograr la seguridad alimentaria y la mejora de la nutrición y promover la agricultura sostenible.</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Garantizar una vida sana y promover el bienestar de todos a todas las edades.</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Garantizar una educación inclusiva y equitativa de calidad y promover oportunidades de aprendizaje permanente para todos.</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Lograr la igualdad de género y empoderar a todas las mujeres y las niñas.</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Garantizar la disponibilidad y la gestión sostenible del agua y el saneamiento para todos.</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Garantizar el acceso a una energía asequible, fiable, sostenible y moderna para todos.</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lastRenderedPageBreak/>
        <w:t>Promover el crecimiento económico sostenido, inclusivo y sostenible, el empleo pleno y productivo y el trabajo decente para todos.</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 xml:space="preserve">Construir infraestructuras </w:t>
      </w:r>
      <w:proofErr w:type="spellStart"/>
      <w:r w:rsidRPr="00E35302">
        <w:rPr>
          <w:rFonts w:ascii="Arial" w:hAnsi="Arial" w:cs="Arial"/>
          <w:szCs w:val="24"/>
        </w:rPr>
        <w:t>resilientes</w:t>
      </w:r>
      <w:proofErr w:type="spellEnd"/>
      <w:r w:rsidRPr="00E35302">
        <w:rPr>
          <w:rFonts w:ascii="Arial" w:hAnsi="Arial" w:cs="Arial"/>
          <w:szCs w:val="24"/>
        </w:rPr>
        <w:t>, promover la industrialización inclusiva y sostenible y fomentar la innovación.</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Reducir la desigualdad en y entre los países.</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 xml:space="preserve">Lograr que las ciudades y los asentamientos humanos sean inclusivos, seguros, </w:t>
      </w:r>
      <w:proofErr w:type="spellStart"/>
      <w:r w:rsidRPr="00E35302">
        <w:rPr>
          <w:rFonts w:ascii="Arial" w:hAnsi="Arial" w:cs="Arial"/>
          <w:szCs w:val="24"/>
        </w:rPr>
        <w:t>resilientes</w:t>
      </w:r>
      <w:proofErr w:type="spellEnd"/>
      <w:r w:rsidRPr="00E35302">
        <w:rPr>
          <w:rFonts w:ascii="Arial" w:hAnsi="Arial" w:cs="Arial"/>
          <w:szCs w:val="24"/>
        </w:rPr>
        <w:t xml:space="preserve"> y sostenibles.</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Garantizar modalidades de consumo y producción sostenibles.</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Adoptar medidas urgentes para combatir el cambio climático y sus efectos.</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Conservar y utilizar sosteniblemente los océanos, los mares y los recursos marinos para el desarrollo sostenible.</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Proteger, restablecer y promover el uso sostenible de los ecosistemas terrestres, gestionar sosteniblemente los bosques, luchar contra la desertificación, detener e invertir la degradación de las tierras y detener la pérdida de biodiversidad.</w:t>
      </w:r>
    </w:p>
    <w:p w:rsidR="007F6887"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Promover sociedades pacíficas e inclusivas para el desarrollo sostenible, facilitar el acceso a la justicia para todos y construir a todos lo</w:t>
      </w:r>
      <w:r>
        <w:rPr>
          <w:rFonts w:ascii="Arial" w:hAnsi="Arial" w:cs="Arial"/>
          <w:szCs w:val="24"/>
        </w:rPr>
        <w:t>s niveles instituciones efica</w:t>
      </w:r>
      <w:r w:rsidRPr="00E35302">
        <w:rPr>
          <w:rFonts w:ascii="Arial" w:hAnsi="Arial" w:cs="Arial"/>
          <w:szCs w:val="24"/>
        </w:rPr>
        <w:t>ces e inclusivas que rindan cuentas.</w:t>
      </w:r>
    </w:p>
    <w:p w:rsidR="007F6887" w:rsidRPr="00E35302" w:rsidRDefault="007F6887" w:rsidP="00535A9D">
      <w:pPr>
        <w:pStyle w:val="Prrafodelista"/>
        <w:numPr>
          <w:ilvl w:val="0"/>
          <w:numId w:val="18"/>
        </w:numPr>
        <w:spacing w:before="100" w:beforeAutospacing="1" w:after="100" w:afterAutospacing="1" w:line="240" w:lineRule="auto"/>
        <w:rPr>
          <w:rFonts w:ascii="Arial" w:hAnsi="Arial" w:cs="Arial"/>
          <w:szCs w:val="24"/>
        </w:rPr>
      </w:pPr>
      <w:r w:rsidRPr="00E35302">
        <w:rPr>
          <w:rFonts w:ascii="Arial" w:hAnsi="Arial" w:cs="Arial"/>
          <w:szCs w:val="24"/>
        </w:rPr>
        <w:t>Fortalecer los medios de implementación y revitalizar la Alianza Mundial para el Desarrollo Sostenible.</w:t>
      </w:r>
    </w:p>
    <w:p w:rsidR="007F6887" w:rsidRPr="00E35302" w:rsidRDefault="007F6887" w:rsidP="007F6887">
      <w:pPr>
        <w:spacing w:before="100" w:beforeAutospacing="1" w:after="100" w:afterAutospacing="1"/>
        <w:rPr>
          <w:rFonts w:cs="Arial"/>
          <w:b/>
        </w:rPr>
      </w:pPr>
      <w:r w:rsidRPr="00E35302">
        <w:rPr>
          <w:rFonts w:cs="Arial"/>
          <w:b/>
        </w:rPr>
        <w:t>Orientación del Gasto</w:t>
      </w:r>
    </w:p>
    <w:p w:rsidR="007F6887" w:rsidRPr="00E35302" w:rsidRDefault="007F6887" w:rsidP="007F6887">
      <w:pPr>
        <w:spacing w:before="100" w:beforeAutospacing="1" w:after="100" w:afterAutospacing="1"/>
        <w:rPr>
          <w:rFonts w:cs="Arial"/>
        </w:rPr>
      </w:pPr>
      <w:r w:rsidRPr="00E35302">
        <w:rPr>
          <w:rFonts w:cs="Arial"/>
        </w:rPr>
        <w:t xml:space="preserve">El Proyecto de Presupuesto de Egresos para el ejercicio fiscal 2021 integra un gasto de 41,136 </w:t>
      </w:r>
      <w:proofErr w:type="spellStart"/>
      <w:r w:rsidRPr="00E35302">
        <w:rPr>
          <w:rFonts w:cs="Arial"/>
        </w:rPr>
        <w:t>mdp</w:t>
      </w:r>
      <w:proofErr w:type="spellEnd"/>
      <w:r w:rsidRPr="00E35302">
        <w:rPr>
          <w:rFonts w:cs="Arial"/>
        </w:rPr>
        <w:t>, y no se presupuestan recursos correspondientes a financiamientos de largo plazo.</w:t>
      </w:r>
    </w:p>
    <w:p w:rsidR="007F6887" w:rsidRDefault="007F6887" w:rsidP="00535A9D">
      <w:pPr>
        <w:pStyle w:val="Prrafodelista"/>
        <w:numPr>
          <w:ilvl w:val="0"/>
          <w:numId w:val="19"/>
        </w:numPr>
        <w:spacing w:before="100" w:beforeAutospacing="1" w:after="100" w:afterAutospacing="1" w:line="240" w:lineRule="auto"/>
        <w:rPr>
          <w:rFonts w:ascii="Arial" w:hAnsi="Arial" w:cs="Arial"/>
          <w:szCs w:val="24"/>
        </w:rPr>
      </w:pPr>
      <w:r w:rsidRPr="00E35302">
        <w:rPr>
          <w:rFonts w:ascii="Arial" w:hAnsi="Arial" w:cs="Arial"/>
          <w:szCs w:val="24"/>
        </w:rPr>
        <w:t>El 57% de los recursos se asigna a los ejes sectoriales, que atienden los Derechos Económicos, Sociales, Culturales y Ambientales.</w:t>
      </w:r>
    </w:p>
    <w:p w:rsidR="007F6887" w:rsidRPr="00E35302" w:rsidRDefault="007F6887" w:rsidP="00535A9D">
      <w:pPr>
        <w:pStyle w:val="Prrafodelista"/>
        <w:numPr>
          <w:ilvl w:val="0"/>
          <w:numId w:val="19"/>
        </w:numPr>
        <w:spacing w:before="100" w:beforeAutospacing="1" w:after="100" w:afterAutospacing="1" w:line="240" w:lineRule="auto"/>
        <w:rPr>
          <w:rFonts w:ascii="Arial" w:hAnsi="Arial" w:cs="Arial"/>
          <w:szCs w:val="24"/>
        </w:rPr>
      </w:pPr>
      <w:r w:rsidRPr="00E35302">
        <w:rPr>
          <w:rFonts w:ascii="Arial" w:hAnsi="Arial" w:cs="Arial"/>
          <w:szCs w:val="24"/>
        </w:rPr>
        <w:t>Más del 70% del gasto se asigna a los ejes: “Yuc</w:t>
      </w:r>
      <w:r>
        <w:rPr>
          <w:rFonts w:ascii="Arial" w:hAnsi="Arial" w:cs="Arial"/>
          <w:szCs w:val="24"/>
        </w:rPr>
        <w:t>atán Con Calidad De Vida y Bie</w:t>
      </w:r>
      <w:r w:rsidRPr="00E35302">
        <w:rPr>
          <w:rFonts w:ascii="Arial" w:hAnsi="Arial" w:cs="Arial"/>
          <w:szCs w:val="24"/>
        </w:rPr>
        <w:t>nestar Social” y “Paz, Justicia y Gobernabilidad”.</w:t>
      </w:r>
    </w:p>
    <w:p w:rsidR="007F6887" w:rsidRPr="004D5D60" w:rsidRDefault="00D5198F" w:rsidP="007F6887">
      <w:pPr>
        <w:spacing w:before="120"/>
      </w:pPr>
      <w:r w:rsidRPr="00D5198F">
        <w:rPr>
          <w:rFonts w:asciiTheme="minorHAnsi" w:hAnsiTheme="minorHAnsi"/>
          <w:noProof/>
          <w:lang w:eastAsia="es-MX"/>
        </w:rPr>
        <w:pict>
          <v:rect id="Rectángulo 42" o:spid="_x0000_s1099" style="position:absolute;left:0;text-align:left;margin-left:97.4pt;margin-top:19.05pt;width:372.15pt;height:37.8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" fillcolor="#0e1d55" stroked="f" strokeweight="1pt">
            <v:path arrowok="t"/>
            <w10:wrap type="topAndBottom"/>
          </v:rect>
        </w:pict>
      </w:r>
      <w:r w:rsidRPr="00D5198F">
        <w:rPr>
          <w:rFonts w:asciiTheme="minorHAnsi" w:hAnsiTheme="minorHAnsi"/>
          <w:noProof/>
          <w:lang w:eastAsia="es-MX"/>
        </w:rPr>
        <w:pict>
          <v:shape id="Cuadro de texto 21" o:spid="_x0000_s1035" type="#_x0000_t202" style="position:absolute;left:0;text-align:left;margin-left:100.05pt;margin-top:24.15pt;width:287.05pt;height:26.65pt;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" filled="f" stroked="f" strokeweight=".5pt">
            <v:path arrowok="t"/>
            <v:textbox style="mso-next-textbox:#Cuadro de texto 21">
              <w:txbxContent>
                <w:p w:rsidR="00923562" w:rsidRPr="00C428DD" w:rsidRDefault="00923562" w:rsidP="007F6887">
                  <w:pPr>
                    <w:pStyle w:val="Revisin"/>
                    <w:rPr>
                      <w:rFonts w:ascii="Barlow" w:hAnsi="Barlow"/>
                      <w:b/>
                      <w:bCs/>
                      <w:iCs/>
                      <w:color w:val="FFFFFF"/>
                    </w:rPr>
                  </w:pPr>
                  <w:r w:rsidRPr="00C428DD">
                    <w:rPr>
                      <w:rFonts w:ascii="Barlow" w:hAnsi="Barlow"/>
                      <w:b/>
                      <w:color w:val="FFFFFF"/>
                    </w:rPr>
                    <w:t>Ejes</w:t>
                  </w:r>
                  <w:r w:rsidRPr="00B33FDB">
                    <w:t xml:space="preserve"> </w:t>
                  </w:r>
                  <w:r w:rsidRPr="00C428DD">
                    <w:rPr>
                      <w:rFonts w:ascii="Barlow" w:hAnsi="Barlow"/>
                      <w:b/>
                      <w:bCs/>
                      <w:iCs/>
                      <w:color w:val="FFFFFF"/>
                    </w:rPr>
                    <w:t>Del PED 2018-2024. Asignación 2021.</w:t>
                  </w:r>
                </w:p>
                <w:p w:rsidR="00923562" w:rsidRPr="00167F84" w:rsidRDefault="00923562" w:rsidP="007F6887">
                  <w:pPr>
                    <w:rPr>
                      <w:sz w:val="28"/>
                      <w:szCs w:val="28"/>
                    </w:rPr>
                  </w:pPr>
                </w:p>
              </w:txbxContent>
            </v:textbox>
            <w10:wrap type="topAndBottom"/>
          </v:shape>
        </w:pict>
      </w:r>
      <w:r w:rsidRPr="00D5198F">
        <w:rPr>
          <w:rFonts w:asciiTheme="minorHAnsi" w:hAnsiTheme="minorHAnsi"/>
          <w:noProof/>
          <w:lang w:eastAsia="es-MX"/>
        </w:rPr>
        <w:pict>
          <v:shape id="Cuadro de texto 40" o:spid="_x0000_s1036" type="#_x0000_t202" style="position:absolute;left:0;text-align:left;margin-left:4.65pt;margin-top:25.65pt;width:94.15pt;height:22.5pt;z-index:251686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" filled="f" stroked="f" strokeweight=".5pt">
            <v:path arrowok="t"/>
            <v:textbox style="mso-next-textbox:#Cuadro de texto 40">
              <w:txbxContent>
                <w:p w:rsidR="00923562" w:rsidRPr="00B33FDB" w:rsidRDefault="00923562" w:rsidP="007F6887">
                  <w:pPr>
                    <w:rPr>
                      <w:b/>
                      <w:bCs/>
                      <w:color w:val="000000"/>
                      <w:lang w:val="es-ES"/>
                    </w:rPr>
                  </w:pPr>
                  <w:r w:rsidRPr="00B33FDB">
                    <w:rPr>
                      <w:b/>
                      <w:bCs/>
                      <w:color w:val="000000"/>
                      <w:lang w:val="es-ES"/>
                    </w:rPr>
                    <w:t xml:space="preserve">TABLA </w:t>
                  </w:r>
                  <w:r>
                    <w:rPr>
                      <w:b/>
                      <w:bCs/>
                      <w:color w:val="000000"/>
                      <w:lang w:val="es-ES"/>
                    </w:rPr>
                    <w:t>1</w:t>
                  </w:r>
                  <w:r w:rsidRPr="00B33FDB">
                    <w:rPr>
                      <w:b/>
                      <w:bCs/>
                      <w:color w:val="000000"/>
                      <w:lang w:val="es-ES"/>
                    </w:rPr>
                    <w:t>.2</w:t>
                  </w:r>
                </w:p>
              </w:txbxContent>
            </v:textbox>
            <w10:wrap type="topAndBottom"/>
          </v:shape>
        </w:pict>
      </w:r>
      <w:r w:rsidRPr="00D5198F">
        <w:rPr>
          <w:rFonts w:asciiTheme="minorHAnsi" w:hAnsiTheme="minorHAnsi"/>
          <w:noProof/>
          <w:lang w:eastAsia="es-MX"/>
        </w:rPr>
        <w:pict>
          <v:rect id="Rectángulo 20" o:spid="_x0000_s1098" style="position:absolute;left:0;text-align:left;margin-left:2.95pt;margin-top:19.15pt;width:88.15pt;height:37.9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" fillcolor="#ffc000" stroked="f" strokeweight="1pt">
            <v:path arrowok="t"/>
            <w10:wrap type="topAndBottom"/>
          </v:rect>
        </w:pict>
      </w:r>
      <w:r w:rsidRPr="00D5198F">
        <w:rPr>
          <w:rFonts w:asciiTheme="minorHAnsi" w:hAnsiTheme="minorHAnsi"/>
          <w:noProof/>
          <w:lang w:eastAsia="es-MX"/>
        </w:rPr>
        <w:pict>
          <v:rect id="Rectángulo 47" o:spid="_x0000_s1097" style="position:absolute;left:0;text-align:left;margin-left:-1.05pt;margin-top:18.9pt;width:428.4pt;height:27.7pt;z-index:-25163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" fillcolor="#fdfdfd" stroked="f" strokeweight="1pt">
            <v:path arrowok="t"/>
          </v:rect>
        </w:pict>
      </w:r>
    </w:p>
    <w:tbl>
      <w:tblPr>
        <w:tblW w:w="0" w:type="auto"/>
        <w:tblLook w:val="04A0"/>
      </w:tblPr>
      <w:tblGrid>
        <w:gridCol w:w="5517"/>
        <w:gridCol w:w="1763"/>
        <w:gridCol w:w="1774"/>
      </w:tblGrid>
      <w:tr w:rsidR="007F6887" w:rsidRPr="00C428DD" w:rsidTr="00234DCF">
        <w:trPr>
          <w:trHeight w:val="330"/>
        </w:trPr>
        <w:tc>
          <w:tcPr>
            <w:tcW w:w="0" w:type="auto"/>
            <w:tcBorders>
              <w:top w:val="single" w:sz="8" w:space="0" w:color="FFFFFF"/>
              <w:left w:val="single" w:sz="8" w:space="0" w:color="FFFFFF"/>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val="en-US"/>
              </w:rPr>
            </w:pPr>
            <w:r w:rsidRPr="00C428DD">
              <w:rPr>
                <w:rFonts w:eastAsia="Times New Roman"/>
                <w:b/>
                <w:bCs/>
                <w:color w:val="FFFFFF"/>
              </w:rPr>
              <w:t>Gasto total</w:t>
            </w:r>
          </w:p>
        </w:tc>
        <w:tc>
          <w:tcPr>
            <w:tcW w:w="0" w:type="auto"/>
            <w:gridSpan w:val="2"/>
            <w:tcBorders>
              <w:top w:val="nil"/>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val="en-US"/>
              </w:rPr>
            </w:pPr>
            <w:r w:rsidRPr="00C428DD">
              <w:rPr>
                <w:rFonts w:eastAsia="Times New Roman"/>
                <w:b/>
                <w:bCs/>
                <w:color w:val="FFFFFF"/>
              </w:rPr>
              <w:t>2021</w:t>
            </w:r>
          </w:p>
        </w:tc>
      </w:tr>
      <w:tr w:rsidR="007F6887" w:rsidRPr="00C428DD" w:rsidTr="00234DCF">
        <w:trPr>
          <w:trHeight w:val="330"/>
        </w:trPr>
        <w:tc>
          <w:tcPr>
            <w:tcW w:w="0" w:type="auto"/>
            <w:tcBorders>
              <w:top w:val="single" w:sz="8" w:space="0" w:color="FFFFFF"/>
              <w:left w:val="single" w:sz="8" w:space="0" w:color="FFFFFF"/>
              <w:bottom w:val="single" w:sz="8" w:space="0" w:color="FFFFFF"/>
              <w:right w:val="single" w:sz="8" w:space="0" w:color="FFFFFF"/>
            </w:tcBorders>
            <w:vAlign w:val="center"/>
            <w:hideMark/>
          </w:tcPr>
          <w:p w:rsidR="007F6887" w:rsidRPr="004D5D60" w:rsidRDefault="007F6887" w:rsidP="00234DCF">
            <w:pPr>
              <w:spacing w:before="120"/>
              <w:rPr>
                <w:rFonts w:eastAsia="Times New Roman"/>
                <w:b/>
                <w:bCs/>
                <w:color w:val="FFFFFF"/>
                <w:lang w:val="en-US"/>
              </w:rPr>
            </w:pPr>
          </w:p>
        </w:tc>
        <w:tc>
          <w:tcPr>
            <w:tcW w:w="0" w:type="auto"/>
            <w:tcBorders>
              <w:top w:val="nil"/>
              <w:left w:val="nil"/>
              <w:bottom w:val="single" w:sz="8" w:space="0" w:color="FFFFFF"/>
              <w:right w:val="single" w:sz="8" w:space="0" w:color="FFFFFF"/>
            </w:tcBorders>
            <w:shd w:val="clear" w:color="auto" w:fill="F2F2F2"/>
            <w:vAlign w:val="center"/>
            <w:hideMark/>
          </w:tcPr>
          <w:p w:rsidR="007F6887" w:rsidRPr="004D5D60" w:rsidRDefault="007F6887" w:rsidP="00234DCF">
            <w:pPr>
              <w:spacing w:before="120"/>
              <w:rPr>
                <w:rFonts w:eastAsia="Times New Roman"/>
                <w:b/>
                <w:bCs/>
                <w:color w:val="002060"/>
                <w:lang w:val="en-US"/>
              </w:rPr>
            </w:pPr>
            <w:r w:rsidRPr="004D5D60">
              <w:rPr>
                <w:rFonts w:eastAsia="Times New Roman"/>
                <w:b/>
                <w:bCs/>
                <w:color w:val="002060"/>
              </w:rPr>
              <w:t>Anteproyecto</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b/>
                <w:bCs/>
                <w:color w:val="002060"/>
                <w:lang w:val="en-US"/>
              </w:rPr>
            </w:pPr>
            <w:r w:rsidRPr="004D5D60">
              <w:rPr>
                <w:rFonts w:eastAsia="Times New Roman"/>
                <w:b/>
                <w:bCs/>
                <w:color w:val="002060"/>
              </w:rPr>
              <w:t>Estructura (%)</w:t>
            </w:r>
          </w:p>
        </w:tc>
      </w:tr>
      <w:tr w:rsidR="007F6887" w:rsidRPr="00C428DD" w:rsidTr="00234DCF">
        <w:trPr>
          <w:trHeight w:val="180"/>
        </w:trPr>
        <w:tc>
          <w:tcPr>
            <w:tcW w:w="0" w:type="auto"/>
            <w:tcBorders>
              <w:top w:val="nil"/>
              <w:left w:val="nil"/>
              <w:bottom w:val="nil"/>
              <w:right w:val="nil"/>
            </w:tcBorders>
            <w:shd w:val="clear" w:color="000000" w:fill="FFFFFF"/>
            <w:noWrap/>
            <w:vAlign w:val="center"/>
            <w:hideMark/>
          </w:tcPr>
          <w:p w:rsidR="007F6887" w:rsidRPr="004D5D60" w:rsidRDefault="007F6887" w:rsidP="00234DCF">
            <w:pPr>
              <w:spacing w:before="120"/>
              <w:rPr>
                <w:rFonts w:eastAsia="Times New Roman"/>
                <w:lang w:val="en-US"/>
              </w:rPr>
            </w:pPr>
            <w:r w:rsidRPr="004D5D60">
              <w:rPr>
                <w:rFonts w:eastAsia="Times New Roman"/>
              </w:rPr>
              <w:t> </w:t>
            </w:r>
          </w:p>
        </w:tc>
        <w:tc>
          <w:tcPr>
            <w:tcW w:w="0" w:type="auto"/>
            <w:tcBorders>
              <w:top w:val="nil"/>
              <w:left w:val="nil"/>
              <w:bottom w:val="nil"/>
              <w:right w:val="nil"/>
            </w:tcBorders>
            <w:shd w:val="clear" w:color="000000" w:fill="FFFFFF"/>
            <w:noWrap/>
            <w:vAlign w:val="center"/>
            <w:hideMark/>
          </w:tcPr>
          <w:p w:rsidR="007F6887" w:rsidRPr="004D5D60" w:rsidRDefault="007F6887" w:rsidP="00234DCF">
            <w:pPr>
              <w:spacing w:before="120"/>
              <w:rPr>
                <w:rFonts w:eastAsia="Times New Roman"/>
                <w:lang w:val="en-US"/>
              </w:rPr>
            </w:pPr>
            <w:r w:rsidRPr="004D5D60">
              <w:rPr>
                <w:rFonts w:eastAsia="Times New Roman"/>
              </w:rPr>
              <w:t> </w:t>
            </w:r>
          </w:p>
        </w:tc>
        <w:tc>
          <w:tcPr>
            <w:tcW w:w="0" w:type="auto"/>
            <w:tcBorders>
              <w:top w:val="nil"/>
              <w:left w:val="nil"/>
              <w:bottom w:val="nil"/>
              <w:right w:val="nil"/>
            </w:tcBorders>
            <w:shd w:val="clear" w:color="000000" w:fill="FFFFFF"/>
            <w:noWrap/>
            <w:vAlign w:val="center"/>
            <w:hideMark/>
          </w:tcPr>
          <w:p w:rsidR="007F6887" w:rsidRPr="004D5D60" w:rsidRDefault="007F6887" w:rsidP="00234DCF">
            <w:pPr>
              <w:spacing w:before="120"/>
              <w:rPr>
                <w:rFonts w:eastAsia="Times New Roman"/>
                <w:lang w:val="en-US"/>
              </w:rPr>
            </w:pPr>
            <w:r w:rsidRPr="004D5D60">
              <w:rPr>
                <w:rFonts w:eastAsia="Times New Roman"/>
              </w:rPr>
              <w:t> </w:t>
            </w:r>
          </w:p>
        </w:tc>
      </w:tr>
      <w:tr w:rsidR="007F6887" w:rsidRPr="00C428DD" w:rsidTr="00234DCF">
        <w:trPr>
          <w:trHeight w:val="330"/>
        </w:trPr>
        <w:tc>
          <w:tcPr>
            <w:tcW w:w="0" w:type="auto"/>
            <w:tcBorders>
              <w:top w:val="single" w:sz="8" w:space="0" w:color="FFFFFF"/>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4D5D60">
              <w:rPr>
                <w:rFonts w:eastAsia="Times New Roman"/>
                <w:color w:val="002060"/>
              </w:rPr>
              <w:lastRenderedPageBreak/>
              <w:t>01 Yucatán con economía inclusiva</w:t>
            </w:r>
          </w:p>
        </w:tc>
        <w:tc>
          <w:tcPr>
            <w:tcW w:w="0" w:type="auto"/>
            <w:tcBorders>
              <w:top w:val="single" w:sz="8" w:space="0" w:color="FFFFFF"/>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1,148.7</w:t>
            </w:r>
          </w:p>
        </w:tc>
        <w:tc>
          <w:tcPr>
            <w:tcW w:w="0" w:type="auto"/>
            <w:tcBorders>
              <w:top w:val="single" w:sz="8" w:space="0" w:color="FFFFFF"/>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2.8%</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s-ES"/>
              </w:rPr>
            </w:pPr>
            <w:r w:rsidRPr="004D5D60">
              <w:rPr>
                <w:rFonts w:eastAsia="Times New Roman"/>
                <w:color w:val="002060"/>
              </w:rPr>
              <w:t>02 Yucatán con calidad de vida y bienestar social</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20,529.7</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49.9%</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s-ES"/>
              </w:rPr>
            </w:pPr>
            <w:r w:rsidRPr="004D5D60">
              <w:rPr>
                <w:rFonts w:eastAsia="Times New Roman"/>
                <w:color w:val="002060"/>
              </w:rPr>
              <w:t>03 Yucatán cultural con identidad para el desarrollo</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662.3</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1.6%</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4D5D60">
              <w:rPr>
                <w:rFonts w:eastAsia="Times New Roman"/>
                <w:color w:val="002060"/>
              </w:rPr>
              <w:t>04 Yucatán verde y sustentable</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964.7</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2.3%</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s-ES"/>
              </w:rPr>
            </w:pPr>
            <w:r w:rsidRPr="004D5D60">
              <w:rPr>
                <w:rFonts w:eastAsia="Times New Roman"/>
                <w:color w:val="002060"/>
              </w:rPr>
              <w:t>05 Igualdad de género, oportunidades y no discriminación</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414.1</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1.0%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4D5D60">
              <w:rPr>
                <w:rFonts w:eastAsia="Times New Roman"/>
                <w:color w:val="002060"/>
              </w:rPr>
              <w:t>06 Innovación, conocimiento y tecnología</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874.7</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2.1%</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4D5D60">
              <w:rPr>
                <w:rFonts w:eastAsia="Times New Roman"/>
                <w:color w:val="002060"/>
              </w:rPr>
              <w:t>07 Paz, justicia y gobernabilidad</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8,486.7</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20.6%</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s-ES"/>
              </w:rPr>
            </w:pPr>
            <w:r w:rsidRPr="004D5D60">
              <w:rPr>
                <w:rFonts w:eastAsia="Times New Roman"/>
                <w:color w:val="002060"/>
              </w:rPr>
              <w:t>08 Gobierno abierto, eficiente y con finanzas sanas</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4,506.7</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11.0%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4D5D60">
              <w:rPr>
                <w:rFonts w:eastAsia="Times New Roman"/>
                <w:color w:val="002060"/>
              </w:rPr>
              <w:t>09 Ciudades y comunidades sostenibles</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3,548.6</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8.6%</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4D5D60">
              <w:rPr>
                <w:rFonts w:eastAsia="Times New Roman"/>
                <w:color w:val="002060"/>
              </w:rPr>
              <w:t>Total general</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41,136.1</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100.0%</w:t>
            </w:r>
          </w:p>
        </w:tc>
      </w:tr>
    </w:tbl>
    <w:p w:rsidR="007F6887" w:rsidRPr="004D5D60" w:rsidRDefault="007F6887" w:rsidP="007F6887">
      <w:pPr>
        <w:spacing w:before="120"/>
        <w:rPr>
          <w:b/>
          <w:bCs/>
          <w:i/>
          <w:iCs/>
          <w:color w:val="002060"/>
        </w:rPr>
      </w:pPr>
    </w:p>
    <w:p w:rsidR="007F6887" w:rsidRPr="00E35302" w:rsidRDefault="007F6887" w:rsidP="007F6887">
      <w:pPr>
        <w:spacing w:before="120"/>
      </w:pPr>
      <w:r w:rsidRPr="004D5D60">
        <w:rPr>
          <w:b/>
          <w:bCs/>
          <w:i/>
          <w:iCs/>
          <w:color w:val="002060"/>
        </w:rPr>
        <w:t xml:space="preserve">  Fuente: Elaboración propia con base en PED 2018-2024</w:t>
      </w:r>
    </w:p>
    <w:p w:rsidR="007F6887" w:rsidRDefault="007F6887" w:rsidP="007F6887">
      <w:pPr>
        <w:spacing w:before="120"/>
        <w:rPr>
          <w:rFonts w:eastAsia="Barlow Medium"/>
          <w:color w:val="121D56"/>
        </w:rPr>
      </w:pPr>
    </w:p>
    <w:p w:rsidR="007F6887" w:rsidRPr="004D5D60" w:rsidRDefault="00D5198F" w:rsidP="007F6887">
      <w:pPr>
        <w:spacing w:before="120"/>
        <w:rPr>
          <w:rFonts w:eastAsia="Barlow Medium"/>
          <w:color w:val="121D56"/>
        </w:rPr>
      </w:pPr>
      <w:r w:rsidRPr="00D5198F">
        <w:rPr>
          <w:rFonts w:asciiTheme="minorHAnsi" w:hAnsiTheme="minorHAnsi"/>
          <w:noProof/>
          <w:lang w:eastAsia="es-MX"/>
        </w:rPr>
        <w:pict>
          <v:rect id="Rectángulo 19" o:spid="_x0000_s1096" style="position:absolute;left:0;text-align:left;margin-left:97.4pt;margin-top:18.1pt;width:370.25pt;height:37.85pt;z-index:2516879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" fillcolor="#0e1d55" stroked="f" strokeweight="1pt">
            <v:path arrowok="t"/>
            <w10:wrap type="topAndBottom"/>
          </v:rect>
        </w:pict>
      </w:r>
      <w:r w:rsidRPr="00D5198F">
        <w:rPr>
          <w:rFonts w:asciiTheme="minorHAnsi" w:hAnsiTheme="minorHAnsi"/>
          <w:noProof/>
          <w:lang w:eastAsia="es-MX"/>
        </w:rPr>
        <w:pict>
          <v:shape id="Cuadro de texto 49" o:spid="_x0000_s1037" type="#_x0000_t202" style="position:absolute;left:0;text-align:left;margin-left:99.15pt;margin-top:25.4pt;width:300.15pt;height:34.4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" filled="f" stroked="f" strokeweight=".5pt">
            <v:path arrowok="t"/>
            <v:textbox style="mso-next-textbox:#Cuadro de texto 49">
              <w:txbxContent>
                <w:p w:rsidR="00923562" w:rsidRPr="00C428DD" w:rsidRDefault="00923562" w:rsidP="007F6887">
                  <w:pPr>
                    <w:pStyle w:val="Revisin"/>
                    <w:rPr>
                      <w:rFonts w:ascii="Barlow" w:hAnsi="Barlow"/>
                      <w:b/>
                      <w:bCs/>
                      <w:iCs/>
                      <w:color w:val="FFFFFF"/>
                    </w:rPr>
                  </w:pPr>
                  <w:r w:rsidRPr="00C428DD">
                    <w:rPr>
                      <w:rFonts w:ascii="Barlow" w:hAnsi="Barlow"/>
                      <w:b/>
                      <w:color w:val="FFFFFF"/>
                    </w:rPr>
                    <w:t>Ejes</w:t>
                  </w:r>
                  <w:r w:rsidRPr="00DD011E">
                    <w:t xml:space="preserve"> </w:t>
                  </w:r>
                  <w:r w:rsidRPr="00C428DD">
                    <w:rPr>
                      <w:rFonts w:ascii="Barlow" w:hAnsi="Barlow"/>
                      <w:b/>
                      <w:bCs/>
                      <w:iCs/>
                      <w:color w:val="FFFFFF"/>
                    </w:rPr>
                    <w:t>Del PED 2018-2024. Asignación por Política 2021.</w:t>
                  </w:r>
                </w:p>
                <w:p w:rsidR="00923562" w:rsidRPr="00167F84" w:rsidRDefault="00923562" w:rsidP="007F6887">
                  <w:pPr>
                    <w:rPr>
                      <w:sz w:val="28"/>
                      <w:szCs w:val="28"/>
                    </w:rPr>
                  </w:pPr>
                </w:p>
              </w:txbxContent>
            </v:textbox>
            <w10:wrap type="topAndBottom"/>
          </v:shape>
        </w:pict>
      </w:r>
      <w:r w:rsidRPr="00D5198F">
        <w:rPr>
          <w:rFonts w:asciiTheme="minorHAnsi" w:hAnsiTheme="minorHAnsi"/>
          <w:noProof/>
          <w:lang w:eastAsia="es-MX"/>
        </w:rPr>
        <w:pict>
          <v:shape id="Cuadro de texto 48" o:spid="_x0000_s1038" type="#_x0000_t202" style="position:absolute;left:0;text-align:left;margin-left:-26.3pt;margin-top:25.2pt;width:125.55pt;height:37.85pt;z-index:2516910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" filled="f" stroked="f" strokeweight=".5pt">
            <v:path arrowok="t"/>
            <v:textbox style="mso-next-textbox:#Cuadro de texto 48">
              <w:txbxContent>
                <w:p w:rsidR="00923562" w:rsidRPr="00DD011E" w:rsidRDefault="00923562" w:rsidP="007F6887">
                  <w:pPr>
                    <w:pStyle w:val="Ttulo3"/>
                    <w:ind w:left="720"/>
                    <w:rPr>
                      <w:i/>
                      <w:iCs/>
                      <w:color w:val="002060"/>
                    </w:rPr>
                  </w:pPr>
                  <w:r w:rsidRPr="00DD011E">
                    <w:rPr>
                      <w:color w:val="002060"/>
                    </w:rPr>
                    <w:t xml:space="preserve">TABLA </w:t>
                  </w:r>
                  <w:r>
                    <w:rPr>
                      <w:color w:val="002060"/>
                    </w:rPr>
                    <w:t>1</w:t>
                  </w:r>
                  <w:r w:rsidRPr="00DD011E">
                    <w:rPr>
                      <w:color w:val="002060"/>
                    </w:rPr>
                    <w:t>.3</w:t>
                  </w:r>
                </w:p>
                <w:p w:rsidR="00923562" w:rsidRPr="007270A8" w:rsidRDefault="00923562" w:rsidP="007F6887">
                  <w:pPr>
                    <w:rPr>
                      <w:rFonts w:ascii="Barlow SemiBold" w:hAnsi="Barlow SemiBold"/>
                      <w:b/>
                      <w:bCs/>
                      <w:color w:val="002060"/>
                      <w:sz w:val="28"/>
                      <w:szCs w:val="28"/>
                    </w:rPr>
                  </w:pPr>
                </w:p>
              </w:txbxContent>
            </v:textbox>
            <w10:wrap type="topAndBottom"/>
          </v:shape>
        </w:pict>
      </w:r>
      <w:r w:rsidRPr="00D5198F">
        <w:rPr>
          <w:rFonts w:asciiTheme="minorHAnsi" w:hAnsiTheme="minorHAnsi"/>
          <w:noProof/>
          <w:lang w:eastAsia="es-MX"/>
        </w:rPr>
        <w:pict>
          <v:rect id="Rectángulo 18" o:spid="_x0000_s1095" style="position:absolute;left:0;text-align:left;margin-left:2.95pt;margin-top:18.55pt;width:88.15pt;height:37.9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" fillcolor="#ffc000" stroked="f" strokeweight="1pt">
            <v:path arrowok="t"/>
            <w10:wrap type="topAndBottom"/>
          </v:rect>
        </w:pict>
      </w:r>
    </w:p>
    <w:tbl>
      <w:tblPr>
        <w:tblW w:w="0" w:type="auto"/>
        <w:tblLook w:val="04A0"/>
      </w:tblPr>
      <w:tblGrid>
        <w:gridCol w:w="5576"/>
        <w:gridCol w:w="1796"/>
        <w:gridCol w:w="1682"/>
      </w:tblGrid>
      <w:tr w:rsidR="007F6887" w:rsidRPr="00C428DD" w:rsidTr="00234DCF">
        <w:trPr>
          <w:trHeight w:val="330"/>
          <w:tblHeader/>
        </w:trPr>
        <w:tc>
          <w:tcPr>
            <w:tcW w:w="0" w:type="auto"/>
            <w:tcBorders>
              <w:top w:val="single" w:sz="8" w:space="0" w:color="FFFFFF"/>
              <w:left w:val="single" w:sz="8" w:space="0" w:color="FFFFFF"/>
              <w:bottom w:val="single" w:sz="8" w:space="0" w:color="FFFFFF"/>
              <w:right w:val="single" w:sz="8" w:space="0" w:color="FFFFFF"/>
            </w:tcBorders>
            <w:shd w:val="clear" w:color="000000" w:fill="1A98C0"/>
            <w:vAlign w:val="center"/>
            <w:hideMark/>
          </w:tcPr>
          <w:p w:rsidR="007F6887" w:rsidRPr="004D5D60" w:rsidRDefault="007F6887" w:rsidP="00234DCF">
            <w:pPr>
              <w:spacing w:before="120"/>
              <w:rPr>
                <w:rFonts w:eastAsia="Times New Roman"/>
                <w:b/>
                <w:bCs/>
                <w:color w:val="FFFFFF"/>
                <w:lang w:val="en-US"/>
              </w:rPr>
            </w:pPr>
            <w:r w:rsidRPr="00C428DD">
              <w:rPr>
                <w:rFonts w:eastAsia="Times New Roman"/>
                <w:b/>
                <w:bCs/>
                <w:color w:val="FFFFFF"/>
              </w:rPr>
              <w:t>Gasto Total</w:t>
            </w:r>
          </w:p>
        </w:tc>
        <w:tc>
          <w:tcPr>
            <w:tcW w:w="0" w:type="auto"/>
            <w:gridSpan w:val="2"/>
            <w:tcBorders>
              <w:top w:val="nil"/>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val="en-US"/>
              </w:rPr>
            </w:pPr>
            <w:r w:rsidRPr="00C428DD">
              <w:rPr>
                <w:rFonts w:eastAsia="Times New Roman"/>
                <w:b/>
                <w:bCs/>
                <w:color w:val="FFFFFF"/>
              </w:rPr>
              <w:t>2021</w:t>
            </w:r>
          </w:p>
        </w:tc>
      </w:tr>
      <w:tr w:rsidR="007F6887" w:rsidRPr="00C428DD" w:rsidTr="00234DCF">
        <w:trPr>
          <w:trHeight w:val="330"/>
          <w:tblHeader/>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center"/>
              <w:rPr>
                <w:rFonts w:eastAsia="Times New Roman"/>
                <w:b/>
                <w:bCs/>
                <w:lang w:val="en-US"/>
              </w:rPr>
            </w:pPr>
            <w:r w:rsidRPr="004D5D60">
              <w:rPr>
                <w:rFonts w:eastAsia="Times New Roman"/>
                <w:b/>
                <w:bCs/>
              </w:rPr>
              <w:t>Eje</w:t>
            </w:r>
          </w:p>
        </w:tc>
        <w:tc>
          <w:tcPr>
            <w:tcW w:w="0" w:type="auto"/>
            <w:tcBorders>
              <w:top w:val="nil"/>
              <w:left w:val="nil"/>
              <w:bottom w:val="single" w:sz="8" w:space="0" w:color="FFFFFF"/>
              <w:right w:val="single" w:sz="8" w:space="0" w:color="FFFFFF"/>
            </w:tcBorders>
            <w:shd w:val="clear" w:color="auto" w:fill="F2F2F2"/>
            <w:vAlign w:val="center"/>
            <w:hideMark/>
          </w:tcPr>
          <w:p w:rsidR="007F6887" w:rsidRPr="004D5D60" w:rsidRDefault="007F6887" w:rsidP="00234DCF">
            <w:pPr>
              <w:spacing w:before="120"/>
              <w:jc w:val="center"/>
              <w:rPr>
                <w:rFonts w:eastAsia="Times New Roman"/>
                <w:b/>
                <w:bCs/>
                <w:color w:val="002060"/>
                <w:lang w:val="en-US"/>
              </w:rPr>
            </w:pPr>
            <w:r w:rsidRPr="004D5D60">
              <w:rPr>
                <w:rFonts w:eastAsia="Times New Roman"/>
                <w:b/>
                <w:bCs/>
                <w:color w:val="002060"/>
              </w:rPr>
              <w:t>Anteproyecto</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center"/>
              <w:rPr>
                <w:rFonts w:eastAsia="Times New Roman"/>
                <w:b/>
                <w:bCs/>
                <w:color w:val="002060"/>
                <w:lang w:val="en-US"/>
              </w:rPr>
            </w:pPr>
            <w:r w:rsidRPr="004D5D60">
              <w:rPr>
                <w:rFonts w:eastAsia="Times New Roman"/>
                <w:b/>
                <w:bCs/>
                <w:color w:val="002060"/>
              </w:rPr>
              <w:t>Estructura (%)</w:t>
            </w:r>
          </w:p>
        </w:tc>
      </w:tr>
      <w:tr w:rsidR="007F6887" w:rsidRPr="00C428DD" w:rsidTr="00234DCF">
        <w:trPr>
          <w:trHeight w:val="150"/>
        </w:trPr>
        <w:tc>
          <w:tcPr>
            <w:tcW w:w="0" w:type="auto"/>
            <w:tcBorders>
              <w:top w:val="nil"/>
              <w:left w:val="nil"/>
              <w:bottom w:val="nil"/>
              <w:right w:val="nil"/>
            </w:tcBorders>
            <w:shd w:val="clear" w:color="000000" w:fill="FFFFFF"/>
            <w:noWrap/>
            <w:vAlign w:val="center"/>
            <w:hideMark/>
          </w:tcPr>
          <w:p w:rsidR="007F6887" w:rsidRPr="004D5D60" w:rsidRDefault="007F6887" w:rsidP="00234DCF">
            <w:pPr>
              <w:spacing w:before="120"/>
              <w:rPr>
                <w:rFonts w:eastAsia="Times New Roman"/>
                <w:lang w:val="en-US"/>
              </w:rPr>
            </w:pPr>
            <w:r w:rsidRPr="004D5D60">
              <w:rPr>
                <w:rFonts w:eastAsia="Times New Roman"/>
              </w:rPr>
              <w:t> </w:t>
            </w:r>
          </w:p>
        </w:tc>
        <w:tc>
          <w:tcPr>
            <w:tcW w:w="0" w:type="auto"/>
            <w:tcBorders>
              <w:top w:val="nil"/>
              <w:left w:val="nil"/>
              <w:bottom w:val="nil"/>
              <w:right w:val="nil"/>
            </w:tcBorders>
            <w:shd w:val="clear" w:color="000000" w:fill="FFFFFF"/>
            <w:noWrap/>
            <w:vAlign w:val="center"/>
            <w:hideMark/>
          </w:tcPr>
          <w:p w:rsidR="007F6887" w:rsidRPr="004D5D60" w:rsidRDefault="007F6887" w:rsidP="00234DCF">
            <w:pPr>
              <w:spacing w:before="120"/>
              <w:rPr>
                <w:rFonts w:eastAsia="Times New Roman"/>
                <w:lang w:val="en-US"/>
              </w:rPr>
            </w:pPr>
            <w:r w:rsidRPr="004D5D60">
              <w:rPr>
                <w:rFonts w:eastAsia="Times New Roman"/>
              </w:rPr>
              <w:t> </w:t>
            </w:r>
          </w:p>
        </w:tc>
        <w:tc>
          <w:tcPr>
            <w:tcW w:w="0" w:type="auto"/>
            <w:tcBorders>
              <w:top w:val="nil"/>
              <w:left w:val="nil"/>
              <w:bottom w:val="nil"/>
              <w:right w:val="nil"/>
            </w:tcBorders>
            <w:shd w:val="clear" w:color="000000" w:fill="FFFFFF"/>
            <w:noWrap/>
            <w:vAlign w:val="center"/>
            <w:hideMark/>
          </w:tcPr>
          <w:p w:rsidR="007F6887" w:rsidRPr="004D5D60" w:rsidRDefault="007F6887" w:rsidP="00234DCF">
            <w:pPr>
              <w:spacing w:before="120"/>
              <w:rPr>
                <w:rFonts w:eastAsia="Times New Roman"/>
                <w:lang w:val="en-US"/>
              </w:rPr>
            </w:pPr>
            <w:r w:rsidRPr="004D5D60">
              <w:rPr>
                <w:rFonts w:eastAsia="Times New Roman"/>
              </w:rPr>
              <w:t> </w:t>
            </w:r>
          </w:p>
        </w:tc>
      </w:tr>
      <w:tr w:rsidR="007F6887" w:rsidRPr="00C428DD" w:rsidTr="00234DCF">
        <w:trPr>
          <w:trHeight w:val="330"/>
        </w:trPr>
        <w:tc>
          <w:tcPr>
            <w:tcW w:w="0" w:type="auto"/>
            <w:tcBorders>
              <w:top w:val="single" w:sz="8" w:space="0" w:color="FFFFFF"/>
              <w:left w:val="single" w:sz="8" w:space="0" w:color="FFFFFF"/>
              <w:bottom w:val="single" w:sz="8" w:space="0" w:color="FFFFFF"/>
              <w:right w:val="single" w:sz="8" w:space="0" w:color="FFFFFF"/>
            </w:tcBorders>
            <w:shd w:val="clear" w:color="000000" w:fill="E5F6FF"/>
            <w:vAlign w:val="center"/>
            <w:hideMark/>
          </w:tcPr>
          <w:p w:rsidR="007F6887" w:rsidRPr="004D5D60" w:rsidRDefault="007F6887" w:rsidP="00234DCF">
            <w:pPr>
              <w:spacing w:before="120"/>
              <w:rPr>
                <w:rFonts w:eastAsia="Times New Roman"/>
                <w:color w:val="002060"/>
                <w:lang w:val="en-US"/>
              </w:rPr>
            </w:pPr>
            <w:r w:rsidRPr="00C428DD">
              <w:rPr>
                <w:color w:val="002060"/>
              </w:rPr>
              <w:t>01 Yucatán con economía inclusiva</w:t>
            </w:r>
          </w:p>
        </w:tc>
        <w:tc>
          <w:tcPr>
            <w:tcW w:w="0" w:type="auto"/>
            <w:tcBorders>
              <w:top w:val="single" w:sz="8" w:space="0" w:color="FFFFFF"/>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1,148.7 </w:t>
            </w:r>
          </w:p>
        </w:tc>
        <w:tc>
          <w:tcPr>
            <w:tcW w:w="0" w:type="auto"/>
            <w:tcBorders>
              <w:top w:val="single" w:sz="8" w:space="0" w:color="FFFFFF"/>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2.8%</w:t>
            </w:r>
          </w:p>
        </w:tc>
      </w:tr>
      <w:tr w:rsidR="007F6887" w:rsidRPr="00C428DD" w:rsidTr="00234DCF">
        <w:trPr>
          <w:trHeight w:val="65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s-ES"/>
              </w:rPr>
            </w:pPr>
            <w:r w:rsidRPr="00C428DD">
              <w:rPr>
                <w:color w:val="002060"/>
              </w:rPr>
              <w:t>01.01. Desarrollo comercial y fortalecimiento de las empresas locales</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486.8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1.2%</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01.02. Competitividad e inversión extranjera</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65.8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0.2%</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01.03. Desarrollo industrial</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65.7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0.2%</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lastRenderedPageBreak/>
              <w:t>01.04. Impulso al turismo</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240.7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0.6%</w:t>
            </w:r>
          </w:p>
        </w:tc>
      </w:tr>
      <w:tr w:rsidR="007F6887" w:rsidRPr="00C428DD" w:rsidTr="00234DCF">
        <w:trPr>
          <w:trHeight w:val="65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s-ES"/>
              </w:rPr>
            </w:pPr>
            <w:r w:rsidRPr="00C428DD">
              <w:rPr>
                <w:color w:val="002060"/>
              </w:rPr>
              <w:t>01.05. Capital humano generador de desarrollo y trabajo decente</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18.9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s-ES"/>
              </w:rPr>
            </w:pPr>
            <w:r w:rsidRPr="00C428DD">
              <w:rPr>
                <w:color w:val="002060"/>
              </w:rPr>
              <w:t>01.06. Fomento empresarial y al emprendimiento</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48.5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0.1%</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01.07. Desarrollo agropecuario</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139.0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0.3%</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01.08. Desarrollo pesquero</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83.4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0.2%</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E5F6FF"/>
            <w:vAlign w:val="center"/>
            <w:hideMark/>
          </w:tcPr>
          <w:p w:rsidR="007F6887" w:rsidRPr="004D5D60" w:rsidRDefault="007F6887" w:rsidP="00234DCF">
            <w:pPr>
              <w:spacing w:before="120"/>
              <w:rPr>
                <w:rFonts w:eastAsia="Times New Roman"/>
                <w:color w:val="002060"/>
                <w:lang w:val="es-ES"/>
              </w:rPr>
            </w:pPr>
            <w:r w:rsidRPr="00C428DD">
              <w:rPr>
                <w:color w:val="002060"/>
              </w:rPr>
              <w:t>02 Yucatán con calidad de vida y bienestar social</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20,529.7 </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49.9%</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02.01. Salud y bienestar</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5,011.4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12.2%</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02.02. Hambre cero</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2,446.3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5.9%</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02.03. Pueblos indígenas</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12.1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02.04. Educación integral de calidad</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11,943.0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29.0%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02.05. Acceso a la vivienda</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331.4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0.8%</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02.06. Seguridad social</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785.6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1.9%</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E5F6FF"/>
            <w:vAlign w:val="center"/>
            <w:hideMark/>
          </w:tcPr>
          <w:p w:rsidR="007F6887" w:rsidRPr="004D5D60" w:rsidRDefault="007F6887" w:rsidP="00234DCF">
            <w:pPr>
              <w:spacing w:before="120"/>
              <w:rPr>
                <w:rFonts w:eastAsia="Times New Roman"/>
                <w:color w:val="002060"/>
                <w:lang w:val="es-ES"/>
              </w:rPr>
            </w:pPr>
            <w:r w:rsidRPr="00C428DD">
              <w:rPr>
                <w:color w:val="002060"/>
              </w:rPr>
              <w:t>03 Yucatán cultural con identidad para el desarrollo</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662.3 </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1.6%</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s-ES"/>
              </w:rPr>
            </w:pPr>
            <w:r w:rsidRPr="00C428DD">
              <w:rPr>
                <w:color w:val="002060"/>
              </w:rPr>
              <w:t>03.01. Acceso universal a la cultura</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127.8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0.3%</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03.02. Cultura tradicional</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40.7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0.1%</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03.03. Bellas artes</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77.0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0.2%</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03.04. Educación artística y cultural</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21.4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0.1%</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03.05. Patrimonio cultural</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213.4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0.5%</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03.06. Fomento al deporte</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182.0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0.4%</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E5F6FF"/>
            <w:vAlign w:val="center"/>
            <w:hideMark/>
          </w:tcPr>
          <w:p w:rsidR="007F6887" w:rsidRPr="004D5D60" w:rsidRDefault="007F6887" w:rsidP="00234DCF">
            <w:pPr>
              <w:spacing w:before="120"/>
              <w:rPr>
                <w:rFonts w:eastAsia="Times New Roman"/>
                <w:color w:val="002060"/>
                <w:lang w:val="en-US"/>
              </w:rPr>
            </w:pPr>
            <w:r w:rsidRPr="00C428DD">
              <w:rPr>
                <w:color w:val="002060"/>
              </w:rPr>
              <w:t>04 Yucatán verde y sustentable</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964.7 </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2.3%</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04.01. Conservación de recursos naturales</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25.3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0.1%</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04.02. Acción por el clima</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8.2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04.03. Agua limpia y saneamiento</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407.8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1.0%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lastRenderedPageBreak/>
              <w:t>04.04. Manejo integral de residuos</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0.4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s-ES"/>
              </w:rPr>
            </w:pPr>
            <w:r w:rsidRPr="00C428DD">
              <w:rPr>
                <w:color w:val="002060"/>
              </w:rPr>
              <w:t>04.05. Energía asequible y no contaminante</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2.6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04.06. Vida submarina</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0.4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04.07. Movilidad sustentable</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520.0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1.3%</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E5F6FF"/>
            <w:vAlign w:val="center"/>
            <w:hideMark/>
          </w:tcPr>
          <w:p w:rsidR="007F6887" w:rsidRPr="004D5D60" w:rsidRDefault="007F6887" w:rsidP="00234DCF">
            <w:pPr>
              <w:spacing w:before="120"/>
              <w:rPr>
                <w:rFonts w:eastAsia="Times New Roman"/>
                <w:color w:val="002060"/>
                <w:lang w:val="es-ES"/>
              </w:rPr>
            </w:pPr>
            <w:r w:rsidRPr="00C428DD">
              <w:rPr>
                <w:color w:val="002060"/>
              </w:rPr>
              <w:t>05 igualdad de género, oportunidades y no discriminación</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414.1 </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1.0%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05.01. Igualdad de género</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114.9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0.3%</w:t>
            </w:r>
          </w:p>
        </w:tc>
      </w:tr>
      <w:tr w:rsidR="007F6887" w:rsidRPr="00C428DD" w:rsidTr="00234DCF">
        <w:trPr>
          <w:trHeight w:val="65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s-ES"/>
              </w:rPr>
            </w:pPr>
            <w:r w:rsidRPr="00C428DD">
              <w:rPr>
                <w:color w:val="002060"/>
              </w:rPr>
              <w:t>05.02. Inclusión social y atención a grupos en situación de vulnerabilidad</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299.2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0.7%</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E5F6FF"/>
            <w:vAlign w:val="center"/>
            <w:hideMark/>
          </w:tcPr>
          <w:p w:rsidR="007F6887" w:rsidRPr="004D5D60" w:rsidRDefault="007F6887" w:rsidP="00234DCF">
            <w:pPr>
              <w:spacing w:before="120"/>
              <w:rPr>
                <w:rFonts w:eastAsia="Times New Roman"/>
                <w:color w:val="002060"/>
                <w:lang w:val="en-US"/>
              </w:rPr>
            </w:pPr>
            <w:r w:rsidRPr="00C428DD">
              <w:rPr>
                <w:color w:val="002060"/>
              </w:rPr>
              <w:t>06 innovación, conocimiento y tecnología</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874.7 </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2.1%</w:t>
            </w:r>
          </w:p>
        </w:tc>
      </w:tr>
      <w:tr w:rsidR="007F6887" w:rsidRPr="00C428DD" w:rsidTr="00234DCF">
        <w:trPr>
          <w:trHeight w:val="65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s-ES"/>
              </w:rPr>
            </w:pPr>
            <w:r w:rsidRPr="00C428DD">
              <w:rPr>
                <w:color w:val="002060"/>
              </w:rPr>
              <w:t>06.01. Educación superior y enseñanza científica y técnica</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853.0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2.1%</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s-ES"/>
              </w:rPr>
            </w:pPr>
            <w:r w:rsidRPr="00C428DD">
              <w:rPr>
                <w:color w:val="002060"/>
              </w:rPr>
              <w:t>06.02. Conocimiento científico, tecnológico e innovación</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21.7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0.1%</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E5F6FF"/>
            <w:vAlign w:val="center"/>
            <w:hideMark/>
          </w:tcPr>
          <w:p w:rsidR="007F6887" w:rsidRPr="004D5D60" w:rsidRDefault="007F6887" w:rsidP="00234DCF">
            <w:pPr>
              <w:spacing w:before="120"/>
              <w:rPr>
                <w:rFonts w:eastAsia="Times New Roman"/>
                <w:color w:val="002060"/>
                <w:lang w:val="en-US"/>
              </w:rPr>
            </w:pPr>
            <w:r w:rsidRPr="00C428DD">
              <w:rPr>
                <w:color w:val="002060"/>
              </w:rPr>
              <w:t>07 Paz, justicia y gobernabilidad</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8,486.7 </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20.6%</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07.01. Paz</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2,943.9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7.2%</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07.02. Justicia</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1,126.7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2.7%</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07.03. Gobernabilidad</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4,416.1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10.7%</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E5F6FF"/>
            <w:vAlign w:val="center"/>
            <w:hideMark/>
          </w:tcPr>
          <w:p w:rsidR="007F6887" w:rsidRPr="004D5D60" w:rsidRDefault="007F6887" w:rsidP="00234DCF">
            <w:pPr>
              <w:spacing w:before="120"/>
              <w:rPr>
                <w:rFonts w:eastAsia="Times New Roman"/>
                <w:color w:val="002060"/>
                <w:lang w:val="es-ES"/>
              </w:rPr>
            </w:pPr>
            <w:r w:rsidRPr="00C428DD">
              <w:rPr>
                <w:color w:val="002060"/>
              </w:rPr>
              <w:t>08 gobierno abierto, eficiente y con finanzas sanas</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4,506.7 </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11.0%</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s-ES"/>
              </w:rPr>
            </w:pPr>
            <w:r w:rsidRPr="00C428DD">
              <w:rPr>
                <w:color w:val="002060"/>
              </w:rPr>
              <w:t>08.01. Gobierno abierto y combate a la corrupción</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582.6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1.4%</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s-ES"/>
              </w:rPr>
            </w:pPr>
            <w:r w:rsidRPr="00C428DD">
              <w:rPr>
                <w:color w:val="002060"/>
              </w:rPr>
              <w:t>08.02. Gestión para resultados en el desarrollo</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33.6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0.1%</w:t>
            </w:r>
          </w:p>
        </w:tc>
      </w:tr>
      <w:tr w:rsidR="007F6887" w:rsidRPr="00C428DD" w:rsidTr="00234DCF">
        <w:trPr>
          <w:trHeight w:val="65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s-ES"/>
              </w:rPr>
            </w:pPr>
            <w:r w:rsidRPr="00C428DD">
              <w:rPr>
                <w:color w:val="002060"/>
              </w:rPr>
              <w:t>08.03. Mejora regulatoria e innovación de la gestión pública</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81.3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0.2%</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08.04. Finanzas sanas</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3,809.2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9.3%</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E5F6FF"/>
            <w:vAlign w:val="center"/>
            <w:hideMark/>
          </w:tcPr>
          <w:p w:rsidR="007F6887" w:rsidRPr="004D5D60" w:rsidRDefault="007F6887" w:rsidP="00234DCF">
            <w:pPr>
              <w:spacing w:before="120"/>
              <w:rPr>
                <w:rFonts w:eastAsia="Times New Roman"/>
                <w:color w:val="002060"/>
                <w:lang w:val="en-US"/>
              </w:rPr>
            </w:pPr>
            <w:r w:rsidRPr="00C428DD">
              <w:rPr>
                <w:color w:val="002060"/>
              </w:rPr>
              <w:t>09 ciudades y comunidades sostenibles</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3,548.6 </w:t>
            </w:r>
          </w:p>
        </w:tc>
        <w:tc>
          <w:tcPr>
            <w:tcW w:w="0" w:type="auto"/>
            <w:tcBorders>
              <w:top w:val="nil"/>
              <w:left w:val="nil"/>
              <w:bottom w:val="single" w:sz="8" w:space="0" w:color="FFFFFF"/>
              <w:right w:val="single" w:sz="8" w:space="0" w:color="FFFFFF"/>
            </w:tcBorders>
            <w:shd w:val="clear" w:color="000000" w:fill="E5F6FF"/>
            <w:vAlign w:val="center"/>
            <w:hideMark/>
          </w:tcPr>
          <w:p w:rsidR="007F6887" w:rsidRPr="004D5D60" w:rsidRDefault="007F6887" w:rsidP="00234DCF">
            <w:pPr>
              <w:spacing w:before="120"/>
              <w:jc w:val="right"/>
              <w:rPr>
                <w:rFonts w:eastAsia="Times New Roman"/>
                <w:color w:val="002060"/>
                <w:lang w:val="en-US"/>
              </w:rPr>
            </w:pPr>
            <w:r w:rsidRPr="00C428DD">
              <w:rPr>
                <w:color w:val="002060"/>
              </w:rPr>
              <w:t>8.6%</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09.01. Inversión pública</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3,184.9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7.7%</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lastRenderedPageBreak/>
              <w:t>09.02. Conectividad y transporte</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183.8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0.4%</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rPr>
                <w:rFonts w:eastAsia="Times New Roman"/>
                <w:color w:val="002060"/>
                <w:lang w:val="en-US"/>
              </w:rPr>
            </w:pPr>
            <w:r w:rsidRPr="00C428DD">
              <w:rPr>
                <w:color w:val="002060"/>
              </w:rPr>
              <w:t>09.03. Infraestructura digital</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90.3 </w:t>
            </w:r>
          </w:p>
        </w:tc>
        <w:tc>
          <w:tcPr>
            <w:tcW w:w="0" w:type="auto"/>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2060"/>
                <w:lang w:val="en-US"/>
              </w:rPr>
            </w:pPr>
            <w:r w:rsidRPr="00C428DD">
              <w:rPr>
                <w:color w:val="002060"/>
              </w:rPr>
              <w:t>0.2%</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09.04. Ordenamiento territorial</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89.6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0.2%</w:t>
            </w:r>
          </w:p>
        </w:tc>
      </w:tr>
      <w:tr w:rsidR="007F6887" w:rsidRPr="00C428DD" w:rsidTr="00234DCF">
        <w:trPr>
          <w:trHeight w:val="330"/>
        </w:trPr>
        <w:tc>
          <w:tcPr>
            <w:tcW w:w="0" w:type="auto"/>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rPr>
                <w:rFonts w:eastAsia="Times New Roman"/>
                <w:color w:val="002060"/>
                <w:lang w:val="en-US"/>
              </w:rPr>
            </w:pPr>
            <w:r w:rsidRPr="00C428DD">
              <w:rPr>
                <w:color w:val="002060"/>
              </w:rPr>
              <w:t>Total General</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 xml:space="preserve">         41,136.1 </w:t>
            </w:r>
          </w:p>
        </w:tc>
        <w:tc>
          <w:tcPr>
            <w:tcW w:w="0" w:type="auto"/>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2060"/>
                <w:lang w:val="en-US"/>
              </w:rPr>
            </w:pPr>
            <w:r w:rsidRPr="00C428DD">
              <w:rPr>
                <w:color w:val="002060"/>
              </w:rPr>
              <w:t>100.0%</w:t>
            </w:r>
          </w:p>
        </w:tc>
      </w:tr>
    </w:tbl>
    <w:p w:rsidR="00234DCF" w:rsidRDefault="00234DCF" w:rsidP="007F6887">
      <w:pPr>
        <w:spacing w:before="100" w:beforeAutospacing="1" w:after="100" w:afterAutospacing="1"/>
        <w:rPr>
          <w:rFonts w:cs="Arial"/>
          <w:b/>
        </w:rPr>
      </w:pPr>
    </w:p>
    <w:p w:rsidR="007F6887" w:rsidRPr="00E35302" w:rsidRDefault="007F6887" w:rsidP="007F6887">
      <w:pPr>
        <w:spacing w:before="100" w:beforeAutospacing="1" w:after="100" w:afterAutospacing="1"/>
        <w:rPr>
          <w:rFonts w:cs="Arial"/>
          <w:b/>
        </w:rPr>
      </w:pPr>
      <w:r w:rsidRPr="00E35302">
        <w:rPr>
          <w:rFonts w:cs="Arial"/>
          <w:b/>
        </w:rPr>
        <w:t>Asignación presupuestaria a los Objetivos de Desarrollo Sostenible:</w:t>
      </w:r>
    </w:p>
    <w:p w:rsidR="007F6887" w:rsidRDefault="007F6887" w:rsidP="00535A9D">
      <w:pPr>
        <w:pStyle w:val="Prrafodelista"/>
        <w:numPr>
          <w:ilvl w:val="0"/>
          <w:numId w:val="20"/>
        </w:numPr>
        <w:spacing w:before="100" w:beforeAutospacing="1" w:after="100" w:afterAutospacing="1" w:line="240" w:lineRule="auto"/>
        <w:rPr>
          <w:rFonts w:ascii="Arial" w:hAnsi="Arial" w:cs="Arial"/>
          <w:szCs w:val="24"/>
        </w:rPr>
      </w:pPr>
      <w:r w:rsidRPr="00E35302">
        <w:rPr>
          <w:rFonts w:ascii="Arial" w:hAnsi="Arial" w:cs="Arial"/>
          <w:szCs w:val="24"/>
        </w:rPr>
        <w:t>El 31% de los recursos se asignan a acciones que contribuyen directamente al objetivo 16. Promover sociedades pacíficas e inclusivas para el desarrollo sostenible, facilitar el acceso a la justicia para todos y construir, en todos los niveles, instituciones eficaces e inclusivas que rindan cuentas.</w:t>
      </w:r>
    </w:p>
    <w:p w:rsidR="007F6887" w:rsidRDefault="007F6887" w:rsidP="00535A9D">
      <w:pPr>
        <w:pStyle w:val="Prrafodelista"/>
        <w:numPr>
          <w:ilvl w:val="0"/>
          <w:numId w:val="20"/>
        </w:numPr>
        <w:spacing w:before="100" w:beforeAutospacing="1" w:after="100" w:afterAutospacing="1" w:line="240" w:lineRule="auto"/>
        <w:rPr>
          <w:rFonts w:ascii="Arial" w:hAnsi="Arial" w:cs="Arial"/>
          <w:szCs w:val="24"/>
        </w:rPr>
      </w:pPr>
      <w:r w:rsidRPr="00E35302">
        <w:rPr>
          <w:rFonts w:ascii="Arial" w:hAnsi="Arial" w:cs="Arial"/>
          <w:szCs w:val="24"/>
        </w:rPr>
        <w:t>La asignación a los objetivos 3 y 4, que se asocian a la educación y al cuidado de la salud, representan el 40% de los recursos identificados.</w:t>
      </w:r>
    </w:p>
    <w:p w:rsidR="007F6887" w:rsidRDefault="007F6887" w:rsidP="00535A9D">
      <w:pPr>
        <w:pStyle w:val="Prrafodelista"/>
        <w:numPr>
          <w:ilvl w:val="0"/>
          <w:numId w:val="20"/>
        </w:numPr>
        <w:spacing w:before="100" w:beforeAutospacing="1" w:after="100" w:afterAutospacing="1" w:line="240" w:lineRule="auto"/>
        <w:rPr>
          <w:rFonts w:ascii="Arial" w:hAnsi="Arial" w:cs="Arial"/>
          <w:szCs w:val="24"/>
        </w:rPr>
      </w:pPr>
      <w:r w:rsidRPr="00E35302">
        <w:rPr>
          <w:rFonts w:ascii="Arial" w:hAnsi="Arial" w:cs="Arial"/>
          <w:szCs w:val="24"/>
        </w:rPr>
        <w:t xml:space="preserve">El presupuesto asociado al objetivo 2, poner fin al hambre, lograr la seguridad alimentaria y la mejora de la nutrición y promover la agricultura sostenible, alcanza los 2,596 </w:t>
      </w:r>
      <w:proofErr w:type="spellStart"/>
      <w:r w:rsidRPr="00E35302">
        <w:rPr>
          <w:rFonts w:ascii="Arial" w:hAnsi="Arial" w:cs="Arial"/>
          <w:szCs w:val="24"/>
        </w:rPr>
        <w:t>mdp</w:t>
      </w:r>
      <w:proofErr w:type="spellEnd"/>
      <w:r w:rsidRPr="00E35302">
        <w:rPr>
          <w:rFonts w:ascii="Arial" w:hAnsi="Arial" w:cs="Arial"/>
          <w:szCs w:val="24"/>
        </w:rPr>
        <w:t>.</w:t>
      </w:r>
    </w:p>
    <w:p w:rsidR="007F6887" w:rsidRPr="00E35302" w:rsidRDefault="007F6887" w:rsidP="00535A9D">
      <w:pPr>
        <w:pStyle w:val="Prrafodelista"/>
        <w:numPr>
          <w:ilvl w:val="0"/>
          <w:numId w:val="20"/>
        </w:numPr>
        <w:spacing w:before="100" w:beforeAutospacing="1" w:after="100" w:afterAutospacing="1" w:line="240" w:lineRule="auto"/>
        <w:rPr>
          <w:rFonts w:ascii="Arial" w:hAnsi="Arial" w:cs="Arial"/>
          <w:szCs w:val="24"/>
        </w:rPr>
      </w:pPr>
      <w:r w:rsidRPr="00E35302">
        <w:rPr>
          <w:rFonts w:ascii="Arial" w:hAnsi="Arial" w:cs="Arial"/>
          <w:szCs w:val="24"/>
        </w:rPr>
        <w:t xml:space="preserve">Cinco ODS contienen poco más del 88% de los recursos vinculados a su cumplimiento y se relacionan con los ámbitos de seguridad y justicia, educación, salud, infraestructura, industrialización inclusiva y el fomento a la innovación y la erradicación del hambre, lograr la seguridad alimentaria </w:t>
      </w:r>
      <w:r>
        <w:rPr>
          <w:rFonts w:ascii="Arial" w:hAnsi="Arial" w:cs="Arial"/>
          <w:szCs w:val="24"/>
        </w:rPr>
        <w:t>y promover agricultura sosteni</w:t>
      </w:r>
      <w:r w:rsidRPr="00E35302">
        <w:rPr>
          <w:rFonts w:ascii="Arial" w:hAnsi="Arial" w:cs="Arial"/>
          <w:szCs w:val="24"/>
        </w:rPr>
        <w:t>ble.</w:t>
      </w:r>
    </w:p>
    <w:p w:rsidR="007F6887" w:rsidRPr="004D5D60" w:rsidRDefault="00D5198F" w:rsidP="007F6887">
      <w:pPr>
        <w:spacing w:before="120"/>
        <w:rPr>
          <w:color w:val="002060"/>
        </w:rPr>
      </w:pPr>
      <w:r w:rsidRPr="00D5198F">
        <w:rPr>
          <w:rFonts w:asciiTheme="minorHAnsi" w:hAnsiTheme="minorHAnsi"/>
          <w:noProof/>
          <w:lang w:eastAsia="es-MX"/>
        </w:rPr>
        <w:pict>
          <v:rect id="Rectángulo 15" o:spid="_x0000_s1094" style="position:absolute;left:0;text-align:left;margin-left:93.65pt;margin-top:21.85pt;width:375.85pt;height:37.85pt;z-index:2516920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" fillcolor="#0e1d55" stroked="f" strokeweight="1pt">
            <v:path arrowok="t"/>
            <w10:wrap type="topAndBottom"/>
          </v:rect>
        </w:pict>
      </w:r>
      <w:r w:rsidRPr="00D5198F">
        <w:rPr>
          <w:rFonts w:asciiTheme="minorHAnsi" w:hAnsiTheme="minorHAnsi"/>
          <w:noProof/>
          <w:lang w:eastAsia="es-MX"/>
        </w:rPr>
        <w:pict>
          <v:shape id="Cuadro de texto 14" o:spid="_x0000_s1039" type="#_x0000_t202" style="position:absolute;left:0;text-align:left;margin-left:96.35pt;margin-top:29.35pt;width:207.55pt;height:27.7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" filled="f" stroked="f" strokeweight=".5pt">
            <v:path arrowok="t"/>
            <v:textbox style="mso-next-textbox:#Cuadro de texto 14">
              <w:txbxContent>
                <w:p w:rsidR="00923562" w:rsidRPr="00C428DD" w:rsidRDefault="00923562" w:rsidP="007F6887">
                  <w:pPr>
                    <w:rPr>
                      <w:b/>
                      <w:bCs/>
                      <w:iCs/>
                      <w:color w:val="FFFFFF"/>
                    </w:rPr>
                  </w:pPr>
                  <w:r w:rsidRPr="00C428DD">
                    <w:rPr>
                      <w:b/>
                      <w:color w:val="FFFFFF"/>
                    </w:rPr>
                    <w:t>Objetivos de Desarrollo Sostenibles</w:t>
                  </w:r>
                </w:p>
                <w:p w:rsidR="00923562" w:rsidRPr="00167F84" w:rsidRDefault="00923562" w:rsidP="007F6887">
                  <w:pPr>
                    <w:rPr>
                      <w:sz w:val="28"/>
                      <w:szCs w:val="28"/>
                    </w:rPr>
                  </w:pPr>
                </w:p>
              </w:txbxContent>
            </v:textbox>
            <w10:wrap type="topAndBottom"/>
          </v:shape>
        </w:pict>
      </w:r>
      <w:r w:rsidRPr="00D5198F">
        <w:rPr>
          <w:rFonts w:asciiTheme="minorHAnsi" w:hAnsiTheme="minorHAnsi"/>
          <w:noProof/>
          <w:lang w:eastAsia="es-MX"/>
        </w:rPr>
        <w:pict>
          <v:rect id="Rectángulo 13" o:spid="_x0000_s1093" style="position:absolute;left:0;text-align:left;margin-left:0;margin-top:22.5pt;width:88.15pt;height:37.9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" fillcolor="#ffc000" stroked="f" strokeweight="1pt">
            <v:path arrowok="t"/>
            <w10:wrap type="topAndBottom"/>
          </v:rect>
        </w:pict>
      </w:r>
      <w:r w:rsidRPr="00D5198F">
        <w:rPr>
          <w:rFonts w:asciiTheme="minorHAnsi" w:hAnsiTheme="minorHAnsi"/>
          <w:noProof/>
          <w:lang w:eastAsia="es-MX"/>
        </w:rPr>
        <w:pict>
          <v:shape id="Cuadro de texto 12" o:spid="_x0000_s1040" type="#_x0000_t202" style="position:absolute;left:0;text-align:left;margin-left:1.8pt;margin-top:29.05pt;width:94.2pt;height:37.9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" filled="f" stroked="f" strokeweight=".5pt">
            <v:path arrowok="t"/>
            <v:textbox style="mso-next-textbox:#Cuadro de texto 12">
              <w:txbxContent>
                <w:p w:rsidR="00923562" w:rsidRPr="0000391F" w:rsidRDefault="00923562" w:rsidP="007F6887">
                  <w:pPr>
                    <w:rPr>
                      <w:b/>
                      <w:bCs/>
                      <w:color w:val="002060"/>
                    </w:rPr>
                  </w:pPr>
                  <w:r w:rsidRPr="0000391F">
                    <w:rPr>
                      <w:b/>
                      <w:bCs/>
                      <w:color w:val="002060"/>
                    </w:rPr>
                    <w:t xml:space="preserve">TABLA </w:t>
                  </w:r>
                  <w:r>
                    <w:rPr>
                      <w:b/>
                      <w:bCs/>
                      <w:color w:val="002060"/>
                    </w:rPr>
                    <w:t>1</w:t>
                  </w:r>
                  <w:r w:rsidRPr="0000391F">
                    <w:rPr>
                      <w:b/>
                      <w:bCs/>
                      <w:color w:val="002060"/>
                    </w:rPr>
                    <w:t>.4</w:t>
                  </w:r>
                </w:p>
                <w:p w:rsidR="00923562" w:rsidRPr="00855B3E" w:rsidRDefault="00923562" w:rsidP="007F6887">
                  <w:pPr>
                    <w:rPr>
                      <w:b/>
                      <w:bCs/>
                      <w:color w:val="002060"/>
                      <w:sz w:val="28"/>
                      <w:szCs w:val="28"/>
                    </w:rPr>
                  </w:pPr>
                </w:p>
                <w:p w:rsidR="00923562" w:rsidRPr="00855B3E" w:rsidRDefault="00923562" w:rsidP="007F6887">
                  <w:pPr>
                    <w:rPr>
                      <w:b/>
                      <w:bCs/>
                      <w:color w:val="002060"/>
                      <w:sz w:val="28"/>
                      <w:szCs w:val="28"/>
                    </w:rPr>
                  </w:pPr>
                  <w:proofErr w:type="spellStart"/>
                  <w:r w:rsidRPr="00855B3E">
                    <w:rPr>
                      <w:b/>
                      <w:bCs/>
                      <w:color w:val="002060"/>
                      <w:sz w:val="28"/>
                      <w:szCs w:val="28"/>
                    </w:rPr>
                    <w:t>Tab</w:t>
                  </w:r>
                  <w:proofErr w:type="spellEnd"/>
                </w:p>
              </w:txbxContent>
            </v:textbox>
            <w10:wrap type="topAndBottom"/>
          </v:shape>
        </w:pict>
      </w:r>
    </w:p>
    <w:tbl>
      <w:tblPr>
        <w:tblW w:w="0" w:type="auto"/>
        <w:tblInd w:w="5" w:type="dxa"/>
        <w:tblCellMar>
          <w:left w:w="70" w:type="dxa"/>
          <w:right w:w="70" w:type="dxa"/>
        </w:tblCellMar>
        <w:tblLook w:val="04A0"/>
      </w:tblPr>
      <w:tblGrid>
        <w:gridCol w:w="7128"/>
        <w:gridCol w:w="158"/>
        <w:gridCol w:w="1687"/>
      </w:tblGrid>
      <w:tr w:rsidR="007F6887" w:rsidRPr="00C428DD" w:rsidTr="00234DCF">
        <w:trPr>
          <w:trHeight w:val="20"/>
        </w:trPr>
        <w:tc>
          <w:tcPr>
            <w:tcW w:w="0" w:type="auto"/>
            <w:gridSpan w:val="2"/>
            <w:shd w:val="clear" w:color="auto" w:fill="2699BE"/>
            <w:vAlign w:val="center"/>
            <w:hideMark/>
          </w:tcPr>
          <w:p w:rsidR="007F6887" w:rsidRPr="00C428DD" w:rsidRDefault="007F6887" w:rsidP="00234DCF">
            <w:pPr>
              <w:spacing w:before="120"/>
              <w:jc w:val="center"/>
              <w:rPr>
                <w:b/>
                <w:color w:val="FFFFFF"/>
              </w:rPr>
            </w:pPr>
            <w:r w:rsidRPr="00C428DD">
              <w:rPr>
                <w:b/>
                <w:color w:val="FFFFFF"/>
              </w:rPr>
              <w:t>OBJETIVO</w:t>
            </w:r>
          </w:p>
        </w:tc>
        <w:tc>
          <w:tcPr>
            <w:tcW w:w="0" w:type="auto"/>
            <w:shd w:val="clear" w:color="auto" w:fill="2699BE"/>
            <w:vAlign w:val="center"/>
            <w:hideMark/>
          </w:tcPr>
          <w:p w:rsidR="007F6887" w:rsidRPr="00C428DD" w:rsidRDefault="007F6887" w:rsidP="00234DCF">
            <w:pPr>
              <w:spacing w:before="120"/>
              <w:rPr>
                <w:b/>
                <w:color w:val="FFFFFF"/>
              </w:rPr>
            </w:pPr>
            <w:r w:rsidRPr="00C428DD">
              <w:rPr>
                <w:b/>
                <w:color w:val="FFFFFF"/>
              </w:rPr>
              <w:t>PROYECTO 2021</w:t>
            </w:r>
          </w:p>
        </w:tc>
      </w:tr>
      <w:tr w:rsidR="007F6887" w:rsidRPr="00C428DD" w:rsidTr="00234DCF">
        <w:trPr>
          <w:trHeight w:val="20"/>
        </w:trPr>
        <w:tc>
          <w:tcPr>
            <w:tcW w:w="0" w:type="auto"/>
            <w:gridSpan w:val="2"/>
            <w:tcBorders>
              <w:right w:val="single" w:sz="4" w:space="0" w:color="FFFFFF"/>
            </w:tcBorders>
            <w:shd w:val="clear" w:color="auto" w:fill="auto"/>
            <w:vAlign w:val="center"/>
            <w:hideMark/>
          </w:tcPr>
          <w:p w:rsidR="007F6887" w:rsidRPr="00C428DD" w:rsidRDefault="007F6887" w:rsidP="00234DCF">
            <w:pPr>
              <w:spacing w:before="120"/>
            </w:pPr>
            <w:r w:rsidRPr="00C428DD">
              <w:t>1. Poner fin a la pobreza en todas sus formas y en todo el mundo</w:t>
            </w:r>
          </w:p>
        </w:tc>
        <w:tc>
          <w:tcPr>
            <w:tcW w:w="0" w:type="auto"/>
            <w:tcBorders>
              <w:left w:val="single" w:sz="4" w:space="0" w:color="FFFFFF"/>
            </w:tcBorders>
            <w:shd w:val="clear" w:color="auto" w:fill="auto"/>
            <w:noWrap/>
            <w:vAlign w:val="center"/>
            <w:hideMark/>
          </w:tcPr>
          <w:p w:rsidR="007F6887" w:rsidRPr="00C428DD" w:rsidRDefault="007F6887" w:rsidP="00234DCF">
            <w:pPr>
              <w:spacing w:before="120"/>
              <w:jc w:val="right"/>
            </w:pPr>
            <w:r w:rsidRPr="00C428DD">
              <w:t xml:space="preserve">              791.5 </w:t>
            </w:r>
          </w:p>
        </w:tc>
      </w:tr>
      <w:tr w:rsidR="007F6887" w:rsidRPr="00C428DD" w:rsidTr="00234DCF">
        <w:trPr>
          <w:trHeight w:val="20"/>
        </w:trPr>
        <w:tc>
          <w:tcPr>
            <w:tcW w:w="0" w:type="auto"/>
            <w:gridSpan w:val="2"/>
            <w:tcBorders>
              <w:right w:val="single" w:sz="4" w:space="0" w:color="FFFFFF"/>
            </w:tcBorders>
            <w:shd w:val="clear" w:color="000000" w:fill="F2F2F2"/>
            <w:vAlign w:val="center"/>
            <w:hideMark/>
          </w:tcPr>
          <w:p w:rsidR="007F6887" w:rsidRPr="00C428DD" w:rsidRDefault="007F6887" w:rsidP="00234DCF">
            <w:pPr>
              <w:spacing w:before="120"/>
            </w:pPr>
            <w:r w:rsidRPr="00C428DD">
              <w:t xml:space="preserve">2. Poner fin al hambre, lograr la seguridad alimentaria y la mejora </w:t>
            </w:r>
            <w:r w:rsidRPr="00C428DD">
              <w:lastRenderedPageBreak/>
              <w:t>de la nutrición y promover la agricultura sostenible</w:t>
            </w:r>
          </w:p>
        </w:tc>
        <w:tc>
          <w:tcPr>
            <w:tcW w:w="0" w:type="auto"/>
            <w:tcBorders>
              <w:left w:val="single" w:sz="4" w:space="0" w:color="FFFFFF"/>
            </w:tcBorders>
            <w:shd w:val="clear" w:color="000000" w:fill="F2F2F2"/>
            <w:noWrap/>
            <w:vAlign w:val="center"/>
            <w:hideMark/>
          </w:tcPr>
          <w:p w:rsidR="007F6887" w:rsidRPr="00C428DD" w:rsidRDefault="007F6887" w:rsidP="00234DCF">
            <w:pPr>
              <w:spacing w:before="120"/>
              <w:jc w:val="right"/>
            </w:pPr>
            <w:r w:rsidRPr="00C428DD">
              <w:rPr>
                <w:color w:val="000000"/>
              </w:rPr>
              <w:lastRenderedPageBreak/>
              <w:t xml:space="preserve">         2,596.5 </w:t>
            </w:r>
          </w:p>
        </w:tc>
      </w:tr>
      <w:tr w:rsidR="007F6887" w:rsidRPr="00C428DD" w:rsidTr="00234DCF">
        <w:trPr>
          <w:trHeight w:val="20"/>
        </w:trPr>
        <w:tc>
          <w:tcPr>
            <w:tcW w:w="0" w:type="auto"/>
            <w:gridSpan w:val="2"/>
            <w:tcBorders>
              <w:right w:val="single" w:sz="4" w:space="0" w:color="FFFFFF"/>
            </w:tcBorders>
            <w:shd w:val="clear" w:color="auto" w:fill="auto"/>
            <w:vAlign w:val="center"/>
            <w:hideMark/>
          </w:tcPr>
          <w:p w:rsidR="007F6887" w:rsidRPr="00C428DD" w:rsidRDefault="007F6887" w:rsidP="00234DCF">
            <w:pPr>
              <w:spacing w:before="120"/>
            </w:pPr>
            <w:r w:rsidRPr="00C428DD">
              <w:lastRenderedPageBreak/>
              <w:t>3. Garantizar una vida sana y promover el bienestar de todos a todas las edades</w:t>
            </w:r>
          </w:p>
        </w:tc>
        <w:tc>
          <w:tcPr>
            <w:tcW w:w="0" w:type="auto"/>
            <w:tcBorders>
              <w:left w:val="single" w:sz="4" w:space="0" w:color="FFFFFF"/>
            </w:tcBorders>
            <w:shd w:val="clear" w:color="auto" w:fill="auto"/>
            <w:noWrap/>
            <w:vAlign w:val="center"/>
            <w:hideMark/>
          </w:tcPr>
          <w:p w:rsidR="007F6887" w:rsidRPr="00C428DD" w:rsidRDefault="007F6887" w:rsidP="00234DCF">
            <w:pPr>
              <w:spacing w:before="120"/>
              <w:jc w:val="right"/>
            </w:pPr>
            <w:r w:rsidRPr="00C428DD">
              <w:t xml:space="preserve">          5,193.3 </w:t>
            </w:r>
          </w:p>
        </w:tc>
      </w:tr>
      <w:tr w:rsidR="007F6887" w:rsidRPr="00C428DD" w:rsidTr="00234DCF">
        <w:trPr>
          <w:trHeight w:val="20"/>
        </w:trPr>
        <w:tc>
          <w:tcPr>
            <w:tcW w:w="0" w:type="auto"/>
            <w:gridSpan w:val="2"/>
            <w:tcBorders>
              <w:right w:val="single" w:sz="4" w:space="0" w:color="FFFFFF"/>
            </w:tcBorders>
            <w:shd w:val="clear" w:color="000000" w:fill="F2F2F2"/>
            <w:vAlign w:val="center"/>
            <w:hideMark/>
          </w:tcPr>
          <w:p w:rsidR="007F6887" w:rsidRPr="00C428DD" w:rsidRDefault="007F6887" w:rsidP="00234DCF">
            <w:pPr>
              <w:spacing w:before="120"/>
            </w:pPr>
            <w:r w:rsidRPr="00C428DD">
              <w:t>4. Garantizar una educación inclusiva y equitativa de calidad y promover oportunidades de aprendizaje permanente para todos</w:t>
            </w:r>
          </w:p>
        </w:tc>
        <w:tc>
          <w:tcPr>
            <w:tcW w:w="0" w:type="auto"/>
            <w:tcBorders>
              <w:left w:val="single" w:sz="4" w:space="0" w:color="FFFFFF"/>
            </w:tcBorders>
            <w:shd w:val="clear" w:color="000000" w:fill="F2F2F2"/>
            <w:noWrap/>
            <w:vAlign w:val="center"/>
            <w:hideMark/>
          </w:tcPr>
          <w:p w:rsidR="007F6887" w:rsidRPr="00C428DD" w:rsidRDefault="007F6887" w:rsidP="00234DCF">
            <w:pPr>
              <w:spacing w:before="120"/>
              <w:jc w:val="right"/>
            </w:pPr>
            <w:r w:rsidRPr="00C428DD">
              <w:rPr>
                <w:color w:val="000000"/>
              </w:rPr>
              <w:t xml:space="preserve">         9,779.2 </w:t>
            </w:r>
          </w:p>
        </w:tc>
      </w:tr>
      <w:tr w:rsidR="007F6887" w:rsidRPr="00C428DD" w:rsidTr="00234DCF">
        <w:trPr>
          <w:trHeight w:val="20"/>
        </w:trPr>
        <w:tc>
          <w:tcPr>
            <w:tcW w:w="0" w:type="auto"/>
            <w:gridSpan w:val="2"/>
            <w:tcBorders>
              <w:right w:val="single" w:sz="4" w:space="0" w:color="FFFFFF"/>
            </w:tcBorders>
            <w:shd w:val="clear" w:color="auto" w:fill="auto"/>
            <w:vAlign w:val="center"/>
            <w:hideMark/>
          </w:tcPr>
          <w:p w:rsidR="007F6887" w:rsidRPr="00C428DD" w:rsidRDefault="007F6887" w:rsidP="00234DCF">
            <w:pPr>
              <w:spacing w:before="120"/>
            </w:pPr>
            <w:r w:rsidRPr="00C428DD">
              <w:t>5. Lograr la igualdad de género y empoderar a todas las mujeres y las niñas</w:t>
            </w:r>
          </w:p>
        </w:tc>
        <w:tc>
          <w:tcPr>
            <w:tcW w:w="0" w:type="auto"/>
            <w:tcBorders>
              <w:left w:val="single" w:sz="4" w:space="0" w:color="FFFFFF"/>
            </w:tcBorders>
            <w:shd w:val="clear" w:color="auto" w:fill="auto"/>
            <w:noWrap/>
            <w:vAlign w:val="center"/>
            <w:hideMark/>
          </w:tcPr>
          <w:p w:rsidR="007F6887" w:rsidRPr="00C428DD" w:rsidRDefault="007F6887" w:rsidP="00234DCF">
            <w:pPr>
              <w:spacing w:before="120"/>
              <w:jc w:val="right"/>
            </w:pPr>
            <w:r w:rsidRPr="00C428DD">
              <w:t xml:space="preserve">              114.6 </w:t>
            </w:r>
          </w:p>
        </w:tc>
      </w:tr>
      <w:tr w:rsidR="007F6887" w:rsidRPr="00C428DD" w:rsidTr="00234DCF">
        <w:trPr>
          <w:trHeight w:val="20"/>
        </w:trPr>
        <w:tc>
          <w:tcPr>
            <w:tcW w:w="0" w:type="auto"/>
            <w:gridSpan w:val="2"/>
            <w:tcBorders>
              <w:right w:val="single" w:sz="4" w:space="0" w:color="FFFFFF"/>
            </w:tcBorders>
            <w:shd w:val="clear" w:color="000000" w:fill="F2F2F2"/>
            <w:vAlign w:val="center"/>
            <w:hideMark/>
          </w:tcPr>
          <w:p w:rsidR="007F6887" w:rsidRPr="00C428DD" w:rsidRDefault="007F6887" w:rsidP="00234DCF">
            <w:pPr>
              <w:spacing w:before="120"/>
            </w:pPr>
            <w:r w:rsidRPr="00C428DD">
              <w:t>6. Garantizar la disponibilidad y la gestión sostenible del agua y el saneamiento para todos</w:t>
            </w:r>
          </w:p>
        </w:tc>
        <w:tc>
          <w:tcPr>
            <w:tcW w:w="0" w:type="auto"/>
            <w:tcBorders>
              <w:left w:val="single" w:sz="4" w:space="0" w:color="FFFFFF"/>
            </w:tcBorders>
            <w:shd w:val="clear" w:color="000000" w:fill="F2F2F2"/>
            <w:noWrap/>
            <w:vAlign w:val="center"/>
            <w:hideMark/>
          </w:tcPr>
          <w:p w:rsidR="007F6887" w:rsidRPr="00C428DD" w:rsidRDefault="007F6887" w:rsidP="00234DCF">
            <w:pPr>
              <w:spacing w:before="120"/>
              <w:jc w:val="right"/>
            </w:pPr>
            <w:r w:rsidRPr="00C428DD">
              <w:rPr>
                <w:color w:val="000000"/>
              </w:rPr>
              <w:t xml:space="preserve">            398.3 </w:t>
            </w:r>
          </w:p>
        </w:tc>
      </w:tr>
      <w:tr w:rsidR="007F6887" w:rsidRPr="00C428DD" w:rsidTr="00234DCF">
        <w:trPr>
          <w:trHeight w:val="20"/>
        </w:trPr>
        <w:tc>
          <w:tcPr>
            <w:tcW w:w="0" w:type="auto"/>
            <w:gridSpan w:val="2"/>
            <w:tcBorders>
              <w:right w:val="single" w:sz="4" w:space="0" w:color="FFFFFF"/>
            </w:tcBorders>
            <w:shd w:val="clear" w:color="auto" w:fill="auto"/>
            <w:vAlign w:val="center"/>
            <w:hideMark/>
          </w:tcPr>
          <w:p w:rsidR="007F6887" w:rsidRPr="00C428DD" w:rsidRDefault="007F6887" w:rsidP="00234DCF">
            <w:pPr>
              <w:spacing w:before="120"/>
            </w:pPr>
            <w:r w:rsidRPr="00C428DD">
              <w:t>7. Garantizar el acceso a una energía asequible, fiable, sostenible y moderna para todos</w:t>
            </w:r>
          </w:p>
        </w:tc>
        <w:tc>
          <w:tcPr>
            <w:tcW w:w="0" w:type="auto"/>
            <w:tcBorders>
              <w:left w:val="single" w:sz="4" w:space="0" w:color="FFFFFF"/>
            </w:tcBorders>
            <w:shd w:val="clear" w:color="auto" w:fill="auto"/>
            <w:noWrap/>
            <w:vAlign w:val="center"/>
            <w:hideMark/>
          </w:tcPr>
          <w:p w:rsidR="007F6887" w:rsidRPr="00C428DD" w:rsidRDefault="007F6887" w:rsidP="00234DCF">
            <w:pPr>
              <w:spacing w:before="120"/>
              <w:jc w:val="right"/>
            </w:pPr>
            <w:r w:rsidRPr="00C428DD">
              <w:t xml:space="preserve">                  2.6 </w:t>
            </w:r>
          </w:p>
        </w:tc>
      </w:tr>
      <w:tr w:rsidR="007F6887" w:rsidRPr="00C428DD" w:rsidTr="00234DCF">
        <w:trPr>
          <w:trHeight w:val="20"/>
        </w:trPr>
        <w:tc>
          <w:tcPr>
            <w:tcW w:w="0" w:type="auto"/>
            <w:gridSpan w:val="2"/>
            <w:tcBorders>
              <w:right w:val="single" w:sz="4" w:space="0" w:color="FFFFFF"/>
            </w:tcBorders>
            <w:shd w:val="clear" w:color="000000" w:fill="F2F2F2"/>
            <w:vAlign w:val="center"/>
            <w:hideMark/>
          </w:tcPr>
          <w:p w:rsidR="007F6887" w:rsidRPr="00C428DD" w:rsidRDefault="007F6887" w:rsidP="00234DCF">
            <w:pPr>
              <w:spacing w:before="120"/>
            </w:pPr>
            <w:r w:rsidRPr="00C428DD">
              <w:t>8. Promover el crecimiento económico sostenido, inclusivo y sostenible, el empleo pleno y productivo y el trabajo decente para todos</w:t>
            </w:r>
          </w:p>
        </w:tc>
        <w:tc>
          <w:tcPr>
            <w:tcW w:w="0" w:type="auto"/>
            <w:tcBorders>
              <w:left w:val="single" w:sz="4" w:space="0" w:color="FFFFFF"/>
            </w:tcBorders>
            <w:shd w:val="clear" w:color="000000" w:fill="F2F2F2"/>
            <w:noWrap/>
            <w:vAlign w:val="center"/>
            <w:hideMark/>
          </w:tcPr>
          <w:p w:rsidR="007F6887" w:rsidRPr="00C428DD" w:rsidRDefault="007F6887" w:rsidP="00234DCF">
            <w:pPr>
              <w:spacing w:before="120"/>
              <w:jc w:val="right"/>
            </w:pPr>
            <w:r w:rsidRPr="00C428DD">
              <w:rPr>
                <w:color w:val="000000"/>
              </w:rPr>
              <w:t xml:space="preserve">         1,036.2 </w:t>
            </w:r>
          </w:p>
        </w:tc>
      </w:tr>
      <w:tr w:rsidR="007F6887" w:rsidRPr="00C428DD" w:rsidTr="00234DCF">
        <w:trPr>
          <w:trHeight w:val="20"/>
        </w:trPr>
        <w:tc>
          <w:tcPr>
            <w:tcW w:w="0" w:type="auto"/>
            <w:gridSpan w:val="2"/>
            <w:tcBorders>
              <w:right w:val="single" w:sz="4" w:space="0" w:color="FFFFFF"/>
            </w:tcBorders>
            <w:shd w:val="clear" w:color="auto" w:fill="auto"/>
            <w:vAlign w:val="center"/>
            <w:hideMark/>
          </w:tcPr>
          <w:p w:rsidR="007F6887" w:rsidRPr="00C428DD" w:rsidRDefault="007F6887" w:rsidP="00234DCF">
            <w:pPr>
              <w:spacing w:before="120"/>
            </w:pPr>
            <w:r w:rsidRPr="00C428DD">
              <w:t xml:space="preserve">9. Construir infraestructuras </w:t>
            </w:r>
            <w:proofErr w:type="spellStart"/>
            <w:r w:rsidRPr="00C428DD">
              <w:t>resilientes</w:t>
            </w:r>
            <w:proofErr w:type="spellEnd"/>
            <w:r w:rsidRPr="00C428DD">
              <w:t>, promover la industrialización inclusiva y sostenible y fomentar la innovación</w:t>
            </w:r>
          </w:p>
        </w:tc>
        <w:tc>
          <w:tcPr>
            <w:tcW w:w="0" w:type="auto"/>
            <w:tcBorders>
              <w:left w:val="single" w:sz="4" w:space="0" w:color="FFFFFF"/>
            </w:tcBorders>
            <w:shd w:val="clear" w:color="auto" w:fill="auto"/>
            <w:noWrap/>
            <w:vAlign w:val="center"/>
            <w:hideMark/>
          </w:tcPr>
          <w:p w:rsidR="007F6887" w:rsidRPr="00C428DD" w:rsidRDefault="007F6887" w:rsidP="00234DCF">
            <w:pPr>
              <w:spacing w:before="120"/>
              <w:jc w:val="right"/>
            </w:pPr>
            <w:r w:rsidRPr="00C428DD">
              <w:t xml:space="preserve">           4,111.5 </w:t>
            </w:r>
          </w:p>
        </w:tc>
      </w:tr>
      <w:tr w:rsidR="007F6887" w:rsidRPr="00C428DD" w:rsidTr="00234DCF">
        <w:trPr>
          <w:trHeight w:val="20"/>
        </w:trPr>
        <w:tc>
          <w:tcPr>
            <w:tcW w:w="0" w:type="auto"/>
            <w:gridSpan w:val="2"/>
            <w:tcBorders>
              <w:right w:val="single" w:sz="4" w:space="0" w:color="FFFFFF"/>
            </w:tcBorders>
            <w:shd w:val="clear" w:color="000000" w:fill="F2F2F2"/>
            <w:vAlign w:val="center"/>
            <w:hideMark/>
          </w:tcPr>
          <w:p w:rsidR="007F6887" w:rsidRPr="00C428DD" w:rsidRDefault="007F6887" w:rsidP="00234DCF">
            <w:pPr>
              <w:spacing w:before="120"/>
            </w:pPr>
            <w:r w:rsidRPr="00C428DD">
              <w:t>10. Reducir la desigualdad en y entre los países</w:t>
            </w:r>
          </w:p>
        </w:tc>
        <w:tc>
          <w:tcPr>
            <w:tcW w:w="0" w:type="auto"/>
            <w:tcBorders>
              <w:left w:val="single" w:sz="4" w:space="0" w:color="FFFFFF"/>
            </w:tcBorders>
            <w:shd w:val="clear" w:color="000000" w:fill="F2F2F2"/>
            <w:noWrap/>
            <w:vAlign w:val="center"/>
            <w:hideMark/>
          </w:tcPr>
          <w:p w:rsidR="007F6887" w:rsidRPr="00C428DD" w:rsidRDefault="007F6887" w:rsidP="00234DCF">
            <w:pPr>
              <w:spacing w:before="120"/>
              <w:jc w:val="right"/>
            </w:pPr>
            <w:r w:rsidRPr="00C428DD">
              <w:rPr>
                <w:color w:val="000000"/>
              </w:rPr>
              <w:t xml:space="preserve">            299.4 </w:t>
            </w:r>
          </w:p>
        </w:tc>
      </w:tr>
      <w:tr w:rsidR="007F6887" w:rsidRPr="00C428DD" w:rsidTr="00234DCF">
        <w:trPr>
          <w:trHeight w:val="20"/>
        </w:trPr>
        <w:tc>
          <w:tcPr>
            <w:tcW w:w="0" w:type="auto"/>
            <w:gridSpan w:val="2"/>
            <w:tcBorders>
              <w:right w:val="single" w:sz="4" w:space="0" w:color="FFFFFF"/>
            </w:tcBorders>
            <w:shd w:val="clear" w:color="auto" w:fill="auto"/>
            <w:vAlign w:val="center"/>
            <w:hideMark/>
          </w:tcPr>
          <w:p w:rsidR="007F6887" w:rsidRPr="00C428DD" w:rsidRDefault="007F6887" w:rsidP="00234DCF">
            <w:pPr>
              <w:spacing w:before="120"/>
            </w:pPr>
            <w:r w:rsidRPr="00C428DD">
              <w:t xml:space="preserve">11. Lograr que las ciudades y los asentamientos humanos sean inclusivos, seguros, </w:t>
            </w:r>
            <w:proofErr w:type="spellStart"/>
            <w:r w:rsidRPr="00C428DD">
              <w:t>resilientes</w:t>
            </w:r>
            <w:proofErr w:type="spellEnd"/>
            <w:r w:rsidRPr="00C428DD">
              <w:t xml:space="preserve"> y sostenibles</w:t>
            </w:r>
          </w:p>
        </w:tc>
        <w:tc>
          <w:tcPr>
            <w:tcW w:w="0" w:type="auto"/>
            <w:tcBorders>
              <w:left w:val="single" w:sz="4" w:space="0" w:color="FFFFFF"/>
            </w:tcBorders>
            <w:shd w:val="clear" w:color="auto" w:fill="auto"/>
            <w:noWrap/>
            <w:vAlign w:val="center"/>
            <w:hideMark/>
          </w:tcPr>
          <w:p w:rsidR="007F6887" w:rsidRPr="00C428DD" w:rsidRDefault="007F6887" w:rsidP="00234DCF">
            <w:pPr>
              <w:spacing w:before="120"/>
              <w:jc w:val="right"/>
            </w:pPr>
            <w:r w:rsidRPr="00C428DD">
              <w:t xml:space="preserve">           1,392.1 </w:t>
            </w:r>
          </w:p>
        </w:tc>
      </w:tr>
      <w:tr w:rsidR="007F6887" w:rsidRPr="00C428DD" w:rsidTr="00234DCF">
        <w:trPr>
          <w:trHeight w:val="20"/>
        </w:trPr>
        <w:tc>
          <w:tcPr>
            <w:tcW w:w="0" w:type="auto"/>
            <w:gridSpan w:val="2"/>
            <w:tcBorders>
              <w:right w:val="single" w:sz="4" w:space="0" w:color="FFFFFF"/>
            </w:tcBorders>
            <w:shd w:val="clear" w:color="000000" w:fill="F2F2F2"/>
            <w:vAlign w:val="center"/>
            <w:hideMark/>
          </w:tcPr>
          <w:p w:rsidR="007F6887" w:rsidRPr="00C428DD" w:rsidRDefault="007F6887" w:rsidP="00234DCF">
            <w:pPr>
              <w:spacing w:before="120"/>
            </w:pPr>
            <w:r w:rsidRPr="00C428DD">
              <w:t>12. Garantizar modalidades de consumo y producción sostenibles</w:t>
            </w:r>
          </w:p>
        </w:tc>
        <w:tc>
          <w:tcPr>
            <w:tcW w:w="0" w:type="auto"/>
            <w:tcBorders>
              <w:left w:val="single" w:sz="4" w:space="0" w:color="FFFFFF"/>
            </w:tcBorders>
            <w:shd w:val="clear" w:color="000000" w:fill="F2F2F2"/>
            <w:noWrap/>
            <w:vAlign w:val="center"/>
            <w:hideMark/>
          </w:tcPr>
          <w:p w:rsidR="007F6887" w:rsidRPr="00C428DD" w:rsidRDefault="007F6887" w:rsidP="00234DCF">
            <w:pPr>
              <w:spacing w:before="120"/>
              <w:jc w:val="right"/>
            </w:pPr>
            <w:r w:rsidRPr="00C428DD">
              <w:rPr>
                <w:color w:val="000000"/>
              </w:rPr>
              <w:t xml:space="preserve">                 0.3 </w:t>
            </w:r>
          </w:p>
        </w:tc>
      </w:tr>
      <w:tr w:rsidR="007F6887" w:rsidRPr="00C428DD" w:rsidTr="00234DCF">
        <w:trPr>
          <w:trHeight w:val="20"/>
        </w:trPr>
        <w:tc>
          <w:tcPr>
            <w:tcW w:w="0" w:type="auto"/>
            <w:gridSpan w:val="2"/>
            <w:tcBorders>
              <w:right w:val="single" w:sz="4" w:space="0" w:color="FFFFFF"/>
            </w:tcBorders>
            <w:shd w:val="clear" w:color="auto" w:fill="auto"/>
            <w:vAlign w:val="center"/>
            <w:hideMark/>
          </w:tcPr>
          <w:p w:rsidR="007F6887" w:rsidRPr="00C428DD" w:rsidRDefault="007F6887" w:rsidP="00234DCF">
            <w:pPr>
              <w:spacing w:before="120"/>
            </w:pPr>
            <w:r w:rsidRPr="00C428DD">
              <w:t>13. Adoptar medidas urgentes para combatir el cambio climático y sus efectos</w:t>
            </w:r>
          </w:p>
        </w:tc>
        <w:tc>
          <w:tcPr>
            <w:tcW w:w="0" w:type="auto"/>
            <w:tcBorders>
              <w:left w:val="single" w:sz="4" w:space="0" w:color="FFFFFF"/>
            </w:tcBorders>
            <w:shd w:val="clear" w:color="auto" w:fill="auto"/>
            <w:noWrap/>
            <w:vAlign w:val="center"/>
            <w:hideMark/>
          </w:tcPr>
          <w:p w:rsidR="007F6887" w:rsidRPr="00C428DD" w:rsidRDefault="007F6887" w:rsidP="00234DCF">
            <w:pPr>
              <w:spacing w:before="120"/>
              <w:jc w:val="right"/>
            </w:pPr>
            <w:r w:rsidRPr="00C428DD">
              <w:t xml:space="preserve">                  8.3 </w:t>
            </w:r>
          </w:p>
        </w:tc>
      </w:tr>
      <w:tr w:rsidR="007F6887" w:rsidRPr="00C428DD" w:rsidTr="00234DCF">
        <w:trPr>
          <w:trHeight w:val="20"/>
        </w:trPr>
        <w:tc>
          <w:tcPr>
            <w:tcW w:w="0" w:type="auto"/>
            <w:gridSpan w:val="2"/>
            <w:tcBorders>
              <w:right w:val="single" w:sz="4" w:space="0" w:color="FFFFFF"/>
            </w:tcBorders>
            <w:shd w:val="clear" w:color="000000" w:fill="F2F2F2"/>
            <w:vAlign w:val="center"/>
            <w:hideMark/>
          </w:tcPr>
          <w:p w:rsidR="007F6887" w:rsidRPr="00C428DD" w:rsidRDefault="007F6887" w:rsidP="00234DCF">
            <w:pPr>
              <w:spacing w:before="120"/>
            </w:pPr>
            <w:r w:rsidRPr="00C428DD">
              <w:t>14. Conservar y utilizar sosteniblemente los océanos, los mares y los recursos marinos para el desarrollo sostenible</w:t>
            </w:r>
          </w:p>
        </w:tc>
        <w:tc>
          <w:tcPr>
            <w:tcW w:w="0" w:type="auto"/>
            <w:tcBorders>
              <w:left w:val="single" w:sz="4" w:space="0" w:color="FFFFFF"/>
            </w:tcBorders>
            <w:shd w:val="clear" w:color="000000" w:fill="F2F2F2"/>
            <w:noWrap/>
            <w:vAlign w:val="center"/>
            <w:hideMark/>
          </w:tcPr>
          <w:p w:rsidR="007F6887" w:rsidRPr="00C428DD" w:rsidRDefault="007F6887" w:rsidP="00234DCF">
            <w:pPr>
              <w:spacing w:before="120"/>
              <w:jc w:val="right"/>
            </w:pPr>
            <w:r w:rsidRPr="00C428DD">
              <w:rPr>
                <w:color w:val="000000"/>
              </w:rPr>
              <w:t xml:space="preserve">                  3.2 </w:t>
            </w:r>
          </w:p>
        </w:tc>
      </w:tr>
      <w:tr w:rsidR="007F6887" w:rsidRPr="00C428DD" w:rsidTr="00234DCF">
        <w:trPr>
          <w:trHeight w:val="20"/>
        </w:trPr>
        <w:tc>
          <w:tcPr>
            <w:tcW w:w="0" w:type="auto"/>
            <w:gridSpan w:val="2"/>
            <w:tcBorders>
              <w:right w:val="single" w:sz="4" w:space="0" w:color="FFFFFF"/>
            </w:tcBorders>
            <w:shd w:val="clear" w:color="auto" w:fill="auto"/>
            <w:vAlign w:val="center"/>
            <w:hideMark/>
          </w:tcPr>
          <w:p w:rsidR="007F6887" w:rsidRPr="00C428DD" w:rsidRDefault="007F6887" w:rsidP="00234DCF">
            <w:pPr>
              <w:spacing w:before="120"/>
            </w:pPr>
            <w:r w:rsidRPr="00C428DD">
              <w:t>15. Proteger, restablecer y promover el uso sostenible de los ecosistemas terrestres, gestionar sosteniblemente los bosques, luchar contra la desertificación, detener e invertir la degradación de las tierras y detener la pérdida de biodiversidad</w:t>
            </w:r>
          </w:p>
        </w:tc>
        <w:tc>
          <w:tcPr>
            <w:tcW w:w="0" w:type="auto"/>
            <w:tcBorders>
              <w:left w:val="single" w:sz="4" w:space="0" w:color="FFFFFF"/>
            </w:tcBorders>
            <w:shd w:val="clear" w:color="auto" w:fill="auto"/>
            <w:noWrap/>
            <w:vAlign w:val="center"/>
            <w:hideMark/>
          </w:tcPr>
          <w:p w:rsidR="007F6887" w:rsidRPr="00C428DD" w:rsidRDefault="007F6887" w:rsidP="00234DCF">
            <w:pPr>
              <w:spacing w:before="120"/>
              <w:jc w:val="right"/>
            </w:pPr>
            <w:r w:rsidRPr="00C428DD">
              <w:t xml:space="preserve">               25.3 </w:t>
            </w:r>
          </w:p>
        </w:tc>
      </w:tr>
      <w:tr w:rsidR="007F6887" w:rsidRPr="00C428DD" w:rsidTr="00234DCF">
        <w:trPr>
          <w:trHeight w:val="20"/>
        </w:trPr>
        <w:tc>
          <w:tcPr>
            <w:tcW w:w="0" w:type="auto"/>
            <w:gridSpan w:val="2"/>
            <w:tcBorders>
              <w:right w:val="single" w:sz="4" w:space="0" w:color="FFFFFF"/>
            </w:tcBorders>
            <w:shd w:val="clear" w:color="000000" w:fill="F2F2F2"/>
            <w:vAlign w:val="center"/>
            <w:hideMark/>
          </w:tcPr>
          <w:p w:rsidR="007F6887" w:rsidRPr="00C428DD" w:rsidRDefault="007F6887" w:rsidP="00234DCF">
            <w:pPr>
              <w:spacing w:before="120"/>
            </w:pPr>
            <w:r w:rsidRPr="00C428DD">
              <w:t>16. Promover sociedades pacíficas e inclusivas para el desarrollo sostenible, facilitar el acceso a la justicia para todos y construir a todos los niveles instituciones eficaces e inclusivas que rindan cuentas</w:t>
            </w:r>
          </w:p>
        </w:tc>
        <w:tc>
          <w:tcPr>
            <w:tcW w:w="0" w:type="auto"/>
            <w:tcBorders>
              <w:left w:val="single" w:sz="4" w:space="0" w:color="FFFFFF"/>
            </w:tcBorders>
            <w:shd w:val="clear" w:color="000000" w:fill="F2F2F2"/>
            <w:noWrap/>
            <w:vAlign w:val="center"/>
            <w:hideMark/>
          </w:tcPr>
          <w:p w:rsidR="007F6887" w:rsidRPr="00C428DD" w:rsidRDefault="007F6887" w:rsidP="00234DCF">
            <w:pPr>
              <w:spacing w:before="120"/>
              <w:jc w:val="right"/>
            </w:pPr>
            <w:r w:rsidRPr="00C428DD">
              <w:rPr>
                <w:color w:val="000000"/>
              </w:rPr>
              <w:t xml:space="preserve">        11,728.5 </w:t>
            </w:r>
          </w:p>
        </w:tc>
      </w:tr>
      <w:tr w:rsidR="007F6887" w:rsidRPr="00C428DD" w:rsidTr="00234DCF">
        <w:trPr>
          <w:trHeight w:val="20"/>
        </w:trPr>
        <w:tc>
          <w:tcPr>
            <w:tcW w:w="0" w:type="auto"/>
            <w:gridSpan w:val="2"/>
            <w:tcBorders>
              <w:right w:val="single" w:sz="4" w:space="0" w:color="FFFFFF"/>
            </w:tcBorders>
            <w:shd w:val="clear" w:color="000000" w:fill="FFFFFF"/>
            <w:vAlign w:val="center"/>
            <w:hideMark/>
          </w:tcPr>
          <w:p w:rsidR="007F6887" w:rsidRPr="00C428DD" w:rsidRDefault="007F6887" w:rsidP="00234DCF">
            <w:pPr>
              <w:spacing w:before="120"/>
            </w:pPr>
            <w:r w:rsidRPr="00C428DD">
              <w:t>17. Fortalecer los medios de implementación y revitalizar la Alianza Mundial para el Desarrollo Sostenible</w:t>
            </w:r>
          </w:p>
        </w:tc>
        <w:tc>
          <w:tcPr>
            <w:tcW w:w="0" w:type="auto"/>
            <w:tcBorders>
              <w:left w:val="single" w:sz="4" w:space="0" w:color="FFFFFF"/>
            </w:tcBorders>
            <w:shd w:val="clear" w:color="000000" w:fill="FFFFFF"/>
            <w:noWrap/>
            <w:vAlign w:val="center"/>
            <w:hideMark/>
          </w:tcPr>
          <w:p w:rsidR="007F6887" w:rsidRPr="00C428DD" w:rsidRDefault="007F6887" w:rsidP="00234DCF">
            <w:pPr>
              <w:spacing w:before="120"/>
              <w:jc w:val="right"/>
            </w:pPr>
            <w:r w:rsidRPr="00C428DD">
              <w:rPr>
                <w:color w:val="000000"/>
              </w:rPr>
              <w:t xml:space="preserve">               67.9 </w:t>
            </w:r>
          </w:p>
        </w:tc>
      </w:tr>
      <w:tr w:rsidR="007F6887" w:rsidRPr="00C428DD" w:rsidTr="00234DCF">
        <w:trPr>
          <w:gridAfter w:val="1"/>
          <w:trHeight w:val="20"/>
        </w:trPr>
        <w:tc>
          <w:tcPr>
            <w:tcW w:w="0" w:type="auto"/>
            <w:tcBorders>
              <w:right w:val="single" w:sz="4" w:space="0" w:color="FFFFFF"/>
            </w:tcBorders>
            <w:shd w:val="clear" w:color="auto" w:fill="auto"/>
            <w:noWrap/>
            <w:vAlign w:val="bottom"/>
            <w:hideMark/>
          </w:tcPr>
          <w:p w:rsidR="007F6887" w:rsidRPr="00C428DD" w:rsidRDefault="007F6887" w:rsidP="00234DCF">
            <w:pPr>
              <w:spacing w:before="120"/>
              <w:rPr>
                <w:i/>
                <w:iCs/>
              </w:rPr>
            </w:pPr>
            <w:r w:rsidRPr="00C428DD">
              <w:rPr>
                <w:i/>
                <w:iCs/>
              </w:rPr>
              <w:t>Nota: No todas las UBP están relacionadas con alguna ODS</w:t>
            </w:r>
          </w:p>
        </w:tc>
        <w:tc>
          <w:tcPr>
            <w:tcW w:w="0" w:type="auto"/>
            <w:tcBorders>
              <w:left w:val="single" w:sz="4" w:space="0" w:color="FFFFFF"/>
            </w:tcBorders>
            <w:shd w:val="clear" w:color="auto" w:fill="auto"/>
            <w:noWrap/>
            <w:vAlign w:val="bottom"/>
            <w:hideMark/>
          </w:tcPr>
          <w:p w:rsidR="007F6887" w:rsidRPr="00C428DD" w:rsidRDefault="007F6887" w:rsidP="00234DCF">
            <w:pPr>
              <w:spacing w:before="120"/>
              <w:rPr>
                <w:i/>
                <w:iCs/>
              </w:rPr>
            </w:pPr>
          </w:p>
        </w:tc>
      </w:tr>
    </w:tbl>
    <w:p w:rsidR="007F6887" w:rsidRPr="00233E4D" w:rsidRDefault="007F6887" w:rsidP="007F6887">
      <w:pPr>
        <w:spacing w:before="100" w:beforeAutospacing="1" w:after="100" w:afterAutospacing="1"/>
        <w:rPr>
          <w:rFonts w:cs="Arial"/>
          <w:b/>
          <w:i/>
        </w:rPr>
      </w:pPr>
      <w:r w:rsidRPr="00233E4D">
        <w:rPr>
          <w:rFonts w:cs="Arial"/>
          <w:b/>
          <w:i/>
        </w:rPr>
        <w:lastRenderedPageBreak/>
        <w:t>1.2.2</w:t>
      </w:r>
      <w:r w:rsidRPr="00233E4D">
        <w:rPr>
          <w:rFonts w:cs="Arial"/>
          <w:b/>
          <w:i/>
        </w:rPr>
        <w:tab/>
        <w:t>Programas y Proyectos de Inversión</w:t>
      </w:r>
    </w:p>
    <w:p w:rsidR="007F6887" w:rsidRPr="00233E4D" w:rsidRDefault="007F6887" w:rsidP="007F6887">
      <w:pPr>
        <w:spacing w:before="100" w:beforeAutospacing="1" w:after="100" w:afterAutospacing="1"/>
        <w:rPr>
          <w:rFonts w:cs="Arial"/>
        </w:rPr>
      </w:pPr>
      <w:r w:rsidRPr="00233E4D">
        <w:rPr>
          <w:rFonts w:cs="Arial"/>
        </w:rPr>
        <w:t xml:space="preserve">Los proyectos presupuestados cuentan con registro en la Cartera de Inversión Estatal que garantiza su viabilidad socioeconómica y respaldo de los recursos. En 2021, la inversión pública disminuye casi un 80% respecto al año anterior. Los tipos de infraestructura con mayor asignación presupuestal son Vivienda y Educativa. Los estudios, programas   y proyectos de inversión derivan en 41 proyectos particulares con un monto presupuestado de 693 </w:t>
      </w:r>
      <w:proofErr w:type="spellStart"/>
      <w:r w:rsidRPr="00233E4D">
        <w:rPr>
          <w:rFonts w:cs="Arial"/>
        </w:rPr>
        <w:t>mdp</w:t>
      </w:r>
      <w:proofErr w:type="spellEnd"/>
      <w:r w:rsidRPr="00233E4D">
        <w:rPr>
          <w:rFonts w:cs="Arial"/>
        </w:rPr>
        <w:t>.</w:t>
      </w:r>
    </w:p>
    <w:p w:rsidR="007F6887" w:rsidRDefault="007F6887" w:rsidP="007F6887">
      <w:pPr>
        <w:spacing w:before="120"/>
        <w:rPr>
          <w:color w:val="002060"/>
        </w:rPr>
      </w:pPr>
    </w:p>
    <w:p w:rsidR="007F6887" w:rsidRDefault="007F6887" w:rsidP="007F6887">
      <w:pPr>
        <w:spacing w:before="120"/>
        <w:rPr>
          <w:color w:val="002060"/>
        </w:rPr>
      </w:pPr>
    </w:p>
    <w:p w:rsidR="007F6887" w:rsidRPr="004D5D60" w:rsidRDefault="007F6887" w:rsidP="007F6887">
      <w:pPr>
        <w:spacing w:before="120"/>
        <w:rPr>
          <w:color w:val="002060"/>
        </w:rPr>
      </w:pPr>
    </w:p>
    <w:p w:rsidR="007F6887" w:rsidRPr="004D5D60" w:rsidRDefault="00D5198F" w:rsidP="007F6887">
      <w:pPr>
        <w:spacing w:before="120"/>
      </w:pPr>
      <w:r w:rsidRPr="00D5198F">
        <w:rPr>
          <w:rFonts w:asciiTheme="minorHAnsi" w:hAnsiTheme="minorHAnsi"/>
          <w:noProof/>
          <w:lang w:eastAsia="es-MX"/>
        </w:rPr>
        <w:pict>
          <v:rect id="Rectángulo 11" o:spid="_x0000_s1092" style="position:absolute;left:0;text-align:left;margin-left:97.3pt;margin-top:.15pt;width:353.45pt;height:47.05pt;z-index:-251620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" fillcolor="#0e1d55" stroked="f" strokeweight="1pt">
            <v:path arrowok="t"/>
          </v:rect>
        </w:pict>
      </w:r>
      <w:r w:rsidRPr="00D5198F">
        <w:rPr>
          <w:rFonts w:asciiTheme="minorHAnsi" w:hAnsiTheme="minorHAnsi"/>
          <w:noProof/>
          <w:lang w:eastAsia="es-MX"/>
        </w:rPr>
        <w:pict>
          <v:shape id="Cuadro de texto 10" o:spid="_x0000_s1041" type="#_x0000_t202" style="position:absolute;left:0;text-align:left;margin-left:100.1pt;margin-top:10.45pt;width:341.3pt;height:44.5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" filled="f" stroked="f" strokeweight=".5pt">
            <v:path arrowok="t"/>
            <v:textbox style="mso-next-textbox:#Cuadro de texto 10">
              <w:txbxContent>
                <w:p w:rsidR="00923562" w:rsidRPr="00C428DD" w:rsidRDefault="00923562" w:rsidP="007F6887">
                  <w:pPr>
                    <w:rPr>
                      <w:rFonts w:ascii="Barlow SemiBold" w:hAnsi="Barlow SemiBold"/>
                      <w:b/>
                      <w:color w:val="FFFFFF"/>
                    </w:rPr>
                  </w:pPr>
                  <w:r w:rsidRPr="00C428DD">
                    <w:rPr>
                      <w:rFonts w:ascii="Barlow SemiBold" w:hAnsi="Barlow SemiBold"/>
                      <w:b/>
                      <w:color w:val="FFFFFF"/>
                    </w:rPr>
                    <w:t>Distribución de la Inversión Pública por Tipo de Infraestructura</w:t>
                  </w:r>
                </w:p>
                <w:p w:rsidR="00923562" w:rsidRPr="00C428DD" w:rsidRDefault="00923562" w:rsidP="007F6887">
                  <w:pPr>
                    <w:rPr>
                      <w:rFonts w:ascii="Barlow SemiBold" w:hAnsi="Barlow SemiBold"/>
                      <w:b/>
                      <w:color w:val="FFFFFF"/>
                      <w:sz w:val="28"/>
                      <w:szCs w:val="28"/>
                    </w:rPr>
                  </w:pPr>
                </w:p>
              </w:txbxContent>
            </v:textbox>
          </v:shape>
        </w:pict>
      </w:r>
      <w:r w:rsidRPr="00D5198F">
        <w:rPr>
          <w:rFonts w:asciiTheme="minorHAnsi" w:hAnsiTheme="minorHAnsi"/>
          <w:noProof/>
          <w:lang w:eastAsia="es-MX"/>
        </w:rPr>
        <w:pict>
          <v:shape id="Cuadro de texto 6" o:spid="_x0000_s1042" type="#_x0000_t202" style="position:absolute;left:0;text-align:left;margin-left:2pt;margin-top:11.05pt;width:105pt;height:37.95pt;z-index:2516992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" filled="f" stroked="f" strokeweight=".5pt">
            <v:path arrowok="t"/>
            <v:textbox style="mso-next-textbox:#Cuadro de texto 6">
              <w:txbxContent>
                <w:p w:rsidR="00923562" w:rsidRPr="00855B3E" w:rsidRDefault="00923562" w:rsidP="007F6887">
                  <w:pPr>
                    <w:rPr>
                      <w:b/>
                      <w:bCs/>
                      <w:color w:val="002060"/>
                      <w:lang w:val="es-ES"/>
                    </w:rPr>
                  </w:pPr>
                  <w:r w:rsidRPr="00855B3E">
                    <w:rPr>
                      <w:b/>
                      <w:bCs/>
                      <w:color w:val="002060"/>
                      <w:lang w:val="es-ES"/>
                    </w:rPr>
                    <w:t xml:space="preserve">GRÁFICO </w:t>
                  </w:r>
                  <w:r>
                    <w:rPr>
                      <w:b/>
                      <w:bCs/>
                      <w:color w:val="002060"/>
                      <w:lang w:val="es-ES"/>
                    </w:rPr>
                    <w:t>1</w:t>
                  </w:r>
                  <w:r w:rsidRPr="00855B3E">
                    <w:rPr>
                      <w:b/>
                      <w:bCs/>
                      <w:color w:val="002060"/>
                      <w:lang w:val="es-ES"/>
                    </w:rPr>
                    <w:t>.6</w:t>
                  </w:r>
                </w:p>
              </w:txbxContent>
            </v:textbox>
          </v:shape>
        </w:pict>
      </w:r>
      <w:r w:rsidRPr="00D5198F">
        <w:rPr>
          <w:rFonts w:asciiTheme="minorHAnsi" w:hAnsiTheme="minorHAnsi"/>
          <w:noProof/>
          <w:lang w:eastAsia="es-MX"/>
        </w:rPr>
        <w:pict>
          <v:rect id="Rectángulo 5" o:spid="_x0000_s1091" style="position:absolute;left:0;text-align:left;margin-left:2.6pt;margin-top:0;width:88.15pt;height:47.05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" fillcolor="#ffc000" stroked="f" strokeweight="1pt">
            <v:path arrowok="t"/>
          </v:rect>
        </w:pict>
      </w:r>
    </w:p>
    <w:p w:rsidR="007F6887" w:rsidRPr="004D5D60" w:rsidRDefault="007F6887" w:rsidP="007F6887">
      <w:pPr>
        <w:spacing w:before="120"/>
      </w:pPr>
    </w:p>
    <w:p w:rsidR="007F6887" w:rsidRPr="004D5D60" w:rsidRDefault="007F6887" w:rsidP="007F6887">
      <w:pPr>
        <w:spacing w:before="120"/>
        <w:rPr>
          <w:color w:val="002060"/>
        </w:rPr>
      </w:pPr>
    </w:p>
    <w:p w:rsidR="007F6887" w:rsidRDefault="007F6887" w:rsidP="007F6887">
      <w:pPr>
        <w:spacing w:before="120"/>
        <w:rPr>
          <w:color w:val="002060"/>
        </w:rPr>
      </w:pPr>
      <w:r>
        <w:rPr>
          <w:noProof/>
          <w:lang w:eastAsia="es-MX"/>
        </w:rPr>
        <w:drawing>
          <wp:inline distT="0" distB="0" distL="0" distR="0">
            <wp:extent cx="5667375" cy="3902075"/>
            <wp:effectExtent l="19050" t="0" r="9525" b="0"/>
            <wp:docPr id="16" name="Chart 1"/>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
                    <pic:cNvPicPr>
                      <a:picLocks noGrp="1" noSelect="1" noRot="1" noChangeAspect="1" noMove="1" noResize="1" noEditPoints="1" noChangeArrowheads="1"/>
                    </pic:cNvPicPr>
                  </pic:nvPicPr>
                  <pic:blipFill>
                    <a:blip r:embed="rId19" cstate="print"/>
                    <a:srcRect/>
                    <a:stretch>
                      <a:fillRect/>
                    </a:stretch>
                  </pic:blipFill>
                  <pic:spPr bwMode="auto">
                    <a:xfrm>
                      <a:off x="0" y="0"/>
                      <a:ext cx="5667375" cy="3902075"/>
                    </a:xfrm>
                    <a:prstGeom prst="rect">
                      <a:avLst/>
                    </a:prstGeom>
                    <a:noFill/>
                    <a:ln w="9525">
                      <a:noFill/>
                      <a:miter lim="800000"/>
                      <a:headEnd/>
                      <a:tailEnd/>
                    </a:ln>
                  </pic:spPr>
                </pic:pic>
              </a:graphicData>
            </a:graphic>
          </wp:inline>
        </w:drawing>
      </w:r>
    </w:p>
    <w:p w:rsidR="007F6887" w:rsidRDefault="007F6887" w:rsidP="007F6887">
      <w:pPr>
        <w:spacing w:before="100" w:beforeAutospacing="1" w:after="100" w:afterAutospacing="1"/>
        <w:rPr>
          <w:color w:val="002060"/>
        </w:rPr>
      </w:pPr>
    </w:p>
    <w:p w:rsidR="007F6887" w:rsidRPr="00233E4D" w:rsidRDefault="007F6887" w:rsidP="007F6887">
      <w:pPr>
        <w:spacing w:before="100" w:beforeAutospacing="1" w:after="100" w:afterAutospacing="1"/>
        <w:rPr>
          <w:rFonts w:cs="Arial"/>
          <w:b/>
          <w:i/>
        </w:rPr>
      </w:pPr>
      <w:r w:rsidRPr="00233E4D">
        <w:rPr>
          <w:rFonts w:cs="Arial"/>
          <w:b/>
          <w:i/>
        </w:rPr>
        <w:lastRenderedPageBreak/>
        <w:t>1.2.3</w:t>
      </w:r>
      <w:r w:rsidRPr="00233E4D">
        <w:rPr>
          <w:rFonts w:cs="Arial"/>
          <w:b/>
          <w:i/>
        </w:rPr>
        <w:tab/>
        <w:t>Proyección de Gasto 2021-2026</w:t>
      </w:r>
    </w:p>
    <w:p w:rsidR="007F6887" w:rsidRPr="00233E4D" w:rsidRDefault="007F6887" w:rsidP="007F6887">
      <w:pPr>
        <w:spacing w:before="100" w:beforeAutospacing="1" w:after="100" w:afterAutospacing="1"/>
        <w:rPr>
          <w:rFonts w:cs="Arial"/>
        </w:rPr>
      </w:pPr>
      <w:r w:rsidRPr="00233E4D">
        <w:rPr>
          <w:rFonts w:cs="Arial"/>
        </w:rPr>
        <w:t>En esta sección se presenta la proyección de gasto para los próximos cinco años que incorpora el ajuste de gasto realizado y necesario para cumplir con los objetivos de desarrollo sustentable.</w:t>
      </w:r>
    </w:p>
    <w:p w:rsidR="007F6887" w:rsidRPr="00E35302" w:rsidRDefault="007F6887" w:rsidP="007F6887">
      <w:pPr>
        <w:spacing w:before="100" w:beforeAutospacing="1" w:after="100" w:afterAutospacing="1"/>
        <w:rPr>
          <w:rFonts w:cs="Arial"/>
        </w:rPr>
      </w:pPr>
      <w:r w:rsidRPr="00233E4D">
        <w:rPr>
          <w:rFonts w:cs="Arial"/>
        </w:rPr>
        <w:t>Los resultados de egresos de los ejercicios 2015 a 2019 y la estimación de cierre 2020 se puede consultar en el anexo 16 del Presupuesto de Egresos del Gobierno del Estado de Yucatán para el Ejercicio Fiscal 2021, al igual que la proyección de 2021 a 2026 que igualmente se muestra a continuación.</w:t>
      </w:r>
    </w:p>
    <w:tbl>
      <w:tblPr>
        <w:tblW w:w="9067" w:type="dxa"/>
        <w:tblCellMar>
          <w:left w:w="70" w:type="dxa"/>
          <w:right w:w="70" w:type="dxa"/>
        </w:tblCellMar>
        <w:tblLook w:val="04A0"/>
      </w:tblPr>
      <w:tblGrid>
        <w:gridCol w:w="3539"/>
        <w:gridCol w:w="992"/>
        <w:gridCol w:w="851"/>
        <w:gridCol w:w="952"/>
        <w:gridCol w:w="891"/>
        <w:gridCol w:w="850"/>
        <w:gridCol w:w="992"/>
      </w:tblGrid>
      <w:tr w:rsidR="007F6887" w:rsidRPr="00C428DD" w:rsidTr="00234DCF">
        <w:trPr>
          <w:trHeight w:val="20"/>
        </w:trPr>
        <w:tc>
          <w:tcPr>
            <w:tcW w:w="3539" w:type="dxa"/>
            <w:tcBorders>
              <w:top w:val="single" w:sz="4" w:space="0" w:color="000000"/>
              <w:left w:val="single" w:sz="4" w:space="0" w:color="000000"/>
              <w:bottom w:val="single" w:sz="8" w:space="0" w:color="000000"/>
              <w:right w:val="single" w:sz="8" w:space="0" w:color="000000"/>
            </w:tcBorders>
            <w:shd w:val="clear" w:color="000000" w:fill="FFC000"/>
            <w:noWrap/>
            <w:vAlign w:val="center"/>
            <w:hideMark/>
          </w:tcPr>
          <w:p w:rsidR="007F6887" w:rsidRPr="00471439" w:rsidRDefault="007F6887" w:rsidP="00234DCF">
            <w:pPr>
              <w:spacing w:before="120"/>
              <w:rPr>
                <w:rFonts w:eastAsia="Times New Roman"/>
                <w:b/>
                <w:bCs/>
                <w:color w:val="000000"/>
                <w:sz w:val="16"/>
                <w:szCs w:val="16"/>
                <w:lang w:eastAsia="es-MX"/>
              </w:rPr>
            </w:pPr>
            <w:r w:rsidRPr="00471439">
              <w:rPr>
                <w:rFonts w:eastAsia="Times New Roman"/>
                <w:b/>
                <w:bCs/>
                <w:color w:val="000000"/>
                <w:sz w:val="16"/>
                <w:szCs w:val="16"/>
                <w:lang w:eastAsia="es-MX"/>
              </w:rPr>
              <w:t xml:space="preserve">TABLA </w:t>
            </w:r>
            <w:r>
              <w:rPr>
                <w:rFonts w:eastAsia="Times New Roman"/>
                <w:b/>
                <w:bCs/>
                <w:color w:val="000000"/>
                <w:sz w:val="16"/>
                <w:szCs w:val="16"/>
                <w:lang w:eastAsia="es-MX"/>
              </w:rPr>
              <w:t>1</w:t>
            </w:r>
            <w:r w:rsidRPr="00471439">
              <w:rPr>
                <w:rFonts w:eastAsia="Times New Roman"/>
                <w:b/>
                <w:bCs/>
                <w:color w:val="000000"/>
                <w:sz w:val="16"/>
                <w:szCs w:val="16"/>
                <w:lang w:eastAsia="es-MX"/>
              </w:rPr>
              <w:t>.5</w:t>
            </w:r>
            <w:r w:rsidRPr="00471439">
              <w:rPr>
                <w:rFonts w:eastAsia="Times New Roman"/>
                <w:color w:val="000000"/>
                <w:sz w:val="16"/>
                <w:szCs w:val="16"/>
                <w:lang w:eastAsia="es-MX"/>
              </w:rPr>
              <w:t> </w:t>
            </w:r>
          </w:p>
        </w:tc>
        <w:tc>
          <w:tcPr>
            <w:tcW w:w="5528" w:type="dxa"/>
            <w:gridSpan w:val="6"/>
            <w:tcBorders>
              <w:top w:val="single" w:sz="4" w:space="0" w:color="000000"/>
              <w:left w:val="nil"/>
              <w:bottom w:val="single" w:sz="8" w:space="0" w:color="000000"/>
              <w:right w:val="single" w:sz="4" w:space="0" w:color="000000"/>
            </w:tcBorders>
            <w:shd w:val="clear" w:color="000000" w:fill="0E1D55"/>
            <w:vAlign w:val="center"/>
            <w:hideMark/>
          </w:tcPr>
          <w:p w:rsidR="007F6887" w:rsidRPr="00471439" w:rsidRDefault="007F6887" w:rsidP="00234DCF">
            <w:pPr>
              <w:spacing w:before="120"/>
              <w:rPr>
                <w:rFonts w:eastAsia="Times New Roman"/>
                <w:b/>
                <w:bCs/>
                <w:color w:val="FFFFFF"/>
                <w:sz w:val="16"/>
                <w:szCs w:val="16"/>
                <w:lang w:eastAsia="es-MX"/>
              </w:rPr>
            </w:pPr>
            <w:r w:rsidRPr="00471439">
              <w:rPr>
                <w:rFonts w:eastAsia="Times New Roman"/>
                <w:b/>
                <w:bCs/>
                <w:color w:val="FFFFFF"/>
                <w:sz w:val="16"/>
                <w:szCs w:val="16"/>
                <w:lang w:eastAsia="es-MX"/>
              </w:rPr>
              <w:t>Proyecciones de egresos</w:t>
            </w:r>
          </w:p>
        </w:tc>
      </w:tr>
      <w:tr w:rsidR="007F6887" w:rsidRPr="00C428DD" w:rsidTr="00234DCF">
        <w:trPr>
          <w:trHeight w:val="20"/>
        </w:trPr>
        <w:tc>
          <w:tcPr>
            <w:tcW w:w="3539" w:type="dxa"/>
            <w:tcBorders>
              <w:top w:val="nil"/>
              <w:left w:val="single" w:sz="4" w:space="0" w:color="000000"/>
              <w:bottom w:val="single" w:sz="8" w:space="0" w:color="000000"/>
              <w:right w:val="single" w:sz="8" w:space="0" w:color="000000"/>
            </w:tcBorders>
            <w:shd w:val="clear" w:color="000000" w:fill="1A98C0"/>
            <w:noWrap/>
            <w:vAlign w:val="center"/>
            <w:hideMark/>
          </w:tcPr>
          <w:p w:rsidR="007F6887" w:rsidRPr="00471439" w:rsidRDefault="007F6887" w:rsidP="00234DCF">
            <w:pPr>
              <w:spacing w:before="120"/>
              <w:rPr>
                <w:rFonts w:eastAsia="Times New Roman"/>
                <w:b/>
                <w:bCs/>
                <w:color w:val="FFFFFF"/>
                <w:sz w:val="16"/>
                <w:szCs w:val="16"/>
                <w:lang w:eastAsia="es-MX"/>
              </w:rPr>
            </w:pPr>
            <w:r w:rsidRPr="00471439">
              <w:rPr>
                <w:rFonts w:eastAsia="Times New Roman"/>
                <w:b/>
                <w:bCs/>
                <w:color w:val="FFFFFF"/>
                <w:sz w:val="16"/>
                <w:szCs w:val="16"/>
                <w:lang w:eastAsia="es-MX"/>
              </w:rPr>
              <w:t>Concepto</w:t>
            </w:r>
            <w:r w:rsidRPr="00471439">
              <w:rPr>
                <w:rFonts w:eastAsia="Times New Roman"/>
                <w:color w:val="FFFFFF"/>
                <w:sz w:val="16"/>
                <w:szCs w:val="16"/>
                <w:lang w:eastAsia="es-MX"/>
              </w:rPr>
              <w:t> </w:t>
            </w:r>
          </w:p>
        </w:tc>
        <w:tc>
          <w:tcPr>
            <w:tcW w:w="992" w:type="dxa"/>
            <w:tcBorders>
              <w:top w:val="nil"/>
              <w:left w:val="nil"/>
              <w:bottom w:val="single" w:sz="8" w:space="0" w:color="000000"/>
              <w:right w:val="single" w:sz="8" w:space="0" w:color="000000"/>
            </w:tcBorders>
            <w:shd w:val="clear" w:color="000000" w:fill="1A98C0"/>
            <w:vAlign w:val="center"/>
            <w:hideMark/>
          </w:tcPr>
          <w:p w:rsidR="007F6887" w:rsidRPr="00471439" w:rsidRDefault="007F6887" w:rsidP="00234DCF">
            <w:pPr>
              <w:spacing w:before="120"/>
              <w:jc w:val="center"/>
              <w:rPr>
                <w:rFonts w:eastAsia="Times New Roman"/>
                <w:b/>
                <w:bCs/>
                <w:color w:val="FFFFFF"/>
                <w:sz w:val="16"/>
                <w:szCs w:val="16"/>
                <w:lang w:eastAsia="es-MX"/>
              </w:rPr>
            </w:pPr>
            <w:r w:rsidRPr="00471439">
              <w:rPr>
                <w:rFonts w:eastAsia="Times New Roman"/>
                <w:b/>
                <w:bCs/>
                <w:color w:val="FFFFFF"/>
                <w:sz w:val="16"/>
                <w:szCs w:val="16"/>
                <w:lang w:eastAsia="es-MX"/>
              </w:rPr>
              <w:t>2021e</w:t>
            </w:r>
            <w:r w:rsidRPr="00471439">
              <w:rPr>
                <w:rFonts w:eastAsia="Times New Roman"/>
                <w:color w:val="FFFFFF"/>
                <w:sz w:val="16"/>
                <w:szCs w:val="16"/>
                <w:lang w:eastAsia="es-MX"/>
              </w:rPr>
              <w:t> </w:t>
            </w:r>
          </w:p>
        </w:tc>
        <w:tc>
          <w:tcPr>
            <w:tcW w:w="851" w:type="dxa"/>
            <w:tcBorders>
              <w:top w:val="nil"/>
              <w:left w:val="nil"/>
              <w:bottom w:val="single" w:sz="8" w:space="0" w:color="000000"/>
              <w:right w:val="single" w:sz="8" w:space="0" w:color="000000"/>
            </w:tcBorders>
            <w:shd w:val="clear" w:color="000000" w:fill="1A98C0"/>
            <w:vAlign w:val="center"/>
            <w:hideMark/>
          </w:tcPr>
          <w:p w:rsidR="007F6887" w:rsidRPr="00471439" w:rsidRDefault="007F6887" w:rsidP="00234DCF">
            <w:pPr>
              <w:spacing w:before="120"/>
              <w:jc w:val="center"/>
              <w:rPr>
                <w:rFonts w:eastAsia="Times New Roman"/>
                <w:b/>
                <w:bCs/>
                <w:color w:val="FFFFFF"/>
                <w:sz w:val="16"/>
                <w:szCs w:val="16"/>
                <w:lang w:eastAsia="es-MX"/>
              </w:rPr>
            </w:pPr>
            <w:r w:rsidRPr="00471439">
              <w:rPr>
                <w:rFonts w:eastAsia="Times New Roman"/>
                <w:b/>
                <w:bCs/>
                <w:color w:val="FFFFFF"/>
                <w:sz w:val="16"/>
                <w:szCs w:val="16"/>
                <w:lang w:eastAsia="es-MX"/>
              </w:rPr>
              <w:t>2022e</w:t>
            </w:r>
            <w:r w:rsidRPr="00471439">
              <w:rPr>
                <w:rFonts w:eastAsia="Times New Roman"/>
                <w:color w:val="FFFFFF"/>
                <w:sz w:val="16"/>
                <w:szCs w:val="16"/>
                <w:lang w:eastAsia="es-MX"/>
              </w:rPr>
              <w:t> </w:t>
            </w:r>
          </w:p>
        </w:tc>
        <w:tc>
          <w:tcPr>
            <w:tcW w:w="952" w:type="dxa"/>
            <w:tcBorders>
              <w:top w:val="nil"/>
              <w:left w:val="nil"/>
              <w:bottom w:val="single" w:sz="8" w:space="0" w:color="000000"/>
              <w:right w:val="single" w:sz="8" w:space="0" w:color="000000"/>
            </w:tcBorders>
            <w:shd w:val="clear" w:color="000000" w:fill="1A98C0"/>
            <w:vAlign w:val="center"/>
            <w:hideMark/>
          </w:tcPr>
          <w:p w:rsidR="007F6887" w:rsidRPr="00471439" w:rsidRDefault="007F6887" w:rsidP="00234DCF">
            <w:pPr>
              <w:spacing w:before="120"/>
              <w:jc w:val="center"/>
              <w:rPr>
                <w:rFonts w:eastAsia="Times New Roman"/>
                <w:b/>
                <w:bCs/>
                <w:color w:val="FFFFFF"/>
                <w:sz w:val="16"/>
                <w:szCs w:val="16"/>
                <w:lang w:eastAsia="es-MX"/>
              </w:rPr>
            </w:pPr>
            <w:r w:rsidRPr="00471439">
              <w:rPr>
                <w:rFonts w:eastAsia="Times New Roman"/>
                <w:b/>
                <w:bCs/>
                <w:color w:val="FFFFFF"/>
                <w:sz w:val="16"/>
                <w:szCs w:val="16"/>
                <w:lang w:eastAsia="es-MX"/>
              </w:rPr>
              <w:t>2023e</w:t>
            </w:r>
            <w:r w:rsidRPr="00471439">
              <w:rPr>
                <w:rFonts w:eastAsia="Times New Roman"/>
                <w:color w:val="FFFFFF"/>
                <w:sz w:val="16"/>
                <w:szCs w:val="16"/>
                <w:lang w:eastAsia="es-MX"/>
              </w:rPr>
              <w:t> </w:t>
            </w:r>
          </w:p>
        </w:tc>
        <w:tc>
          <w:tcPr>
            <w:tcW w:w="891" w:type="dxa"/>
            <w:tcBorders>
              <w:top w:val="nil"/>
              <w:left w:val="nil"/>
              <w:bottom w:val="single" w:sz="8" w:space="0" w:color="000000"/>
              <w:right w:val="single" w:sz="8" w:space="0" w:color="000000"/>
            </w:tcBorders>
            <w:shd w:val="clear" w:color="000000" w:fill="1A98C0"/>
            <w:vAlign w:val="center"/>
            <w:hideMark/>
          </w:tcPr>
          <w:p w:rsidR="007F6887" w:rsidRPr="00471439" w:rsidRDefault="007F6887" w:rsidP="00234DCF">
            <w:pPr>
              <w:spacing w:before="120"/>
              <w:jc w:val="center"/>
              <w:rPr>
                <w:rFonts w:eastAsia="Times New Roman"/>
                <w:b/>
                <w:bCs/>
                <w:color w:val="FFFFFF"/>
                <w:sz w:val="16"/>
                <w:szCs w:val="16"/>
                <w:lang w:eastAsia="es-MX"/>
              </w:rPr>
            </w:pPr>
            <w:r w:rsidRPr="00471439">
              <w:rPr>
                <w:rFonts w:eastAsia="Times New Roman"/>
                <w:b/>
                <w:bCs/>
                <w:color w:val="FFFFFF"/>
                <w:sz w:val="16"/>
                <w:szCs w:val="16"/>
                <w:lang w:eastAsia="es-MX"/>
              </w:rPr>
              <w:t>2024e</w:t>
            </w:r>
            <w:r w:rsidRPr="00471439">
              <w:rPr>
                <w:rFonts w:eastAsia="Times New Roman"/>
                <w:color w:val="FFFFFF"/>
                <w:sz w:val="16"/>
                <w:szCs w:val="16"/>
                <w:lang w:eastAsia="es-MX"/>
              </w:rPr>
              <w:t> </w:t>
            </w:r>
          </w:p>
        </w:tc>
        <w:tc>
          <w:tcPr>
            <w:tcW w:w="850" w:type="dxa"/>
            <w:tcBorders>
              <w:top w:val="nil"/>
              <w:left w:val="nil"/>
              <w:bottom w:val="single" w:sz="8" w:space="0" w:color="000000"/>
              <w:right w:val="single" w:sz="8" w:space="0" w:color="000000"/>
            </w:tcBorders>
            <w:shd w:val="clear" w:color="000000" w:fill="1A98C0"/>
            <w:vAlign w:val="center"/>
            <w:hideMark/>
          </w:tcPr>
          <w:p w:rsidR="007F6887" w:rsidRPr="00471439" w:rsidRDefault="007F6887" w:rsidP="00234DCF">
            <w:pPr>
              <w:spacing w:before="120"/>
              <w:jc w:val="center"/>
              <w:rPr>
                <w:rFonts w:eastAsia="Times New Roman"/>
                <w:b/>
                <w:bCs/>
                <w:color w:val="FFFFFF"/>
                <w:sz w:val="16"/>
                <w:szCs w:val="16"/>
                <w:lang w:eastAsia="es-MX"/>
              </w:rPr>
            </w:pPr>
            <w:r w:rsidRPr="00471439">
              <w:rPr>
                <w:rFonts w:eastAsia="Times New Roman"/>
                <w:b/>
                <w:bCs/>
                <w:color w:val="FFFFFF"/>
                <w:sz w:val="16"/>
                <w:szCs w:val="16"/>
                <w:lang w:eastAsia="es-MX"/>
              </w:rPr>
              <w:t>2025e</w:t>
            </w:r>
            <w:r w:rsidRPr="00471439">
              <w:rPr>
                <w:rFonts w:eastAsia="Times New Roman"/>
                <w:color w:val="FFFFFF"/>
                <w:sz w:val="16"/>
                <w:szCs w:val="16"/>
                <w:lang w:eastAsia="es-MX"/>
              </w:rPr>
              <w:t> </w:t>
            </w:r>
          </w:p>
        </w:tc>
        <w:tc>
          <w:tcPr>
            <w:tcW w:w="992" w:type="dxa"/>
            <w:tcBorders>
              <w:top w:val="nil"/>
              <w:left w:val="nil"/>
              <w:bottom w:val="single" w:sz="8" w:space="0" w:color="000000"/>
              <w:right w:val="single" w:sz="4" w:space="0" w:color="000000"/>
            </w:tcBorders>
            <w:shd w:val="clear" w:color="000000" w:fill="1A98C0"/>
            <w:vAlign w:val="center"/>
            <w:hideMark/>
          </w:tcPr>
          <w:p w:rsidR="007F6887" w:rsidRPr="00471439" w:rsidRDefault="007F6887" w:rsidP="00234DCF">
            <w:pPr>
              <w:spacing w:before="120"/>
              <w:jc w:val="center"/>
              <w:rPr>
                <w:rFonts w:eastAsia="Times New Roman"/>
                <w:b/>
                <w:bCs/>
                <w:color w:val="FFFFFF"/>
                <w:sz w:val="16"/>
                <w:szCs w:val="16"/>
                <w:lang w:eastAsia="es-MX"/>
              </w:rPr>
            </w:pPr>
            <w:r w:rsidRPr="00471439">
              <w:rPr>
                <w:rFonts w:eastAsia="Times New Roman"/>
                <w:b/>
                <w:bCs/>
                <w:color w:val="FFFFFF"/>
                <w:sz w:val="16"/>
                <w:szCs w:val="16"/>
                <w:lang w:eastAsia="es-MX"/>
              </w:rPr>
              <w:t>2026e</w:t>
            </w:r>
            <w:r w:rsidRPr="00471439">
              <w:rPr>
                <w:rFonts w:eastAsia="Times New Roman"/>
                <w:color w:val="FFFFFF"/>
                <w:sz w:val="16"/>
                <w:szCs w:val="16"/>
                <w:lang w:eastAsia="es-MX"/>
              </w:rPr>
              <w:t> </w:t>
            </w:r>
          </w:p>
        </w:tc>
      </w:tr>
      <w:tr w:rsidR="007F6887" w:rsidRPr="00C428DD" w:rsidTr="00234DCF">
        <w:trPr>
          <w:trHeight w:val="20"/>
        </w:trPr>
        <w:tc>
          <w:tcPr>
            <w:tcW w:w="3539" w:type="dxa"/>
            <w:tcBorders>
              <w:top w:val="nil"/>
              <w:left w:val="single" w:sz="4" w:space="0" w:color="000000"/>
              <w:bottom w:val="single" w:sz="8" w:space="0" w:color="000000"/>
              <w:right w:val="single" w:sz="8" w:space="0" w:color="000000"/>
            </w:tcBorders>
            <w:shd w:val="clear" w:color="000000" w:fill="9BC3E7"/>
            <w:noWrap/>
            <w:vAlign w:val="center"/>
            <w:hideMark/>
          </w:tcPr>
          <w:p w:rsidR="007F6887" w:rsidRPr="00471439" w:rsidRDefault="007F6887" w:rsidP="00234DCF">
            <w:pPr>
              <w:spacing w:before="120"/>
              <w:jc w:val="center"/>
              <w:rPr>
                <w:rFonts w:eastAsia="Times New Roman"/>
                <w:b/>
                <w:bCs/>
                <w:color w:val="000000"/>
                <w:sz w:val="16"/>
                <w:szCs w:val="16"/>
                <w:lang w:eastAsia="es-MX"/>
              </w:rPr>
            </w:pPr>
            <w:r w:rsidRPr="00471439">
              <w:rPr>
                <w:rFonts w:eastAsia="Times New Roman"/>
                <w:b/>
                <w:bCs/>
                <w:color w:val="000000"/>
                <w:sz w:val="16"/>
                <w:szCs w:val="16"/>
                <w:lang w:eastAsia="es-MX"/>
              </w:rPr>
              <w:t>1. Gasto No Etiquetado (1=A+B+C+D+E+F+G+H+I)</w:t>
            </w:r>
            <w:r w:rsidRPr="00471439">
              <w:rPr>
                <w:rFonts w:eastAsia="Times New Roman"/>
                <w:color w:val="000000"/>
                <w:sz w:val="16"/>
                <w:szCs w:val="16"/>
                <w:lang w:eastAsia="es-MX"/>
              </w:rPr>
              <w:t> </w:t>
            </w:r>
          </w:p>
        </w:tc>
        <w:tc>
          <w:tcPr>
            <w:tcW w:w="992" w:type="dxa"/>
            <w:tcBorders>
              <w:top w:val="nil"/>
              <w:left w:val="nil"/>
              <w:bottom w:val="single" w:sz="8"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22,029.6</w:t>
            </w:r>
          </w:p>
        </w:tc>
        <w:tc>
          <w:tcPr>
            <w:tcW w:w="851" w:type="dxa"/>
            <w:tcBorders>
              <w:top w:val="nil"/>
              <w:left w:val="nil"/>
              <w:bottom w:val="single" w:sz="8"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24,403.7</w:t>
            </w:r>
          </w:p>
        </w:tc>
        <w:tc>
          <w:tcPr>
            <w:tcW w:w="952" w:type="dxa"/>
            <w:tcBorders>
              <w:top w:val="nil"/>
              <w:left w:val="nil"/>
              <w:bottom w:val="single" w:sz="8"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25,445.1</w:t>
            </w:r>
          </w:p>
        </w:tc>
        <w:tc>
          <w:tcPr>
            <w:tcW w:w="891" w:type="dxa"/>
            <w:tcBorders>
              <w:top w:val="nil"/>
              <w:left w:val="nil"/>
              <w:bottom w:val="single" w:sz="8"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27,603.2</w:t>
            </w:r>
          </w:p>
        </w:tc>
        <w:tc>
          <w:tcPr>
            <w:tcW w:w="850" w:type="dxa"/>
            <w:tcBorders>
              <w:top w:val="nil"/>
              <w:left w:val="nil"/>
              <w:bottom w:val="single" w:sz="8"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29,085.1</w:t>
            </w:r>
          </w:p>
        </w:tc>
        <w:tc>
          <w:tcPr>
            <w:tcW w:w="992" w:type="dxa"/>
            <w:tcBorders>
              <w:top w:val="nil"/>
              <w:left w:val="nil"/>
              <w:bottom w:val="single" w:sz="8"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30,804.3</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A. Servicios Personales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5,492.9</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5,827.4</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6,176.1</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6,545.8</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6,937.5</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7,352.8</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B. Materiales y Suministros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683.8</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725.4</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768.8</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814.8</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863.6</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915.3</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C. Servicios Generales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2,292.7</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2,432.3</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2,577.9</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2,732.2</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2,895.7</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3,069.0</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D. Transferencias, Asignaciones, Subsidios y Otras Ayudas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9,568.4</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10,150.9</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10,758.5</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11,402.4</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12,084.8</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12,808.1</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E. Bienes Muebles, Inmuebles e Intangibles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0.7</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0.7</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0.8</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0.8</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0.8</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0.9</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F. Inversión Pública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0.0</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957.4</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652.7</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1,455.4</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1,476.6</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1,613.0</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G. Inversiones Financieras y Otras Provisiones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8.3</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8.8</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9.3</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9.9</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10.5</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11.1</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H. Participaciones y Aportaciones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3,658.1</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3,880.8</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4,113.0</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4,359.2</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4,620.1</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4,896.6</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I. Deuda Pública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324.8</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419.9</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388.0</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282.8</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195.4</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137.6</w:t>
            </w:r>
          </w:p>
        </w:tc>
      </w:tr>
      <w:tr w:rsidR="007F6887" w:rsidRPr="00C428DD" w:rsidTr="00234DCF">
        <w:trPr>
          <w:trHeight w:val="20"/>
        </w:trPr>
        <w:tc>
          <w:tcPr>
            <w:tcW w:w="3539" w:type="dxa"/>
            <w:tcBorders>
              <w:top w:val="single" w:sz="8" w:space="0" w:color="000000"/>
              <w:left w:val="single" w:sz="4" w:space="0" w:color="000000"/>
              <w:bottom w:val="single" w:sz="8" w:space="0" w:color="000000"/>
              <w:right w:val="single" w:sz="8" w:space="0" w:color="000000"/>
            </w:tcBorders>
            <w:shd w:val="clear" w:color="000000" w:fill="9BC3E7"/>
            <w:noWrap/>
            <w:vAlign w:val="center"/>
            <w:hideMark/>
          </w:tcPr>
          <w:p w:rsidR="007F6887" w:rsidRPr="00471439" w:rsidRDefault="007F6887" w:rsidP="00234DCF">
            <w:pPr>
              <w:spacing w:before="120"/>
              <w:jc w:val="center"/>
              <w:rPr>
                <w:rFonts w:eastAsia="Times New Roman"/>
                <w:b/>
                <w:bCs/>
                <w:color w:val="000000"/>
                <w:sz w:val="16"/>
                <w:szCs w:val="16"/>
                <w:lang w:eastAsia="es-MX"/>
              </w:rPr>
            </w:pPr>
            <w:r w:rsidRPr="00471439">
              <w:rPr>
                <w:rFonts w:eastAsia="Times New Roman"/>
                <w:b/>
                <w:bCs/>
                <w:color w:val="000000"/>
                <w:sz w:val="16"/>
                <w:szCs w:val="16"/>
                <w:lang w:eastAsia="es-MX"/>
              </w:rPr>
              <w:t>2. Gasto Etiquetado (2=A+B+C+D+E+F+G+H+I)</w:t>
            </w:r>
            <w:r w:rsidRPr="00471439">
              <w:rPr>
                <w:rFonts w:eastAsia="Times New Roman"/>
                <w:color w:val="000000"/>
                <w:sz w:val="16"/>
                <w:szCs w:val="16"/>
                <w:lang w:eastAsia="es-MX"/>
              </w:rPr>
              <w:t> </w:t>
            </w:r>
          </w:p>
        </w:tc>
        <w:tc>
          <w:tcPr>
            <w:tcW w:w="992" w:type="dxa"/>
            <w:tcBorders>
              <w:top w:val="single" w:sz="8" w:space="0" w:color="000000"/>
              <w:left w:val="nil"/>
              <w:bottom w:val="single" w:sz="8"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19,106.5</w:t>
            </w:r>
          </w:p>
        </w:tc>
        <w:tc>
          <w:tcPr>
            <w:tcW w:w="851" w:type="dxa"/>
            <w:tcBorders>
              <w:top w:val="single" w:sz="8" w:space="0" w:color="000000"/>
              <w:left w:val="nil"/>
              <w:bottom w:val="single" w:sz="8"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20,361.2</w:t>
            </w:r>
          </w:p>
        </w:tc>
        <w:tc>
          <w:tcPr>
            <w:tcW w:w="952" w:type="dxa"/>
            <w:tcBorders>
              <w:top w:val="single" w:sz="8" w:space="0" w:color="000000"/>
              <w:left w:val="nil"/>
              <w:bottom w:val="single" w:sz="8"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21,304.2</w:t>
            </w:r>
          </w:p>
        </w:tc>
        <w:tc>
          <w:tcPr>
            <w:tcW w:w="891" w:type="dxa"/>
            <w:tcBorders>
              <w:top w:val="single" w:sz="8" w:space="0" w:color="000000"/>
              <w:left w:val="nil"/>
              <w:bottom w:val="single" w:sz="8"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22,497.7</w:t>
            </w:r>
          </w:p>
        </w:tc>
        <w:tc>
          <w:tcPr>
            <w:tcW w:w="850" w:type="dxa"/>
            <w:tcBorders>
              <w:top w:val="single" w:sz="8" w:space="0" w:color="000000"/>
              <w:left w:val="nil"/>
              <w:bottom w:val="single" w:sz="8"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23,650.8</w:t>
            </w:r>
          </w:p>
        </w:tc>
        <w:tc>
          <w:tcPr>
            <w:tcW w:w="992" w:type="dxa"/>
            <w:tcBorders>
              <w:top w:val="single" w:sz="8" w:space="0" w:color="000000"/>
              <w:left w:val="nil"/>
              <w:bottom w:val="single" w:sz="8" w:space="0" w:color="000000"/>
              <w:right w:val="single" w:sz="4"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24,917.9</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A. Servicios Personales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7,621.2</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7,849.8</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8,085.3</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8,327.9</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8,577.7</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8,835.0</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B. Materiales y Suministros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87.1</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92.4</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98.0</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103.8</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110.1</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116.6</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C. Servicios Generales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373.6</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396.3</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420.0</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445.2</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471.8</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500.0</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D. Transferencias, Asignaciones, Subsidios y Otras Ayudas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6,948.1</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7,353.2</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7,781.9</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8,235.5</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8,715.7</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9,223.8</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E. Bienes Muebles, Inmuebles e Intangibles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2.7</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2.8</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2.9</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3.0</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3.1</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3.2</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F. Inversión Pública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112.5</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361.1</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599.0</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1,244.2</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1,763.4</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2,278.2</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G. Inversiones Financieras y Otras Provisiones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0.0</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0.0</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0.0</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0.0</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0.0</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0.0</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H. Participaciones y Aportaciones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3,103.3</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3,196.4</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3,292.3</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3,391.1</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3,492.8</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3,597.6</w:t>
            </w:r>
          </w:p>
        </w:tc>
      </w:tr>
      <w:tr w:rsidR="007F6887" w:rsidRPr="00C428DD" w:rsidTr="00234DCF">
        <w:trPr>
          <w:trHeight w:val="20"/>
        </w:trPr>
        <w:tc>
          <w:tcPr>
            <w:tcW w:w="3539" w:type="dxa"/>
            <w:tcBorders>
              <w:top w:val="nil"/>
              <w:left w:val="single" w:sz="4" w:space="0" w:color="000000"/>
              <w:bottom w:val="nil"/>
              <w:right w:val="nil"/>
            </w:tcBorders>
            <w:shd w:val="clear" w:color="auto" w:fill="auto"/>
            <w:noWrap/>
            <w:vAlign w:val="center"/>
            <w:hideMark/>
          </w:tcPr>
          <w:p w:rsidR="007F6887" w:rsidRPr="00471439" w:rsidRDefault="007F6887" w:rsidP="00234DCF">
            <w:pPr>
              <w:spacing w:before="120"/>
              <w:rPr>
                <w:rFonts w:eastAsia="Times New Roman"/>
                <w:color w:val="000000"/>
                <w:sz w:val="16"/>
                <w:szCs w:val="16"/>
                <w:lang w:eastAsia="es-MX"/>
              </w:rPr>
            </w:pPr>
            <w:r w:rsidRPr="00471439">
              <w:rPr>
                <w:rFonts w:eastAsia="Times New Roman"/>
                <w:color w:val="000000"/>
                <w:sz w:val="16"/>
                <w:szCs w:val="16"/>
                <w:lang w:eastAsia="es-MX"/>
              </w:rPr>
              <w:t>I. Deuda Pública </w:t>
            </w:r>
          </w:p>
        </w:tc>
        <w:tc>
          <w:tcPr>
            <w:tcW w:w="992"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857.9</w:t>
            </w:r>
          </w:p>
        </w:tc>
        <w:tc>
          <w:tcPr>
            <w:tcW w:w="851" w:type="dxa"/>
            <w:tcBorders>
              <w:top w:val="nil"/>
              <w:left w:val="nil"/>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1,109.2</w:t>
            </w:r>
          </w:p>
        </w:tc>
        <w:tc>
          <w:tcPr>
            <w:tcW w:w="952"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1,024.8</w:t>
            </w:r>
          </w:p>
        </w:tc>
        <w:tc>
          <w:tcPr>
            <w:tcW w:w="891" w:type="dxa"/>
            <w:tcBorders>
              <w:top w:val="nil"/>
              <w:left w:val="single" w:sz="8" w:space="0" w:color="000000"/>
              <w:bottom w:val="nil"/>
              <w:right w:val="single" w:sz="8"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747.0</w:t>
            </w:r>
          </w:p>
        </w:tc>
        <w:tc>
          <w:tcPr>
            <w:tcW w:w="850" w:type="dxa"/>
            <w:tcBorders>
              <w:top w:val="nil"/>
              <w:left w:val="nil"/>
              <w:bottom w:val="nil"/>
              <w:right w:val="nil"/>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516.3</w:t>
            </w:r>
          </w:p>
        </w:tc>
        <w:tc>
          <w:tcPr>
            <w:tcW w:w="992" w:type="dxa"/>
            <w:tcBorders>
              <w:top w:val="nil"/>
              <w:left w:val="single" w:sz="8" w:space="0" w:color="000000"/>
              <w:bottom w:val="nil"/>
              <w:right w:val="single" w:sz="4" w:space="0" w:color="000000"/>
            </w:tcBorders>
            <w:shd w:val="clear" w:color="auto" w:fill="auto"/>
            <w:vAlign w:val="center"/>
            <w:hideMark/>
          </w:tcPr>
          <w:p w:rsidR="007F6887" w:rsidRPr="00471439" w:rsidRDefault="007F6887" w:rsidP="00234DCF">
            <w:pPr>
              <w:spacing w:before="120"/>
              <w:jc w:val="right"/>
              <w:rPr>
                <w:rFonts w:eastAsia="Times New Roman"/>
                <w:color w:val="000000"/>
                <w:sz w:val="16"/>
                <w:szCs w:val="16"/>
                <w:lang w:eastAsia="es-MX"/>
              </w:rPr>
            </w:pPr>
            <w:r w:rsidRPr="00471439">
              <w:rPr>
                <w:rFonts w:eastAsia="Times New Roman"/>
                <w:color w:val="000000"/>
                <w:sz w:val="16"/>
                <w:szCs w:val="16"/>
                <w:lang w:eastAsia="es-MX"/>
              </w:rPr>
              <w:t>363.5</w:t>
            </w:r>
          </w:p>
        </w:tc>
      </w:tr>
      <w:tr w:rsidR="007F6887" w:rsidRPr="00C428DD" w:rsidTr="00234DCF">
        <w:trPr>
          <w:trHeight w:val="20"/>
        </w:trPr>
        <w:tc>
          <w:tcPr>
            <w:tcW w:w="3539" w:type="dxa"/>
            <w:tcBorders>
              <w:top w:val="single" w:sz="8" w:space="0" w:color="000000"/>
              <w:left w:val="single" w:sz="4" w:space="0" w:color="000000"/>
              <w:bottom w:val="single" w:sz="4" w:space="0" w:color="000000"/>
              <w:right w:val="single" w:sz="8" w:space="0" w:color="000000"/>
            </w:tcBorders>
            <w:shd w:val="clear" w:color="000000" w:fill="9BC3E7"/>
            <w:noWrap/>
            <w:vAlign w:val="center"/>
            <w:hideMark/>
          </w:tcPr>
          <w:p w:rsidR="007F6887" w:rsidRPr="00471439" w:rsidRDefault="007F6887" w:rsidP="00234DCF">
            <w:pPr>
              <w:spacing w:before="120"/>
              <w:jc w:val="center"/>
              <w:rPr>
                <w:rFonts w:eastAsia="Times New Roman"/>
                <w:b/>
                <w:bCs/>
                <w:color w:val="000000"/>
                <w:sz w:val="16"/>
                <w:szCs w:val="16"/>
                <w:lang w:eastAsia="es-MX"/>
              </w:rPr>
            </w:pPr>
            <w:r w:rsidRPr="00471439">
              <w:rPr>
                <w:rFonts w:eastAsia="Times New Roman"/>
                <w:b/>
                <w:bCs/>
                <w:color w:val="000000"/>
                <w:sz w:val="16"/>
                <w:szCs w:val="16"/>
                <w:lang w:eastAsia="es-MX"/>
              </w:rPr>
              <w:t>3. Total del Resultado de Egresos (3=1+2)</w:t>
            </w:r>
            <w:r w:rsidRPr="00471439">
              <w:rPr>
                <w:rFonts w:eastAsia="Times New Roman"/>
                <w:color w:val="000000"/>
                <w:sz w:val="16"/>
                <w:szCs w:val="16"/>
                <w:lang w:eastAsia="es-MX"/>
              </w:rPr>
              <w:t> </w:t>
            </w:r>
          </w:p>
        </w:tc>
        <w:tc>
          <w:tcPr>
            <w:tcW w:w="992" w:type="dxa"/>
            <w:tcBorders>
              <w:top w:val="single" w:sz="8" w:space="0" w:color="000000"/>
              <w:left w:val="nil"/>
              <w:bottom w:val="single" w:sz="4"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41,136.1</w:t>
            </w:r>
          </w:p>
        </w:tc>
        <w:tc>
          <w:tcPr>
            <w:tcW w:w="851" w:type="dxa"/>
            <w:tcBorders>
              <w:top w:val="single" w:sz="8" w:space="0" w:color="000000"/>
              <w:left w:val="nil"/>
              <w:bottom w:val="single" w:sz="4"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44,764.9</w:t>
            </w:r>
          </w:p>
        </w:tc>
        <w:tc>
          <w:tcPr>
            <w:tcW w:w="952" w:type="dxa"/>
            <w:tcBorders>
              <w:top w:val="single" w:sz="8" w:space="0" w:color="000000"/>
              <w:left w:val="nil"/>
              <w:bottom w:val="single" w:sz="4"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46,749.3</w:t>
            </w:r>
          </w:p>
        </w:tc>
        <w:tc>
          <w:tcPr>
            <w:tcW w:w="891" w:type="dxa"/>
            <w:tcBorders>
              <w:top w:val="single" w:sz="8" w:space="0" w:color="000000"/>
              <w:left w:val="nil"/>
              <w:bottom w:val="single" w:sz="4"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50,100.9</w:t>
            </w:r>
          </w:p>
        </w:tc>
        <w:tc>
          <w:tcPr>
            <w:tcW w:w="850" w:type="dxa"/>
            <w:tcBorders>
              <w:top w:val="single" w:sz="8" w:space="0" w:color="000000"/>
              <w:left w:val="nil"/>
              <w:bottom w:val="single" w:sz="4" w:space="0" w:color="000000"/>
              <w:right w:val="single" w:sz="8"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52,736.0</w:t>
            </w:r>
          </w:p>
        </w:tc>
        <w:tc>
          <w:tcPr>
            <w:tcW w:w="992" w:type="dxa"/>
            <w:tcBorders>
              <w:top w:val="single" w:sz="8" w:space="0" w:color="000000"/>
              <w:left w:val="nil"/>
              <w:bottom w:val="single" w:sz="4" w:space="0" w:color="000000"/>
              <w:right w:val="single" w:sz="4" w:space="0" w:color="000000"/>
            </w:tcBorders>
            <w:shd w:val="clear" w:color="000000" w:fill="9BC3E7"/>
            <w:vAlign w:val="center"/>
            <w:hideMark/>
          </w:tcPr>
          <w:p w:rsidR="007F6887" w:rsidRPr="00471439" w:rsidRDefault="007F6887" w:rsidP="00234DCF">
            <w:pPr>
              <w:spacing w:before="120"/>
              <w:jc w:val="right"/>
              <w:rPr>
                <w:rFonts w:eastAsia="Times New Roman"/>
                <w:b/>
                <w:bCs/>
                <w:color w:val="000000"/>
                <w:sz w:val="16"/>
                <w:szCs w:val="16"/>
                <w:lang w:eastAsia="es-MX"/>
              </w:rPr>
            </w:pPr>
            <w:r w:rsidRPr="00471439">
              <w:rPr>
                <w:rFonts w:eastAsia="Times New Roman"/>
                <w:b/>
                <w:bCs/>
                <w:color w:val="000000"/>
                <w:sz w:val="16"/>
                <w:szCs w:val="16"/>
                <w:lang w:eastAsia="es-MX"/>
              </w:rPr>
              <w:t>55,722.2</w:t>
            </w:r>
          </w:p>
        </w:tc>
      </w:tr>
    </w:tbl>
    <w:p w:rsidR="007F6887" w:rsidRPr="00233E4D" w:rsidRDefault="007F6887" w:rsidP="007F6887">
      <w:pPr>
        <w:rPr>
          <w:rFonts w:cs="Arial"/>
        </w:rPr>
      </w:pPr>
      <w:r w:rsidRPr="00233E4D">
        <w:rPr>
          <w:rFonts w:cs="Arial"/>
        </w:rPr>
        <w:t xml:space="preserve">*Los importes corresponden a los egresos devengados </w:t>
      </w:r>
      <w:proofErr w:type="gramStart"/>
      <w:r w:rsidRPr="00233E4D">
        <w:rPr>
          <w:rFonts w:cs="Arial"/>
        </w:rPr>
        <w:t>al cierre trimestral más reciente disponible y estimados</w:t>
      </w:r>
      <w:proofErr w:type="gramEnd"/>
      <w:r w:rsidRPr="00233E4D">
        <w:rPr>
          <w:rFonts w:cs="Arial"/>
        </w:rPr>
        <w:t xml:space="preserve"> para el resto del ejercicio. </w:t>
      </w:r>
    </w:p>
    <w:p w:rsidR="007F6887" w:rsidRPr="00233E4D" w:rsidRDefault="007F6887" w:rsidP="007F6887">
      <w:pPr>
        <w:spacing w:before="100" w:beforeAutospacing="1" w:after="100" w:afterAutospacing="1"/>
        <w:rPr>
          <w:rFonts w:cs="Arial"/>
          <w:b/>
        </w:rPr>
      </w:pPr>
      <w:r w:rsidRPr="00233E4D">
        <w:rPr>
          <w:rFonts w:cs="Arial"/>
          <w:b/>
        </w:rPr>
        <w:lastRenderedPageBreak/>
        <w:t>2. Hacienda Pública</w:t>
      </w:r>
    </w:p>
    <w:p w:rsidR="007F6887" w:rsidRPr="00233E4D" w:rsidRDefault="007F6887" w:rsidP="007F6887">
      <w:pPr>
        <w:spacing w:before="100" w:beforeAutospacing="1" w:after="100" w:afterAutospacing="1"/>
        <w:rPr>
          <w:rFonts w:cs="Arial"/>
          <w:b/>
        </w:rPr>
      </w:pPr>
      <w:r w:rsidRPr="00233E4D">
        <w:rPr>
          <w:rFonts w:cs="Arial"/>
          <w:b/>
        </w:rPr>
        <w:t xml:space="preserve">2.0 Principales Proyectos </w:t>
      </w:r>
    </w:p>
    <w:p w:rsidR="007F6887" w:rsidRPr="00233E4D" w:rsidRDefault="007F6887" w:rsidP="007F6887">
      <w:pPr>
        <w:spacing w:before="100" w:beforeAutospacing="1" w:after="100" w:afterAutospacing="1"/>
        <w:rPr>
          <w:rFonts w:cs="Arial"/>
          <w:b/>
          <w:i/>
        </w:rPr>
      </w:pPr>
      <w:r w:rsidRPr="00233E4D">
        <w:rPr>
          <w:rFonts w:cs="Arial"/>
          <w:b/>
          <w:i/>
        </w:rPr>
        <w:t>Proyectos en Salud</w:t>
      </w:r>
    </w:p>
    <w:p w:rsidR="007F6887" w:rsidRDefault="007F6887" w:rsidP="00535A9D">
      <w:pPr>
        <w:pStyle w:val="Prrafodelista"/>
        <w:numPr>
          <w:ilvl w:val="0"/>
          <w:numId w:val="21"/>
        </w:numPr>
        <w:spacing w:before="100" w:beforeAutospacing="1" w:after="100" w:afterAutospacing="1" w:line="240" w:lineRule="auto"/>
        <w:rPr>
          <w:rFonts w:ascii="Arial" w:hAnsi="Arial" w:cs="Arial"/>
          <w:szCs w:val="24"/>
        </w:rPr>
      </w:pPr>
      <w:r w:rsidRPr="00233E4D">
        <w:rPr>
          <w:rFonts w:ascii="Arial" w:hAnsi="Arial" w:cs="Arial"/>
          <w:szCs w:val="24"/>
        </w:rPr>
        <w:t xml:space="preserve">La inversión se destinará, principalmente, para asegurar la operación de los servicios de salud, que otorgan anualmente más de: 1) 1.8 millones de consultas de medicina familiar, 2) 190 mil consultas de especialidad, 3) 50 mil atenciones en urgencias, 4) 50 mil consultas dentales, 5) 650 mil vacunas, 6) 60 mil egresos hospitalarios, 7) 99 mil intervenciones quirúrgicas, 8) 33 mil partos y 9) 3.4 millones de estudios clínicos. </w:t>
      </w:r>
    </w:p>
    <w:p w:rsidR="007F6887" w:rsidRDefault="007F6887" w:rsidP="00535A9D">
      <w:pPr>
        <w:pStyle w:val="Prrafodelista"/>
        <w:numPr>
          <w:ilvl w:val="0"/>
          <w:numId w:val="21"/>
        </w:numPr>
        <w:spacing w:before="100" w:beforeAutospacing="1" w:after="100" w:afterAutospacing="1" w:line="240" w:lineRule="auto"/>
        <w:rPr>
          <w:rFonts w:ascii="Arial" w:hAnsi="Arial" w:cs="Arial"/>
          <w:szCs w:val="24"/>
        </w:rPr>
      </w:pPr>
      <w:r w:rsidRPr="00233E4D">
        <w:rPr>
          <w:rFonts w:ascii="Arial" w:hAnsi="Arial" w:cs="Arial"/>
          <w:szCs w:val="24"/>
        </w:rPr>
        <w:t>Programa Médico 24/7 con el objetivo de brindar servicio médico en 191,796 consultas externas las 24 horas del día a la población que cuente con afiliación a servicios de salud o no derechohabiente, en los módulos ubicados en los 105 municipios del interior del Estado.</w:t>
      </w:r>
    </w:p>
    <w:p w:rsidR="007F6887" w:rsidRDefault="007F6887" w:rsidP="00535A9D">
      <w:pPr>
        <w:pStyle w:val="Prrafodelista"/>
        <w:numPr>
          <w:ilvl w:val="0"/>
          <w:numId w:val="21"/>
        </w:numPr>
        <w:spacing w:before="100" w:beforeAutospacing="1" w:after="100" w:afterAutospacing="1" w:line="240" w:lineRule="auto"/>
        <w:rPr>
          <w:rFonts w:ascii="Arial" w:hAnsi="Arial" w:cs="Arial"/>
          <w:szCs w:val="24"/>
        </w:rPr>
      </w:pPr>
      <w:r w:rsidRPr="00233E4D">
        <w:rPr>
          <w:rFonts w:ascii="Arial" w:hAnsi="Arial" w:cs="Arial"/>
          <w:szCs w:val="24"/>
        </w:rPr>
        <w:t>El Programa Médico a Domicilio brinda 47,160 servicios médicos integrales a domicilio a la población vulnerable que presente dificultades para desplazarse a un centro de salud para recibir atención médica derivado de alguna limitación física, social y/o mental en 105 municipios.</w:t>
      </w:r>
    </w:p>
    <w:p w:rsidR="007F6887" w:rsidRDefault="007F6887" w:rsidP="00535A9D">
      <w:pPr>
        <w:pStyle w:val="Prrafodelista"/>
        <w:numPr>
          <w:ilvl w:val="0"/>
          <w:numId w:val="21"/>
        </w:numPr>
        <w:spacing w:before="100" w:beforeAutospacing="1" w:after="100" w:afterAutospacing="1" w:line="240" w:lineRule="auto"/>
        <w:rPr>
          <w:rFonts w:ascii="Arial" w:hAnsi="Arial" w:cs="Arial"/>
          <w:szCs w:val="24"/>
        </w:rPr>
      </w:pPr>
      <w:r w:rsidRPr="00233E4D">
        <w:rPr>
          <w:rFonts w:ascii="Arial" w:hAnsi="Arial" w:cs="Arial"/>
          <w:szCs w:val="24"/>
        </w:rPr>
        <w:t xml:space="preserve">A través del Programa de Prevención y Control de Enfermedades transmitidas por Vector se da seguimiento y atención médica de casos de Dengue, </w:t>
      </w:r>
      <w:proofErr w:type="spellStart"/>
      <w:r w:rsidRPr="00233E4D">
        <w:rPr>
          <w:rFonts w:ascii="Arial" w:hAnsi="Arial" w:cs="Arial"/>
          <w:szCs w:val="24"/>
        </w:rPr>
        <w:t>Chikunguña</w:t>
      </w:r>
      <w:proofErr w:type="spellEnd"/>
      <w:r w:rsidRPr="00233E4D">
        <w:rPr>
          <w:rFonts w:ascii="Arial" w:hAnsi="Arial" w:cs="Arial"/>
          <w:szCs w:val="24"/>
        </w:rPr>
        <w:t xml:space="preserve"> y </w:t>
      </w:r>
      <w:proofErr w:type="spellStart"/>
      <w:r w:rsidRPr="00233E4D">
        <w:rPr>
          <w:rFonts w:ascii="Arial" w:hAnsi="Arial" w:cs="Arial"/>
          <w:szCs w:val="24"/>
        </w:rPr>
        <w:t>Zika</w:t>
      </w:r>
      <w:proofErr w:type="spellEnd"/>
      <w:r w:rsidRPr="00233E4D">
        <w:rPr>
          <w:rFonts w:ascii="Arial" w:hAnsi="Arial" w:cs="Arial"/>
          <w:szCs w:val="24"/>
        </w:rPr>
        <w:t xml:space="preserve"> en el Estado; a las actividades dirigidas al control o eliminación de los insectos vectores de la enfermedad, en los sitios donde se crían y reproducen; así como a la disminución de los insectos adultos mediante visitas casa por casa, el control de charcas temporales, la fumigación con máquina pesada y la promoción de la participación comunitaria.</w:t>
      </w:r>
    </w:p>
    <w:p w:rsidR="007F6887" w:rsidRDefault="007F6887" w:rsidP="00535A9D">
      <w:pPr>
        <w:pStyle w:val="Prrafodelista"/>
        <w:numPr>
          <w:ilvl w:val="0"/>
          <w:numId w:val="21"/>
        </w:numPr>
        <w:spacing w:before="100" w:beforeAutospacing="1" w:after="100" w:afterAutospacing="1" w:line="240" w:lineRule="auto"/>
        <w:rPr>
          <w:rFonts w:ascii="Arial" w:hAnsi="Arial" w:cs="Arial"/>
          <w:szCs w:val="24"/>
        </w:rPr>
      </w:pPr>
      <w:r w:rsidRPr="00233E4D">
        <w:rPr>
          <w:rFonts w:ascii="Arial" w:hAnsi="Arial" w:cs="Arial"/>
          <w:szCs w:val="24"/>
        </w:rPr>
        <w:t>Proporcionar atención a la mujer embarazada desde el control prenatal, garantizando 5 consultas como mínimo durante su embarazo, el ingreso oportuno a control en el primer trimestre, proporcionar micronutrientes y atención de la emergencia obstétrica y el parto por personal calificado en los hospitales de segundo nivel.</w:t>
      </w:r>
    </w:p>
    <w:p w:rsidR="007F6887" w:rsidRPr="00233E4D" w:rsidRDefault="007F6887" w:rsidP="00535A9D">
      <w:pPr>
        <w:pStyle w:val="Prrafodelista"/>
        <w:numPr>
          <w:ilvl w:val="0"/>
          <w:numId w:val="21"/>
        </w:numPr>
        <w:spacing w:before="100" w:beforeAutospacing="1" w:after="100" w:afterAutospacing="1" w:line="240" w:lineRule="auto"/>
        <w:rPr>
          <w:rFonts w:ascii="Arial" w:hAnsi="Arial" w:cs="Arial"/>
          <w:szCs w:val="24"/>
        </w:rPr>
      </w:pPr>
      <w:r w:rsidRPr="00233E4D">
        <w:rPr>
          <w:rFonts w:ascii="Arial" w:hAnsi="Arial" w:cs="Arial"/>
          <w:szCs w:val="24"/>
        </w:rPr>
        <w:t xml:space="preserve">Mediante brigadas distribuidas en 105 municipios del estado de Yucatán, otorgar un servicio médico integral a domicilio para brindar consulta médica general, estudios médicos y pláticas de orientación, prevención y promoción a la salud a la población vulnerable y/o con problemas de movilidad. </w:t>
      </w:r>
    </w:p>
    <w:p w:rsidR="007F6887" w:rsidRPr="00233E4D" w:rsidRDefault="007F6887" w:rsidP="007F6887">
      <w:pPr>
        <w:spacing w:before="100" w:beforeAutospacing="1" w:after="100" w:afterAutospacing="1"/>
        <w:rPr>
          <w:rFonts w:cs="Arial"/>
          <w:b/>
        </w:rPr>
      </w:pPr>
      <w:r w:rsidRPr="00233E4D">
        <w:rPr>
          <w:rFonts w:cs="Arial"/>
          <w:b/>
        </w:rPr>
        <w:t>Proyectos en Seguridad</w:t>
      </w:r>
    </w:p>
    <w:p w:rsidR="007F6887" w:rsidRDefault="007F6887" w:rsidP="00535A9D">
      <w:pPr>
        <w:pStyle w:val="Prrafodelista"/>
        <w:numPr>
          <w:ilvl w:val="0"/>
          <w:numId w:val="22"/>
        </w:numPr>
        <w:spacing w:before="100" w:beforeAutospacing="1" w:after="100" w:afterAutospacing="1" w:line="240" w:lineRule="auto"/>
        <w:rPr>
          <w:rFonts w:ascii="Arial" w:hAnsi="Arial" w:cs="Arial"/>
          <w:szCs w:val="24"/>
        </w:rPr>
      </w:pPr>
      <w:r w:rsidRPr="00233E4D">
        <w:rPr>
          <w:rFonts w:ascii="Arial" w:hAnsi="Arial" w:cs="Arial"/>
          <w:szCs w:val="24"/>
        </w:rPr>
        <w:lastRenderedPageBreak/>
        <w:t xml:space="preserve">La inversión se destinará, principalmente, para asegurar la operación de los servicios de seguridad, a través de 4,253 policías estatales y la siguiente infraestructura: 1) 2 helicópteros, 2) 14 autobuses, 3) 343 automóviles, 4) 806 </w:t>
      </w:r>
      <w:proofErr w:type="spellStart"/>
      <w:r w:rsidRPr="00233E4D">
        <w:rPr>
          <w:rFonts w:ascii="Arial" w:hAnsi="Arial" w:cs="Arial"/>
          <w:szCs w:val="24"/>
        </w:rPr>
        <w:t>camione</w:t>
      </w:r>
      <w:proofErr w:type="spellEnd"/>
      <w:r w:rsidRPr="00233E4D">
        <w:rPr>
          <w:rFonts w:ascii="Arial" w:hAnsi="Arial" w:cs="Arial"/>
          <w:szCs w:val="24"/>
        </w:rPr>
        <w:t xml:space="preserve">-tas, 5) 4 </w:t>
      </w:r>
      <w:proofErr w:type="spellStart"/>
      <w:r w:rsidRPr="00233E4D">
        <w:rPr>
          <w:rFonts w:ascii="Arial" w:hAnsi="Arial" w:cs="Arial"/>
          <w:szCs w:val="24"/>
        </w:rPr>
        <w:t>mambas</w:t>
      </w:r>
      <w:proofErr w:type="spellEnd"/>
      <w:r w:rsidRPr="00233E4D">
        <w:rPr>
          <w:rFonts w:ascii="Arial" w:hAnsi="Arial" w:cs="Arial"/>
          <w:szCs w:val="24"/>
        </w:rPr>
        <w:t xml:space="preserve"> blindados, 5) 20 camper, 6) 8 embarcaciones, 7) 258 </w:t>
      </w:r>
      <w:proofErr w:type="spellStart"/>
      <w:r w:rsidRPr="00233E4D">
        <w:rPr>
          <w:rFonts w:ascii="Arial" w:hAnsi="Arial" w:cs="Arial"/>
          <w:szCs w:val="24"/>
        </w:rPr>
        <w:t>motoci</w:t>
      </w:r>
      <w:proofErr w:type="spellEnd"/>
      <w:r w:rsidRPr="00233E4D">
        <w:rPr>
          <w:rFonts w:ascii="Arial" w:hAnsi="Arial" w:cs="Arial"/>
          <w:szCs w:val="24"/>
        </w:rPr>
        <w:t xml:space="preserve">-cletas, 8) 18 grúas, 9) 44 </w:t>
      </w:r>
      <w:proofErr w:type="spellStart"/>
      <w:r w:rsidRPr="00233E4D">
        <w:rPr>
          <w:rFonts w:ascii="Arial" w:hAnsi="Arial" w:cs="Arial"/>
          <w:szCs w:val="24"/>
        </w:rPr>
        <w:t>carrotanques</w:t>
      </w:r>
      <w:proofErr w:type="spellEnd"/>
      <w:r w:rsidRPr="00233E4D">
        <w:rPr>
          <w:rFonts w:ascii="Arial" w:hAnsi="Arial" w:cs="Arial"/>
          <w:szCs w:val="24"/>
        </w:rPr>
        <w:t xml:space="preserve">, 10) 42 ambulancias, 11) 2 torres de </w:t>
      </w:r>
      <w:proofErr w:type="spellStart"/>
      <w:r w:rsidRPr="00233E4D">
        <w:rPr>
          <w:rFonts w:ascii="Arial" w:hAnsi="Arial" w:cs="Arial"/>
          <w:szCs w:val="24"/>
        </w:rPr>
        <w:t>vigi-lancia</w:t>
      </w:r>
      <w:proofErr w:type="spellEnd"/>
      <w:r w:rsidRPr="00233E4D">
        <w:rPr>
          <w:rFonts w:ascii="Arial" w:hAnsi="Arial" w:cs="Arial"/>
          <w:szCs w:val="24"/>
        </w:rPr>
        <w:t xml:space="preserve">, entre otras.    </w:t>
      </w:r>
    </w:p>
    <w:p w:rsidR="007F6887" w:rsidRDefault="007F6887" w:rsidP="00535A9D">
      <w:pPr>
        <w:pStyle w:val="Prrafodelista"/>
        <w:numPr>
          <w:ilvl w:val="0"/>
          <w:numId w:val="22"/>
        </w:numPr>
        <w:spacing w:before="100" w:beforeAutospacing="1" w:after="100" w:afterAutospacing="1" w:line="240" w:lineRule="auto"/>
        <w:rPr>
          <w:rFonts w:ascii="Arial" w:hAnsi="Arial" w:cs="Arial"/>
          <w:szCs w:val="24"/>
        </w:rPr>
      </w:pPr>
      <w:r w:rsidRPr="00233E4D">
        <w:rPr>
          <w:rFonts w:ascii="Arial" w:hAnsi="Arial" w:cs="Arial"/>
          <w:szCs w:val="24"/>
        </w:rPr>
        <w:t xml:space="preserve">Operación de los Grupos Especiales en acciones de prevención del delito y combate a la delincuencia que se realiza a través de los grupos de reacción inmediata, así como a la ejecución de operativos especiales y el establecimiento de puntos de revisión fijos y móviles, que contribuyan con la preservación de la seguridad de la ciudadanía. </w:t>
      </w:r>
    </w:p>
    <w:p w:rsidR="007F6887" w:rsidRPr="00233E4D" w:rsidRDefault="007F6887" w:rsidP="00535A9D">
      <w:pPr>
        <w:pStyle w:val="Prrafodelista"/>
        <w:numPr>
          <w:ilvl w:val="0"/>
          <w:numId w:val="22"/>
        </w:numPr>
        <w:spacing w:before="100" w:beforeAutospacing="1" w:after="100" w:afterAutospacing="1" w:line="240" w:lineRule="auto"/>
        <w:rPr>
          <w:rFonts w:ascii="Arial" w:hAnsi="Arial" w:cs="Arial"/>
          <w:szCs w:val="24"/>
        </w:rPr>
      </w:pPr>
      <w:r w:rsidRPr="00233E4D">
        <w:rPr>
          <w:rFonts w:ascii="Arial" w:hAnsi="Arial" w:cs="Arial"/>
          <w:szCs w:val="24"/>
        </w:rPr>
        <w:t>El programa de Atención de Siniestros y Rescates se refiere a la protección que se brinda a la ciudadanía respecto de su integridad física y su patrimonio, a través de la atención de siniestros.</w:t>
      </w:r>
    </w:p>
    <w:p w:rsidR="007F6887" w:rsidRPr="00233E4D" w:rsidRDefault="007F6887" w:rsidP="007F6887">
      <w:pPr>
        <w:spacing w:before="100" w:beforeAutospacing="1" w:after="100" w:afterAutospacing="1"/>
        <w:rPr>
          <w:rFonts w:cs="Arial"/>
          <w:b/>
        </w:rPr>
      </w:pPr>
      <w:r w:rsidRPr="00233E4D">
        <w:rPr>
          <w:rFonts w:cs="Arial"/>
          <w:b/>
        </w:rPr>
        <w:t>Proyectos en Educación</w:t>
      </w:r>
    </w:p>
    <w:p w:rsidR="007F6887" w:rsidRDefault="007F6887" w:rsidP="00535A9D">
      <w:pPr>
        <w:pStyle w:val="Prrafodelista"/>
        <w:numPr>
          <w:ilvl w:val="0"/>
          <w:numId w:val="23"/>
        </w:numPr>
        <w:spacing w:before="100" w:beforeAutospacing="1" w:after="100" w:afterAutospacing="1" w:line="240" w:lineRule="auto"/>
        <w:rPr>
          <w:rFonts w:ascii="Arial" w:hAnsi="Arial" w:cs="Arial"/>
          <w:szCs w:val="24"/>
        </w:rPr>
      </w:pPr>
      <w:r w:rsidRPr="00233E4D">
        <w:rPr>
          <w:rFonts w:ascii="Arial" w:hAnsi="Arial" w:cs="Arial"/>
          <w:szCs w:val="24"/>
        </w:rPr>
        <w:t xml:space="preserve">La inversión se destina, principalmente, para ofrecer los servicios educativos en un total de 3,730 escuelas y 117 instituciones de educación superior que benefician a 592,774 niños y jóvenes. </w:t>
      </w:r>
    </w:p>
    <w:p w:rsidR="007F6887" w:rsidRPr="00233E4D" w:rsidRDefault="007F6887" w:rsidP="00535A9D">
      <w:pPr>
        <w:pStyle w:val="Prrafodelista"/>
        <w:numPr>
          <w:ilvl w:val="0"/>
          <w:numId w:val="23"/>
        </w:numPr>
        <w:spacing w:before="100" w:beforeAutospacing="1" w:after="100" w:afterAutospacing="1" w:line="240" w:lineRule="auto"/>
        <w:rPr>
          <w:rFonts w:ascii="Arial" w:hAnsi="Arial" w:cs="Arial"/>
          <w:szCs w:val="24"/>
        </w:rPr>
      </w:pPr>
      <w:r w:rsidRPr="00233E4D">
        <w:rPr>
          <w:rFonts w:ascii="Arial" w:hAnsi="Arial" w:cs="Arial"/>
          <w:szCs w:val="24"/>
        </w:rPr>
        <w:t>El Programa Impulso Escolar tiene como objetivo fundamental apoyar a las per-</w:t>
      </w:r>
      <w:proofErr w:type="spellStart"/>
      <w:r w:rsidRPr="00233E4D">
        <w:rPr>
          <w:rFonts w:ascii="Arial" w:hAnsi="Arial" w:cs="Arial"/>
          <w:szCs w:val="24"/>
        </w:rPr>
        <w:t>sonas</w:t>
      </w:r>
      <w:proofErr w:type="spellEnd"/>
      <w:r w:rsidRPr="00233E4D">
        <w:rPr>
          <w:rFonts w:ascii="Arial" w:hAnsi="Arial" w:cs="Arial"/>
          <w:szCs w:val="24"/>
        </w:rPr>
        <w:t xml:space="preserve"> que viven con ingresos por debajo de la línea mínima de bienestar y </w:t>
      </w:r>
      <w:proofErr w:type="spellStart"/>
      <w:r w:rsidRPr="00233E4D">
        <w:rPr>
          <w:rFonts w:ascii="Arial" w:hAnsi="Arial" w:cs="Arial"/>
          <w:szCs w:val="24"/>
        </w:rPr>
        <w:t>facili-tar</w:t>
      </w:r>
      <w:proofErr w:type="spellEnd"/>
      <w:r w:rsidRPr="00233E4D">
        <w:rPr>
          <w:rFonts w:ascii="Arial" w:hAnsi="Arial" w:cs="Arial"/>
          <w:szCs w:val="24"/>
        </w:rPr>
        <w:t xml:space="preserve"> su acceso a políticas compensatorias en materia educativa mediante la en-</w:t>
      </w:r>
      <w:proofErr w:type="spellStart"/>
      <w:r w:rsidRPr="00233E4D">
        <w:rPr>
          <w:rFonts w:ascii="Arial" w:hAnsi="Arial" w:cs="Arial"/>
          <w:szCs w:val="24"/>
        </w:rPr>
        <w:t>trega</w:t>
      </w:r>
      <w:proofErr w:type="spellEnd"/>
      <w:r w:rsidRPr="00233E4D">
        <w:rPr>
          <w:rFonts w:ascii="Arial" w:hAnsi="Arial" w:cs="Arial"/>
          <w:szCs w:val="24"/>
        </w:rPr>
        <w:t xml:space="preserve"> de paquetes de útiles escolares a niños y niñas en el Estado y la entrega de paquetes escolares a alumnos de primaria y de secundaria. Los paquetes escolares se componen de útiles, un par de zapatos, un par de camisas o blusas de uniforme, una mochila y, en temporada invernal, una chamarra.</w:t>
      </w:r>
    </w:p>
    <w:p w:rsidR="007F6887" w:rsidRPr="00233E4D" w:rsidRDefault="007F6887" w:rsidP="007F6887">
      <w:pPr>
        <w:spacing w:before="100" w:beforeAutospacing="1" w:after="100" w:afterAutospacing="1"/>
        <w:rPr>
          <w:rFonts w:cs="Arial"/>
          <w:b/>
        </w:rPr>
      </w:pPr>
      <w:r w:rsidRPr="00233E4D">
        <w:rPr>
          <w:rFonts w:cs="Arial"/>
          <w:b/>
        </w:rPr>
        <w:t>Proyectos del Sector Económico y Turístico</w:t>
      </w:r>
    </w:p>
    <w:p w:rsidR="007F6887" w:rsidRDefault="007F6887" w:rsidP="00535A9D">
      <w:pPr>
        <w:pStyle w:val="Prrafodelista"/>
        <w:numPr>
          <w:ilvl w:val="0"/>
          <w:numId w:val="24"/>
        </w:numPr>
        <w:spacing w:before="100" w:beforeAutospacing="1" w:after="100" w:afterAutospacing="1" w:line="240" w:lineRule="auto"/>
        <w:rPr>
          <w:rFonts w:ascii="Arial" w:hAnsi="Arial" w:cs="Arial"/>
          <w:szCs w:val="24"/>
        </w:rPr>
      </w:pPr>
      <w:r w:rsidRPr="00233E4D">
        <w:rPr>
          <w:rFonts w:ascii="Arial" w:hAnsi="Arial" w:cs="Arial"/>
          <w:szCs w:val="24"/>
        </w:rPr>
        <w:t>Continuará el proceso de reapertura segura con lo cual se busca que todos los sectores de la economía colaboren para controlar la propagación del virus COVID19 mediante medidas coordinadas que permitirán la reactivación de la economía y, al mismo tiempo, proteger la salud de la población.</w:t>
      </w:r>
    </w:p>
    <w:p w:rsidR="007F6887" w:rsidRDefault="007F6887" w:rsidP="00535A9D">
      <w:pPr>
        <w:pStyle w:val="Prrafodelista"/>
        <w:numPr>
          <w:ilvl w:val="0"/>
          <w:numId w:val="24"/>
        </w:numPr>
        <w:spacing w:before="100" w:beforeAutospacing="1" w:after="100" w:afterAutospacing="1" w:line="240" w:lineRule="auto"/>
        <w:rPr>
          <w:rFonts w:ascii="Arial" w:hAnsi="Arial" w:cs="Arial"/>
          <w:szCs w:val="24"/>
        </w:rPr>
      </w:pPr>
      <w:r w:rsidRPr="00233E4D">
        <w:rPr>
          <w:rFonts w:ascii="Arial" w:hAnsi="Arial" w:cs="Arial"/>
          <w:szCs w:val="24"/>
        </w:rPr>
        <w:t>Continuará la modernización del sistema de transporte público de la mano de proyectos para mejorar la movilidad, el desarrollo urbano y ordenamiento territorial.</w:t>
      </w:r>
    </w:p>
    <w:p w:rsidR="007F6887" w:rsidRDefault="007F6887" w:rsidP="00535A9D">
      <w:pPr>
        <w:pStyle w:val="Prrafodelista"/>
        <w:numPr>
          <w:ilvl w:val="0"/>
          <w:numId w:val="24"/>
        </w:numPr>
        <w:spacing w:before="100" w:beforeAutospacing="1" w:after="100" w:afterAutospacing="1" w:line="240" w:lineRule="auto"/>
        <w:rPr>
          <w:rFonts w:ascii="Arial" w:hAnsi="Arial" w:cs="Arial"/>
          <w:szCs w:val="24"/>
        </w:rPr>
      </w:pPr>
      <w:r w:rsidRPr="00233E4D">
        <w:rPr>
          <w:rFonts w:ascii="Arial" w:hAnsi="Arial" w:cs="Arial"/>
          <w:szCs w:val="24"/>
        </w:rPr>
        <w:t xml:space="preserve">El Tianguis Turístico, que no se realizó en modalidad presencial ante la contingencia de 2020, se realizará en 2021, celebrándose por primera vez </w:t>
      </w:r>
      <w:r w:rsidRPr="00233E4D">
        <w:rPr>
          <w:rFonts w:ascii="Arial" w:hAnsi="Arial" w:cs="Arial"/>
          <w:szCs w:val="24"/>
        </w:rPr>
        <w:lastRenderedPageBreak/>
        <w:t xml:space="preserve">en Mérida, Yucatán.  El Tianguis Turístico es el evento más relevante del sector turístico de México y un foro de negocios basado en citas preestablecidas entre compradores y expositores. </w:t>
      </w:r>
    </w:p>
    <w:p w:rsidR="007F6887" w:rsidRPr="00233E4D" w:rsidRDefault="007F6887" w:rsidP="00535A9D">
      <w:pPr>
        <w:pStyle w:val="Prrafodelista"/>
        <w:numPr>
          <w:ilvl w:val="0"/>
          <w:numId w:val="24"/>
        </w:numPr>
        <w:spacing w:before="100" w:beforeAutospacing="1" w:after="100" w:afterAutospacing="1" w:line="240" w:lineRule="auto"/>
        <w:rPr>
          <w:rFonts w:ascii="Arial" w:hAnsi="Arial" w:cs="Arial"/>
          <w:szCs w:val="24"/>
        </w:rPr>
      </w:pPr>
      <w:r w:rsidRPr="00233E4D">
        <w:rPr>
          <w:rFonts w:ascii="Arial" w:hAnsi="Arial" w:cs="Arial"/>
          <w:szCs w:val="24"/>
        </w:rPr>
        <w:t xml:space="preserve">Se otorgarán créditos a través de NAFIN (2 mil </w:t>
      </w:r>
      <w:proofErr w:type="spellStart"/>
      <w:r w:rsidRPr="00233E4D">
        <w:rPr>
          <w:rFonts w:ascii="Arial" w:hAnsi="Arial" w:cs="Arial"/>
          <w:szCs w:val="24"/>
        </w:rPr>
        <w:t>mdp</w:t>
      </w:r>
      <w:proofErr w:type="spellEnd"/>
      <w:r w:rsidRPr="00233E4D">
        <w:rPr>
          <w:rFonts w:ascii="Arial" w:hAnsi="Arial" w:cs="Arial"/>
          <w:szCs w:val="24"/>
        </w:rPr>
        <w:t>). Son créditos con una tasa de interés del 0% a un plazo de dieciocho meses. Los créditos están dirigidos a dirigidos a proyectos productivos del interior del estado para micros y pequeñas empresas.</w:t>
      </w:r>
    </w:p>
    <w:p w:rsidR="007F6887" w:rsidRPr="00233E4D" w:rsidRDefault="007F6887" w:rsidP="007F6887">
      <w:pPr>
        <w:spacing w:before="100" w:beforeAutospacing="1" w:after="100" w:afterAutospacing="1"/>
        <w:rPr>
          <w:rFonts w:cs="Arial"/>
          <w:b/>
        </w:rPr>
      </w:pPr>
      <w:r w:rsidRPr="00233E4D">
        <w:rPr>
          <w:rFonts w:cs="Arial"/>
          <w:b/>
        </w:rPr>
        <w:t xml:space="preserve">Proyectos en Campo y Pesca </w:t>
      </w:r>
    </w:p>
    <w:p w:rsidR="007F6887" w:rsidRDefault="007F6887" w:rsidP="00535A9D">
      <w:pPr>
        <w:pStyle w:val="Prrafodelista"/>
        <w:numPr>
          <w:ilvl w:val="0"/>
          <w:numId w:val="25"/>
        </w:numPr>
        <w:spacing w:before="100" w:beforeAutospacing="1" w:after="100" w:afterAutospacing="1" w:line="240" w:lineRule="auto"/>
        <w:rPr>
          <w:rFonts w:ascii="Arial" w:hAnsi="Arial" w:cs="Arial"/>
          <w:szCs w:val="24"/>
        </w:rPr>
      </w:pPr>
      <w:r w:rsidRPr="00233E4D">
        <w:rPr>
          <w:rFonts w:ascii="Arial" w:hAnsi="Arial" w:cs="Arial"/>
          <w:szCs w:val="24"/>
        </w:rPr>
        <w:t>Programa Peso a Peso otorgará a productores agropecuarios apoyos en especie conformados por insumos, herramientas y equipos.</w:t>
      </w:r>
    </w:p>
    <w:p w:rsidR="007F6887" w:rsidRDefault="007F6887" w:rsidP="00535A9D">
      <w:pPr>
        <w:pStyle w:val="Prrafodelista"/>
        <w:numPr>
          <w:ilvl w:val="0"/>
          <w:numId w:val="25"/>
        </w:numPr>
        <w:spacing w:before="100" w:beforeAutospacing="1" w:after="100" w:afterAutospacing="1" w:line="240" w:lineRule="auto"/>
        <w:rPr>
          <w:rFonts w:ascii="Arial" w:hAnsi="Arial" w:cs="Arial"/>
          <w:szCs w:val="24"/>
        </w:rPr>
      </w:pPr>
      <w:r w:rsidRPr="00233E4D">
        <w:rPr>
          <w:rFonts w:ascii="Arial" w:hAnsi="Arial" w:cs="Arial"/>
          <w:szCs w:val="24"/>
        </w:rPr>
        <w:t xml:space="preserve">El Programa Respeto la Veda de Mero tiene como objetivo promover el respeto al periodo de veda del mero entre los pescadores y compensarlos por la reducción en sus ingresos al dejar de pescar esta especie en los meses de febrero y marzo mediante la entrega mensual de apoyos en forma de vales de despensa. El apoyo se entregará en dos exhibiciones, una cada mes con un valor de $2,400.00. </w:t>
      </w:r>
    </w:p>
    <w:p w:rsidR="007F6887" w:rsidRPr="00233E4D" w:rsidRDefault="007F6887" w:rsidP="00535A9D">
      <w:pPr>
        <w:pStyle w:val="Prrafodelista"/>
        <w:numPr>
          <w:ilvl w:val="0"/>
          <w:numId w:val="25"/>
        </w:numPr>
        <w:spacing w:before="100" w:beforeAutospacing="1" w:after="100" w:afterAutospacing="1" w:line="240" w:lineRule="auto"/>
        <w:rPr>
          <w:rFonts w:ascii="Arial" w:hAnsi="Arial" w:cs="Arial"/>
          <w:szCs w:val="24"/>
        </w:rPr>
      </w:pPr>
      <w:r w:rsidRPr="00233E4D">
        <w:rPr>
          <w:rFonts w:ascii="Arial" w:hAnsi="Arial" w:cs="Arial"/>
          <w:szCs w:val="24"/>
        </w:rPr>
        <w:t>El programa Peso a Peso en su modalidad pesquera y acuícola tiene por objetivo impulsar a los productores de los sectores pesqueros y acuícola mediante la entrega de apoyos económicos correspondientes al 50 % del valor de los insumos, herramientas y equipos de trabajo.</w:t>
      </w:r>
    </w:p>
    <w:p w:rsidR="007F6887" w:rsidRPr="00233E4D" w:rsidRDefault="007F6887" w:rsidP="007F6887">
      <w:pPr>
        <w:spacing w:before="100" w:beforeAutospacing="1" w:after="100" w:afterAutospacing="1"/>
        <w:rPr>
          <w:rFonts w:cs="Arial"/>
          <w:b/>
        </w:rPr>
      </w:pPr>
      <w:r w:rsidRPr="00233E4D">
        <w:rPr>
          <w:rFonts w:cs="Arial"/>
          <w:b/>
        </w:rPr>
        <w:t>Proyectos para la igualdad entre mujeres y hombres y para el acceso de las mujeres a una vida libre de violencia</w:t>
      </w:r>
    </w:p>
    <w:p w:rsidR="007F6887" w:rsidRDefault="007F6887" w:rsidP="00535A9D">
      <w:pPr>
        <w:pStyle w:val="Prrafodelista"/>
        <w:numPr>
          <w:ilvl w:val="0"/>
          <w:numId w:val="26"/>
        </w:numPr>
        <w:spacing w:before="100" w:beforeAutospacing="1" w:after="100" w:afterAutospacing="1" w:line="240" w:lineRule="auto"/>
        <w:rPr>
          <w:rFonts w:ascii="Arial" w:hAnsi="Arial" w:cs="Arial"/>
          <w:szCs w:val="24"/>
        </w:rPr>
      </w:pPr>
      <w:r w:rsidRPr="00233E4D">
        <w:rPr>
          <w:rFonts w:ascii="Arial" w:hAnsi="Arial" w:cs="Arial"/>
          <w:szCs w:val="24"/>
        </w:rPr>
        <w:t>Proporcionar servicios de atención especializada a mujeres en situaciones de violencia en el Estado de Yucatán, de 18 años y más, a través de los Centros Municipales de Atención a la Violencia contra las Mujeres (CMAVM). Los servicios que se brindan son: trabajo social, atención psicológica, atención jurídica y canalización.</w:t>
      </w:r>
    </w:p>
    <w:p w:rsidR="007F6887" w:rsidRDefault="007F6887" w:rsidP="00535A9D">
      <w:pPr>
        <w:pStyle w:val="Prrafodelista"/>
        <w:numPr>
          <w:ilvl w:val="0"/>
          <w:numId w:val="26"/>
        </w:numPr>
        <w:spacing w:before="100" w:beforeAutospacing="1" w:after="100" w:afterAutospacing="1" w:line="240" w:lineRule="auto"/>
        <w:rPr>
          <w:rFonts w:ascii="Arial" w:hAnsi="Arial" w:cs="Arial"/>
          <w:szCs w:val="24"/>
        </w:rPr>
      </w:pPr>
      <w:r w:rsidRPr="00233E4D">
        <w:rPr>
          <w:rFonts w:ascii="Arial" w:hAnsi="Arial" w:cs="Arial"/>
          <w:szCs w:val="24"/>
        </w:rPr>
        <w:t>Participación Comunitaria para la Prevención de la Violencia contra las Mujeres en los Municipios por medio de talleres y caravanas con perspectiva de género, enfoque de derechos humanos e interculturalidad, sobre prevención de la violencia contra las mujeres y la construcción de una cultura de paz, igualdad e inclusión, dirigidos a mujeres y hombres de 12 años.</w:t>
      </w:r>
    </w:p>
    <w:p w:rsidR="007F6887" w:rsidRPr="00233E4D" w:rsidRDefault="007F6887" w:rsidP="00535A9D">
      <w:pPr>
        <w:pStyle w:val="Prrafodelista"/>
        <w:numPr>
          <w:ilvl w:val="0"/>
          <w:numId w:val="26"/>
        </w:numPr>
        <w:spacing w:before="100" w:beforeAutospacing="1" w:after="100" w:afterAutospacing="1" w:line="240" w:lineRule="auto"/>
        <w:rPr>
          <w:rFonts w:ascii="Arial" w:hAnsi="Arial" w:cs="Arial"/>
          <w:szCs w:val="24"/>
        </w:rPr>
      </w:pPr>
      <w:r w:rsidRPr="00233E4D">
        <w:rPr>
          <w:rFonts w:ascii="Arial" w:hAnsi="Arial" w:cs="Arial"/>
          <w:szCs w:val="24"/>
        </w:rPr>
        <w:t>Programa para la Prevención del Embarazo en Adolescentes a través de talleres y actividades lúdicas para la prevención del embarazo y la difusión de los derechos sexuales y reproductivos.</w:t>
      </w:r>
    </w:p>
    <w:p w:rsidR="007F6887" w:rsidRPr="00233E4D" w:rsidRDefault="007F6887" w:rsidP="007F6887">
      <w:pPr>
        <w:spacing w:before="100" w:beforeAutospacing="1" w:after="100" w:afterAutospacing="1"/>
        <w:rPr>
          <w:rFonts w:cs="Arial"/>
          <w:b/>
        </w:rPr>
      </w:pPr>
      <w:r w:rsidRPr="00233E4D">
        <w:rPr>
          <w:rFonts w:cs="Arial"/>
          <w:b/>
        </w:rPr>
        <w:lastRenderedPageBreak/>
        <w:t>Proyectos Sociales</w:t>
      </w:r>
    </w:p>
    <w:p w:rsidR="007F6887" w:rsidRDefault="007F6887" w:rsidP="00535A9D">
      <w:pPr>
        <w:pStyle w:val="Prrafodelista"/>
        <w:numPr>
          <w:ilvl w:val="0"/>
          <w:numId w:val="27"/>
        </w:numPr>
        <w:spacing w:before="100" w:beforeAutospacing="1" w:after="100" w:afterAutospacing="1" w:line="240" w:lineRule="auto"/>
        <w:rPr>
          <w:rFonts w:ascii="Arial" w:hAnsi="Arial" w:cs="Arial"/>
          <w:szCs w:val="24"/>
        </w:rPr>
      </w:pPr>
      <w:r w:rsidRPr="00233E4D">
        <w:rPr>
          <w:rFonts w:ascii="Arial" w:hAnsi="Arial" w:cs="Arial"/>
          <w:szCs w:val="24"/>
        </w:rPr>
        <w:t>Impulso Escolar busca dotar de 214,789 paquetes escolares que incluye: una mochila, dos camisas de uniforme, un par de zapatos y una chamarra que se otorga durante la época invernal a estudiantes de primarias públicas en 106 municipios.</w:t>
      </w:r>
    </w:p>
    <w:p w:rsidR="007F6887" w:rsidRDefault="007F6887" w:rsidP="00535A9D">
      <w:pPr>
        <w:pStyle w:val="Prrafodelista"/>
        <w:numPr>
          <w:ilvl w:val="0"/>
          <w:numId w:val="27"/>
        </w:numPr>
        <w:spacing w:before="100" w:beforeAutospacing="1" w:after="100" w:afterAutospacing="1" w:line="240" w:lineRule="auto"/>
        <w:rPr>
          <w:rFonts w:ascii="Arial" w:hAnsi="Arial" w:cs="Arial"/>
          <w:szCs w:val="24"/>
        </w:rPr>
      </w:pPr>
      <w:proofErr w:type="spellStart"/>
      <w:r w:rsidRPr="00233E4D">
        <w:rPr>
          <w:rFonts w:ascii="Arial" w:hAnsi="Arial" w:cs="Arial"/>
          <w:szCs w:val="24"/>
        </w:rPr>
        <w:t>MicroYuc</w:t>
      </w:r>
      <w:proofErr w:type="spellEnd"/>
      <w:r w:rsidRPr="00233E4D">
        <w:rPr>
          <w:rFonts w:ascii="Arial" w:hAnsi="Arial" w:cs="Arial"/>
          <w:szCs w:val="24"/>
        </w:rPr>
        <w:t xml:space="preserve"> Social otorga 500 créditos con una tasa de interés del 0% a un plazo de dieciocho meses, beneficiando a 500 personas mayores de edad cuyo ingreso sea menor a la línea mínima de bienestar.</w:t>
      </w:r>
    </w:p>
    <w:p w:rsidR="007F6887" w:rsidRDefault="007F6887" w:rsidP="00535A9D">
      <w:pPr>
        <w:pStyle w:val="Prrafodelista"/>
        <w:numPr>
          <w:ilvl w:val="0"/>
          <w:numId w:val="27"/>
        </w:numPr>
        <w:spacing w:before="100" w:beforeAutospacing="1" w:after="100" w:afterAutospacing="1" w:line="240" w:lineRule="auto"/>
        <w:rPr>
          <w:rFonts w:ascii="Arial" w:hAnsi="Arial" w:cs="Arial"/>
          <w:szCs w:val="24"/>
        </w:rPr>
      </w:pPr>
      <w:r w:rsidRPr="00233E4D">
        <w:rPr>
          <w:rFonts w:ascii="Arial" w:hAnsi="Arial" w:cs="Arial"/>
          <w:szCs w:val="24"/>
        </w:rPr>
        <w:t>El Programa de Desayunos Escolares otorga desayunos fríos o calientes a niños y niñas de preescolar, primero y segundo grado de primaria. Se proyecta entregar 15</w:t>
      </w:r>
      <w:proofErr w:type="gramStart"/>
      <w:r w:rsidRPr="00233E4D">
        <w:rPr>
          <w:rFonts w:ascii="Arial" w:hAnsi="Arial" w:cs="Arial"/>
          <w:szCs w:val="24"/>
        </w:rPr>
        <w:t>,403,090</w:t>
      </w:r>
      <w:proofErr w:type="gramEnd"/>
      <w:r w:rsidRPr="00233E4D">
        <w:rPr>
          <w:rFonts w:ascii="Arial" w:hAnsi="Arial" w:cs="Arial"/>
          <w:szCs w:val="24"/>
        </w:rPr>
        <w:t xml:space="preserve"> raciones de desayunos escolares a 123,925 niñas y niños de todo el Estado.</w:t>
      </w:r>
    </w:p>
    <w:p w:rsidR="007F6887" w:rsidRDefault="007F6887" w:rsidP="00535A9D">
      <w:pPr>
        <w:pStyle w:val="Prrafodelista"/>
        <w:numPr>
          <w:ilvl w:val="0"/>
          <w:numId w:val="27"/>
        </w:numPr>
        <w:spacing w:before="100" w:beforeAutospacing="1" w:after="100" w:afterAutospacing="1" w:line="240" w:lineRule="auto"/>
        <w:rPr>
          <w:rFonts w:ascii="Arial" w:hAnsi="Arial" w:cs="Arial"/>
          <w:szCs w:val="24"/>
        </w:rPr>
      </w:pPr>
      <w:r w:rsidRPr="00233E4D">
        <w:rPr>
          <w:rFonts w:ascii="Arial" w:hAnsi="Arial" w:cs="Arial"/>
          <w:szCs w:val="24"/>
        </w:rPr>
        <w:t>Asistencia Integral en Alimentación otorga una despensa mensual conformada por 11 productos de la canasta básica y despensas a 21 albergues y asociaciones civiles que atienden a población en situación de vulnerabilidad. Se proyecta entregar 326,590 dotaciones de despensas a 32,659 personas en condición de vulnerabilidad en los 106 municipios del Estado.</w:t>
      </w:r>
    </w:p>
    <w:p w:rsidR="007F6887" w:rsidRPr="00233E4D" w:rsidRDefault="007F6887" w:rsidP="00535A9D">
      <w:pPr>
        <w:pStyle w:val="Prrafodelista"/>
        <w:numPr>
          <w:ilvl w:val="0"/>
          <w:numId w:val="27"/>
        </w:numPr>
        <w:spacing w:before="100" w:beforeAutospacing="1" w:after="100" w:afterAutospacing="1" w:line="240" w:lineRule="auto"/>
        <w:rPr>
          <w:rFonts w:ascii="Arial" w:hAnsi="Arial" w:cs="Arial"/>
          <w:szCs w:val="24"/>
        </w:rPr>
      </w:pPr>
      <w:r w:rsidRPr="00233E4D">
        <w:rPr>
          <w:rFonts w:ascii="Arial" w:hAnsi="Arial" w:cs="Arial"/>
          <w:szCs w:val="24"/>
        </w:rPr>
        <w:t>El Programa de Asistencia Social Alimentaria en los primeros 1,000 días de vida contribuye a un estado nutricional adecuado de los niños en sus primeros 1,000 días de vida, a través de la entrega de dotaciones o raciones alimentarias nutritivas, fomento a la educación nutricional, la lactancia materna y prácticas adecuadas de cuidado, higiene y estimulación temprana.</w:t>
      </w:r>
    </w:p>
    <w:p w:rsidR="007F6887" w:rsidRPr="00233E4D" w:rsidRDefault="007F6887" w:rsidP="007F6887">
      <w:pPr>
        <w:spacing w:before="100" w:beforeAutospacing="1" w:after="100" w:afterAutospacing="1"/>
        <w:rPr>
          <w:rFonts w:cs="Arial"/>
          <w:b/>
        </w:rPr>
      </w:pPr>
      <w:r w:rsidRPr="00233E4D">
        <w:rPr>
          <w:rFonts w:cs="Arial"/>
          <w:b/>
        </w:rPr>
        <w:t>2.1 Ingresos Presupuestarios</w:t>
      </w:r>
    </w:p>
    <w:p w:rsidR="007F6887" w:rsidRPr="00233E4D" w:rsidRDefault="007F6887" w:rsidP="007F6887">
      <w:pPr>
        <w:spacing w:before="100" w:beforeAutospacing="1" w:after="100" w:afterAutospacing="1"/>
        <w:rPr>
          <w:rFonts w:cs="Arial"/>
          <w:b/>
        </w:rPr>
      </w:pPr>
      <w:r w:rsidRPr="00233E4D">
        <w:rPr>
          <w:rFonts w:cs="Arial"/>
          <w:b/>
        </w:rPr>
        <w:t>2.1.1 Ingresos 2021</w:t>
      </w:r>
    </w:p>
    <w:p w:rsidR="007F6887" w:rsidRPr="00233E4D" w:rsidRDefault="007F6887" w:rsidP="007F6887">
      <w:pPr>
        <w:spacing w:before="100" w:beforeAutospacing="1" w:after="100" w:afterAutospacing="1"/>
        <w:rPr>
          <w:rFonts w:cs="Arial"/>
        </w:rPr>
      </w:pPr>
      <w:r w:rsidRPr="00233E4D">
        <w:rPr>
          <w:rFonts w:cs="Arial"/>
        </w:rPr>
        <w:t xml:space="preserve">Los ingresos totales del Estado para el ejercicio fiscal 2021 se presupuestan en 41,136 </w:t>
      </w:r>
      <w:proofErr w:type="spellStart"/>
      <w:r w:rsidRPr="00233E4D">
        <w:rPr>
          <w:rFonts w:cs="Arial"/>
        </w:rPr>
        <w:t>mdp</w:t>
      </w:r>
      <w:proofErr w:type="spellEnd"/>
      <w:r w:rsidRPr="00233E4D">
        <w:rPr>
          <w:rFonts w:cs="Arial"/>
        </w:rPr>
        <w:t xml:space="preserve"> divididos de la siguiente manera:</w:t>
      </w:r>
    </w:p>
    <w:p w:rsidR="007F6887" w:rsidRPr="00233E4D" w:rsidRDefault="007F6887" w:rsidP="007F6887">
      <w:pPr>
        <w:spacing w:before="100" w:beforeAutospacing="1" w:after="100" w:afterAutospacing="1"/>
        <w:rPr>
          <w:rFonts w:cs="Arial"/>
        </w:rPr>
      </w:pPr>
      <w:r w:rsidRPr="00233E4D">
        <w:rPr>
          <w:rFonts w:cs="Arial"/>
        </w:rPr>
        <w:t xml:space="preserve">Los Ingresos Etiquetados se estiman en 19,106.5 </w:t>
      </w:r>
      <w:proofErr w:type="spellStart"/>
      <w:r w:rsidRPr="00233E4D">
        <w:rPr>
          <w:rFonts w:cs="Arial"/>
        </w:rPr>
        <w:t>mdp</w:t>
      </w:r>
      <w:proofErr w:type="spellEnd"/>
      <w:r w:rsidRPr="00233E4D">
        <w:rPr>
          <w:rFonts w:cs="Arial"/>
        </w:rPr>
        <w:t xml:space="preserve">. Cabe señalar que la mayor parte de los Convenios Federales considerados en estos ingresos serán definidos durante el primer trimestre del ejercicio, por lo que es probable que algunos de ellos presenten cambios en los montos o reglas de operación. La Ley de Ingresos considera convenios no incluidos en el Presupuesto de Egresos de la Federación (PEF), pero que fueron confirmados por entidades y dependencias Federales. Por ejemplo, a pesar de no estar incluido en el PEF, la Secretaría de Educación Pública federal confirmó que continuará el programa de </w:t>
      </w:r>
      <w:proofErr w:type="spellStart"/>
      <w:r w:rsidRPr="00233E4D">
        <w:rPr>
          <w:rFonts w:cs="Arial"/>
        </w:rPr>
        <w:t>Telebachillerato</w:t>
      </w:r>
      <w:proofErr w:type="spellEnd"/>
      <w:r w:rsidRPr="00233E4D">
        <w:rPr>
          <w:rFonts w:cs="Arial"/>
        </w:rPr>
        <w:t xml:space="preserve"> </w:t>
      </w:r>
      <w:r w:rsidRPr="00233E4D">
        <w:rPr>
          <w:rFonts w:cs="Arial"/>
        </w:rPr>
        <w:lastRenderedPageBreak/>
        <w:t>Comunitario. Del mismo modo, es posible que surjan nuevos convenios no contemplados en este Proyecto de Presupuesto de Egresos.</w:t>
      </w:r>
    </w:p>
    <w:p w:rsidR="007F6887" w:rsidRPr="00233E4D" w:rsidRDefault="007F6887" w:rsidP="007F6887">
      <w:pPr>
        <w:spacing w:before="100" w:beforeAutospacing="1" w:after="100" w:afterAutospacing="1"/>
        <w:rPr>
          <w:rFonts w:cs="Arial"/>
        </w:rPr>
      </w:pPr>
      <w:r w:rsidRPr="00233E4D">
        <w:rPr>
          <w:rFonts w:cs="Arial"/>
        </w:rPr>
        <w:t xml:space="preserve">Los Ingresos de Libre Disposición se presupuestan en 22,029.6 </w:t>
      </w:r>
      <w:proofErr w:type="spellStart"/>
      <w:r w:rsidRPr="00233E4D">
        <w:rPr>
          <w:rFonts w:cs="Arial"/>
        </w:rPr>
        <w:t>mdp</w:t>
      </w:r>
      <w:proofErr w:type="spellEnd"/>
      <w:r w:rsidRPr="00233E4D">
        <w:rPr>
          <w:rFonts w:cs="Arial"/>
        </w:rPr>
        <w:t xml:space="preserve">. De este monto, 18,975.2 </w:t>
      </w:r>
      <w:proofErr w:type="spellStart"/>
      <w:r w:rsidRPr="00233E4D">
        <w:rPr>
          <w:rFonts w:cs="Arial"/>
        </w:rPr>
        <w:t>mdp</w:t>
      </w:r>
      <w:proofErr w:type="spellEnd"/>
      <w:r w:rsidRPr="00233E4D">
        <w:rPr>
          <w:rFonts w:cs="Arial"/>
        </w:rPr>
        <w:t xml:space="preserve"> corresponden a Ingresos Locales/Fiscales así como Participaciones. El resto de los recursos corresponden a la estimación de Ventas de Bienes y Servicios de las Entidades Paraestatales, así como Cuotas y Aportaciones de Seguridad Social del Estado.</w:t>
      </w:r>
    </w:p>
    <w:p w:rsidR="007F6887" w:rsidRPr="00233E4D" w:rsidRDefault="007F6887" w:rsidP="007F6887">
      <w:pPr>
        <w:spacing w:before="100" w:beforeAutospacing="1" w:after="100" w:afterAutospacing="1"/>
        <w:rPr>
          <w:rFonts w:cs="Arial"/>
        </w:rPr>
      </w:pPr>
      <w:r w:rsidRPr="00233E4D">
        <w:rPr>
          <w:rFonts w:cs="Arial"/>
        </w:rPr>
        <w:t>La política de Ingresos del Estado de Yucatán consiste en ampliar la base contributiva y hacer más eficientes los sistemas recaudatorios con la meta de incrementar la recaudación fiscal que permita reducir la dependencia de los ingresos federales y fortalecer los ingresos de gestión. Sin embargo, para volver a incrementar la recaudación es necesaria la reactivación económica. El Estado trabaja en estrategias que buscan hacer más eficiente la fiscalización y la recaudación de las contribuciones a través de esquemas de cobro modernos, sencillos e innovadores para la ciudadanía, mismos que facilitan el cumplimiento de las obligaciones a los contribuyentes como la diversificación de los canales de pago y la ampliación de la cobertura geográfica en el estado de las oficinas autorizadas para la recaudación, acercándolas a los contribuyentes.</w:t>
      </w:r>
    </w:p>
    <w:p w:rsidR="007F6887" w:rsidRDefault="007F6887" w:rsidP="007F6887">
      <w:pPr>
        <w:spacing w:before="100" w:beforeAutospacing="1" w:after="100" w:afterAutospacing="1"/>
        <w:rPr>
          <w:rFonts w:cs="Arial"/>
        </w:rPr>
      </w:pPr>
      <w:r w:rsidRPr="00233E4D">
        <w:rPr>
          <w:rFonts w:cs="Arial"/>
        </w:rPr>
        <w:t>Los ingresos de los ejercicios fiscales 2020 y 2021 se</w:t>
      </w:r>
      <w:r>
        <w:rPr>
          <w:rFonts w:cs="Arial"/>
        </w:rPr>
        <w:t xml:space="preserve"> presentan de la siguiente mane</w:t>
      </w:r>
      <w:r w:rsidRPr="00233E4D">
        <w:rPr>
          <w:rFonts w:cs="Arial"/>
        </w:rPr>
        <w:t>ra:</w:t>
      </w:r>
    </w:p>
    <w:tbl>
      <w:tblPr>
        <w:tblW w:w="8978" w:type="dxa"/>
        <w:tblCellMar>
          <w:left w:w="70" w:type="dxa"/>
          <w:right w:w="70" w:type="dxa"/>
        </w:tblCellMar>
        <w:tblLook w:val="04A0"/>
      </w:tblPr>
      <w:tblGrid>
        <w:gridCol w:w="1185"/>
        <w:gridCol w:w="2134"/>
        <w:gridCol w:w="46"/>
        <w:gridCol w:w="1261"/>
        <w:gridCol w:w="1262"/>
        <w:gridCol w:w="1123"/>
        <w:gridCol w:w="982"/>
        <w:gridCol w:w="150"/>
        <w:gridCol w:w="835"/>
      </w:tblGrid>
      <w:tr w:rsidR="007F6887" w:rsidRPr="00C428DD" w:rsidTr="00234DCF">
        <w:trPr>
          <w:trHeight w:val="425"/>
        </w:trPr>
        <w:tc>
          <w:tcPr>
            <w:tcW w:w="3312" w:type="dxa"/>
            <w:gridSpan w:val="2"/>
            <w:tcBorders>
              <w:top w:val="nil"/>
              <w:left w:val="nil"/>
              <w:bottom w:val="nil"/>
              <w:right w:val="nil"/>
            </w:tcBorders>
            <w:shd w:val="clear" w:color="auto" w:fill="FFC003"/>
            <w:noWrap/>
            <w:vAlign w:val="center"/>
            <w:hideMark/>
          </w:tcPr>
          <w:p w:rsidR="007F6887" w:rsidRPr="00C354AC" w:rsidRDefault="007F6887" w:rsidP="00234DCF">
            <w:pPr>
              <w:spacing w:before="120"/>
              <w:jc w:val="center"/>
              <w:rPr>
                <w:rFonts w:eastAsia="Times New Roman"/>
                <w:b/>
                <w:color w:val="FFFFFF"/>
                <w:sz w:val="18"/>
                <w:szCs w:val="18"/>
                <w:lang w:val="es-ES"/>
              </w:rPr>
            </w:pPr>
            <w:r w:rsidRPr="00F13929">
              <w:rPr>
                <w:rFonts w:eastAsia="Times New Roman"/>
                <w:b/>
                <w:sz w:val="18"/>
                <w:szCs w:val="18"/>
                <w:lang w:val="es-ES"/>
              </w:rPr>
              <w:t>Tabla 2.1</w:t>
            </w:r>
          </w:p>
        </w:tc>
        <w:tc>
          <w:tcPr>
            <w:tcW w:w="4830" w:type="dxa"/>
            <w:gridSpan w:val="6"/>
            <w:tcBorders>
              <w:top w:val="nil"/>
              <w:left w:val="nil"/>
              <w:bottom w:val="nil"/>
              <w:right w:val="nil"/>
            </w:tcBorders>
            <w:shd w:val="clear" w:color="auto" w:fill="101A58"/>
            <w:noWrap/>
            <w:vAlign w:val="center"/>
            <w:hideMark/>
          </w:tcPr>
          <w:p w:rsidR="007F6887" w:rsidRPr="00C354AC" w:rsidRDefault="007F6887" w:rsidP="00234DCF">
            <w:pPr>
              <w:spacing w:before="120"/>
              <w:jc w:val="center"/>
              <w:rPr>
                <w:rFonts w:eastAsia="Times New Roman"/>
                <w:b/>
                <w:color w:val="FFFFFF"/>
                <w:sz w:val="18"/>
                <w:szCs w:val="18"/>
                <w:lang w:val="es-ES"/>
              </w:rPr>
            </w:pPr>
            <w:r w:rsidRPr="00C354AC">
              <w:rPr>
                <w:rFonts w:eastAsia="Times New Roman"/>
                <w:b/>
                <w:color w:val="FFFFFF"/>
                <w:sz w:val="18"/>
                <w:szCs w:val="18"/>
                <w:lang w:val="es-ES"/>
              </w:rPr>
              <w:t>Ingresos Presupuestarios para el Gobierno del Estado De Yucatán</w:t>
            </w:r>
          </w:p>
        </w:tc>
        <w:tc>
          <w:tcPr>
            <w:tcW w:w="836" w:type="dxa"/>
            <w:tcBorders>
              <w:top w:val="nil"/>
              <w:left w:val="nil"/>
              <w:bottom w:val="nil"/>
              <w:right w:val="nil"/>
            </w:tcBorders>
            <w:shd w:val="clear" w:color="auto" w:fill="101A58"/>
            <w:noWrap/>
            <w:vAlign w:val="center"/>
            <w:hideMark/>
          </w:tcPr>
          <w:p w:rsidR="007F6887" w:rsidRPr="00C354AC" w:rsidRDefault="007F6887" w:rsidP="00234DCF">
            <w:pPr>
              <w:spacing w:before="120"/>
              <w:rPr>
                <w:rFonts w:eastAsia="Times New Roman"/>
                <w:color w:val="FFFFFF"/>
                <w:sz w:val="18"/>
                <w:szCs w:val="18"/>
                <w:lang w:val="es-ES"/>
              </w:rPr>
            </w:pPr>
            <w:r w:rsidRPr="00C428DD">
              <w:rPr>
                <w:rFonts w:eastAsia="Times New Roman"/>
                <w:color w:val="FFFFFF"/>
                <w:sz w:val="18"/>
                <w:szCs w:val="18"/>
                <w:lang w:val="es-ES"/>
              </w:rPr>
              <w:t> </w:t>
            </w:r>
          </w:p>
        </w:tc>
      </w:tr>
      <w:tr w:rsidR="007F6887" w:rsidRPr="00C428DD" w:rsidTr="00234DCF">
        <w:trPr>
          <w:trHeight w:val="20"/>
        </w:trPr>
        <w:tc>
          <w:tcPr>
            <w:tcW w:w="3358" w:type="dxa"/>
            <w:gridSpan w:val="3"/>
            <w:vMerge w:val="restart"/>
            <w:tcBorders>
              <w:top w:val="single" w:sz="4" w:space="0" w:color="FFFFFF"/>
              <w:left w:val="single" w:sz="4" w:space="0" w:color="FFFFFF"/>
              <w:bottom w:val="single" w:sz="4" w:space="0" w:color="FFFFFF"/>
              <w:right w:val="single" w:sz="4" w:space="0" w:color="FFFFFF"/>
            </w:tcBorders>
            <w:shd w:val="clear" w:color="000000" w:fill="105C76"/>
            <w:vAlign w:val="center"/>
            <w:hideMark/>
          </w:tcPr>
          <w:p w:rsidR="007F6887" w:rsidRPr="00C354AC" w:rsidRDefault="007F6887" w:rsidP="00234DCF">
            <w:pPr>
              <w:spacing w:before="120"/>
              <w:jc w:val="center"/>
              <w:rPr>
                <w:rFonts w:eastAsia="Times New Roman"/>
                <w:b/>
                <w:bCs/>
                <w:color w:val="FFFFFF"/>
                <w:sz w:val="18"/>
                <w:szCs w:val="18"/>
                <w:lang w:eastAsia="es-MX"/>
              </w:rPr>
            </w:pPr>
            <w:r w:rsidRPr="00C354AC">
              <w:rPr>
                <w:rFonts w:eastAsia="Times New Roman"/>
                <w:b/>
                <w:bCs/>
                <w:color w:val="FFFFFF"/>
                <w:sz w:val="18"/>
                <w:szCs w:val="18"/>
                <w:lang w:eastAsia="es-MX"/>
              </w:rPr>
              <w:t xml:space="preserve">Ingresos* </w:t>
            </w:r>
          </w:p>
        </w:tc>
        <w:tc>
          <w:tcPr>
            <w:tcW w:w="1263" w:type="dxa"/>
            <w:tcBorders>
              <w:top w:val="single" w:sz="4" w:space="0" w:color="FFFFFF"/>
              <w:left w:val="nil"/>
              <w:bottom w:val="single" w:sz="4" w:space="0" w:color="FFFFFF"/>
              <w:right w:val="single" w:sz="4" w:space="0" w:color="FFFFFF"/>
            </w:tcBorders>
            <w:shd w:val="clear" w:color="D5F0F9" w:fill="105C76"/>
            <w:vAlign w:val="center"/>
            <w:hideMark/>
          </w:tcPr>
          <w:p w:rsidR="007F6887" w:rsidRPr="00C354AC" w:rsidRDefault="007F6887" w:rsidP="00234DCF">
            <w:pPr>
              <w:spacing w:before="120"/>
              <w:jc w:val="center"/>
              <w:rPr>
                <w:rFonts w:eastAsia="Times New Roman"/>
                <w:b/>
                <w:bCs/>
                <w:color w:val="FFFFFF"/>
                <w:sz w:val="18"/>
                <w:szCs w:val="18"/>
                <w:lang w:eastAsia="es-MX"/>
              </w:rPr>
            </w:pPr>
            <w:r w:rsidRPr="00C354AC">
              <w:rPr>
                <w:rFonts w:eastAsia="Times New Roman"/>
                <w:b/>
                <w:bCs/>
                <w:color w:val="FFFFFF"/>
                <w:sz w:val="18"/>
                <w:szCs w:val="18"/>
                <w:lang w:eastAsia="es-MX"/>
              </w:rPr>
              <w:t xml:space="preserve"> LIE 2020 </w:t>
            </w:r>
          </w:p>
        </w:tc>
        <w:tc>
          <w:tcPr>
            <w:tcW w:w="1264" w:type="dxa"/>
            <w:tcBorders>
              <w:top w:val="single" w:sz="4" w:space="0" w:color="FFFFFF"/>
              <w:left w:val="nil"/>
              <w:bottom w:val="single" w:sz="4" w:space="0" w:color="FFFFFF"/>
              <w:right w:val="single" w:sz="4" w:space="0" w:color="FFFFFF"/>
            </w:tcBorders>
            <w:shd w:val="clear" w:color="D5F0F9" w:fill="105C76"/>
            <w:vAlign w:val="center"/>
            <w:hideMark/>
          </w:tcPr>
          <w:p w:rsidR="007F6887" w:rsidRPr="00C354AC" w:rsidRDefault="007F6887" w:rsidP="00234DCF">
            <w:pPr>
              <w:spacing w:before="120"/>
              <w:jc w:val="center"/>
              <w:rPr>
                <w:rFonts w:eastAsia="Times New Roman"/>
                <w:b/>
                <w:bCs/>
                <w:color w:val="FFFFFF"/>
                <w:sz w:val="18"/>
                <w:szCs w:val="18"/>
                <w:lang w:eastAsia="es-MX"/>
              </w:rPr>
            </w:pPr>
            <w:r w:rsidRPr="00C354AC">
              <w:rPr>
                <w:rFonts w:eastAsia="Times New Roman"/>
                <w:b/>
                <w:bCs/>
                <w:color w:val="FFFFFF"/>
                <w:sz w:val="18"/>
                <w:szCs w:val="18"/>
                <w:lang w:eastAsia="es-MX"/>
              </w:rPr>
              <w:t xml:space="preserve"> Solicitado 2021 </w:t>
            </w:r>
          </w:p>
        </w:tc>
        <w:tc>
          <w:tcPr>
            <w:tcW w:w="1124" w:type="dxa"/>
            <w:tcBorders>
              <w:top w:val="single" w:sz="4" w:space="0" w:color="FFFFFF"/>
              <w:left w:val="nil"/>
              <w:bottom w:val="single" w:sz="4" w:space="0" w:color="FFFFFF"/>
              <w:right w:val="single" w:sz="4" w:space="0" w:color="FFFFFF"/>
            </w:tcBorders>
            <w:shd w:val="clear" w:color="D5F0F9" w:fill="105C76"/>
            <w:vAlign w:val="center"/>
            <w:hideMark/>
          </w:tcPr>
          <w:p w:rsidR="007F6887" w:rsidRPr="00C354AC" w:rsidRDefault="007F6887" w:rsidP="00234DCF">
            <w:pPr>
              <w:spacing w:before="120"/>
              <w:jc w:val="center"/>
              <w:rPr>
                <w:rFonts w:eastAsia="Times New Roman"/>
                <w:b/>
                <w:bCs/>
                <w:color w:val="FFFFFF"/>
                <w:sz w:val="18"/>
                <w:szCs w:val="18"/>
                <w:lang w:eastAsia="es-MX"/>
              </w:rPr>
            </w:pPr>
            <w:r w:rsidRPr="00C354AC">
              <w:rPr>
                <w:rFonts w:eastAsia="Times New Roman"/>
                <w:b/>
                <w:bCs/>
                <w:color w:val="FFFFFF"/>
                <w:sz w:val="18"/>
                <w:szCs w:val="18"/>
                <w:lang w:eastAsia="es-MX"/>
              </w:rPr>
              <w:t xml:space="preserve"> ∆$ Nominal </w:t>
            </w:r>
          </w:p>
        </w:tc>
        <w:tc>
          <w:tcPr>
            <w:tcW w:w="1969" w:type="dxa"/>
            <w:gridSpan w:val="3"/>
            <w:tcBorders>
              <w:top w:val="single" w:sz="4" w:space="0" w:color="FFFFFF"/>
              <w:left w:val="nil"/>
              <w:bottom w:val="single" w:sz="4" w:space="0" w:color="FFFFFF"/>
              <w:right w:val="single" w:sz="4" w:space="0" w:color="FFFFFF"/>
            </w:tcBorders>
            <w:shd w:val="clear" w:color="D5F0F9" w:fill="105C76"/>
            <w:vAlign w:val="center"/>
            <w:hideMark/>
          </w:tcPr>
          <w:p w:rsidR="007F6887" w:rsidRPr="00C354AC" w:rsidRDefault="007F6887" w:rsidP="00234DCF">
            <w:pPr>
              <w:spacing w:before="120"/>
              <w:jc w:val="center"/>
              <w:rPr>
                <w:rFonts w:eastAsia="Times New Roman"/>
                <w:b/>
                <w:bCs/>
                <w:color w:val="FFFFFF"/>
                <w:sz w:val="18"/>
                <w:szCs w:val="18"/>
                <w:lang w:eastAsia="es-MX"/>
              </w:rPr>
            </w:pPr>
            <w:r w:rsidRPr="00C354AC">
              <w:rPr>
                <w:rFonts w:eastAsia="Times New Roman"/>
                <w:b/>
                <w:bCs/>
                <w:color w:val="FFFFFF"/>
                <w:sz w:val="18"/>
                <w:szCs w:val="18"/>
                <w:lang w:eastAsia="es-MX"/>
              </w:rPr>
              <w:t xml:space="preserve"> ∆Real (inflación 4.09%</w:t>
            </w:r>
            <w:proofErr w:type="gramStart"/>
            <w:r w:rsidRPr="00C354AC">
              <w:rPr>
                <w:rFonts w:eastAsia="Times New Roman"/>
                <w:b/>
                <w:bCs/>
                <w:color w:val="FFFFFF"/>
                <w:sz w:val="18"/>
                <w:szCs w:val="18"/>
                <w:lang w:eastAsia="es-MX"/>
              </w:rPr>
              <w:t>)*</w:t>
            </w:r>
            <w:proofErr w:type="gramEnd"/>
            <w:r w:rsidRPr="00C354AC">
              <w:rPr>
                <w:rFonts w:eastAsia="Times New Roman"/>
                <w:b/>
                <w:bCs/>
                <w:color w:val="FFFFFF"/>
                <w:sz w:val="18"/>
                <w:szCs w:val="18"/>
                <w:lang w:eastAsia="es-MX"/>
              </w:rPr>
              <w:t xml:space="preserve">* </w:t>
            </w:r>
          </w:p>
        </w:tc>
      </w:tr>
      <w:tr w:rsidR="007F6887" w:rsidRPr="00C428DD" w:rsidTr="00234DCF">
        <w:trPr>
          <w:trHeight w:val="20"/>
        </w:trPr>
        <w:tc>
          <w:tcPr>
            <w:tcW w:w="3358" w:type="dxa"/>
            <w:gridSpan w:val="3"/>
            <w:vMerge/>
            <w:tcBorders>
              <w:top w:val="single" w:sz="4" w:space="0" w:color="FFFFFF"/>
              <w:left w:val="single" w:sz="4" w:space="0" w:color="FFFFFF"/>
              <w:bottom w:val="single" w:sz="4" w:space="0" w:color="FFFFFF"/>
              <w:right w:val="single" w:sz="4" w:space="0" w:color="FFFFFF"/>
            </w:tcBorders>
            <w:vAlign w:val="center"/>
            <w:hideMark/>
          </w:tcPr>
          <w:p w:rsidR="007F6887" w:rsidRPr="00C354AC" w:rsidRDefault="007F6887" w:rsidP="00234DCF">
            <w:pPr>
              <w:spacing w:before="120"/>
              <w:rPr>
                <w:rFonts w:eastAsia="Times New Roman"/>
                <w:b/>
                <w:bCs/>
                <w:color w:val="FFFFFF"/>
                <w:sz w:val="18"/>
                <w:szCs w:val="18"/>
                <w:lang w:eastAsia="es-MX"/>
              </w:rPr>
            </w:pPr>
          </w:p>
        </w:tc>
        <w:tc>
          <w:tcPr>
            <w:tcW w:w="1263" w:type="dxa"/>
            <w:tcBorders>
              <w:top w:val="nil"/>
              <w:left w:val="nil"/>
              <w:bottom w:val="single" w:sz="4" w:space="0" w:color="FFFFFF"/>
              <w:right w:val="single" w:sz="4" w:space="0" w:color="FFFFFF"/>
            </w:tcBorders>
            <w:shd w:val="clear" w:color="D5F0F9" w:fill="105C76"/>
            <w:vAlign w:val="center"/>
            <w:hideMark/>
          </w:tcPr>
          <w:p w:rsidR="007F6887" w:rsidRPr="00C354AC" w:rsidRDefault="007F6887" w:rsidP="00234DCF">
            <w:pPr>
              <w:spacing w:before="120"/>
              <w:jc w:val="center"/>
              <w:rPr>
                <w:rFonts w:eastAsia="Times New Roman"/>
                <w:b/>
                <w:bCs/>
                <w:color w:val="FFFFFF"/>
                <w:sz w:val="18"/>
                <w:szCs w:val="18"/>
                <w:lang w:eastAsia="es-MX"/>
              </w:rPr>
            </w:pPr>
            <w:r w:rsidRPr="00C354AC">
              <w:rPr>
                <w:rFonts w:eastAsia="Times New Roman"/>
                <w:b/>
                <w:bCs/>
                <w:color w:val="FFFFFF"/>
                <w:sz w:val="18"/>
                <w:szCs w:val="18"/>
                <w:lang w:eastAsia="es-MX"/>
              </w:rPr>
              <w:t xml:space="preserve"> ( A ) </w:t>
            </w:r>
          </w:p>
        </w:tc>
        <w:tc>
          <w:tcPr>
            <w:tcW w:w="1264" w:type="dxa"/>
            <w:tcBorders>
              <w:top w:val="nil"/>
              <w:left w:val="nil"/>
              <w:bottom w:val="single" w:sz="4" w:space="0" w:color="FFFFFF"/>
              <w:right w:val="single" w:sz="4" w:space="0" w:color="FFFFFF"/>
            </w:tcBorders>
            <w:shd w:val="clear" w:color="D5F0F9" w:fill="105C76"/>
            <w:vAlign w:val="center"/>
            <w:hideMark/>
          </w:tcPr>
          <w:p w:rsidR="007F6887" w:rsidRPr="00C354AC" w:rsidRDefault="007F6887" w:rsidP="00234DCF">
            <w:pPr>
              <w:spacing w:before="120"/>
              <w:jc w:val="center"/>
              <w:rPr>
                <w:rFonts w:eastAsia="Times New Roman"/>
                <w:b/>
                <w:bCs/>
                <w:color w:val="FFFFFF"/>
                <w:sz w:val="18"/>
                <w:szCs w:val="18"/>
                <w:lang w:eastAsia="es-MX"/>
              </w:rPr>
            </w:pPr>
            <w:r w:rsidRPr="00C354AC">
              <w:rPr>
                <w:rFonts w:eastAsia="Times New Roman"/>
                <w:b/>
                <w:bCs/>
                <w:color w:val="FFFFFF"/>
                <w:sz w:val="18"/>
                <w:szCs w:val="18"/>
                <w:lang w:eastAsia="es-MX"/>
              </w:rPr>
              <w:t xml:space="preserve"> ( B ) </w:t>
            </w:r>
          </w:p>
        </w:tc>
        <w:tc>
          <w:tcPr>
            <w:tcW w:w="1124" w:type="dxa"/>
            <w:tcBorders>
              <w:top w:val="nil"/>
              <w:left w:val="nil"/>
              <w:bottom w:val="single" w:sz="4" w:space="0" w:color="FFFFFF"/>
              <w:right w:val="single" w:sz="4" w:space="0" w:color="FFFFFF"/>
            </w:tcBorders>
            <w:shd w:val="clear" w:color="D5F0F9" w:fill="105C76"/>
            <w:vAlign w:val="center"/>
            <w:hideMark/>
          </w:tcPr>
          <w:p w:rsidR="007F6887" w:rsidRPr="00C354AC" w:rsidRDefault="007F6887" w:rsidP="00234DCF">
            <w:pPr>
              <w:spacing w:before="120"/>
              <w:jc w:val="center"/>
              <w:rPr>
                <w:rFonts w:eastAsia="Times New Roman"/>
                <w:b/>
                <w:bCs/>
                <w:color w:val="FFFFFF"/>
                <w:sz w:val="18"/>
                <w:szCs w:val="18"/>
                <w:lang w:eastAsia="es-MX"/>
              </w:rPr>
            </w:pPr>
            <w:r w:rsidRPr="00C354AC">
              <w:rPr>
                <w:rFonts w:eastAsia="Times New Roman"/>
                <w:b/>
                <w:bCs/>
                <w:color w:val="FFFFFF"/>
                <w:sz w:val="18"/>
                <w:szCs w:val="18"/>
                <w:lang w:eastAsia="es-MX"/>
              </w:rPr>
              <w:t xml:space="preserve"> C=B-A </w:t>
            </w:r>
          </w:p>
        </w:tc>
        <w:tc>
          <w:tcPr>
            <w:tcW w:w="983" w:type="dxa"/>
            <w:tcBorders>
              <w:top w:val="nil"/>
              <w:left w:val="nil"/>
              <w:bottom w:val="single" w:sz="4" w:space="0" w:color="FFFFFF"/>
              <w:right w:val="single" w:sz="4" w:space="0" w:color="FFFFFF"/>
            </w:tcBorders>
            <w:shd w:val="clear" w:color="D5F0F9" w:fill="105C76"/>
            <w:vAlign w:val="center"/>
            <w:hideMark/>
          </w:tcPr>
          <w:p w:rsidR="007F6887" w:rsidRPr="00C354AC" w:rsidRDefault="007F6887" w:rsidP="00234DCF">
            <w:pPr>
              <w:spacing w:before="120"/>
              <w:jc w:val="center"/>
              <w:rPr>
                <w:rFonts w:eastAsia="Times New Roman"/>
                <w:b/>
                <w:bCs/>
                <w:color w:val="FFFFFF"/>
                <w:sz w:val="18"/>
                <w:szCs w:val="18"/>
                <w:lang w:eastAsia="es-MX"/>
              </w:rPr>
            </w:pPr>
            <w:r w:rsidRPr="00C354AC">
              <w:rPr>
                <w:rFonts w:eastAsia="Times New Roman"/>
                <w:b/>
                <w:bCs/>
                <w:color w:val="FFFFFF"/>
                <w:sz w:val="18"/>
                <w:szCs w:val="18"/>
                <w:lang w:eastAsia="es-MX"/>
              </w:rPr>
              <w:t xml:space="preserve"> ( $ ) </w:t>
            </w:r>
          </w:p>
        </w:tc>
        <w:tc>
          <w:tcPr>
            <w:tcW w:w="986" w:type="dxa"/>
            <w:gridSpan w:val="2"/>
            <w:tcBorders>
              <w:top w:val="nil"/>
              <w:left w:val="nil"/>
              <w:bottom w:val="single" w:sz="4" w:space="0" w:color="FFFFFF"/>
              <w:right w:val="single" w:sz="4" w:space="0" w:color="FFFFFF"/>
            </w:tcBorders>
            <w:shd w:val="clear" w:color="D5F0F9" w:fill="105C76"/>
            <w:vAlign w:val="center"/>
            <w:hideMark/>
          </w:tcPr>
          <w:p w:rsidR="007F6887" w:rsidRPr="00C354AC" w:rsidRDefault="007F6887" w:rsidP="00234DCF">
            <w:pPr>
              <w:spacing w:before="120"/>
              <w:jc w:val="center"/>
              <w:rPr>
                <w:rFonts w:eastAsia="Times New Roman"/>
                <w:b/>
                <w:bCs/>
                <w:color w:val="FFFFFF"/>
                <w:sz w:val="18"/>
                <w:szCs w:val="18"/>
                <w:lang w:eastAsia="es-MX"/>
              </w:rPr>
            </w:pPr>
            <w:r w:rsidRPr="00C354AC">
              <w:rPr>
                <w:rFonts w:eastAsia="Times New Roman"/>
                <w:b/>
                <w:bCs/>
                <w:color w:val="FFFFFF"/>
                <w:sz w:val="18"/>
                <w:szCs w:val="18"/>
                <w:lang w:eastAsia="es-MX"/>
              </w:rPr>
              <w:t xml:space="preserve"> ( % ) </w:t>
            </w:r>
          </w:p>
        </w:tc>
      </w:tr>
      <w:tr w:rsidR="007F6887" w:rsidRPr="00C428DD" w:rsidTr="00234DCF">
        <w:trPr>
          <w:trHeight w:val="20"/>
        </w:trPr>
        <w:tc>
          <w:tcPr>
            <w:tcW w:w="3358" w:type="dxa"/>
            <w:gridSpan w:val="3"/>
            <w:tcBorders>
              <w:top w:val="single" w:sz="4" w:space="0" w:color="FFFFFF"/>
              <w:left w:val="single" w:sz="4" w:space="0" w:color="FFFFFF"/>
              <w:bottom w:val="single" w:sz="4" w:space="0" w:color="FFFFFF"/>
              <w:right w:val="single" w:sz="4" w:space="0" w:color="FFFFFF"/>
            </w:tcBorders>
            <w:shd w:val="clear" w:color="000000" w:fill="000000"/>
            <w:vAlign w:val="bottom"/>
            <w:hideMark/>
          </w:tcPr>
          <w:p w:rsidR="007F6887" w:rsidRPr="00C354AC" w:rsidRDefault="007F6887" w:rsidP="00234DCF">
            <w:pPr>
              <w:spacing w:before="120"/>
              <w:jc w:val="center"/>
              <w:rPr>
                <w:rFonts w:eastAsia="Times New Roman"/>
                <w:b/>
                <w:bCs/>
                <w:color w:val="FFFFFF"/>
                <w:sz w:val="18"/>
                <w:szCs w:val="18"/>
                <w:lang w:eastAsia="es-MX"/>
              </w:rPr>
            </w:pPr>
            <w:r w:rsidRPr="00C354AC">
              <w:rPr>
                <w:rFonts w:eastAsia="Times New Roman"/>
                <w:b/>
                <w:bCs/>
                <w:color w:val="FFFFFF"/>
                <w:sz w:val="18"/>
                <w:szCs w:val="18"/>
                <w:lang w:eastAsia="es-MX"/>
              </w:rPr>
              <w:t>TOTAL</w:t>
            </w:r>
          </w:p>
        </w:tc>
        <w:tc>
          <w:tcPr>
            <w:tcW w:w="1263" w:type="dxa"/>
            <w:tcBorders>
              <w:top w:val="nil"/>
              <w:left w:val="nil"/>
              <w:bottom w:val="single" w:sz="4" w:space="0" w:color="FFFFFF"/>
              <w:right w:val="single" w:sz="4" w:space="0" w:color="FFFFFF"/>
            </w:tcBorders>
            <w:shd w:val="clear" w:color="D5F0F9" w:fill="000000"/>
            <w:noWrap/>
            <w:vAlign w:val="center"/>
            <w:hideMark/>
          </w:tcPr>
          <w:p w:rsidR="007F6887" w:rsidRPr="00C354AC" w:rsidRDefault="007F6887" w:rsidP="00234DCF">
            <w:pPr>
              <w:spacing w:before="120"/>
              <w:jc w:val="right"/>
              <w:rPr>
                <w:rFonts w:eastAsia="Times New Roman"/>
                <w:b/>
                <w:bCs/>
                <w:color w:val="FFFFFF"/>
                <w:sz w:val="18"/>
                <w:szCs w:val="18"/>
                <w:lang w:eastAsia="es-MX"/>
              </w:rPr>
            </w:pPr>
            <w:r w:rsidRPr="00C354AC">
              <w:rPr>
                <w:rFonts w:eastAsia="Times New Roman"/>
                <w:b/>
                <w:bCs/>
                <w:color w:val="FFFFFF"/>
                <w:sz w:val="18"/>
                <w:szCs w:val="18"/>
                <w:lang w:eastAsia="es-MX"/>
              </w:rPr>
              <w:t xml:space="preserve">        41,852.8 </w:t>
            </w:r>
          </w:p>
        </w:tc>
        <w:tc>
          <w:tcPr>
            <w:tcW w:w="1264" w:type="dxa"/>
            <w:tcBorders>
              <w:top w:val="nil"/>
              <w:left w:val="nil"/>
              <w:bottom w:val="single" w:sz="4" w:space="0" w:color="FFFFFF"/>
              <w:right w:val="single" w:sz="4" w:space="0" w:color="FFFFFF"/>
            </w:tcBorders>
            <w:shd w:val="clear" w:color="D5F0F9" w:fill="000000"/>
            <w:noWrap/>
            <w:vAlign w:val="center"/>
            <w:hideMark/>
          </w:tcPr>
          <w:p w:rsidR="007F6887" w:rsidRPr="00C354AC" w:rsidRDefault="007F6887" w:rsidP="00234DCF">
            <w:pPr>
              <w:spacing w:before="120"/>
              <w:jc w:val="right"/>
              <w:rPr>
                <w:rFonts w:eastAsia="Times New Roman"/>
                <w:b/>
                <w:bCs/>
                <w:color w:val="FFFFFF"/>
                <w:sz w:val="18"/>
                <w:szCs w:val="18"/>
                <w:lang w:eastAsia="es-MX"/>
              </w:rPr>
            </w:pPr>
            <w:r w:rsidRPr="00C354AC">
              <w:rPr>
                <w:rFonts w:eastAsia="Times New Roman"/>
                <w:b/>
                <w:bCs/>
                <w:color w:val="FFFFFF"/>
                <w:sz w:val="18"/>
                <w:szCs w:val="18"/>
                <w:lang w:eastAsia="es-MX"/>
              </w:rPr>
              <w:t xml:space="preserve">            41,136.1 </w:t>
            </w:r>
          </w:p>
        </w:tc>
        <w:tc>
          <w:tcPr>
            <w:tcW w:w="1124" w:type="dxa"/>
            <w:tcBorders>
              <w:top w:val="nil"/>
              <w:left w:val="nil"/>
              <w:bottom w:val="single" w:sz="4" w:space="0" w:color="FFFFFF"/>
              <w:right w:val="single" w:sz="4" w:space="0" w:color="FFFFFF"/>
            </w:tcBorders>
            <w:shd w:val="clear" w:color="D5F0F9" w:fill="000000"/>
            <w:noWrap/>
            <w:vAlign w:val="center"/>
            <w:hideMark/>
          </w:tcPr>
          <w:p w:rsidR="007F6887" w:rsidRPr="00C354AC" w:rsidRDefault="007F6887" w:rsidP="00234DCF">
            <w:pPr>
              <w:spacing w:before="120"/>
              <w:jc w:val="right"/>
              <w:rPr>
                <w:rFonts w:eastAsia="Times New Roman"/>
                <w:b/>
                <w:bCs/>
                <w:color w:val="FFFFFF"/>
                <w:sz w:val="18"/>
                <w:szCs w:val="18"/>
                <w:lang w:eastAsia="es-MX"/>
              </w:rPr>
            </w:pPr>
            <w:r w:rsidRPr="00C354AC">
              <w:rPr>
                <w:rFonts w:eastAsia="Times New Roman"/>
                <w:b/>
                <w:bCs/>
                <w:color w:val="FF0000"/>
                <w:sz w:val="18"/>
                <w:szCs w:val="18"/>
                <w:lang w:eastAsia="es-MX"/>
              </w:rPr>
              <w:t xml:space="preserve">-717 </w:t>
            </w:r>
          </w:p>
        </w:tc>
        <w:tc>
          <w:tcPr>
            <w:tcW w:w="983" w:type="dxa"/>
            <w:tcBorders>
              <w:top w:val="nil"/>
              <w:left w:val="nil"/>
              <w:bottom w:val="single" w:sz="4" w:space="0" w:color="FFFFFF"/>
              <w:right w:val="single" w:sz="4" w:space="0" w:color="FFFFFF"/>
            </w:tcBorders>
            <w:shd w:val="clear" w:color="D5F0F9" w:fill="000000"/>
            <w:noWrap/>
            <w:vAlign w:val="center"/>
            <w:hideMark/>
          </w:tcPr>
          <w:p w:rsidR="007F6887" w:rsidRPr="00C354AC" w:rsidRDefault="007F6887" w:rsidP="00234DCF">
            <w:pPr>
              <w:spacing w:before="120"/>
              <w:jc w:val="right"/>
              <w:rPr>
                <w:rFonts w:eastAsia="Times New Roman"/>
                <w:b/>
                <w:bCs/>
                <w:color w:val="FFFFFF"/>
                <w:sz w:val="18"/>
                <w:szCs w:val="18"/>
                <w:lang w:eastAsia="es-MX"/>
              </w:rPr>
            </w:pPr>
            <w:r w:rsidRPr="00C354AC">
              <w:rPr>
                <w:rFonts w:eastAsia="Times New Roman"/>
                <w:b/>
                <w:bCs/>
                <w:color w:val="FF0000"/>
                <w:sz w:val="18"/>
                <w:szCs w:val="18"/>
                <w:lang w:eastAsia="es-MX"/>
              </w:rPr>
              <w:t xml:space="preserve">-2,428 </w:t>
            </w:r>
          </w:p>
        </w:tc>
        <w:tc>
          <w:tcPr>
            <w:tcW w:w="986" w:type="dxa"/>
            <w:gridSpan w:val="2"/>
            <w:tcBorders>
              <w:top w:val="nil"/>
              <w:left w:val="nil"/>
              <w:bottom w:val="single" w:sz="4" w:space="0" w:color="FFFFFF"/>
              <w:right w:val="single" w:sz="4" w:space="0" w:color="FFFFFF"/>
            </w:tcBorders>
            <w:shd w:val="clear" w:color="D5F0F9" w:fill="000000"/>
            <w:noWrap/>
            <w:vAlign w:val="center"/>
            <w:hideMark/>
          </w:tcPr>
          <w:p w:rsidR="007F6887" w:rsidRPr="00C354AC" w:rsidRDefault="007F6887" w:rsidP="00234DCF">
            <w:pPr>
              <w:spacing w:before="120"/>
              <w:jc w:val="right"/>
              <w:rPr>
                <w:rFonts w:eastAsia="Times New Roman"/>
                <w:b/>
                <w:bCs/>
                <w:color w:val="FFFFFF"/>
                <w:sz w:val="18"/>
                <w:szCs w:val="18"/>
                <w:lang w:eastAsia="es-MX"/>
              </w:rPr>
            </w:pPr>
            <w:r w:rsidRPr="00C354AC">
              <w:rPr>
                <w:rFonts w:eastAsia="Times New Roman"/>
                <w:b/>
                <w:bCs/>
                <w:color w:val="FF0000"/>
                <w:sz w:val="18"/>
                <w:szCs w:val="18"/>
                <w:lang w:eastAsia="es-MX"/>
              </w:rPr>
              <w:t>-5.6%</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2AB6E2"/>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A )</w:t>
            </w:r>
          </w:p>
        </w:tc>
        <w:tc>
          <w:tcPr>
            <w:tcW w:w="2183" w:type="dxa"/>
            <w:gridSpan w:val="2"/>
            <w:tcBorders>
              <w:top w:val="nil"/>
              <w:left w:val="nil"/>
              <w:bottom w:val="single" w:sz="4" w:space="0" w:color="FFFFFF"/>
              <w:right w:val="single" w:sz="4" w:space="0" w:color="FFFFFF"/>
            </w:tcBorders>
            <w:shd w:val="clear" w:color="000000" w:fill="2AB6E2"/>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RECURSOS FEDERALES</w:t>
            </w:r>
          </w:p>
        </w:tc>
        <w:tc>
          <w:tcPr>
            <w:tcW w:w="1263"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34,375.4 </w:t>
            </w:r>
          </w:p>
        </w:tc>
        <w:tc>
          <w:tcPr>
            <w:tcW w:w="1264"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34,581.0 </w:t>
            </w:r>
          </w:p>
        </w:tc>
        <w:tc>
          <w:tcPr>
            <w:tcW w:w="1124"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206 </w:t>
            </w:r>
          </w:p>
        </w:tc>
        <w:tc>
          <w:tcPr>
            <w:tcW w:w="983"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-1,200 </w:t>
            </w:r>
          </w:p>
        </w:tc>
        <w:tc>
          <w:tcPr>
            <w:tcW w:w="986" w:type="dxa"/>
            <w:gridSpan w:val="2"/>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-3.4%</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5F0F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a1 )</w:t>
            </w:r>
          </w:p>
        </w:tc>
        <w:tc>
          <w:tcPr>
            <w:tcW w:w="2183" w:type="dxa"/>
            <w:gridSpan w:val="2"/>
            <w:tcBorders>
              <w:top w:val="nil"/>
              <w:left w:val="nil"/>
              <w:bottom w:val="single" w:sz="4" w:space="0" w:color="FFFFFF"/>
              <w:right w:val="single" w:sz="4" w:space="0" w:color="FFFFFF"/>
            </w:tcBorders>
            <w:shd w:val="clear" w:color="000000" w:fill="D5F0F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Aportaciones</w:t>
            </w:r>
          </w:p>
        </w:tc>
        <w:tc>
          <w:tcPr>
            <w:tcW w:w="126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13,542.2 </w:t>
            </w:r>
          </w:p>
        </w:tc>
        <w:tc>
          <w:tcPr>
            <w:tcW w:w="126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14,060.8 </w:t>
            </w:r>
          </w:p>
        </w:tc>
        <w:tc>
          <w:tcPr>
            <w:tcW w:w="112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519 </w:t>
            </w:r>
          </w:p>
        </w:tc>
        <w:tc>
          <w:tcPr>
            <w:tcW w:w="98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-35 </w:t>
            </w:r>
          </w:p>
        </w:tc>
        <w:tc>
          <w:tcPr>
            <w:tcW w:w="986" w:type="dxa"/>
            <w:gridSpan w:val="2"/>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-0.3%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FFFFFF"/>
            <w:vAlign w:val="center"/>
            <w:hideMark/>
          </w:tcPr>
          <w:p w:rsidR="007F6887" w:rsidRPr="00C354AC" w:rsidRDefault="007F6887" w:rsidP="00234DCF">
            <w:pPr>
              <w:spacing w:before="120"/>
              <w:jc w:val="center"/>
              <w:rPr>
                <w:rFonts w:eastAsia="Times New Roman"/>
                <w:color w:val="000000"/>
                <w:sz w:val="18"/>
                <w:szCs w:val="18"/>
                <w:lang w:eastAsia="es-MX"/>
              </w:rPr>
            </w:pPr>
            <w:r w:rsidRPr="00C354AC">
              <w:rPr>
                <w:rFonts w:eastAsia="Times New Roman"/>
                <w:color w:val="000000"/>
                <w:sz w:val="18"/>
                <w:szCs w:val="18"/>
                <w:lang w:eastAsia="es-MX"/>
              </w:rPr>
              <w:t> </w:t>
            </w:r>
          </w:p>
        </w:tc>
        <w:tc>
          <w:tcPr>
            <w:tcW w:w="2183" w:type="dxa"/>
            <w:gridSpan w:val="2"/>
            <w:tcBorders>
              <w:top w:val="nil"/>
              <w:left w:val="nil"/>
              <w:bottom w:val="single" w:sz="4" w:space="0" w:color="FFFFFF"/>
              <w:right w:val="single" w:sz="4" w:space="0" w:color="FFFFFF"/>
            </w:tcBorders>
            <w:shd w:val="clear" w:color="000000" w:fill="FFFFFF"/>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Para el pago de Nómina</w:t>
            </w:r>
          </w:p>
        </w:tc>
        <w:tc>
          <w:tcPr>
            <w:tcW w:w="126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8,148.8 </w:t>
            </w:r>
          </w:p>
        </w:tc>
        <w:tc>
          <w:tcPr>
            <w:tcW w:w="126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8,824.4 </w:t>
            </w:r>
          </w:p>
        </w:tc>
        <w:tc>
          <w:tcPr>
            <w:tcW w:w="112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676 </w:t>
            </w:r>
          </w:p>
        </w:tc>
        <w:tc>
          <w:tcPr>
            <w:tcW w:w="98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342 </w:t>
            </w:r>
          </w:p>
        </w:tc>
        <w:tc>
          <w:tcPr>
            <w:tcW w:w="986" w:type="dxa"/>
            <w:gridSpan w:val="2"/>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4.0%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FFFFFF"/>
            <w:vAlign w:val="center"/>
            <w:hideMark/>
          </w:tcPr>
          <w:p w:rsidR="007F6887" w:rsidRPr="00C354AC" w:rsidRDefault="007F6887" w:rsidP="00234DCF">
            <w:pPr>
              <w:spacing w:before="120"/>
              <w:jc w:val="center"/>
              <w:rPr>
                <w:rFonts w:eastAsia="Times New Roman"/>
                <w:color w:val="000000"/>
                <w:sz w:val="18"/>
                <w:szCs w:val="18"/>
                <w:lang w:eastAsia="es-MX"/>
              </w:rPr>
            </w:pPr>
            <w:r w:rsidRPr="00C354AC">
              <w:rPr>
                <w:rFonts w:eastAsia="Times New Roman"/>
                <w:color w:val="000000"/>
                <w:sz w:val="18"/>
                <w:szCs w:val="18"/>
                <w:lang w:eastAsia="es-MX"/>
              </w:rPr>
              <w:t> </w:t>
            </w:r>
          </w:p>
        </w:tc>
        <w:tc>
          <w:tcPr>
            <w:tcW w:w="2183" w:type="dxa"/>
            <w:gridSpan w:val="2"/>
            <w:tcBorders>
              <w:top w:val="nil"/>
              <w:left w:val="nil"/>
              <w:bottom w:val="single" w:sz="4" w:space="0" w:color="FFFFFF"/>
              <w:right w:val="single" w:sz="4" w:space="0" w:color="FFFFFF"/>
            </w:tcBorders>
            <w:shd w:val="clear" w:color="000000" w:fill="FFFFFF"/>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Otros Fondos de Aportaciones</w:t>
            </w:r>
          </w:p>
        </w:tc>
        <w:tc>
          <w:tcPr>
            <w:tcW w:w="126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5,393.4 </w:t>
            </w:r>
          </w:p>
        </w:tc>
        <w:tc>
          <w:tcPr>
            <w:tcW w:w="126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5,236.4 </w:t>
            </w:r>
          </w:p>
        </w:tc>
        <w:tc>
          <w:tcPr>
            <w:tcW w:w="112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-157 </w:t>
            </w:r>
          </w:p>
        </w:tc>
        <w:tc>
          <w:tcPr>
            <w:tcW w:w="98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-378 </w:t>
            </w:r>
          </w:p>
        </w:tc>
        <w:tc>
          <w:tcPr>
            <w:tcW w:w="986" w:type="dxa"/>
            <w:gridSpan w:val="2"/>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-6.7%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5F0F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a2 )</w:t>
            </w:r>
          </w:p>
        </w:tc>
        <w:tc>
          <w:tcPr>
            <w:tcW w:w="2183" w:type="dxa"/>
            <w:gridSpan w:val="2"/>
            <w:tcBorders>
              <w:top w:val="nil"/>
              <w:left w:val="nil"/>
              <w:bottom w:val="single" w:sz="4" w:space="0" w:color="FFFFFF"/>
              <w:right w:val="single" w:sz="4" w:space="0" w:color="FFFFFF"/>
            </w:tcBorders>
            <w:shd w:val="clear" w:color="000000" w:fill="D5F0F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Convenios</w:t>
            </w:r>
          </w:p>
        </w:tc>
        <w:tc>
          <w:tcPr>
            <w:tcW w:w="126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3,002.8 </w:t>
            </w:r>
          </w:p>
        </w:tc>
        <w:tc>
          <w:tcPr>
            <w:tcW w:w="126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2,934.3 </w:t>
            </w:r>
          </w:p>
        </w:tc>
        <w:tc>
          <w:tcPr>
            <w:tcW w:w="112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FF0000"/>
                <w:sz w:val="18"/>
                <w:szCs w:val="18"/>
                <w:lang w:eastAsia="es-MX"/>
              </w:rPr>
            </w:pPr>
            <w:r w:rsidRPr="00C354AC">
              <w:rPr>
                <w:rFonts w:eastAsia="Times New Roman"/>
                <w:b/>
                <w:bCs/>
                <w:color w:val="FF0000"/>
                <w:sz w:val="18"/>
                <w:szCs w:val="18"/>
                <w:lang w:eastAsia="es-MX"/>
              </w:rPr>
              <w:t xml:space="preserve">-68 </w:t>
            </w:r>
          </w:p>
        </w:tc>
        <w:tc>
          <w:tcPr>
            <w:tcW w:w="98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FF0000"/>
                <w:sz w:val="18"/>
                <w:szCs w:val="18"/>
                <w:lang w:eastAsia="es-MX"/>
              </w:rPr>
            </w:pPr>
            <w:r w:rsidRPr="00C354AC">
              <w:rPr>
                <w:rFonts w:eastAsia="Times New Roman"/>
                <w:b/>
                <w:bCs/>
                <w:color w:val="FF0000"/>
                <w:sz w:val="18"/>
                <w:szCs w:val="18"/>
                <w:lang w:eastAsia="es-MX"/>
              </w:rPr>
              <w:t xml:space="preserve">-191 </w:t>
            </w:r>
          </w:p>
        </w:tc>
        <w:tc>
          <w:tcPr>
            <w:tcW w:w="986" w:type="dxa"/>
            <w:gridSpan w:val="2"/>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-6.1%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5F0F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a3 )</w:t>
            </w:r>
          </w:p>
        </w:tc>
        <w:tc>
          <w:tcPr>
            <w:tcW w:w="2183" w:type="dxa"/>
            <w:gridSpan w:val="2"/>
            <w:tcBorders>
              <w:top w:val="nil"/>
              <w:left w:val="nil"/>
              <w:bottom w:val="single" w:sz="4" w:space="0" w:color="FFFFFF"/>
              <w:right w:val="single" w:sz="4" w:space="0" w:color="FFFFFF"/>
            </w:tcBorders>
            <w:shd w:val="clear" w:color="000000" w:fill="D5F0F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Subsidio UADY</w:t>
            </w:r>
          </w:p>
        </w:tc>
        <w:tc>
          <w:tcPr>
            <w:tcW w:w="126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2,065.7 </w:t>
            </w:r>
          </w:p>
        </w:tc>
        <w:tc>
          <w:tcPr>
            <w:tcW w:w="126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2,111.3 </w:t>
            </w:r>
          </w:p>
        </w:tc>
        <w:tc>
          <w:tcPr>
            <w:tcW w:w="112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46 </w:t>
            </w:r>
          </w:p>
        </w:tc>
        <w:tc>
          <w:tcPr>
            <w:tcW w:w="98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-39 </w:t>
            </w:r>
          </w:p>
        </w:tc>
        <w:tc>
          <w:tcPr>
            <w:tcW w:w="986" w:type="dxa"/>
            <w:gridSpan w:val="2"/>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-1.8%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5F0F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lastRenderedPageBreak/>
              <w:t>( a4  )</w:t>
            </w:r>
          </w:p>
        </w:tc>
        <w:tc>
          <w:tcPr>
            <w:tcW w:w="2183" w:type="dxa"/>
            <w:gridSpan w:val="2"/>
            <w:tcBorders>
              <w:top w:val="nil"/>
              <w:left w:val="nil"/>
              <w:bottom w:val="single" w:sz="4" w:space="0" w:color="FFFFFF"/>
              <w:right w:val="single" w:sz="4" w:space="0" w:color="FFFFFF"/>
            </w:tcBorders>
            <w:shd w:val="clear" w:color="000000" w:fill="D5F0F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Participaciones</w:t>
            </w:r>
          </w:p>
        </w:tc>
        <w:tc>
          <w:tcPr>
            <w:tcW w:w="126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15,093.1 </w:t>
            </w:r>
          </w:p>
        </w:tc>
        <w:tc>
          <w:tcPr>
            <w:tcW w:w="126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15,107.8 </w:t>
            </w:r>
          </w:p>
        </w:tc>
        <w:tc>
          <w:tcPr>
            <w:tcW w:w="112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15 </w:t>
            </w:r>
          </w:p>
        </w:tc>
        <w:tc>
          <w:tcPr>
            <w:tcW w:w="98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-603 </w:t>
            </w:r>
          </w:p>
        </w:tc>
        <w:tc>
          <w:tcPr>
            <w:tcW w:w="986" w:type="dxa"/>
            <w:gridSpan w:val="2"/>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-3.8%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5F0F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a5 )</w:t>
            </w:r>
          </w:p>
        </w:tc>
        <w:tc>
          <w:tcPr>
            <w:tcW w:w="2183" w:type="dxa"/>
            <w:gridSpan w:val="2"/>
            <w:tcBorders>
              <w:top w:val="nil"/>
              <w:left w:val="nil"/>
              <w:bottom w:val="single" w:sz="4" w:space="0" w:color="FFFFFF"/>
              <w:right w:val="single" w:sz="4" w:space="0" w:color="FFFFFF"/>
            </w:tcBorders>
            <w:shd w:val="clear" w:color="000000" w:fill="D5F0F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Incentivos derivados de la colaboración fiscal</w:t>
            </w:r>
          </w:p>
        </w:tc>
        <w:tc>
          <w:tcPr>
            <w:tcW w:w="126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671.6 </w:t>
            </w:r>
          </w:p>
        </w:tc>
        <w:tc>
          <w:tcPr>
            <w:tcW w:w="126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366.8 </w:t>
            </w:r>
          </w:p>
        </w:tc>
        <w:tc>
          <w:tcPr>
            <w:tcW w:w="112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-305 </w:t>
            </w:r>
          </w:p>
        </w:tc>
        <w:tc>
          <w:tcPr>
            <w:tcW w:w="98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-332 </w:t>
            </w:r>
          </w:p>
        </w:tc>
        <w:tc>
          <w:tcPr>
            <w:tcW w:w="986" w:type="dxa"/>
            <w:gridSpan w:val="2"/>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-47.5%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2AB6E2"/>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B )</w:t>
            </w:r>
          </w:p>
        </w:tc>
        <w:tc>
          <w:tcPr>
            <w:tcW w:w="2183" w:type="dxa"/>
            <w:gridSpan w:val="2"/>
            <w:tcBorders>
              <w:top w:val="nil"/>
              <w:left w:val="nil"/>
              <w:bottom w:val="single" w:sz="4" w:space="0" w:color="FFFFFF"/>
              <w:right w:val="single" w:sz="4" w:space="0" w:color="FFFFFF"/>
            </w:tcBorders>
            <w:shd w:val="clear" w:color="000000" w:fill="2AB6E2"/>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INGRESOS FISCALES</w:t>
            </w:r>
          </w:p>
        </w:tc>
        <w:tc>
          <w:tcPr>
            <w:tcW w:w="1263"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4,461.4 </w:t>
            </w:r>
          </w:p>
        </w:tc>
        <w:tc>
          <w:tcPr>
            <w:tcW w:w="1264"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3,500.7 </w:t>
            </w:r>
          </w:p>
        </w:tc>
        <w:tc>
          <w:tcPr>
            <w:tcW w:w="1124"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-961 </w:t>
            </w:r>
          </w:p>
        </w:tc>
        <w:tc>
          <w:tcPr>
            <w:tcW w:w="983"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-1,143 </w:t>
            </w:r>
          </w:p>
        </w:tc>
        <w:tc>
          <w:tcPr>
            <w:tcW w:w="986" w:type="dxa"/>
            <w:gridSpan w:val="2"/>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-24.6%</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5F0F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b1 )</w:t>
            </w:r>
          </w:p>
        </w:tc>
        <w:tc>
          <w:tcPr>
            <w:tcW w:w="2183" w:type="dxa"/>
            <w:gridSpan w:val="2"/>
            <w:tcBorders>
              <w:top w:val="nil"/>
              <w:left w:val="nil"/>
              <w:bottom w:val="single" w:sz="4" w:space="0" w:color="FFFFFF"/>
              <w:right w:val="single" w:sz="4" w:space="0" w:color="FFFFFF"/>
            </w:tcBorders>
            <w:shd w:val="clear" w:color="000000" w:fill="D5F0F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Impuestos</w:t>
            </w:r>
          </w:p>
        </w:tc>
        <w:tc>
          <w:tcPr>
            <w:tcW w:w="126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2,282.4 </w:t>
            </w:r>
          </w:p>
        </w:tc>
        <w:tc>
          <w:tcPr>
            <w:tcW w:w="126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2,200.5 </w:t>
            </w:r>
          </w:p>
        </w:tc>
        <w:tc>
          <w:tcPr>
            <w:tcW w:w="112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-82 </w:t>
            </w:r>
          </w:p>
        </w:tc>
        <w:tc>
          <w:tcPr>
            <w:tcW w:w="98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-175 </w:t>
            </w:r>
          </w:p>
        </w:tc>
        <w:tc>
          <w:tcPr>
            <w:tcW w:w="986" w:type="dxa"/>
            <w:gridSpan w:val="2"/>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-7.4%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5F0F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b2 )</w:t>
            </w:r>
          </w:p>
        </w:tc>
        <w:tc>
          <w:tcPr>
            <w:tcW w:w="2183" w:type="dxa"/>
            <w:gridSpan w:val="2"/>
            <w:tcBorders>
              <w:top w:val="nil"/>
              <w:left w:val="nil"/>
              <w:bottom w:val="single" w:sz="4" w:space="0" w:color="FFFFFF"/>
              <w:right w:val="single" w:sz="4" w:space="0" w:color="FFFFFF"/>
            </w:tcBorders>
            <w:shd w:val="clear" w:color="000000" w:fill="D5F0F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Derechos</w:t>
            </w:r>
          </w:p>
        </w:tc>
        <w:tc>
          <w:tcPr>
            <w:tcW w:w="126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1,989.9 </w:t>
            </w:r>
          </w:p>
        </w:tc>
        <w:tc>
          <w:tcPr>
            <w:tcW w:w="126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1,149.6 </w:t>
            </w:r>
          </w:p>
        </w:tc>
        <w:tc>
          <w:tcPr>
            <w:tcW w:w="112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-840 </w:t>
            </w:r>
          </w:p>
        </w:tc>
        <w:tc>
          <w:tcPr>
            <w:tcW w:w="98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-922 </w:t>
            </w:r>
          </w:p>
        </w:tc>
        <w:tc>
          <w:tcPr>
            <w:tcW w:w="986" w:type="dxa"/>
            <w:gridSpan w:val="2"/>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-44.5%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FFFFFF"/>
            <w:vAlign w:val="center"/>
            <w:hideMark/>
          </w:tcPr>
          <w:p w:rsidR="007F6887" w:rsidRPr="00C354AC" w:rsidRDefault="007F6887" w:rsidP="00234DCF">
            <w:pPr>
              <w:spacing w:before="120"/>
              <w:jc w:val="center"/>
              <w:rPr>
                <w:rFonts w:eastAsia="Times New Roman"/>
                <w:color w:val="000000"/>
                <w:sz w:val="18"/>
                <w:szCs w:val="18"/>
                <w:lang w:eastAsia="es-MX"/>
              </w:rPr>
            </w:pPr>
            <w:r w:rsidRPr="00C354AC">
              <w:rPr>
                <w:rFonts w:eastAsia="Times New Roman"/>
                <w:color w:val="000000"/>
                <w:sz w:val="18"/>
                <w:szCs w:val="18"/>
                <w:lang w:eastAsia="es-MX"/>
              </w:rPr>
              <w:t> </w:t>
            </w:r>
          </w:p>
        </w:tc>
        <w:tc>
          <w:tcPr>
            <w:tcW w:w="2183" w:type="dxa"/>
            <w:gridSpan w:val="2"/>
            <w:tcBorders>
              <w:top w:val="nil"/>
              <w:left w:val="nil"/>
              <w:bottom w:val="single" w:sz="4" w:space="0" w:color="FFFFFF"/>
              <w:right w:val="single" w:sz="4" w:space="0" w:color="FFFFFF"/>
            </w:tcBorders>
            <w:shd w:val="clear" w:color="000000" w:fill="FFFFFF"/>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Paradores Turísticos</w:t>
            </w:r>
          </w:p>
        </w:tc>
        <w:tc>
          <w:tcPr>
            <w:tcW w:w="126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715.3 </w:t>
            </w:r>
          </w:p>
        </w:tc>
        <w:tc>
          <w:tcPr>
            <w:tcW w:w="126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384.4 </w:t>
            </w:r>
          </w:p>
        </w:tc>
        <w:tc>
          <w:tcPr>
            <w:tcW w:w="112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-331 </w:t>
            </w:r>
          </w:p>
        </w:tc>
        <w:tc>
          <w:tcPr>
            <w:tcW w:w="98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-360 </w:t>
            </w:r>
          </w:p>
        </w:tc>
        <w:tc>
          <w:tcPr>
            <w:tcW w:w="986" w:type="dxa"/>
            <w:gridSpan w:val="2"/>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-48.4%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FFFFFF"/>
            <w:vAlign w:val="center"/>
            <w:hideMark/>
          </w:tcPr>
          <w:p w:rsidR="007F6887" w:rsidRPr="00C354AC" w:rsidRDefault="007F6887" w:rsidP="00234DCF">
            <w:pPr>
              <w:spacing w:before="120"/>
              <w:jc w:val="center"/>
              <w:rPr>
                <w:rFonts w:eastAsia="Times New Roman"/>
                <w:color w:val="000000"/>
                <w:sz w:val="18"/>
                <w:szCs w:val="18"/>
                <w:lang w:eastAsia="es-MX"/>
              </w:rPr>
            </w:pPr>
            <w:r w:rsidRPr="00C354AC">
              <w:rPr>
                <w:rFonts w:eastAsia="Times New Roman"/>
                <w:color w:val="000000"/>
                <w:sz w:val="18"/>
                <w:szCs w:val="18"/>
                <w:lang w:eastAsia="es-MX"/>
              </w:rPr>
              <w:t> </w:t>
            </w:r>
          </w:p>
        </w:tc>
        <w:tc>
          <w:tcPr>
            <w:tcW w:w="2183" w:type="dxa"/>
            <w:gridSpan w:val="2"/>
            <w:tcBorders>
              <w:top w:val="nil"/>
              <w:left w:val="nil"/>
              <w:bottom w:val="single" w:sz="4" w:space="0" w:color="FFFFFF"/>
              <w:right w:val="single" w:sz="4" w:space="0" w:color="FFFFFF"/>
            </w:tcBorders>
            <w:shd w:val="clear" w:color="000000" w:fill="FFFFFF"/>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 xml:space="preserve">Servicios que presta la SSP (incluye </w:t>
            </w:r>
            <w:proofErr w:type="spellStart"/>
            <w:r w:rsidRPr="00C354AC">
              <w:rPr>
                <w:rFonts w:eastAsia="Times New Roman"/>
                <w:color w:val="000000"/>
                <w:sz w:val="18"/>
                <w:szCs w:val="18"/>
                <w:lang w:eastAsia="es-MX"/>
              </w:rPr>
              <w:t>reemplacamiento</w:t>
            </w:r>
            <w:proofErr w:type="spellEnd"/>
            <w:r w:rsidRPr="00C354AC">
              <w:rPr>
                <w:rFonts w:eastAsia="Times New Roman"/>
                <w:color w:val="000000"/>
                <w:sz w:val="18"/>
                <w:szCs w:val="18"/>
                <w:lang w:eastAsia="es-MX"/>
              </w:rPr>
              <w:t>)</w:t>
            </w:r>
          </w:p>
        </w:tc>
        <w:tc>
          <w:tcPr>
            <w:tcW w:w="126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761.0 </w:t>
            </w:r>
          </w:p>
        </w:tc>
        <w:tc>
          <w:tcPr>
            <w:tcW w:w="126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189.2 </w:t>
            </w:r>
          </w:p>
        </w:tc>
        <w:tc>
          <w:tcPr>
            <w:tcW w:w="112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-572 </w:t>
            </w:r>
          </w:p>
        </w:tc>
        <w:tc>
          <w:tcPr>
            <w:tcW w:w="98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-603 </w:t>
            </w:r>
          </w:p>
        </w:tc>
        <w:tc>
          <w:tcPr>
            <w:tcW w:w="986" w:type="dxa"/>
            <w:gridSpan w:val="2"/>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-76.1%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FFFFFF"/>
            <w:vAlign w:val="center"/>
            <w:hideMark/>
          </w:tcPr>
          <w:p w:rsidR="007F6887" w:rsidRPr="00C354AC" w:rsidRDefault="007F6887" w:rsidP="00234DCF">
            <w:pPr>
              <w:spacing w:before="120"/>
              <w:jc w:val="center"/>
              <w:rPr>
                <w:rFonts w:eastAsia="Times New Roman"/>
                <w:color w:val="000000"/>
                <w:sz w:val="18"/>
                <w:szCs w:val="18"/>
                <w:lang w:eastAsia="es-MX"/>
              </w:rPr>
            </w:pPr>
            <w:r w:rsidRPr="00C354AC">
              <w:rPr>
                <w:rFonts w:eastAsia="Times New Roman"/>
                <w:color w:val="000000"/>
                <w:sz w:val="18"/>
                <w:szCs w:val="18"/>
                <w:lang w:eastAsia="es-MX"/>
              </w:rPr>
              <w:t> </w:t>
            </w:r>
          </w:p>
        </w:tc>
        <w:tc>
          <w:tcPr>
            <w:tcW w:w="2183" w:type="dxa"/>
            <w:gridSpan w:val="2"/>
            <w:tcBorders>
              <w:top w:val="nil"/>
              <w:left w:val="nil"/>
              <w:bottom w:val="single" w:sz="4" w:space="0" w:color="FFFFFF"/>
              <w:right w:val="single" w:sz="4" w:space="0" w:color="FFFFFF"/>
            </w:tcBorders>
            <w:shd w:val="clear" w:color="000000" w:fill="FFFFFF"/>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Otros Derechos</w:t>
            </w:r>
          </w:p>
        </w:tc>
        <w:tc>
          <w:tcPr>
            <w:tcW w:w="126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513.6 </w:t>
            </w:r>
          </w:p>
        </w:tc>
        <w:tc>
          <w:tcPr>
            <w:tcW w:w="126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576.0 </w:t>
            </w:r>
          </w:p>
        </w:tc>
        <w:tc>
          <w:tcPr>
            <w:tcW w:w="112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62 </w:t>
            </w:r>
          </w:p>
        </w:tc>
        <w:tc>
          <w:tcPr>
            <w:tcW w:w="98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41 </w:t>
            </w:r>
          </w:p>
        </w:tc>
        <w:tc>
          <w:tcPr>
            <w:tcW w:w="986" w:type="dxa"/>
            <w:gridSpan w:val="2"/>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7.7%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5F0F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b3 )</w:t>
            </w:r>
          </w:p>
        </w:tc>
        <w:tc>
          <w:tcPr>
            <w:tcW w:w="2183" w:type="dxa"/>
            <w:gridSpan w:val="2"/>
            <w:tcBorders>
              <w:top w:val="nil"/>
              <w:left w:val="nil"/>
              <w:bottom w:val="single" w:sz="4" w:space="0" w:color="FFFFFF"/>
              <w:right w:val="single" w:sz="4" w:space="0" w:color="FFFFFF"/>
            </w:tcBorders>
            <w:shd w:val="clear" w:color="000000" w:fill="D5F0F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Productos</w:t>
            </w:r>
          </w:p>
        </w:tc>
        <w:tc>
          <w:tcPr>
            <w:tcW w:w="126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68.5 </w:t>
            </w:r>
          </w:p>
        </w:tc>
        <w:tc>
          <w:tcPr>
            <w:tcW w:w="126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55.3 </w:t>
            </w:r>
          </w:p>
        </w:tc>
        <w:tc>
          <w:tcPr>
            <w:tcW w:w="112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-13 </w:t>
            </w:r>
          </w:p>
        </w:tc>
        <w:tc>
          <w:tcPr>
            <w:tcW w:w="98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-16 </w:t>
            </w:r>
          </w:p>
        </w:tc>
        <w:tc>
          <w:tcPr>
            <w:tcW w:w="986" w:type="dxa"/>
            <w:gridSpan w:val="2"/>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-22.5%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FFFFFF"/>
            <w:vAlign w:val="center"/>
            <w:hideMark/>
          </w:tcPr>
          <w:p w:rsidR="007F6887" w:rsidRPr="00C354AC" w:rsidRDefault="007F6887" w:rsidP="00234DCF">
            <w:pPr>
              <w:spacing w:before="120"/>
              <w:jc w:val="center"/>
              <w:rPr>
                <w:rFonts w:eastAsia="Times New Roman"/>
                <w:color w:val="000000"/>
                <w:sz w:val="18"/>
                <w:szCs w:val="18"/>
                <w:lang w:eastAsia="es-MX"/>
              </w:rPr>
            </w:pPr>
            <w:r w:rsidRPr="00C354AC">
              <w:rPr>
                <w:rFonts w:eastAsia="Times New Roman"/>
                <w:color w:val="000000"/>
                <w:sz w:val="18"/>
                <w:szCs w:val="18"/>
                <w:lang w:eastAsia="es-MX"/>
              </w:rPr>
              <w:t> </w:t>
            </w:r>
          </w:p>
        </w:tc>
        <w:tc>
          <w:tcPr>
            <w:tcW w:w="2183" w:type="dxa"/>
            <w:gridSpan w:val="2"/>
            <w:tcBorders>
              <w:top w:val="nil"/>
              <w:left w:val="nil"/>
              <w:bottom w:val="single" w:sz="4" w:space="0" w:color="FFFFFF"/>
              <w:right w:val="single" w:sz="4" w:space="0" w:color="FFFFFF"/>
            </w:tcBorders>
            <w:shd w:val="clear" w:color="000000" w:fill="FFFFFF"/>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Venta de Terrenos</w:t>
            </w:r>
          </w:p>
        </w:tc>
        <w:tc>
          <w:tcPr>
            <w:tcW w:w="126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2.7 </w:t>
            </w:r>
          </w:p>
        </w:tc>
        <w:tc>
          <w:tcPr>
            <w:tcW w:w="126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18.1 </w:t>
            </w:r>
          </w:p>
        </w:tc>
        <w:tc>
          <w:tcPr>
            <w:tcW w:w="112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15 </w:t>
            </w:r>
          </w:p>
        </w:tc>
        <w:tc>
          <w:tcPr>
            <w:tcW w:w="98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15 </w:t>
            </w:r>
          </w:p>
        </w:tc>
        <w:tc>
          <w:tcPr>
            <w:tcW w:w="986" w:type="dxa"/>
            <w:gridSpan w:val="2"/>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539.1%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FFFFFF"/>
            <w:vAlign w:val="center"/>
            <w:hideMark/>
          </w:tcPr>
          <w:p w:rsidR="007F6887" w:rsidRPr="00C354AC" w:rsidRDefault="007F6887" w:rsidP="00234DCF">
            <w:pPr>
              <w:spacing w:before="120"/>
              <w:jc w:val="center"/>
              <w:rPr>
                <w:rFonts w:eastAsia="Times New Roman"/>
                <w:color w:val="000000"/>
                <w:sz w:val="18"/>
                <w:szCs w:val="18"/>
                <w:lang w:eastAsia="es-MX"/>
              </w:rPr>
            </w:pPr>
            <w:r w:rsidRPr="00C354AC">
              <w:rPr>
                <w:rFonts w:eastAsia="Times New Roman"/>
                <w:color w:val="000000"/>
                <w:sz w:val="18"/>
                <w:szCs w:val="18"/>
                <w:lang w:eastAsia="es-MX"/>
              </w:rPr>
              <w:t> </w:t>
            </w:r>
          </w:p>
        </w:tc>
        <w:tc>
          <w:tcPr>
            <w:tcW w:w="2183" w:type="dxa"/>
            <w:gridSpan w:val="2"/>
            <w:tcBorders>
              <w:top w:val="nil"/>
              <w:left w:val="nil"/>
              <w:bottom w:val="single" w:sz="4" w:space="0" w:color="FFFFFF"/>
              <w:right w:val="single" w:sz="4" w:space="0" w:color="FFFFFF"/>
            </w:tcBorders>
            <w:shd w:val="clear" w:color="000000" w:fill="FFFFFF"/>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Otros Productos</w:t>
            </w:r>
          </w:p>
        </w:tc>
        <w:tc>
          <w:tcPr>
            <w:tcW w:w="126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65.8 </w:t>
            </w:r>
          </w:p>
        </w:tc>
        <w:tc>
          <w:tcPr>
            <w:tcW w:w="126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37.2 </w:t>
            </w:r>
          </w:p>
        </w:tc>
        <w:tc>
          <w:tcPr>
            <w:tcW w:w="112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-29 </w:t>
            </w:r>
          </w:p>
        </w:tc>
        <w:tc>
          <w:tcPr>
            <w:tcW w:w="98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-31 </w:t>
            </w:r>
          </w:p>
        </w:tc>
        <w:tc>
          <w:tcPr>
            <w:tcW w:w="986" w:type="dxa"/>
            <w:gridSpan w:val="2"/>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-45.7%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5F0F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b4 )</w:t>
            </w:r>
          </w:p>
        </w:tc>
        <w:tc>
          <w:tcPr>
            <w:tcW w:w="2183" w:type="dxa"/>
            <w:gridSpan w:val="2"/>
            <w:tcBorders>
              <w:top w:val="nil"/>
              <w:left w:val="nil"/>
              <w:bottom w:val="single" w:sz="4" w:space="0" w:color="FFFFFF"/>
              <w:right w:val="single" w:sz="4" w:space="0" w:color="FFFFFF"/>
            </w:tcBorders>
            <w:shd w:val="clear" w:color="000000" w:fill="D5F0F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Aprovechamientos</w:t>
            </w:r>
          </w:p>
        </w:tc>
        <w:tc>
          <w:tcPr>
            <w:tcW w:w="126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120.5 </w:t>
            </w:r>
          </w:p>
        </w:tc>
        <w:tc>
          <w:tcPr>
            <w:tcW w:w="126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95.3 </w:t>
            </w:r>
          </w:p>
        </w:tc>
        <w:tc>
          <w:tcPr>
            <w:tcW w:w="112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-25 </w:t>
            </w:r>
          </w:p>
        </w:tc>
        <w:tc>
          <w:tcPr>
            <w:tcW w:w="98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-30 </w:t>
            </w:r>
          </w:p>
        </w:tc>
        <w:tc>
          <w:tcPr>
            <w:tcW w:w="986" w:type="dxa"/>
            <w:gridSpan w:val="2"/>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-24.0%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FFFFFF"/>
            <w:vAlign w:val="center"/>
            <w:hideMark/>
          </w:tcPr>
          <w:p w:rsidR="007F6887" w:rsidRPr="00C354AC" w:rsidRDefault="007F6887" w:rsidP="00234DCF">
            <w:pPr>
              <w:spacing w:before="120"/>
              <w:jc w:val="center"/>
              <w:rPr>
                <w:rFonts w:eastAsia="Times New Roman"/>
                <w:color w:val="000000"/>
                <w:sz w:val="18"/>
                <w:szCs w:val="18"/>
                <w:lang w:eastAsia="es-MX"/>
              </w:rPr>
            </w:pPr>
            <w:r w:rsidRPr="00C354AC">
              <w:rPr>
                <w:rFonts w:eastAsia="Times New Roman"/>
                <w:color w:val="000000"/>
                <w:sz w:val="18"/>
                <w:szCs w:val="18"/>
                <w:lang w:eastAsia="es-MX"/>
              </w:rPr>
              <w:t> </w:t>
            </w:r>
          </w:p>
        </w:tc>
        <w:tc>
          <w:tcPr>
            <w:tcW w:w="2183" w:type="dxa"/>
            <w:gridSpan w:val="2"/>
            <w:tcBorders>
              <w:top w:val="nil"/>
              <w:left w:val="nil"/>
              <w:bottom w:val="single" w:sz="4" w:space="0" w:color="FFFFFF"/>
              <w:right w:val="single" w:sz="4" w:space="0" w:color="FFFFFF"/>
            </w:tcBorders>
            <w:shd w:val="clear" w:color="000000" w:fill="FFFFFF"/>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 </w:t>
            </w:r>
          </w:p>
        </w:tc>
        <w:tc>
          <w:tcPr>
            <w:tcW w:w="126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126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112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98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986" w:type="dxa"/>
            <w:gridSpan w:val="2"/>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FFFFFF"/>
            <w:vAlign w:val="center"/>
            <w:hideMark/>
          </w:tcPr>
          <w:p w:rsidR="007F6887" w:rsidRPr="00C354AC" w:rsidRDefault="007F6887" w:rsidP="00234DCF">
            <w:pPr>
              <w:spacing w:before="120"/>
              <w:jc w:val="center"/>
              <w:rPr>
                <w:rFonts w:eastAsia="Times New Roman"/>
                <w:color w:val="000000"/>
                <w:sz w:val="18"/>
                <w:szCs w:val="18"/>
                <w:lang w:eastAsia="es-MX"/>
              </w:rPr>
            </w:pPr>
            <w:r w:rsidRPr="00C354AC">
              <w:rPr>
                <w:rFonts w:eastAsia="Times New Roman"/>
                <w:color w:val="000000"/>
                <w:sz w:val="18"/>
                <w:szCs w:val="18"/>
                <w:lang w:eastAsia="es-MX"/>
              </w:rPr>
              <w:t> </w:t>
            </w:r>
          </w:p>
        </w:tc>
        <w:tc>
          <w:tcPr>
            <w:tcW w:w="2183" w:type="dxa"/>
            <w:gridSpan w:val="2"/>
            <w:tcBorders>
              <w:top w:val="nil"/>
              <w:left w:val="nil"/>
              <w:bottom w:val="single" w:sz="4" w:space="0" w:color="FFFFFF"/>
              <w:right w:val="single" w:sz="4" w:space="0" w:color="FFFFFF"/>
            </w:tcBorders>
            <w:shd w:val="clear" w:color="000000" w:fill="FFFFFF"/>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 </w:t>
            </w:r>
          </w:p>
        </w:tc>
        <w:tc>
          <w:tcPr>
            <w:tcW w:w="126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126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112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98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986" w:type="dxa"/>
            <w:gridSpan w:val="2"/>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2AB6E2"/>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C )</w:t>
            </w:r>
          </w:p>
        </w:tc>
        <w:tc>
          <w:tcPr>
            <w:tcW w:w="2183" w:type="dxa"/>
            <w:gridSpan w:val="2"/>
            <w:tcBorders>
              <w:top w:val="nil"/>
              <w:left w:val="nil"/>
              <w:bottom w:val="single" w:sz="4" w:space="0" w:color="FFFFFF"/>
              <w:right w:val="single" w:sz="4" w:space="0" w:color="FFFFFF"/>
            </w:tcBorders>
            <w:shd w:val="clear" w:color="000000" w:fill="2AB6E2"/>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ingresos propios de Entidades</w:t>
            </w:r>
          </w:p>
        </w:tc>
        <w:tc>
          <w:tcPr>
            <w:tcW w:w="1263"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3,016.1 </w:t>
            </w:r>
          </w:p>
        </w:tc>
        <w:tc>
          <w:tcPr>
            <w:tcW w:w="1264"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3,054.4 </w:t>
            </w:r>
          </w:p>
        </w:tc>
        <w:tc>
          <w:tcPr>
            <w:tcW w:w="1124"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38 </w:t>
            </w:r>
          </w:p>
        </w:tc>
        <w:tc>
          <w:tcPr>
            <w:tcW w:w="983" w:type="dxa"/>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-85 </w:t>
            </w:r>
          </w:p>
        </w:tc>
        <w:tc>
          <w:tcPr>
            <w:tcW w:w="986" w:type="dxa"/>
            <w:gridSpan w:val="2"/>
            <w:tcBorders>
              <w:top w:val="nil"/>
              <w:left w:val="nil"/>
              <w:bottom w:val="single" w:sz="4" w:space="0" w:color="FFFFFF"/>
              <w:right w:val="single" w:sz="4" w:space="0" w:color="FFFFFF"/>
            </w:tcBorders>
            <w:shd w:val="clear" w:color="000000" w:fill="2AB6E2"/>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-2.7%</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5F0F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c1 )</w:t>
            </w:r>
          </w:p>
        </w:tc>
        <w:tc>
          <w:tcPr>
            <w:tcW w:w="2183" w:type="dxa"/>
            <w:gridSpan w:val="2"/>
            <w:tcBorders>
              <w:top w:val="nil"/>
              <w:left w:val="nil"/>
              <w:bottom w:val="single" w:sz="4" w:space="0" w:color="FFFFFF"/>
              <w:right w:val="single" w:sz="4" w:space="0" w:color="FFFFFF"/>
            </w:tcBorders>
            <w:shd w:val="clear" w:color="000000" w:fill="D5F0F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Cuotas y aportaciones de seguridad social</w:t>
            </w:r>
          </w:p>
        </w:tc>
        <w:tc>
          <w:tcPr>
            <w:tcW w:w="126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1,359.6 </w:t>
            </w:r>
          </w:p>
        </w:tc>
        <w:tc>
          <w:tcPr>
            <w:tcW w:w="126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1,374.4 </w:t>
            </w:r>
          </w:p>
        </w:tc>
        <w:tc>
          <w:tcPr>
            <w:tcW w:w="112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15 </w:t>
            </w:r>
          </w:p>
        </w:tc>
        <w:tc>
          <w:tcPr>
            <w:tcW w:w="98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-41 </w:t>
            </w:r>
          </w:p>
        </w:tc>
        <w:tc>
          <w:tcPr>
            <w:tcW w:w="986" w:type="dxa"/>
            <w:gridSpan w:val="2"/>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-2.9%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5F0F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 c2 )</w:t>
            </w:r>
          </w:p>
        </w:tc>
        <w:tc>
          <w:tcPr>
            <w:tcW w:w="2183" w:type="dxa"/>
            <w:gridSpan w:val="2"/>
            <w:tcBorders>
              <w:top w:val="nil"/>
              <w:left w:val="nil"/>
              <w:bottom w:val="single" w:sz="4" w:space="0" w:color="FFFFFF"/>
              <w:right w:val="single" w:sz="4" w:space="0" w:color="FFFFFF"/>
            </w:tcBorders>
            <w:shd w:val="clear" w:color="000000" w:fill="D5F0F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Ingresos por venta de bienes, prestación de servicios</w:t>
            </w:r>
          </w:p>
        </w:tc>
        <w:tc>
          <w:tcPr>
            <w:tcW w:w="126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1,656.5 </w:t>
            </w:r>
          </w:p>
        </w:tc>
        <w:tc>
          <w:tcPr>
            <w:tcW w:w="126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1,680.0 </w:t>
            </w:r>
          </w:p>
        </w:tc>
        <w:tc>
          <w:tcPr>
            <w:tcW w:w="1124"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24 </w:t>
            </w:r>
          </w:p>
        </w:tc>
        <w:tc>
          <w:tcPr>
            <w:tcW w:w="983" w:type="dxa"/>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-44 </w:t>
            </w:r>
          </w:p>
        </w:tc>
        <w:tc>
          <w:tcPr>
            <w:tcW w:w="986" w:type="dxa"/>
            <w:gridSpan w:val="2"/>
            <w:tcBorders>
              <w:top w:val="nil"/>
              <w:left w:val="nil"/>
              <w:bottom w:val="single" w:sz="4" w:space="0" w:color="FFFFFF"/>
              <w:right w:val="single" w:sz="4" w:space="0" w:color="FFFFFF"/>
            </w:tcBorders>
            <w:shd w:val="clear" w:color="000000" w:fill="D5F0F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-2.6%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auto" w:fill="auto"/>
            <w:noWrap/>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 </w:t>
            </w:r>
          </w:p>
        </w:tc>
        <w:tc>
          <w:tcPr>
            <w:tcW w:w="2183" w:type="dxa"/>
            <w:gridSpan w:val="2"/>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 </w:t>
            </w:r>
          </w:p>
        </w:tc>
        <w:tc>
          <w:tcPr>
            <w:tcW w:w="1263" w:type="dxa"/>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1264" w:type="dxa"/>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1124" w:type="dxa"/>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983" w:type="dxa"/>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986" w:type="dxa"/>
            <w:gridSpan w:val="2"/>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9D9D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D=a1+a2+a3</w:t>
            </w:r>
          </w:p>
        </w:tc>
        <w:tc>
          <w:tcPr>
            <w:tcW w:w="2183" w:type="dxa"/>
            <w:gridSpan w:val="2"/>
            <w:tcBorders>
              <w:top w:val="nil"/>
              <w:left w:val="nil"/>
              <w:bottom w:val="single" w:sz="4" w:space="0" w:color="FFFFFF"/>
              <w:right w:val="single" w:sz="4" w:space="0" w:color="FFFFFF"/>
            </w:tcBorders>
            <w:shd w:val="clear" w:color="000000" w:fill="D9D9D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ETIQUETADO</w:t>
            </w:r>
          </w:p>
        </w:tc>
        <w:tc>
          <w:tcPr>
            <w:tcW w:w="1263" w:type="dxa"/>
            <w:tcBorders>
              <w:top w:val="nil"/>
              <w:left w:val="nil"/>
              <w:bottom w:val="single" w:sz="4" w:space="0" w:color="FFFFFF"/>
              <w:right w:val="single" w:sz="4" w:space="0" w:color="FFFFFF"/>
            </w:tcBorders>
            <w:shd w:val="clear" w:color="000000" w:fill="D9D9D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18,610.7 </w:t>
            </w:r>
          </w:p>
        </w:tc>
        <w:tc>
          <w:tcPr>
            <w:tcW w:w="1264" w:type="dxa"/>
            <w:tcBorders>
              <w:top w:val="nil"/>
              <w:left w:val="nil"/>
              <w:bottom w:val="single" w:sz="4" w:space="0" w:color="FFFFFF"/>
              <w:right w:val="single" w:sz="4" w:space="0" w:color="FFFFFF"/>
            </w:tcBorders>
            <w:shd w:val="clear" w:color="000000" w:fill="D9D9D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19,106.5 </w:t>
            </w:r>
          </w:p>
        </w:tc>
        <w:tc>
          <w:tcPr>
            <w:tcW w:w="1124" w:type="dxa"/>
            <w:tcBorders>
              <w:top w:val="nil"/>
              <w:left w:val="nil"/>
              <w:bottom w:val="single" w:sz="4" w:space="0" w:color="FFFFFF"/>
              <w:right w:val="single" w:sz="4" w:space="0" w:color="FFFFFF"/>
            </w:tcBorders>
            <w:shd w:val="clear" w:color="000000" w:fill="D9D9D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496 </w:t>
            </w:r>
          </w:p>
        </w:tc>
        <w:tc>
          <w:tcPr>
            <w:tcW w:w="983" w:type="dxa"/>
            <w:tcBorders>
              <w:top w:val="nil"/>
              <w:left w:val="nil"/>
              <w:bottom w:val="single" w:sz="4" w:space="0" w:color="FFFFFF"/>
              <w:right w:val="single" w:sz="4" w:space="0" w:color="FFFFFF"/>
            </w:tcBorders>
            <w:shd w:val="clear" w:color="000000" w:fill="D9D9D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-265 </w:t>
            </w:r>
          </w:p>
        </w:tc>
        <w:tc>
          <w:tcPr>
            <w:tcW w:w="986" w:type="dxa"/>
            <w:gridSpan w:val="2"/>
            <w:tcBorders>
              <w:top w:val="nil"/>
              <w:left w:val="nil"/>
              <w:bottom w:val="single" w:sz="4" w:space="0" w:color="FFFFFF"/>
              <w:right w:val="single" w:sz="4" w:space="0" w:color="FFFFFF"/>
            </w:tcBorders>
            <w:shd w:val="clear" w:color="000000" w:fill="D9D9D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-1.4%</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auto" w:fill="auto"/>
            <w:noWrap/>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 </w:t>
            </w:r>
          </w:p>
        </w:tc>
        <w:tc>
          <w:tcPr>
            <w:tcW w:w="2183" w:type="dxa"/>
            <w:gridSpan w:val="2"/>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 </w:t>
            </w:r>
          </w:p>
        </w:tc>
        <w:tc>
          <w:tcPr>
            <w:tcW w:w="1263" w:type="dxa"/>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1264" w:type="dxa"/>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1124" w:type="dxa"/>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983" w:type="dxa"/>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c>
          <w:tcPr>
            <w:tcW w:w="986" w:type="dxa"/>
            <w:gridSpan w:val="2"/>
            <w:tcBorders>
              <w:top w:val="nil"/>
              <w:left w:val="nil"/>
              <w:bottom w:val="single" w:sz="4" w:space="0" w:color="FFFFFF"/>
              <w:right w:val="single" w:sz="4" w:space="0" w:color="FFFFFF"/>
            </w:tcBorders>
            <w:shd w:val="clear" w:color="auto" w:fill="auto"/>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FFFFFF"/>
            <w:vAlign w:val="center"/>
            <w:hideMark/>
          </w:tcPr>
          <w:p w:rsidR="007F6887" w:rsidRPr="00C354AC" w:rsidRDefault="007F6887" w:rsidP="00234DCF">
            <w:pPr>
              <w:spacing w:before="120"/>
              <w:jc w:val="center"/>
              <w:rPr>
                <w:rFonts w:eastAsia="Times New Roman"/>
                <w:color w:val="000000"/>
                <w:sz w:val="18"/>
                <w:szCs w:val="18"/>
                <w:lang w:eastAsia="es-MX"/>
              </w:rPr>
            </w:pPr>
            <w:r w:rsidRPr="00C354AC">
              <w:rPr>
                <w:rFonts w:eastAsia="Times New Roman"/>
                <w:color w:val="000000"/>
                <w:sz w:val="18"/>
                <w:szCs w:val="18"/>
                <w:lang w:eastAsia="es-MX"/>
              </w:rPr>
              <w:t>E=a4+a5+B</w:t>
            </w:r>
          </w:p>
        </w:tc>
        <w:tc>
          <w:tcPr>
            <w:tcW w:w="2183" w:type="dxa"/>
            <w:gridSpan w:val="2"/>
            <w:tcBorders>
              <w:top w:val="nil"/>
              <w:left w:val="nil"/>
              <w:bottom w:val="single" w:sz="4" w:space="0" w:color="FFFFFF"/>
              <w:right w:val="single" w:sz="4" w:space="0" w:color="FFFFFF"/>
            </w:tcBorders>
            <w:shd w:val="clear" w:color="000000" w:fill="FFFFFF"/>
            <w:vAlign w:val="center"/>
            <w:hideMark/>
          </w:tcPr>
          <w:p w:rsidR="007F6887" w:rsidRPr="00C354AC" w:rsidRDefault="007F6887" w:rsidP="00234DCF">
            <w:pPr>
              <w:spacing w:before="120"/>
              <w:rPr>
                <w:rFonts w:eastAsia="Times New Roman"/>
                <w:color w:val="000000"/>
                <w:sz w:val="18"/>
                <w:szCs w:val="18"/>
                <w:lang w:eastAsia="es-MX"/>
              </w:rPr>
            </w:pPr>
            <w:r w:rsidRPr="00C354AC">
              <w:rPr>
                <w:rFonts w:eastAsia="Times New Roman"/>
                <w:color w:val="000000"/>
                <w:sz w:val="18"/>
                <w:szCs w:val="18"/>
                <w:lang w:eastAsia="es-MX"/>
              </w:rPr>
              <w:t>No Etiquetado sin Ingresos Propios de Entidades</w:t>
            </w:r>
          </w:p>
        </w:tc>
        <w:tc>
          <w:tcPr>
            <w:tcW w:w="126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20,226.1 </w:t>
            </w:r>
          </w:p>
        </w:tc>
        <w:tc>
          <w:tcPr>
            <w:tcW w:w="126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000000"/>
                <w:sz w:val="18"/>
                <w:szCs w:val="18"/>
                <w:lang w:eastAsia="es-MX"/>
              </w:rPr>
              <w:t xml:space="preserve">           18,975.2 </w:t>
            </w:r>
          </w:p>
        </w:tc>
        <w:tc>
          <w:tcPr>
            <w:tcW w:w="1124"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-1,251 </w:t>
            </w:r>
          </w:p>
        </w:tc>
        <w:tc>
          <w:tcPr>
            <w:tcW w:w="983" w:type="dxa"/>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-2,078 </w:t>
            </w:r>
          </w:p>
        </w:tc>
        <w:tc>
          <w:tcPr>
            <w:tcW w:w="986" w:type="dxa"/>
            <w:gridSpan w:val="2"/>
            <w:tcBorders>
              <w:top w:val="nil"/>
              <w:left w:val="nil"/>
              <w:bottom w:val="single" w:sz="4" w:space="0" w:color="FFFFFF"/>
              <w:right w:val="single" w:sz="4" w:space="0" w:color="FFFFFF"/>
            </w:tcBorders>
            <w:shd w:val="clear" w:color="000000" w:fill="FFFFFF"/>
            <w:noWrap/>
            <w:vAlign w:val="center"/>
            <w:hideMark/>
          </w:tcPr>
          <w:p w:rsidR="007F6887" w:rsidRPr="00C354AC" w:rsidRDefault="007F6887" w:rsidP="00234DCF">
            <w:pPr>
              <w:spacing w:before="120"/>
              <w:jc w:val="right"/>
              <w:rPr>
                <w:rFonts w:eastAsia="Times New Roman"/>
                <w:color w:val="000000"/>
                <w:sz w:val="18"/>
                <w:szCs w:val="18"/>
                <w:lang w:eastAsia="es-MX"/>
              </w:rPr>
            </w:pPr>
            <w:r w:rsidRPr="00C354AC">
              <w:rPr>
                <w:rFonts w:eastAsia="Times New Roman"/>
                <w:color w:val="FF0000"/>
                <w:sz w:val="18"/>
                <w:szCs w:val="18"/>
                <w:lang w:eastAsia="es-MX"/>
              </w:rPr>
              <w:t xml:space="preserve">-9.9% </w:t>
            </w:r>
          </w:p>
        </w:tc>
      </w:tr>
      <w:tr w:rsidR="007F6887" w:rsidRPr="00C428DD" w:rsidTr="00234DCF">
        <w:trPr>
          <w:trHeight w:val="20"/>
        </w:trPr>
        <w:tc>
          <w:tcPr>
            <w:tcW w:w="1175" w:type="dxa"/>
            <w:tcBorders>
              <w:top w:val="nil"/>
              <w:left w:val="single" w:sz="4" w:space="0" w:color="FFFFFF"/>
              <w:bottom w:val="single" w:sz="4" w:space="0" w:color="FFFFFF"/>
              <w:right w:val="single" w:sz="4" w:space="0" w:color="FFFFFF"/>
            </w:tcBorders>
            <w:shd w:val="clear" w:color="000000" w:fill="D9D9D9"/>
            <w:vAlign w:val="center"/>
            <w:hideMark/>
          </w:tcPr>
          <w:p w:rsidR="007F6887" w:rsidRPr="00C354AC" w:rsidRDefault="007F6887" w:rsidP="00234DCF">
            <w:pPr>
              <w:spacing w:before="120"/>
              <w:jc w:val="center"/>
              <w:rPr>
                <w:rFonts w:eastAsia="Times New Roman"/>
                <w:b/>
                <w:bCs/>
                <w:color w:val="000000"/>
                <w:sz w:val="18"/>
                <w:szCs w:val="18"/>
                <w:lang w:eastAsia="es-MX"/>
              </w:rPr>
            </w:pPr>
            <w:r w:rsidRPr="00C354AC">
              <w:rPr>
                <w:rFonts w:eastAsia="Times New Roman"/>
                <w:b/>
                <w:bCs/>
                <w:color w:val="000000"/>
                <w:sz w:val="18"/>
                <w:szCs w:val="18"/>
                <w:lang w:eastAsia="es-MX"/>
              </w:rPr>
              <w:t>F=C+E</w:t>
            </w:r>
          </w:p>
        </w:tc>
        <w:tc>
          <w:tcPr>
            <w:tcW w:w="2183" w:type="dxa"/>
            <w:gridSpan w:val="2"/>
            <w:tcBorders>
              <w:top w:val="nil"/>
              <w:left w:val="nil"/>
              <w:bottom w:val="single" w:sz="4" w:space="0" w:color="FFFFFF"/>
              <w:right w:val="single" w:sz="4" w:space="0" w:color="FFFFFF"/>
            </w:tcBorders>
            <w:shd w:val="clear" w:color="000000" w:fill="D9D9D9"/>
            <w:vAlign w:val="center"/>
            <w:hideMark/>
          </w:tcPr>
          <w:p w:rsidR="007F6887" w:rsidRPr="00C354AC" w:rsidRDefault="007F6887" w:rsidP="00234DCF">
            <w:pPr>
              <w:spacing w:before="120"/>
              <w:rPr>
                <w:rFonts w:eastAsia="Times New Roman"/>
                <w:b/>
                <w:bCs/>
                <w:color w:val="000000"/>
                <w:sz w:val="18"/>
                <w:szCs w:val="18"/>
                <w:lang w:eastAsia="es-MX"/>
              </w:rPr>
            </w:pPr>
            <w:r w:rsidRPr="00C354AC">
              <w:rPr>
                <w:rFonts w:eastAsia="Times New Roman"/>
                <w:b/>
                <w:bCs/>
                <w:color w:val="000000"/>
                <w:sz w:val="18"/>
                <w:szCs w:val="18"/>
                <w:lang w:eastAsia="es-MX"/>
              </w:rPr>
              <w:t>NO ETIQUETADO</w:t>
            </w:r>
          </w:p>
        </w:tc>
        <w:tc>
          <w:tcPr>
            <w:tcW w:w="1263" w:type="dxa"/>
            <w:tcBorders>
              <w:top w:val="nil"/>
              <w:left w:val="nil"/>
              <w:bottom w:val="single" w:sz="4" w:space="0" w:color="FFFFFF"/>
              <w:right w:val="single" w:sz="4" w:space="0" w:color="FFFFFF"/>
            </w:tcBorders>
            <w:shd w:val="clear" w:color="000000" w:fill="D9D9D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23,242.2 </w:t>
            </w:r>
          </w:p>
        </w:tc>
        <w:tc>
          <w:tcPr>
            <w:tcW w:w="1264" w:type="dxa"/>
            <w:tcBorders>
              <w:top w:val="nil"/>
              <w:left w:val="nil"/>
              <w:bottom w:val="single" w:sz="4" w:space="0" w:color="FFFFFF"/>
              <w:right w:val="single" w:sz="4" w:space="0" w:color="FFFFFF"/>
            </w:tcBorders>
            <w:shd w:val="clear" w:color="000000" w:fill="D9D9D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000000"/>
                <w:sz w:val="18"/>
                <w:szCs w:val="18"/>
                <w:lang w:eastAsia="es-MX"/>
              </w:rPr>
              <w:t xml:space="preserve">        22,029.6 </w:t>
            </w:r>
          </w:p>
        </w:tc>
        <w:tc>
          <w:tcPr>
            <w:tcW w:w="1124" w:type="dxa"/>
            <w:tcBorders>
              <w:top w:val="nil"/>
              <w:left w:val="nil"/>
              <w:bottom w:val="single" w:sz="4" w:space="0" w:color="FFFFFF"/>
              <w:right w:val="single" w:sz="4" w:space="0" w:color="FFFFFF"/>
            </w:tcBorders>
            <w:shd w:val="clear" w:color="000000" w:fill="D9D9D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-1,213 </w:t>
            </w:r>
          </w:p>
        </w:tc>
        <w:tc>
          <w:tcPr>
            <w:tcW w:w="983" w:type="dxa"/>
            <w:tcBorders>
              <w:top w:val="nil"/>
              <w:left w:val="nil"/>
              <w:bottom w:val="single" w:sz="4" w:space="0" w:color="FFFFFF"/>
              <w:right w:val="single" w:sz="4" w:space="0" w:color="FFFFFF"/>
            </w:tcBorders>
            <w:shd w:val="clear" w:color="000000" w:fill="D9D9D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 xml:space="preserve">-2,163 </w:t>
            </w:r>
          </w:p>
        </w:tc>
        <w:tc>
          <w:tcPr>
            <w:tcW w:w="986" w:type="dxa"/>
            <w:gridSpan w:val="2"/>
            <w:tcBorders>
              <w:top w:val="nil"/>
              <w:left w:val="nil"/>
              <w:bottom w:val="single" w:sz="4" w:space="0" w:color="FFFFFF"/>
              <w:right w:val="single" w:sz="4" w:space="0" w:color="FFFFFF"/>
            </w:tcBorders>
            <w:shd w:val="clear" w:color="000000" w:fill="D9D9D9"/>
            <w:noWrap/>
            <w:vAlign w:val="center"/>
            <w:hideMark/>
          </w:tcPr>
          <w:p w:rsidR="007F6887" w:rsidRPr="00C354AC" w:rsidRDefault="007F6887" w:rsidP="00234DCF">
            <w:pPr>
              <w:spacing w:before="120"/>
              <w:jc w:val="right"/>
              <w:rPr>
                <w:rFonts w:eastAsia="Times New Roman"/>
                <w:b/>
                <w:bCs/>
                <w:color w:val="000000"/>
                <w:sz w:val="18"/>
                <w:szCs w:val="18"/>
                <w:lang w:eastAsia="es-MX"/>
              </w:rPr>
            </w:pPr>
            <w:r w:rsidRPr="00C354AC">
              <w:rPr>
                <w:rFonts w:eastAsia="Times New Roman"/>
                <w:b/>
                <w:bCs/>
                <w:color w:val="FF0000"/>
                <w:sz w:val="18"/>
                <w:szCs w:val="18"/>
                <w:lang w:eastAsia="es-MX"/>
              </w:rPr>
              <w:t>-8.9%</w:t>
            </w:r>
          </w:p>
        </w:tc>
      </w:tr>
    </w:tbl>
    <w:p w:rsidR="007F6887" w:rsidRPr="00233E4D" w:rsidRDefault="007F6887" w:rsidP="007F6887">
      <w:pPr>
        <w:spacing w:before="100" w:beforeAutospacing="1" w:after="100" w:afterAutospacing="1"/>
        <w:rPr>
          <w:rFonts w:cs="Arial"/>
          <w:sz w:val="18"/>
        </w:rPr>
      </w:pPr>
      <w:r w:rsidRPr="00233E4D">
        <w:rPr>
          <w:rFonts w:cs="Arial"/>
          <w:sz w:val="18"/>
        </w:rPr>
        <w:t>El presupuesto 2020 excluye los Derechos por la Infraestructura Tecnológica en materia de Seguridad Publica. Decreto 173/2020. Asimismo, se excluye el Financiamiento Yucatán Seguro*</w:t>
      </w:r>
    </w:p>
    <w:p w:rsidR="007F6887" w:rsidRPr="00233E4D" w:rsidRDefault="007F6887" w:rsidP="007F6887">
      <w:pPr>
        <w:spacing w:before="100" w:beforeAutospacing="1" w:after="100" w:afterAutospacing="1"/>
        <w:rPr>
          <w:rFonts w:cs="Arial"/>
          <w:sz w:val="18"/>
        </w:rPr>
      </w:pPr>
      <w:r w:rsidRPr="00233E4D">
        <w:rPr>
          <w:rFonts w:cs="Arial"/>
          <w:sz w:val="18"/>
        </w:rPr>
        <w:lastRenderedPageBreak/>
        <w:t>Considerando la inflación octubre 2019 – octubre 2020 correspondiente a 4.09% publicada por INEGI**</w:t>
      </w:r>
    </w:p>
    <w:p w:rsidR="007F6887" w:rsidRDefault="007F6887" w:rsidP="007F6887">
      <w:pPr>
        <w:spacing w:before="100" w:beforeAutospacing="1" w:after="100" w:afterAutospacing="1"/>
        <w:rPr>
          <w:rFonts w:cs="Arial"/>
          <w:sz w:val="18"/>
        </w:rPr>
      </w:pPr>
      <w:r w:rsidRPr="00233E4D">
        <w:rPr>
          <w:rFonts w:cs="Arial"/>
          <w:sz w:val="18"/>
        </w:rPr>
        <w:t xml:space="preserve">El Gasto No Etiquetado excluyendo Ingresos Propios de Entidades asciende a 18,975.2 </w:t>
      </w:r>
      <w:proofErr w:type="spellStart"/>
      <w:r w:rsidRPr="00233E4D">
        <w:rPr>
          <w:rFonts w:cs="Arial"/>
          <w:sz w:val="18"/>
        </w:rPr>
        <w:t>mdp</w:t>
      </w:r>
      <w:proofErr w:type="spellEnd"/>
      <w:r w:rsidRPr="00233E4D">
        <w:rPr>
          <w:rFonts w:cs="Arial"/>
          <w:sz w:val="18"/>
        </w:rPr>
        <w:t>***</w:t>
      </w:r>
    </w:p>
    <w:p w:rsidR="007F6887" w:rsidRPr="00233E4D" w:rsidRDefault="007F6887" w:rsidP="007F6887">
      <w:pPr>
        <w:spacing w:before="100" w:beforeAutospacing="1" w:after="100" w:afterAutospacing="1"/>
        <w:rPr>
          <w:rFonts w:cs="Arial"/>
        </w:rPr>
      </w:pPr>
      <w:r w:rsidRPr="00233E4D">
        <w:rPr>
          <w:rFonts w:cs="Arial"/>
        </w:rPr>
        <w:t xml:space="preserve">Se estima una recaudación propia por 3,501 </w:t>
      </w:r>
      <w:proofErr w:type="spellStart"/>
      <w:r w:rsidRPr="00233E4D">
        <w:rPr>
          <w:rFonts w:cs="Arial"/>
        </w:rPr>
        <w:t>mdp</w:t>
      </w:r>
      <w:proofErr w:type="spellEnd"/>
      <w:r w:rsidRPr="00233E4D">
        <w:rPr>
          <w:rFonts w:cs="Arial"/>
        </w:rPr>
        <w:t xml:space="preserve">, con una disminución de -24.6%, la cual es explicada principalmente por el </w:t>
      </w:r>
      <w:proofErr w:type="spellStart"/>
      <w:r w:rsidRPr="00233E4D">
        <w:rPr>
          <w:rFonts w:cs="Arial"/>
        </w:rPr>
        <w:t>reemplacamiento</w:t>
      </w:r>
      <w:proofErr w:type="spellEnd"/>
      <w:r w:rsidRPr="00233E4D">
        <w:rPr>
          <w:rFonts w:cs="Arial"/>
        </w:rPr>
        <w:t xml:space="preserve"> vehicular que se tenía considerado para 2020 y que, como medida para apoyar a las familias ante la continencia por el virus COVID19, se pospone hasta el año 2022. Asimismo, derivado de las restricciones generadas por la pandemia, se espera una reducción en el cobro de derechos a través de los paradores turísticos. Se espera recaudar.</w:t>
      </w:r>
    </w:p>
    <w:p w:rsidR="007F6887" w:rsidRPr="00233E4D" w:rsidRDefault="007F6887" w:rsidP="007F6887">
      <w:pPr>
        <w:spacing w:before="100" w:beforeAutospacing="1" w:after="100" w:afterAutospacing="1"/>
        <w:rPr>
          <w:rFonts w:cs="Arial"/>
        </w:rPr>
      </w:pPr>
      <w:r w:rsidRPr="00233E4D">
        <w:rPr>
          <w:rFonts w:cs="Arial"/>
        </w:rPr>
        <w:t xml:space="preserve">3,054 </w:t>
      </w:r>
      <w:proofErr w:type="spellStart"/>
      <w:r w:rsidRPr="00233E4D">
        <w:rPr>
          <w:rFonts w:cs="Arial"/>
        </w:rPr>
        <w:t>mdp</w:t>
      </w:r>
      <w:proofErr w:type="spellEnd"/>
      <w:r w:rsidRPr="00233E4D">
        <w:rPr>
          <w:rFonts w:cs="Arial"/>
        </w:rPr>
        <w:t xml:space="preserve"> por Venta de Bienes y Servicios de las entidades y por Cuotas de Aportación de Seguridad Social, a lo que corresponde 7.4% de los ingresos totales.</w:t>
      </w:r>
    </w:p>
    <w:p w:rsidR="007F6887" w:rsidRPr="00233E4D" w:rsidRDefault="007F6887" w:rsidP="007F6887">
      <w:pPr>
        <w:spacing w:before="100" w:beforeAutospacing="1" w:after="100" w:afterAutospacing="1"/>
        <w:rPr>
          <w:rFonts w:cs="Arial"/>
        </w:rPr>
      </w:pPr>
      <w:r w:rsidRPr="00233E4D">
        <w:rPr>
          <w:rFonts w:cs="Arial"/>
        </w:rPr>
        <w:t>De los ingresos provenientes de la federación, el rubro que se ve afectado con una mayor disminución es el de incentivos derivados de la colaboración fiscal (-47%).</w:t>
      </w:r>
    </w:p>
    <w:p w:rsidR="007F6887" w:rsidRPr="00233E4D" w:rsidRDefault="007F6887" w:rsidP="007F6887">
      <w:pPr>
        <w:spacing w:before="100" w:beforeAutospacing="1" w:after="100" w:afterAutospacing="1"/>
        <w:rPr>
          <w:rFonts w:cs="Arial"/>
        </w:rPr>
      </w:pPr>
      <w:r w:rsidRPr="00233E4D">
        <w:rPr>
          <w:rFonts w:cs="Arial"/>
        </w:rPr>
        <w:t>Los Ingresos Presupuestarios Federales se integran por Aportaciones, Convenios, Incentivos Derivados de Colaboración Fiscal y Participaciones, así como “Transferencias, Asignaciones, otros Subsidios y Ayudas” que corresponden en su totalidad al Subsidio para  la Universidad Autónoma del Estado de Yucatán (en adelante “Subsidio UADY”).</w:t>
      </w:r>
    </w:p>
    <w:p w:rsidR="007F6887" w:rsidRPr="00233E4D" w:rsidRDefault="007F6887" w:rsidP="007F6887">
      <w:pPr>
        <w:spacing w:before="100" w:beforeAutospacing="1" w:after="100" w:afterAutospacing="1"/>
        <w:rPr>
          <w:rFonts w:cs="Arial"/>
        </w:rPr>
      </w:pPr>
      <w:r w:rsidRPr="00233E4D">
        <w:rPr>
          <w:rFonts w:cs="Arial"/>
        </w:rPr>
        <w:t>Los Convenios y las Aportaciones, que son Ingresos Etiquetados, son recursos utilizados para financiar programas específicos dirigidos desde la federación a favor de las áreas prioritarias de desarrollo. De estos, las Aportaciones del Ramo 33 representan el 40.7%</w:t>
      </w:r>
      <w:r>
        <w:rPr>
          <w:rFonts w:cs="Arial"/>
        </w:rPr>
        <w:t xml:space="preserve"> </w:t>
      </w:r>
      <w:r w:rsidRPr="00233E4D">
        <w:rPr>
          <w:rFonts w:cs="Arial"/>
        </w:rPr>
        <w:t>del total de recursos federales para el ejercicio 2021 y los Convenios que, junto con el Subsidio UADY, corresponden al 14.6%.</w:t>
      </w:r>
    </w:p>
    <w:p w:rsidR="007F6887" w:rsidRPr="00233E4D" w:rsidRDefault="007F6887" w:rsidP="007F6887">
      <w:pPr>
        <w:spacing w:before="100" w:beforeAutospacing="1" w:after="100" w:afterAutospacing="1"/>
        <w:rPr>
          <w:rFonts w:cs="Arial"/>
        </w:rPr>
      </w:pPr>
      <w:r w:rsidRPr="00233E4D">
        <w:rPr>
          <w:rFonts w:cs="Arial"/>
        </w:rPr>
        <w:t xml:space="preserve">El Ramo 28 se presupuesta acorde a las cifras publicadas por la Secretaría de Hacienda y Crédito Público en el Proyecto de Presupuesto de Egresos de la Federación 2021. La estimación, que incluye Participaciones e Incentivos de Colaboración Fiscal, considera una disminución de -936 </w:t>
      </w:r>
      <w:proofErr w:type="spellStart"/>
      <w:r w:rsidRPr="00233E4D">
        <w:rPr>
          <w:rFonts w:cs="Arial"/>
        </w:rPr>
        <w:t>mdp</w:t>
      </w:r>
      <w:proofErr w:type="spellEnd"/>
      <w:r w:rsidRPr="00233E4D">
        <w:rPr>
          <w:rFonts w:cs="Arial"/>
        </w:rPr>
        <w:t xml:space="preserve"> reales (-5.7% real) para este Ramo. El cual se integra por una disminución de -603 </w:t>
      </w:r>
      <w:proofErr w:type="spellStart"/>
      <w:r w:rsidRPr="00233E4D">
        <w:rPr>
          <w:rFonts w:cs="Arial"/>
        </w:rPr>
        <w:t>mdp</w:t>
      </w:r>
      <w:proofErr w:type="spellEnd"/>
      <w:r w:rsidRPr="00233E4D">
        <w:rPr>
          <w:rFonts w:cs="Arial"/>
        </w:rPr>
        <w:t xml:space="preserve"> reales de Participaciones y -332 </w:t>
      </w:r>
      <w:proofErr w:type="spellStart"/>
      <w:r w:rsidRPr="00233E4D">
        <w:rPr>
          <w:rFonts w:cs="Arial"/>
        </w:rPr>
        <w:t>mdp</w:t>
      </w:r>
      <w:proofErr w:type="spellEnd"/>
      <w:r w:rsidRPr="00233E4D">
        <w:rPr>
          <w:rFonts w:cs="Arial"/>
        </w:rPr>
        <w:t xml:space="preserve"> reales de Incentivos de Colaboración Fiscal.</w:t>
      </w:r>
    </w:p>
    <w:p w:rsidR="007F6887" w:rsidRPr="00233E4D" w:rsidRDefault="007F6887" w:rsidP="007F6887">
      <w:pPr>
        <w:spacing w:before="100" w:beforeAutospacing="1" w:after="100" w:afterAutospacing="1"/>
        <w:rPr>
          <w:rFonts w:cs="Arial"/>
        </w:rPr>
      </w:pPr>
      <w:r w:rsidRPr="00233E4D">
        <w:rPr>
          <w:rFonts w:cs="Arial"/>
        </w:rPr>
        <w:t xml:space="preserve">El desglose por fondo del Ramo 28 del PEF para cada entidad federativa será comunicado por la SHCP en diciembre, previendo un techo de 30 mil </w:t>
      </w:r>
      <w:proofErr w:type="spellStart"/>
      <w:r w:rsidRPr="00233E4D">
        <w:rPr>
          <w:rFonts w:cs="Arial"/>
        </w:rPr>
        <w:t>mdp</w:t>
      </w:r>
      <w:proofErr w:type="spellEnd"/>
      <w:r w:rsidRPr="00233E4D">
        <w:rPr>
          <w:rFonts w:cs="Arial"/>
        </w:rPr>
        <w:t xml:space="preserve"> para el FEIEF, derivado de la potenciación realizada en 2020 para enfrentar las disminuciones por el impacto económico de la crisis sanitaria.</w:t>
      </w:r>
    </w:p>
    <w:p w:rsidR="007F6887" w:rsidRPr="00233E4D" w:rsidRDefault="007F6887" w:rsidP="007F6887">
      <w:pPr>
        <w:spacing w:before="100" w:beforeAutospacing="1" w:after="100" w:afterAutospacing="1"/>
        <w:rPr>
          <w:rFonts w:cs="Arial"/>
          <w:b/>
        </w:rPr>
      </w:pPr>
      <w:r w:rsidRPr="00233E4D">
        <w:rPr>
          <w:rFonts w:cs="Arial"/>
          <w:b/>
        </w:rPr>
        <w:lastRenderedPageBreak/>
        <w:t>2.2 Gasto Presupuestario</w:t>
      </w:r>
    </w:p>
    <w:p w:rsidR="007F6887" w:rsidRPr="00233E4D" w:rsidRDefault="007F6887" w:rsidP="007F6887">
      <w:pPr>
        <w:spacing w:before="100" w:beforeAutospacing="1" w:after="100" w:afterAutospacing="1"/>
        <w:rPr>
          <w:rFonts w:cs="Arial"/>
        </w:rPr>
      </w:pPr>
      <w:r w:rsidRPr="00233E4D">
        <w:rPr>
          <w:rFonts w:cs="Arial"/>
        </w:rPr>
        <w:t xml:space="preserve">El Proyecto de Presupuesto de Egresos para el ejercicio fiscal 2021 integra un gasto de 38,081.7 </w:t>
      </w:r>
      <w:proofErr w:type="spellStart"/>
      <w:r w:rsidRPr="00233E4D">
        <w:rPr>
          <w:rFonts w:cs="Arial"/>
        </w:rPr>
        <w:t>mdp</w:t>
      </w:r>
      <w:proofErr w:type="spellEnd"/>
      <w:r w:rsidRPr="00233E4D">
        <w:rPr>
          <w:rFonts w:cs="Arial"/>
        </w:rPr>
        <w:t xml:space="preserve"> y adicionalmente 3,054.4 </w:t>
      </w:r>
      <w:proofErr w:type="spellStart"/>
      <w:r w:rsidRPr="00233E4D">
        <w:rPr>
          <w:rFonts w:cs="Arial"/>
        </w:rPr>
        <w:t>mdp</w:t>
      </w:r>
      <w:proofErr w:type="spellEnd"/>
      <w:r w:rsidRPr="00233E4D">
        <w:rPr>
          <w:rFonts w:cs="Arial"/>
        </w:rPr>
        <w:t xml:space="preserve"> por venta de Bienes y servicios.</w:t>
      </w:r>
    </w:p>
    <w:p w:rsidR="007F6887" w:rsidRPr="00233E4D" w:rsidRDefault="007F6887" w:rsidP="007F6887">
      <w:pPr>
        <w:spacing w:before="100" w:beforeAutospacing="1" w:after="100" w:afterAutospacing="1"/>
        <w:rPr>
          <w:rFonts w:cs="Arial"/>
        </w:rPr>
      </w:pPr>
      <w:r w:rsidRPr="00233E4D">
        <w:rPr>
          <w:rFonts w:cs="Arial"/>
        </w:rPr>
        <w:t>El gasto público del Estado de Yucatán se presenta en los respectivos anexos y Tomos del Paquete Fiscal 2021 atendiendo las clasificaciones que señala el Consejo Estatal de Armonización Contable, CONAC, como son: Administrativa, Económica o por Tipo de Gasto, Funcional Programática y por Objeto del Gasto. Cada una presenta criterios de distribución de gasto distintos y responde a diferentes objetivos de análisis. Estas clasificaciones proporcionan elementos para responder a cuestiones diferentes, pero no excluyentes, y atienden a lo dispuesto en la Ley General de Contabilidad Gubernamental.</w:t>
      </w:r>
    </w:p>
    <w:p w:rsidR="007F6887" w:rsidRPr="00233E4D" w:rsidRDefault="007F6887" w:rsidP="007F6887">
      <w:pPr>
        <w:spacing w:before="100" w:beforeAutospacing="1" w:after="100" w:afterAutospacing="1"/>
        <w:rPr>
          <w:rFonts w:cs="Arial"/>
        </w:rPr>
      </w:pPr>
      <w:r w:rsidRPr="00233E4D">
        <w:rPr>
          <w:rFonts w:cs="Arial"/>
        </w:rPr>
        <w:t>En la presente sección se hace una presentación del gasto con base en el destino final de los recursos tomando como punto de partida las clasificaciones definidas por CONAC, pero presentando la información en forma tal que pueda ser más claro el destino final de los recursos. Lo anterior permite tener una mejor comprensión del ejercicio estimado del gasto, haciendo comparables los distintos ejercicios fiscales. Por ejemplo, se puede contar con una mejor interpretación del presupuesto autorizado en 2020 comparado con el anteproyecto 2021 si no se considera el efecto del financiamiento Yucatán Seguro; o bien, se puede tener mayor claridad del gasto en servicios personales (capítulo 1000) al considerar las transferencias a servicios personales   (capítulo 4000) de entidades, poderes  y autónomos como servicios personales pues, en caso contrario, se tendría una interpretación inadecuada de la ejecución de los recursos.</w:t>
      </w:r>
    </w:p>
    <w:p w:rsidR="007F6887" w:rsidRPr="00233E4D" w:rsidRDefault="007F6887" w:rsidP="00535A9D">
      <w:pPr>
        <w:pStyle w:val="Prrafodelista"/>
        <w:numPr>
          <w:ilvl w:val="0"/>
          <w:numId w:val="28"/>
        </w:numPr>
        <w:spacing w:before="100" w:beforeAutospacing="1" w:after="100" w:afterAutospacing="1" w:line="240" w:lineRule="auto"/>
        <w:rPr>
          <w:rFonts w:ascii="Arial" w:hAnsi="Arial" w:cs="Arial"/>
          <w:szCs w:val="24"/>
        </w:rPr>
      </w:pPr>
      <w:r w:rsidRPr="00233E4D">
        <w:rPr>
          <w:rFonts w:ascii="Arial" w:hAnsi="Arial" w:cs="Arial"/>
          <w:szCs w:val="24"/>
        </w:rPr>
        <w:t>El gasto sustantivo destinado al desempeño de funciones como prestación de servicios públicos representa más del 60% del presupuesto del Anteproyecto, los subsidios con reglas de operación cerca del 5% y el gasto administrativo, según la clasificación programática CONAC, representa solo el 11% del gasto total estimado para el ejercicio 2021.</w:t>
      </w:r>
    </w:p>
    <w:p w:rsidR="007F6887" w:rsidRPr="00233E4D" w:rsidRDefault="007F6887" w:rsidP="007F6887">
      <w:pPr>
        <w:spacing w:before="100" w:beforeAutospacing="1" w:after="100" w:afterAutospacing="1"/>
        <w:rPr>
          <w:rFonts w:cs="Arial"/>
          <w:b/>
          <w:i/>
        </w:rPr>
      </w:pPr>
      <w:r w:rsidRPr="00233E4D">
        <w:rPr>
          <w:rFonts w:cs="Arial"/>
          <w:b/>
          <w:i/>
        </w:rPr>
        <w:t>2.2.1</w:t>
      </w:r>
      <w:r w:rsidRPr="00233E4D">
        <w:rPr>
          <w:rFonts w:cs="Arial"/>
          <w:b/>
          <w:i/>
        </w:rPr>
        <w:tab/>
        <w:t>Clasificación Administrativa del Gasto</w:t>
      </w:r>
    </w:p>
    <w:p w:rsidR="007F6887" w:rsidRPr="00233E4D" w:rsidRDefault="007F6887" w:rsidP="007F6887">
      <w:pPr>
        <w:spacing w:before="100" w:beforeAutospacing="1" w:after="100" w:afterAutospacing="1"/>
        <w:rPr>
          <w:rFonts w:cs="Arial"/>
        </w:rPr>
      </w:pPr>
      <w:r w:rsidRPr="00233E4D">
        <w:rPr>
          <w:rFonts w:cs="Arial"/>
        </w:rPr>
        <w:t xml:space="preserve">Esta clasificación tiene como propósito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w:t>
      </w:r>
      <w:r w:rsidRPr="00233E4D">
        <w:rPr>
          <w:rFonts w:cs="Arial"/>
        </w:rPr>
        <w:lastRenderedPageBreak/>
        <w:t>agregadas, mediante su integración y consolidación, tal como lo requieren las mejores prácticas y los modelos universales establecidos en la materia.</w:t>
      </w:r>
    </w:p>
    <w:p w:rsidR="007F6887" w:rsidRPr="00233E4D" w:rsidRDefault="007F6887" w:rsidP="007F6887">
      <w:pPr>
        <w:spacing w:before="100" w:beforeAutospacing="1" w:after="100" w:afterAutospacing="1"/>
        <w:rPr>
          <w:rFonts w:cs="Arial"/>
        </w:rPr>
      </w:pPr>
      <w:r w:rsidRPr="00233E4D">
        <w:rPr>
          <w:rFonts w:cs="Arial"/>
        </w:rPr>
        <w:t>El desglose de la clasificación administrativa se puede con</w:t>
      </w:r>
      <w:r>
        <w:rPr>
          <w:rFonts w:cs="Arial"/>
        </w:rPr>
        <w:t>sultar en el Anexo 2.1 del Pre</w:t>
      </w:r>
      <w:r w:rsidRPr="00233E4D">
        <w:rPr>
          <w:rFonts w:cs="Arial"/>
        </w:rPr>
        <w:t>supuesto de Egresos del Gobierno del Estado de Yucatán para el Ejercicio Fiscal 2021.</w:t>
      </w:r>
    </w:p>
    <w:p w:rsidR="007F6887" w:rsidRPr="00233E4D" w:rsidRDefault="007F6887" w:rsidP="007F6887">
      <w:pPr>
        <w:spacing w:before="100" w:beforeAutospacing="1" w:after="100" w:afterAutospacing="1"/>
        <w:rPr>
          <w:rFonts w:cs="Arial"/>
        </w:rPr>
      </w:pPr>
      <w:r w:rsidRPr="00233E4D">
        <w:rPr>
          <w:rFonts w:cs="Arial"/>
        </w:rPr>
        <w:t xml:space="preserve">La propuesta de gasto para el ejercicio fiscal 2021 considera una asignación de 3,710.7 </w:t>
      </w:r>
      <w:proofErr w:type="spellStart"/>
      <w:r w:rsidRPr="00233E4D">
        <w:rPr>
          <w:rFonts w:cs="Arial"/>
        </w:rPr>
        <w:t>mdp</w:t>
      </w:r>
      <w:proofErr w:type="spellEnd"/>
      <w:r w:rsidRPr="00233E4D">
        <w:rPr>
          <w:rFonts w:cs="Arial"/>
        </w:rPr>
        <w:t xml:space="preserve"> para Poderes Legislativo, Judicial y Organismos Aut</w:t>
      </w:r>
      <w:r>
        <w:rPr>
          <w:rFonts w:cs="Arial"/>
        </w:rPr>
        <w:t>ónomos y el resto de los recur</w:t>
      </w:r>
      <w:r w:rsidRPr="00233E4D">
        <w:rPr>
          <w:rFonts w:cs="Arial"/>
        </w:rPr>
        <w:t xml:space="preserve">sos se asignan a Dependencias, Entidades del Poder </w:t>
      </w:r>
      <w:r>
        <w:rPr>
          <w:rFonts w:cs="Arial"/>
        </w:rPr>
        <w:t>Ejecutivo, así como a Ramos Ge</w:t>
      </w:r>
      <w:r w:rsidRPr="00233E4D">
        <w:rPr>
          <w:rFonts w:cs="Arial"/>
        </w:rPr>
        <w:t>nerales (Gráfico 3.3).</w:t>
      </w:r>
    </w:p>
    <w:p w:rsidR="007F6887" w:rsidRPr="00233E4D" w:rsidRDefault="007F6887" w:rsidP="007F6887">
      <w:pPr>
        <w:spacing w:before="100" w:beforeAutospacing="1" w:after="100" w:afterAutospacing="1"/>
        <w:rPr>
          <w:rFonts w:cs="Arial"/>
        </w:rPr>
      </w:pPr>
      <w:r>
        <w:rPr>
          <w:rFonts w:cs="Arial"/>
        </w:rPr>
        <w:t>En la tabla 2</w:t>
      </w:r>
      <w:r w:rsidRPr="00233E4D">
        <w:rPr>
          <w:rFonts w:cs="Arial"/>
        </w:rPr>
        <w:t>.2 puede observarse el cambio nominal y real entre el presupuesto autorizado en 2020 y el solicitado para el ejercicio 2021, tomando como base la Clasificación Administrativa definida por el Consejo Nacional de Armonización Contable (CONAC).</w:t>
      </w:r>
    </w:p>
    <w:tbl>
      <w:tblPr>
        <w:tblW w:w="0" w:type="auto"/>
        <w:tblCellMar>
          <w:left w:w="70" w:type="dxa"/>
          <w:right w:w="70" w:type="dxa"/>
        </w:tblCellMar>
        <w:tblLook w:val="04A0"/>
      </w:tblPr>
      <w:tblGrid>
        <w:gridCol w:w="1779"/>
        <w:gridCol w:w="7199"/>
      </w:tblGrid>
      <w:tr w:rsidR="007F6887" w:rsidRPr="00C428DD" w:rsidTr="00234DCF">
        <w:trPr>
          <w:trHeight w:val="504"/>
        </w:trPr>
        <w:tc>
          <w:tcPr>
            <w:tcW w:w="1838" w:type="dxa"/>
            <w:vMerge w:val="restart"/>
            <w:tcBorders>
              <w:top w:val="single" w:sz="4" w:space="0" w:color="FFFFFF"/>
              <w:left w:val="single" w:sz="4" w:space="0" w:color="FFFFFF"/>
              <w:bottom w:val="single" w:sz="4" w:space="0" w:color="FFFFFF"/>
              <w:right w:val="single" w:sz="4" w:space="0" w:color="FFFFFF"/>
            </w:tcBorders>
            <w:shd w:val="clear" w:color="auto" w:fill="FFC000"/>
            <w:vAlign w:val="center"/>
            <w:hideMark/>
          </w:tcPr>
          <w:p w:rsidR="007F6887" w:rsidRPr="004D5D60" w:rsidRDefault="007F6887" w:rsidP="00234DCF">
            <w:pPr>
              <w:spacing w:before="120"/>
              <w:jc w:val="center"/>
              <w:rPr>
                <w:rFonts w:eastAsia="Times New Roman"/>
                <w:b/>
                <w:color w:val="111B58"/>
                <w:lang w:eastAsia="es-MX"/>
              </w:rPr>
            </w:pPr>
            <w:r w:rsidRPr="004D5D60">
              <w:rPr>
                <w:rFonts w:eastAsia="Times New Roman"/>
                <w:b/>
                <w:color w:val="111B58"/>
                <w:lang w:eastAsia="es-MX"/>
              </w:rPr>
              <w:t>Tabla 2.2</w:t>
            </w:r>
          </w:p>
        </w:tc>
        <w:tc>
          <w:tcPr>
            <w:tcW w:w="7513" w:type="dxa"/>
            <w:vMerge w:val="restart"/>
            <w:tcBorders>
              <w:top w:val="nil"/>
              <w:left w:val="single" w:sz="4" w:space="0" w:color="FFFFFF"/>
              <w:bottom w:val="nil"/>
              <w:right w:val="nil"/>
            </w:tcBorders>
            <w:shd w:val="clear" w:color="auto" w:fill="111B58"/>
            <w:vAlign w:val="center"/>
            <w:hideMark/>
          </w:tcPr>
          <w:p w:rsidR="007F6887" w:rsidRPr="004D5D60" w:rsidRDefault="007F6887" w:rsidP="00234DCF">
            <w:pPr>
              <w:spacing w:before="120"/>
              <w:jc w:val="center"/>
              <w:rPr>
                <w:rFonts w:eastAsia="Times New Roman"/>
                <w:b/>
                <w:color w:val="FFFFFF"/>
                <w:lang w:eastAsia="es-MX"/>
              </w:rPr>
            </w:pPr>
            <w:r w:rsidRPr="00C428DD">
              <w:rPr>
                <w:rFonts w:eastAsia="Times New Roman"/>
                <w:b/>
                <w:color w:val="FFFFFF"/>
                <w:lang w:eastAsia="es-MX"/>
              </w:rPr>
              <w:t>Clasificación Administrativa</w:t>
            </w:r>
          </w:p>
        </w:tc>
      </w:tr>
      <w:tr w:rsidR="007F6887" w:rsidRPr="00C428DD" w:rsidTr="00234DCF">
        <w:trPr>
          <w:trHeight w:val="573"/>
        </w:trPr>
        <w:tc>
          <w:tcPr>
            <w:tcW w:w="1838" w:type="dxa"/>
            <w:vMerge/>
            <w:vAlign w:val="center"/>
            <w:hideMark/>
          </w:tcPr>
          <w:p w:rsidR="007F6887" w:rsidRPr="004D5D60" w:rsidRDefault="007F6887" w:rsidP="00234DCF">
            <w:pPr>
              <w:spacing w:before="120"/>
              <w:rPr>
                <w:rFonts w:eastAsia="Times New Roman"/>
                <w:color w:val="111B58"/>
                <w:lang w:eastAsia="es-MX"/>
              </w:rPr>
            </w:pPr>
          </w:p>
        </w:tc>
        <w:tc>
          <w:tcPr>
            <w:tcW w:w="7513" w:type="dxa"/>
            <w:vMerge/>
            <w:vAlign w:val="center"/>
            <w:hideMark/>
          </w:tcPr>
          <w:p w:rsidR="007F6887" w:rsidRPr="004D5D60" w:rsidRDefault="007F6887" w:rsidP="00234DCF">
            <w:pPr>
              <w:spacing w:before="120"/>
              <w:rPr>
                <w:rFonts w:eastAsia="Times New Roman"/>
                <w:color w:val="FFFFFF"/>
                <w:lang w:eastAsia="es-MX"/>
              </w:rPr>
            </w:pPr>
          </w:p>
        </w:tc>
      </w:tr>
    </w:tbl>
    <w:p w:rsidR="007F6887" w:rsidRPr="004D5D60" w:rsidRDefault="007F6887" w:rsidP="007F6887">
      <w:pPr>
        <w:spacing w:before="120"/>
        <w:jc w:val="right"/>
        <w:rPr>
          <w:i/>
          <w:color w:val="121D56"/>
        </w:rPr>
      </w:pPr>
    </w:p>
    <w:tbl>
      <w:tblPr>
        <w:tblW w:w="0" w:type="auto"/>
        <w:tblCellMar>
          <w:left w:w="70" w:type="dxa"/>
          <w:right w:w="70" w:type="dxa"/>
        </w:tblCellMar>
        <w:tblLook w:val="04A0"/>
      </w:tblPr>
      <w:tblGrid>
        <w:gridCol w:w="1342"/>
        <w:gridCol w:w="2166"/>
        <w:gridCol w:w="1234"/>
        <w:gridCol w:w="1474"/>
        <w:gridCol w:w="986"/>
        <w:gridCol w:w="858"/>
        <w:gridCol w:w="918"/>
      </w:tblGrid>
      <w:tr w:rsidR="007F6887" w:rsidRPr="00C428DD" w:rsidTr="00234DCF">
        <w:trPr>
          <w:trHeight w:val="20"/>
        </w:trPr>
        <w:tc>
          <w:tcPr>
            <w:tcW w:w="4395" w:type="dxa"/>
            <w:gridSpan w:val="2"/>
            <w:vMerge w:val="restart"/>
            <w:tcBorders>
              <w:top w:val="nil"/>
              <w:left w:val="nil"/>
              <w:bottom w:val="single" w:sz="4" w:space="0" w:color="FFFFFF"/>
              <w:right w:val="single" w:sz="4" w:space="0" w:color="FFFFFF"/>
            </w:tcBorders>
            <w:shd w:val="clear" w:color="000000" w:fill="1A98C0"/>
            <w:vAlign w:val="center"/>
            <w:hideMark/>
          </w:tcPr>
          <w:p w:rsidR="007F6887" w:rsidRPr="00284D89" w:rsidRDefault="007F6887" w:rsidP="00234DCF">
            <w:pPr>
              <w:spacing w:before="120"/>
              <w:jc w:val="center"/>
              <w:rPr>
                <w:rFonts w:eastAsia="Times New Roman"/>
                <w:b/>
                <w:bCs/>
                <w:color w:val="FFFFFF"/>
                <w:sz w:val="16"/>
                <w:szCs w:val="16"/>
                <w:lang w:eastAsia="es-MX"/>
              </w:rPr>
            </w:pPr>
            <w:r w:rsidRPr="00284D89">
              <w:rPr>
                <w:rFonts w:eastAsia="Times New Roman"/>
                <w:b/>
                <w:bCs/>
                <w:color w:val="FFFFFF"/>
                <w:sz w:val="16"/>
                <w:szCs w:val="16"/>
                <w:lang w:eastAsia="es-MX"/>
              </w:rPr>
              <w:t>GASTO*</w:t>
            </w:r>
          </w:p>
        </w:tc>
        <w:tc>
          <w:tcPr>
            <w:tcW w:w="1275" w:type="dxa"/>
            <w:vMerge w:val="restart"/>
            <w:tcBorders>
              <w:top w:val="single" w:sz="4" w:space="0" w:color="FFFFFF"/>
              <w:left w:val="single" w:sz="4" w:space="0" w:color="FFFFFF"/>
              <w:bottom w:val="single" w:sz="4" w:space="0" w:color="FFFFFF"/>
              <w:right w:val="single" w:sz="4" w:space="0" w:color="FFFFFF"/>
            </w:tcBorders>
            <w:shd w:val="clear" w:color="000000" w:fill="1A98C0"/>
            <w:vAlign w:val="center"/>
            <w:hideMark/>
          </w:tcPr>
          <w:p w:rsidR="007F6887" w:rsidRPr="00284D89" w:rsidRDefault="007F6887" w:rsidP="00234DCF">
            <w:pPr>
              <w:spacing w:before="120"/>
              <w:jc w:val="center"/>
              <w:rPr>
                <w:rFonts w:eastAsia="Times New Roman"/>
                <w:b/>
                <w:bCs/>
                <w:color w:val="FFFFFF"/>
                <w:sz w:val="16"/>
                <w:szCs w:val="16"/>
                <w:lang w:eastAsia="es-MX"/>
              </w:rPr>
            </w:pPr>
            <w:r w:rsidRPr="00284D89">
              <w:rPr>
                <w:rFonts w:eastAsia="Times New Roman"/>
                <w:b/>
                <w:bCs/>
                <w:color w:val="FFFFFF"/>
                <w:sz w:val="16"/>
                <w:szCs w:val="16"/>
                <w:lang w:eastAsia="es-MX"/>
              </w:rPr>
              <w:t>AUTORIZADO 2020</w:t>
            </w:r>
          </w:p>
        </w:tc>
        <w:tc>
          <w:tcPr>
            <w:tcW w:w="1276" w:type="dxa"/>
            <w:vMerge w:val="restart"/>
            <w:tcBorders>
              <w:top w:val="single" w:sz="4" w:space="0" w:color="FFFFFF"/>
              <w:left w:val="single" w:sz="4" w:space="0" w:color="FFFFFF"/>
              <w:bottom w:val="single" w:sz="4" w:space="0" w:color="FFFFFF"/>
              <w:right w:val="single" w:sz="4" w:space="0" w:color="FFFFFF"/>
            </w:tcBorders>
            <w:shd w:val="clear" w:color="000000" w:fill="1A98C0"/>
            <w:vAlign w:val="center"/>
            <w:hideMark/>
          </w:tcPr>
          <w:p w:rsidR="007F6887" w:rsidRPr="00284D89" w:rsidRDefault="007F6887" w:rsidP="00234DCF">
            <w:pPr>
              <w:spacing w:before="120"/>
              <w:jc w:val="center"/>
              <w:rPr>
                <w:rFonts w:eastAsia="Times New Roman"/>
                <w:b/>
                <w:bCs/>
                <w:color w:val="FFFFFF"/>
                <w:sz w:val="16"/>
                <w:szCs w:val="16"/>
                <w:lang w:eastAsia="es-MX"/>
              </w:rPr>
            </w:pPr>
            <w:r w:rsidRPr="00284D89">
              <w:rPr>
                <w:rFonts w:eastAsia="Times New Roman"/>
                <w:b/>
                <w:bCs/>
                <w:color w:val="FFFFFF"/>
                <w:sz w:val="16"/>
                <w:szCs w:val="16"/>
                <w:lang w:eastAsia="es-MX"/>
              </w:rPr>
              <w:t>ANTEPROYECTO 2021</w:t>
            </w:r>
          </w:p>
        </w:tc>
        <w:tc>
          <w:tcPr>
            <w:tcW w:w="1134" w:type="dxa"/>
            <w:tcBorders>
              <w:top w:val="single" w:sz="4" w:space="0" w:color="FFFFFF"/>
              <w:left w:val="nil"/>
              <w:bottom w:val="single" w:sz="4" w:space="0" w:color="FFFFFF"/>
              <w:right w:val="single" w:sz="4" w:space="0" w:color="FFFFFF"/>
            </w:tcBorders>
            <w:shd w:val="clear" w:color="000000" w:fill="1A98C0"/>
            <w:vAlign w:val="center"/>
            <w:hideMark/>
          </w:tcPr>
          <w:p w:rsidR="007F6887" w:rsidRPr="00284D89" w:rsidRDefault="007F6887" w:rsidP="00234DCF">
            <w:pPr>
              <w:spacing w:before="120"/>
              <w:jc w:val="center"/>
              <w:rPr>
                <w:rFonts w:eastAsia="Times New Roman"/>
                <w:b/>
                <w:bCs/>
                <w:color w:val="FFFFFF"/>
                <w:sz w:val="16"/>
                <w:szCs w:val="16"/>
                <w:lang w:eastAsia="es-MX"/>
              </w:rPr>
            </w:pPr>
            <w:r w:rsidRPr="00284D89">
              <w:rPr>
                <w:rFonts w:eastAsia="Times New Roman"/>
                <w:b/>
                <w:bCs/>
                <w:color w:val="FFFFFF"/>
                <w:sz w:val="16"/>
                <w:szCs w:val="16"/>
                <w:lang w:eastAsia="es-MX"/>
              </w:rPr>
              <w:t>∆ NOMINAL</w:t>
            </w:r>
          </w:p>
        </w:tc>
        <w:tc>
          <w:tcPr>
            <w:tcW w:w="2405" w:type="dxa"/>
            <w:gridSpan w:val="2"/>
            <w:tcBorders>
              <w:top w:val="single" w:sz="4" w:space="0" w:color="FFFFFF"/>
              <w:left w:val="nil"/>
              <w:bottom w:val="single" w:sz="4" w:space="0" w:color="FFFFFF"/>
              <w:right w:val="single" w:sz="4" w:space="0" w:color="FFFFFF"/>
            </w:tcBorders>
            <w:shd w:val="clear" w:color="000000" w:fill="1A98C0"/>
            <w:vAlign w:val="center"/>
            <w:hideMark/>
          </w:tcPr>
          <w:p w:rsidR="007F6887" w:rsidRPr="00284D89" w:rsidRDefault="007F6887" w:rsidP="00234DCF">
            <w:pPr>
              <w:spacing w:before="120"/>
              <w:jc w:val="center"/>
              <w:rPr>
                <w:rFonts w:eastAsia="Times New Roman"/>
                <w:b/>
                <w:bCs/>
                <w:color w:val="FFFFFF"/>
                <w:sz w:val="16"/>
                <w:szCs w:val="16"/>
                <w:lang w:eastAsia="es-MX"/>
              </w:rPr>
            </w:pPr>
            <w:r w:rsidRPr="00284D89">
              <w:rPr>
                <w:rFonts w:eastAsia="Times New Roman"/>
                <w:b/>
                <w:bCs/>
                <w:color w:val="FFFFFF"/>
                <w:sz w:val="16"/>
                <w:szCs w:val="16"/>
                <w:lang w:eastAsia="es-MX"/>
              </w:rPr>
              <w:t>∆ REAL</w:t>
            </w:r>
          </w:p>
        </w:tc>
      </w:tr>
      <w:tr w:rsidR="007F6887" w:rsidRPr="00C428DD" w:rsidTr="00234DCF">
        <w:trPr>
          <w:trHeight w:val="20"/>
        </w:trPr>
        <w:tc>
          <w:tcPr>
            <w:tcW w:w="4395" w:type="dxa"/>
            <w:gridSpan w:val="2"/>
            <w:vMerge/>
            <w:tcBorders>
              <w:top w:val="nil"/>
              <w:left w:val="nil"/>
              <w:bottom w:val="single" w:sz="4" w:space="0" w:color="FFFFFF"/>
              <w:right w:val="single" w:sz="4" w:space="0" w:color="FFFFFF"/>
            </w:tcBorders>
            <w:vAlign w:val="center"/>
            <w:hideMark/>
          </w:tcPr>
          <w:p w:rsidR="007F6887" w:rsidRPr="00284D89" w:rsidRDefault="007F6887" w:rsidP="00234DCF">
            <w:pPr>
              <w:spacing w:before="120"/>
              <w:rPr>
                <w:rFonts w:eastAsia="Times New Roman"/>
                <w:b/>
                <w:bCs/>
                <w:color w:val="FFFFFF"/>
                <w:sz w:val="16"/>
                <w:szCs w:val="16"/>
                <w:lang w:eastAsia="es-MX"/>
              </w:rPr>
            </w:pPr>
          </w:p>
        </w:tc>
        <w:tc>
          <w:tcPr>
            <w:tcW w:w="1275" w:type="dxa"/>
            <w:vMerge/>
            <w:tcBorders>
              <w:top w:val="single" w:sz="4" w:space="0" w:color="FFFFFF"/>
              <w:left w:val="single" w:sz="4" w:space="0" w:color="FFFFFF"/>
              <w:bottom w:val="single" w:sz="4" w:space="0" w:color="FFFFFF"/>
              <w:right w:val="single" w:sz="4" w:space="0" w:color="FFFFFF"/>
            </w:tcBorders>
            <w:vAlign w:val="center"/>
            <w:hideMark/>
          </w:tcPr>
          <w:p w:rsidR="007F6887" w:rsidRPr="00284D89" w:rsidRDefault="007F6887" w:rsidP="00234DCF">
            <w:pPr>
              <w:spacing w:before="120"/>
              <w:rPr>
                <w:rFonts w:eastAsia="Times New Roman"/>
                <w:b/>
                <w:bCs/>
                <w:color w:val="FFFFFF"/>
                <w:sz w:val="16"/>
                <w:szCs w:val="16"/>
                <w:lang w:eastAsia="es-MX"/>
              </w:rPr>
            </w:pPr>
          </w:p>
        </w:tc>
        <w:tc>
          <w:tcPr>
            <w:tcW w:w="1276" w:type="dxa"/>
            <w:vMerge/>
            <w:tcBorders>
              <w:top w:val="single" w:sz="4" w:space="0" w:color="FFFFFF"/>
              <w:left w:val="single" w:sz="4" w:space="0" w:color="FFFFFF"/>
              <w:bottom w:val="single" w:sz="4" w:space="0" w:color="FFFFFF"/>
              <w:right w:val="single" w:sz="4" w:space="0" w:color="FFFFFF"/>
            </w:tcBorders>
            <w:vAlign w:val="center"/>
            <w:hideMark/>
          </w:tcPr>
          <w:p w:rsidR="007F6887" w:rsidRPr="00284D89" w:rsidRDefault="007F6887" w:rsidP="00234DCF">
            <w:pPr>
              <w:spacing w:before="120"/>
              <w:rPr>
                <w:rFonts w:eastAsia="Times New Roman"/>
                <w:b/>
                <w:bCs/>
                <w:color w:val="FFFFFF"/>
                <w:sz w:val="16"/>
                <w:szCs w:val="16"/>
                <w:lang w:eastAsia="es-MX"/>
              </w:rPr>
            </w:pPr>
          </w:p>
        </w:tc>
        <w:tc>
          <w:tcPr>
            <w:tcW w:w="1134" w:type="dxa"/>
            <w:tcBorders>
              <w:top w:val="nil"/>
              <w:left w:val="nil"/>
              <w:bottom w:val="single" w:sz="4" w:space="0" w:color="FFFFFF"/>
              <w:right w:val="single" w:sz="4" w:space="0" w:color="FFFFFF"/>
            </w:tcBorders>
            <w:shd w:val="clear" w:color="000000" w:fill="1A98C0"/>
            <w:vAlign w:val="center"/>
            <w:hideMark/>
          </w:tcPr>
          <w:p w:rsidR="007F6887" w:rsidRPr="00284D89" w:rsidRDefault="007F6887" w:rsidP="00234DCF">
            <w:pPr>
              <w:spacing w:before="120"/>
              <w:jc w:val="center"/>
              <w:rPr>
                <w:rFonts w:eastAsia="Times New Roman"/>
                <w:b/>
                <w:bCs/>
                <w:color w:val="FFFFFF"/>
                <w:sz w:val="16"/>
                <w:szCs w:val="16"/>
                <w:lang w:eastAsia="es-MX"/>
              </w:rPr>
            </w:pPr>
            <w:r w:rsidRPr="00284D89">
              <w:rPr>
                <w:rFonts w:eastAsia="Times New Roman"/>
                <w:b/>
                <w:bCs/>
                <w:color w:val="FFFFFF"/>
                <w:sz w:val="16"/>
                <w:szCs w:val="16"/>
                <w:lang w:eastAsia="es-MX"/>
              </w:rPr>
              <w:t>$</w:t>
            </w:r>
          </w:p>
        </w:tc>
        <w:tc>
          <w:tcPr>
            <w:tcW w:w="1134" w:type="dxa"/>
            <w:tcBorders>
              <w:top w:val="nil"/>
              <w:left w:val="nil"/>
              <w:bottom w:val="single" w:sz="4" w:space="0" w:color="FFFFFF"/>
              <w:right w:val="single" w:sz="4" w:space="0" w:color="FFFFFF"/>
            </w:tcBorders>
            <w:shd w:val="clear" w:color="000000" w:fill="1A98C0"/>
            <w:vAlign w:val="center"/>
            <w:hideMark/>
          </w:tcPr>
          <w:p w:rsidR="007F6887" w:rsidRPr="00284D89" w:rsidRDefault="007F6887" w:rsidP="00234DCF">
            <w:pPr>
              <w:spacing w:before="120"/>
              <w:jc w:val="center"/>
              <w:rPr>
                <w:rFonts w:eastAsia="Times New Roman"/>
                <w:b/>
                <w:bCs/>
                <w:color w:val="FFFFFF"/>
                <w:sz w:val="16"/>
                <w:szCs w:val="16"/>
                <w:lang w:eastAsia="es-MX"/>
              </w:rPr>
            </w:pPr>
            <w:r w:rsidRPr="00284D89">
              <w:rPr>
                <w:rFonts w:eastAsia="Times New Roman"/>
                <w:b/>
                <w:bCs/>
                <w:color w:val="FFFFFF"/>
                <w:sz w:val="16"/>
                <w:szCs w:val="16"/>
                <w:lang w:eastAsia="es-MX"/>
              </w:rPr>
              <w:t>$</w:t>
            </w:r>
          </w:p>
        </w:tc>
        <w:tc>
          <w:tcPr>
            <w:tcW w:w="1271" w:type="dxa"/>
            <w:tcBorders>
              <w:top w:val="nil"/>
              <w:left w:val="nil"/>
              <w:bottom w:val="single" w:sz="4" w:space="0" w:color="FFFFFF"/>
              <w:right w:val="single" w:sz="4" w:space="0" w:color="FFFFFF"/>
            </w:tcBorders>
            <w:shd w:val="clear" w:color="000000" w:fill="1A98C0"/>
            <w:vAlign w:val="center"/>
            <w:hideMark/>
          </w:tcPr>
          <w:p w:rsidR="007F6887" w:rsidRPr="00284D89" w:rsidRDefault="007F6887" w:rsidP="00234DCF">
            <w:pPr>
              <w:spacing w:before="120"/>
              <w:jc w:val="center"/>
              <w:rPr>
                <w:rFonts w:eastAsia="Times New Roman"/>
                <w:b/>
                <w:bCs/>
                <w:color w:val="FFFFFF"/>
                <w:sz w:val="16"/>
                <w:szCs w:val="16"/>
                <w:lang w:eastAsia="es-MX"/>
              </w:rPr>
            </w:pPr>
            <w:r w:rsidRPr="00284D89">
              <w:rPr>
                <w:rFonts w:eastAsia="Times New Roman"/>
                <w:b/>
                <w:bCs/>
                <w:color w:val="FFFFFF"/>
                <w:sz w:val="16"/>
                <w:szCs w:val="16"/>
                <w:lang w:eastAsia="es-MX"/>
              </w:rPr>
              <w:t>%</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center"/>
              <w:rPr>
                <w:rFonts w:eastAsia="Times New Roman"/>
                <w:b/>
                <w:bCs/>
                <w:color w:val="000000"/>
                <w:sz w:val="16"/>
                <w:szCs w:val="16"/>
                <w:lang w:eastAsia="es-MX"/>
              </w:rPr>
            </w:pPr>
            <w:r w:rsidRPr="00284D89">
              <w:rPr>
                <w:rFonts w:eastAsia="Times New Roman"/>
                <w:b/>
                <w:bCs/>
                <w:color w:val="000000"/>
                <w:sz w:val="16"/>
                <w:szCs w:val="16"/>
                <w:lang w:eastAsia="es-MX"/>
              </w:rPr>
              <w:t>A=a1+a2+a3+a4</w:t>
            </w:r>
          </w:p>
        </w:tc>
        <w:tc>
          <w:tcPr>
            <w:tcW w:w="3171"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rPr>
                <w:rFonts w:eastAsia="Times New Roman"/>
                <w:b/>
                <w:bCs/>
                <w:color w:val="000000"/>
                <w:sz w:val="16"/>
                <w:szCs w:val="16"/>
                <w:lang w:eastAsia="es-MX"/>
              </w:rPr>
            </w:pPr>
            <w:r w:rsidRPr="00284D89">
              <w:rPr>
                <w:rFonts w:eastAsia="Times New Roman"/>
                <w:b/>
                <w:bCs/>
                <w:color w:val="000000"/>
                <w:sz w:val="16"/>
                <w:szCs w:val="16"/>
                <w:lang w:eastAsia="es-MX"/>
              </w:rPr>
              <w:t>DEPENDENCIAS, ENTIDADES y RAMOS GENERALES</w:t>
            </w:r>
          </w:p>
        </w:tc>
        <w:tc>
          <w:tcPr>
            <w:tcW w:w="1275"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000000"/>
                <w:sz w:val="16"/>
                <w:szCs w:val="16"/>
                <w:lang w:eastAsia="es-MX"/>
              </w:rPr>
              <w:t xml:space="preserve">38,351.5 </w:t>
            </w:r>
          </w:p>
        </w:tc>
        <w:tc>
          <w:tcPr>
            <w:tcW w:w="1276"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000000"/>
                <w:sz w:val="16"/>
                <w:szCs w:val="16"/>
                <w:lang w:eastAsia="es-MX"/>
              </w:rPr>
              <w:t xml:space="preserve">37,425.5 </w:t>
            </w:r>
          </w:p>
        </w:tc>
        <w:tc>
          <w:tcPr>
            <w:tcW w:w="1134"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FF0000"/>
                <w:sz w:val="16"/>
                <w:szCs w:val="16"/>
                <w:lang w:eastAsia="es-MX"/>
              </w:rPr>
              <w:t xml:space="preserve">-926.1 </w:t>
            </w:r>
          </w:p>
        </w:tc>
        <w:tc>
          <w:tcPr>
            <w:tcW w:w="1134"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FF0000"/>
                <w:sz w:val="16"/>
                <w:szCs w:val="16"/>
                <w:lang w:eastAsia="es-MX"/>
              </w:rPr>
              <w:t xml:space="preserve">-2,494.6 </w:t>
            </w:r>
          </w:p>
        </w:tc>
        <w:tc>
          <w:tcPr>
            <w:tcW w:w="1271"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FF0000"/>
                <w:sz w:val="16"/>
                <w:szCs w:val="16"/>
                <w:lang w:eastAsia="es-MX"/>
              </w:rPr>
              <w:t>-6.2%</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center"/>
              <w:rPr>
                <w:rFonts w:eastAsia="Times New Roman"/>
                <w:color w:val="000000"/>
                <w:sz w:val="16"/>
                <w:szCs w:val="16"/>
                <w:lang w:eastAsia="es-MX"/>
              </w:rPr>
            </w:pPr>
            <w:r w:rsidRPr="00284D89">
              <w:rPr>
                <w:rFonts w:eastAsia="Times New Roman"/>
                <w:color w:val="000000"/>
                <w:sz w:val="16"/>
                <w:szCs w:val="16"/>
                <w:lang w:eastAsia="es-MX"/>
              </w:rPr>
              <w:t>( a1 )</w:t>
            </w:r>
          </w:p>
        </w:tc>
        <w:tc>
          <w:tcPr>
            <w:tcW w:w="3171"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rPr>
                <w:rFonts w:eastAsia="Times New Roman"/>
                <w:color w:val="000000"/>
                <w:sz w:val="16"/>
                <w:szCs w:val="16"/>
                <w:lang w:eastAsia="es-MX"/>
              </w:rPr>
            </w:pPr>
            <w:r w:rsidRPr="00284D89">
              <w:rPr>
                <w:rFonts w:eastAsia="Times New Roman"/>
                <w:color w:val="000000"/>
                <w:sz w:val="16"/>
                <w:szCs w:val="16"/>
                <w:lang w:eastAsia="es-MX"/>
              </w:rPr>
              <w:t>PODER EJECUTIVO</w:t>
            </w:r>
          </w:p>
        </w:tc>
        <w:tc>
          <w:tcPr>
            <w:tcW w:w="1275"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26,377.1 </w:t>
            </w:r>
          </w:p>
        </w:tc>
        <w:tc>
          <w:tcPr>
            <w:tcW w:w="1276"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26,010.6 </w:t>
            </w:r>
          </w:p>
        </w:tc>
        <w:tc>
          <w:tcPr>
            <w:tcW w:w="1134"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 xml:space="preserve">-366.5 </w:t>
            </w:r>
          </w:p>
        </w:tc>
        <w:tc>
          <w:tcPr>
            <w:tcW w:w="1134"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 xml:space="preserve">-1,445.3 </w:t>
            </w:r>
          </w:p>
        </w:tc>
        <w:tc>
          <w:tcPr>
            <w:tcW w:w="1271"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-5.3%</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auto" w:fill="auto"/>
            <w:vAlign w:val="center"/>
            <w:hideMark/>
          </w:tcPr>
          <w:p w:rsidR="007F6887" w:rsidRPr="00284D89" w:rsidRDefault="007F6887" w:rsidP="00234DCF">
            <w:pPr>
              <w:spacing w:before="120"/>
              <w:jc w:val="center"/>
              <w:rPr>
                <w:rFonts w:eastAsia="Times New Roman"/>
                <w:color w:val="000000"/>
                <w:sz w:val="16"/>
                <w:szCs w:val="16"/>
                <w:lang w:eastAsia="es-MX"/>
              </w:rPr>
            </w:pPr>
            <w:r w:rsidRPr="00284D89">
              <w:rPr>
                <w:rFonts w:eastAsia="Times New Roman"/>
                <w:color w:val="000000"/>
                <w:sz w:val="16"/>
                <w:szCs w:val="16"/>
                <w:lang w:eastAsia="es-MX"/>
              </w:rPr>
              <w:t>( a2 )</w:t>
            </w:r>
          </w:p>
        </w:tc>
        <w:tc>
          <w:tcPr>
            <w:tcW w:w="3171"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rPr>
                <w:rFonts w:eastAsia="Times New Roman"/>
                <w:color w:val="000000"/>
                <w:sz w:val="16"/>
                <w:szCs w:val="16"/>
                <w:lang w:eastAsia="es-MX"/>
              </w:rPr>
            </w:pPr>
            <w:r w:rsidRPr="00284D89">
              <w:rPr>
                <w:rFonts w:eastAsia="Times New Roman"/>
                <w:color w:val="000000"/>
                <w:sz w:val="16"/>
                <w:szCs w:val="16"/>
                <w:lang w:eastAsia="es-MX"/>
              </w:rPr>
              <w:t>ENTIDADES PARAESTATALES EMPRESARIALES NO FINANCIERAS CON PARTICIPACION ESTATAL MAYORITARIA</w:t>
            </w:r>
          </w:p>
        </w:tc>
        <w:tc>
          <w:tcPr>
            <w:tcW w:w="1275"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33.2 </w:t>
            </w:r>
          </w:p>
        </w:tc>
        <w:tc>
          <w:tcPr>
            <w:tcW w:w="1276"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32.5 </w:t>
            </w:r>
          </w:p>
        </w:tc>
        <w:tc>
          <w:tcPr>
            <w:tcW w:w="1134"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 xml:space="preserve">-0.6 </w:t>
            </w:r>
          </w:p>
        </w:tc>
        <w:tc>
          <w:tcPr>
            <w:tcW w:w="1134"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 xml:space="preserve">-2.0 </w:t>
            </w:r>
          </w:p>
        </w:tc>
        <w:tc>
          <w:tcPr>
            <w:tcW w:w="1271"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-5.7%</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center"/>
              <w:rPr>
                <w:rFonts w:eastAsia="Times New Roman"/>
                <w:color w:val="000000"/>
                <w:sz w:val="16"/>
                <w:szCs w:val="16"/>
                <w:lang w:eastAsia="es-MX"/>
              </w:rPr>
            </w:pPr>
            <w:r w:rsidRPr="00284D89">
              <w:rPr>
                <w:rFonts w:eastAsia="Times New Roman"/>
                <w:color w:val="000000"/>
                <w:sz w:val="16"/>
                <w:szCs w:val="16"/>
                <w:lang w:eastAsia="es-MX"/>
              </w:rPr>
              <w:t>( a3 )</w:t>
            </w:r>
          </w:p>
        </w:tc>
        <w:tc>
          <w:tcPr>
            <w:tcW w:w="3171"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rPr>
                <w:rFonts w:eastAsia="Times New Roman"/>
                <w:color w:val="000000"/>
                <w:sz w:val="16"/>
                <w:szCs w:val="16"/>
                <w:lang w:eastAsia="es-MX"/>
              </w:rPr>
            </w:pPr>
            <w:r w:rsidRPr="00284D89">
              <w:rPr>
                <w:rFonts w:eastAsia="Times New Roman"/>
                <w:color w:val="000000"/>
                <w:sz w:val="16"/>
                <w:szCs w:val="16"/>
                <w:lang w:eastAsia="es-MX"/>
              </w:rPr>
              <w:t>ENTIDADES PARAESTATALES Y FIDEICOMISOS NO EMPRESARIALES Y NO FINANCIEROS</w:t>
            </w:r>
          </w:p>
        </w:tc>
        <w:tc>
          <w:tcPr>
            <w:tcW w:w="1275"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10,024.4 </w:t>
            </w:r>
          </w:p>
        </w:tc>
        <w:tc>
          <w:tcPr>
            <w:tcW w:w="1276"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9,427.2 </w:t>
            </w:r>
          </w:p>
        </w:tc>
        <w:tc>
          <w:tcPr>
            <w:tcW w:w="1134"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 xml:space="preserve">-597.2 </w:t>
            </w:r>
          </w:p>
        </w:tc>
        <w:tc>
          <w:tcPr>
            <w:tcW w:w="1134"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 xml:space="preserve">-1,007.2 </w:t>
            </w:r>
          </w:p>
        </w:tc>
        <w:tc>
          <w:tcPr>
            <w:tcW w:w="1271"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-9.7%</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auto" w:fill="auto"/>
            <w:vAlign w:val="center"/>
            <w:hideMark/>
          </w:tcPr>
          <w:p w:rsidR="007F6887" w:rsidRPr="00284D89" w:rsidRDefault="007F6887" w:rsidP="00234DCF">
            <w:pPr>
              <w:spacing w:before="120"/>
              <w:jc w:val="center"/>
              <w:rPr>
                <w:rFonts w:eastAsia="Times New Roman"/>
                <w:color w:val="000000"/>
                <w:sz w:val="16"/>
                <w:szCs w:val="16"/>
                <w:lang w:eastAsia="es-MX"/>
              </w:rPr>
            </w:pPr>
            <w:r w:rsidRPr="00284D89">
              <w:rPr>
                <w:rFonts w:eastAsia="Times New Roman"/>
                <w:color w:val="000000"/>
                <w:sz w:val="16"/>
                <w:szCs w:val="16"/>
                <w:lang w:eastAsia="es-MX"/>
              </w:rPr>
              <w:t>( a4 )</w:t>
            </w:r>
          </w:p>
        </w:tc>
        <w:tc>
          <w:tcPr>
            <w:tcW w:w="3171"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rPr>
                <w:rFonts w:eastAsia="Times New Roman"/>
                <w:color w:val="000000"/>
                <w:sz w:val="16"/>
                <w:szCs w:val="16"/>
                <w:lang w:eastAsia="es-MX"/>
              </w:rPr>
            </w:pPr>
            <w:r w:rsidRPr="00284D89">
              <w:rPr>
                <w:rFonts w:eastAsia="Times New Roman"/>
                <w:color w:val="000000"/>
                <w:sz w:val="16"/>
                <w:szCs w:val="16"/>
                <w:lang w:eastAsia="es-MX"/>
              </w:rPr>
              <w:t>INSTITUCIONES PUBLICAS DE SEGURIDAD SOCIAL</w:t>
            </w:r>
          </w:p>
        </w:tc>
        <w:tc>
          <w:tcPr>
            <w:tcW w:w="1275"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1,916.8 </w:t>
            </w:r>
          </w:p>
        </w:tc>
        <w:tc>
          <w:tcPr>
            <w:tcW w:w="1276"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1,955.1 </w:t>
            </w:r>
          </w:p>
        </w:tc>
        <w:tc>
          <w:tcPr>
            <w:tcW w:w="1134"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38.3 </w:t>
            </w:r>
          </w:p>
        </w:tc>
        <w:tc>
          <w:tcPr>
            <w:tcW w:w="1134"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 xml:space="preserve">-40.1 </w:t>
            </w:r>
          </w:p>
        </w:tc>
        <w:tc>
          <w:tcPr>
            <w:tcW w:w="1271"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-2.0%</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center"/>
              <w:rPr>
                <w:rFonts w:eastAsia="Times New Roman"/>
                <w:b/>
                <w:bCs/>
                <w:color w:val="000000"/>
                <w:sz w:val="16"/>
                <w:szCs w:val="16"/>
                <w:lang w:eastAsia="es-MX"/>
              </w:rPr>
            </w:pPr>
            <w:r w:rsidRPr="00284D89">
              <w:rPr>
                <w:rFonts w:eastAsia="Times New Roman"/>
                <w:b/>
                <w:bCs/>
                <w:color w:val="000000"/>
                <w:sz w:val="16"/>
                <w:szCs w:val="16"/>
                <w:lang w:eastAsia="es-MX"/>
              </w:rPr>
              <w:t>B=b1+b2+b3</w:t>
            </w:r>
          </w:p>
        </w:tc>
        <w:tc>
          <w:tcPr>
            <w:tcW w:w="3171"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rPr>
                <w:rFonts w:eastAsia="Times New Roman"/>
                <w:b/>
                <w:bCs/>
                <w:color w:val="000000"/>
                <w:sz w:val="16"/>
                <w:szCs w:val="16"/>
                <w:lang w:eastAsia="es-MX"/>
              </w:rPr>
            </w:pPr>
            <w:r w:rsidRPr="00284D89">
              <w:rPr>
                <w:rFonts w:eastAsia="Times New Roman"/>
                <w:b/>
                <w:bCs/>
                <w:color w:val="000000"/>
                <w:sz w:val="16"/>
                <w:szCs w:val="16"/>
                <w:lang w:eastAsia="es-MX"/>
              </w:rPr>
              <w:t>PODERES Y AUTÓNOMOS</w:t>
            </w:r>
          </w:p>
        </w:tc>
        <w:tc>
          <w:tcPr>
            <w:tcW w:w="1275"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000000"/>
                <w:sz w:val="16"/>
                <w:szCs w:val="16"/>
                <w:lang w:eastAsia="es-MX"/>
              </w:rPr>
              <w:t xml:space="preserve">3,501.3 </w:t>
            </w:r>
          </w:p>
        </w:tc>
        <w:tc>
          <w:tcPr>
            <w:tcW w:w="1276"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000000"/>
                <w:sz w:val="16"/>
                <w:szCs w:val="16"/>
                <w:lang w:eastAsia="es-MX"/>
              </w:rPr>
              <w:t xml:space="preserve">3,710.7 </w:t>
            </w:r>
          </w:p>
        </w:tc>
        <w:tc>
          <w:tcPr>
            <w:tcW w:w="1134"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000000"/>
                <w:sz w:val="16"/>
                <w:szCs w:val="16"/>
                <w:lang w:eastAsia="es-MX"/>
              </w:rPr>
              <w:t xml:space="preserve">209.3 </w:t>
            </w:r>
          </w:p>
        </w:tc>
        <w:tc>
          <w:tcPr>
            <w:tcW w:w="1134"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000000"/>
                <w:sz w:val="16"/>
                <w:szCs w:val="16"/>
                <w:lang w:eastAsia="es-MX"/>
              </w:rPr>
              <w:t xml:space="preserve">66.1 </w:t>
            </w:r>
          </w:p>
        </w:tc>
        <w:tc>
          <w:tcPr>
            <w:tcW w:w="1271" w:type="dxa"/>
            <w:tcBorders>
              <w:top w:val="nil"/>
              <w:left w:val="nil"/>
              <w:bottom w:val="single" w:sz="4" w:space="0" w:color="FFFFFF"/>
              <w:right w:val="single" w:sz="4" w:space="0" w:color="FFFFFF"/>
            </w:tcBorders>
            <w:shd w:val="clear" w:color="000000" w:fill="B4C6E7"/>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000000"/>
                <w:sz w:val="16"/>
                <w:szCs w:val="16"/>
                <w:lang w:eastAsia="es-MX"/>
              </w:rPr>
              <w:t>1.8%</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center"/>
              <w:rPr>
                <w:rFonts w:eastAsia="Times New Roman"/>
                <w:color w:val="000000"/>
                <w:sz w:val="16"/>
                <w:szCs w:val="16"/>
                <w:lang w:eastAsia="es-MX"/>
              </w:rPr>
            </w:pPr>
            <w:r w:rsidRPr="00284D89">
              <w:rPr>
                <w:rFonts w:eastAsia="Times New Roman"/>
                <w:color w:val="000000"/>
                <w:sz w:val="16"/>
                <w:szCs w:val="16"/>
                <w:lang w:eastAsia="es-MX"/>
              </w:rPr>
              <w:lastRenderedPageBreak/>
              <w:t>( b1 )</w:t>
            </w:r>
          </w:p>
        </w:tc>
        <w:tc>
          <w:tcPr>
            <w:tcW w:w="3171"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rPr>
                <w:rFonts w:eastAsia="Times New Roman"/>
                <w:color w:val="000000"/>
                <w:sz w:val="16"/>
                <w:szCs w:val="16"/>
                <w:lang w:eastAsia="es-MX"/>
              </w:rPr>
            </w:pPr>
            <w:r w:rsidRPr="00284D89">
              <w:rPr>
                <w:rFonts w:eastAsia="Times New Roman"/>
                <w:color w:val="000000"/>
                <w:sz w:val="16"/>
                <w:szCs w:val="16"/>
                <w:lang w:eastAsia="es-MX"/>
              </w:rPr>
              <w:t>PODER LEGISLATIVO</w:t>
            </w:r>
          </w:p>
        </w:tc>
        <w:tc>
          <w:tcPr>
            <w:tcW w:w="1275"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219.4 </w:t>
            </w:r>
          </w:p>
        </w:tc>
        <w:tc>
          <w:tcPr>
            <w:tcW w:w="1276"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220.0 </w:t>
            </w:r>
          </w:p>
        </w:tc>
        <w:tc>
          <w:tcPr>
            <w:tcW w:w="1134"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0.6 </w:t>
            </w:r>
          </w:p>
        </w:tc>
        <w:tc>
          <w:tcPr>
            <w:tcW w:w="1134"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 xml:space="preserve">-8.3 </w:t>
            </w:r>
          </w:p>
        </w:tc>
        <w:tc>
          <w:tcPr>
            <w:tcW w:w="1271"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-3.6%</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auto" w:fill="auto"/>
            <w:vAlign w:val="center"/>
            <w:hideMark/>
          </w:tcPr>
          <w:p w:rsidR="007F6887" w:rsidRPr="00284D89" w:rsidRDefault="007F6887" w:rsidP="00234DCF">
            <w:pPr>
              <w:spacing w:before="120"/>
              <w:jc w:val="center"/>
              <w:rPr>
                <w:rFonts w:eastAsia="Times New Roman"/>
                <w:color w:val="000000"/>
                <w:sz w:val="16"/>
                <w:szCs w:val="16"/>
                <w:lang w:eastAsia="es-MX"/>
              </w:rPr>
            </w:pPr>
            <w:r w:rsidRPr="00284D89">
              <w:rPr>
                <w:rFonts w:eastAsia="Times New Roman"/>
                <w:color w:val="000000"/>
                <w:sz w:val="16"/>
                <w:szCs w:val="16"/>
                <w:lang w:eastAsia="es-MX"/>
              </w:rPr>
              <w:t>( b2 )</w:t>
            </w:r>
          </w:p>
        </w:tc>
        <w:tc>
          <w:tcPr>
            <w:tcW w:w="3171"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rPr>
                <w:rFonts w:eastAsia="Times New Roman"/>
                <w:color w:val="000000"/>
                <w:sz w:val="16"/>
                <w:szCs w:val="16"/>
                <w:lang w:eastAsia="es-MX"/>
              </w:rPr>
            </w:pPr>
            <w:r w:rsidRPr="00284D89">
              <w:rPr>
                <w:rFonts w:eastAsia="Times New Roman"/>
                <w:color w:val="000000"/>
                <w:sz w:val="16"/>
                <w:szCs w:val="16"/>
                <w:lang w:eastAsia="es-MX"/>
              </w:rPr>
              <w:t>PODER JUDICIAL</w:t>
            </w:r>
          </w:p>
        </w:tc>
        <w:tc>
          <w:tcPr>
            <w:tcW w:w="1275"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611.0 </w:t>
            </w:r>
          </w:p>
        </w:tc>
        <w:tc>
          <w:tcPr>
            <w:tcW w:w="1276"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611.0 </w:t>
            </w:r>
          </w:p>
        </w:tc>
        <w:tc>
          <w:tcPr>
            <w:tcW w:w="1134"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0.0 </w:t>
            </w:r>
          </w:p>
        </w:tc>
        <w:tc>
          <w:tcPr>
            <w:tcW w:w="1134"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 xml:space="preserve">-25.0 </w:t>
            </w:r>
          </w:p>
        </w:tc>
        <w:tc>
          <w:tcPr>
            <w:tcW w:w="1271" w:type="dxa"/>
            <w:tcBorders>
              <w:top w:val="nil"/>
              <w:left w:val="nil"/>
              <w:bottom w:val="single" w:sz="4" w:space="0" w:color="FFFFFF"/>
              <w:right w:val="single" w:sz="4" w:space="0" w:color="FFFFFF"/>
            </w:tcBorders>
            <w:shd w:val="clear" w:color="auto" w:fill="auto"/>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-3.9%</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center"/>
              <w:rPr>
                <w:rFonts w:eastAsia="Times New Roman"/>
                <w:color w:val="000000"/>
                <w:sz w:val="16"/>
                <w:szCs w:val="16"/>
                <w:lang w:eastAsia="es-MX"/>
              </w:rPr>
            </w:pPr>
            <w:r w:rsidRPr="00284D89">
              <w:rPr>
                <w:rFonts w:eastAsia="Times New Roman"/>
                <w:color w:val="000000"/>
                <w:sz w:val="16"/>
                <w:szCs w:val="16"/>
                <w:lang w:eastAsia="es-MX"/>
              </w:rPr>
              <w:t>( b3 )</w:t>
            </w:r>
          </w:p>
        </w:tc>
        <w:tc>
          <w:tcPr>
            <w:tcW w:w="3171"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rPr>
                <w:rFonts w:eastAsia="Times New Roman"/>
                <w:color w:val="000000"/>
                <w:sz w:val="16"/>
                <w:szCs w:val="16"/>
                <w:lang w:eastAsia="es-MX"/>
              </w:rPr>
            </w:pPr>
            <w:r w:rsidRPr="00284D89">
              <w:rPr>
                <w:rFonts w:eastAsia="Times New Roman"/>
                <w:color w:val="000000"/>
                <w:sz w:val="16"/>
                <w:szCs w:val="16"/>
                <w:lang w:eastAsia="es-MX"/>
              </w:rPr>
              <w:t>ORGANISMOS AUTONOMOS</w:t>
            </w:r>
          </w:p>
        </w:tc>
        <w:tc>
          <w:tcPr>
            <w:tcW w:w="1275"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2,670.9 </w:t>
            </w:r>
          </w:p>
        </w:tc>
        <w:tc>
          <w:tcPr>
            <w:tcW w:w="1276"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2,879.6 </w:t>
            </w:r>
          </w:p>
        </w:tc>
        <w:tc>
          <w:tcPr>
            <w:tcW w:w="1134"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208.7 </w:t>
            </w:r>
          </w:p>
        </w:tc>
        <w:tc>
          <w:tcPr>
            <w:tcW w:w="1134"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99.5 </w:t>
            </w:r>
          </w:p>
        </w:tc>
        <w:tc>
          <w:tcPr>
            <w:tcW w:w="1271" w:type="dxa"/>
            <w:tcBorders>
              <w:top w:val="nil"/>
              <w:left w:val="nil"/>
              <w:bottom w:val="single" w:sz="4" w:space="0" w:color="FFFFFF"/>
              <w:right w:val="single" w:sz="4" w:space="0" w:color="FFFFFF"/>
            </w:tcBorders>
            <w:shd w:val="clear" w:color="000000" w:fill="F2F2F2"/>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3.6%</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center"/>
              <w:rPr>
                <w:rFonts w:eastAsia="Times New Roman"/>
                <w:color w:val="000000"/>
                <w:sz w:val="16"/>
                <w:szCs w:val="16"/>
                <w:lang w:eastAsia="es-MX"/>
              </w:rPr>
            </w:pPr>
            <w:r w:rsidRPr="00284D89">
              <w:rPr>
                <w:rFonts w:eastAsia="Times New Roman"/>
                <w:color w:val="000000"/>
                <w:sz w:val="16"/>
                <w:szCs w:val="16"/>
                <w:lang w:eastAsia="es-MX"/>
              </w:rPr>
              <w:t> </w:t>
            </w:r>
          </w:p>
        </w:tc>
        <w:tc>
          <w:tcPr>
            <w:tcW w:w="3171"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rPr>
                <w:rFonts w:eastAsia="Times New Roman"/>
                <w:color w:val="000000"/>
                <w:sz w:val="16"/>
                <w:szCs w:val="16"/>
                <w:lang w:eastAsia="es-MX"/>
              </w:rPr>
            </w:pPr>
            <w:r w:rsidRPr="00284D89">
              <w:rPr>
                <w:rFonts w:eastAsia="Times New Roman"/>
                <w:color w:val="000000"/>
                <w:sz w:val="16"/>
                <w:szCs w:val="16"/>
                <w:lang w:eastAsia="es-MX"/>
              </w:rPr>
              <w:t>FISCALIA ESPECIALIZADA EN COMBATE A LA CORRUPCION DEL ESTADO DE YUCATAN</w:t>
            </w:r>
          </w:p>
        </w:tc>
        <w:tc>
          <w:tcPr>
            <w:tcW w:w="1275"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w:t>
            </w:r>
          </w:p>
        </w:tc>
        <w:tc>
          <w:tcPr>
            <w:tcW w:w="1276"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19.8 </w:t>
            </w:r>
          </w:p>
        </w:tc>
        <w:tc>
          <w:tcPr>
            <w:tcW w:w="1134"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19.8 </w:t>
            </w:r>
          </w:p>
        </w:tc>
        <w:tc>
          <w:tcPr>
            <w:tcW w:w="1134"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19.8 </w:t>
            </w:r>
          </w:p>
        </w:tc>
        <w:tc>
          <w:tcPr>
            <w:tcW w:w="1271"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100.0%</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center"/>
              <w:rPr>
                <w:rFonts w:eastAsia="Times New Roman"/>
                <w:color w:val="000000"/>
                <w:sz w:val="16"/>
                <w:szCs w:val="16"/>
                <w:lang w:eastAsia="es-MX"/>
              </w:rPr>
            </w:pPr>
            <w:r w:rsidRPr="00284D89">
              <w:rPr>
                <w:rFonts w:eastAsia="Times New Roman"/>
                <w:color w:val="000000"/>
                <w:sz w:val="16"/>
                <w:szCs w:val="16"/>
                <w:lang w:eastAsia="es-MX"/>
              </w:rPr>
              <w:t> </w:t>
            </w:r>
          </w:p>
        </w:tc>
        <w:tc>
          <w:tcPr>
            <w:tcW w:w="3171"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rPr>
                <w:rFonts w:eastAsia="Times New Roman"/>
                <w:color w:val="000000"/>
                <w:sz w:val="16"/>
                <w:szCs w:val="16"/>
                <w:lang w:eastAsia="es-MX"/>
              </w:rPr>
            </w:pPr>
            <w:r w:rsidRPr="00284D89">
              <w:rPr>
                <w:rFonts w:eastAsia="Times New Roman"/>
                <w:color w:val="000000"/>
                <w:sz w:val="16"/>
                <w:szCs w:val="16"/>
                <w:lang w:eastAsia="es-MX"/>
              </w:rPr>
              <w:t>INSTITUTO ELECTORAL Y DE PARTICIPACION CIUDADANA DE YUCATAN</w:t>
            </w:r>
          </w:p>
        </w:tc>
        <w:tc>
          <w:tcPr>
            <w:tcW w:w="1275"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208.2 </w:t>
            </w:r>
          </w:p>
        </w:tc>
        <w:tc>
          <w:tcPr>
            <w:tcW w:w="1276"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362.0 </w:t>
            </w:r>
          </w:p>
        </w:tc>
        <w:tc>
          <w:tcPr>
            <w:tcW w:w="1134"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153.8 </w:t>
            </w:r>
          </w:p>
        </w:tc>
        <w:tc>
          <w:tcPr>
            <w:tcW w:w="1134"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145.2 </w:t>
            </w:r>
          </w:p>
        </w:tc>
        <w:tc>
          <w:tcPr>
            <w:tcW w:w="1271"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67.0%</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center"/>
              <w:rPr>
                <w:rFonts w:eastAsia="Times New Roman"/>
                <w:color w:val="000000"/>
                <w:sz w:val="16"/>
                <w:szCs w:val="16"/>
                <w:lang w:eastAsia="es-MX"/>
              </w:rPr>
            </w:pPr>
            <w:r w:rsidRPr="00284D89">
              <w:rPr>
                <w:rFonts w:eastAsia="Times New Roman"/>
                <w:color w:val="000000"/>
                <w:sz w:val="16"/>
                <w:szCs w:val="16"/>
                <w:lang w:eastAsia="es-MX"/>
              </w:rPr>
              <w:t> </w:t>
            </w:r>
          </w:p>
        </w:tc>
        <w:tc>
          <w:tcPr>
            <w:tcW w:w="3171"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rPr>
                <w:rFonts w:eastAsia="Times New Roman"/>
                <w:color w:val="000000"/>
                <w:sz w:val="16"/>
                <w:szCs w:val="16"/>
                <w:lang w:eastAsia="es-MX"/>
              </w:rPr>
            </w:pPr>
            <w:r w:rsidRPr="00284D89">
              <w:rPr>
                <w:rFonts w:eastAsia="Times New Roman"/>
                <w:color w:val="000000"/>
                <w:sz w:val="16"/>
                <w:szCs w:val="16"/>
                <w:lang w:eastAsia="es-MX"/>
              </w:rPr>
              <w:t>OTROS ORGANISMOS AUTÓNOMOS</w:t>
            </w:r>
          </w:p>
        </w:tc>
        <w:tc>
          <w:tcPr>
            <w:tcW w:w="1275"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2,462.7 </w:t>
            </w:r>
          </w:p>
        </w:tc>
        <w:tc>
          <w:tcPr>
            <w:tcW w:w="1276"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2,497.8 </w:t>
            </w:r>
          </w:p>
        </w:tc>
        <w:tc>
          <w:tcPr>
            <w:tcW w:w="1134"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000000"/>
                <w:sz w:val="16"/>
                <w:szCs w:val="16"/>
                <w:lang w:eastAsia="es-MX"/>
              </w:rPr>
              <w:t xml:space="preserve">35.2 </w:t>
            </w:r>
          </w:p>
        </w:tc>
        <w:tc>
          <w:tcPr>
            <w:tcW w:w="1134"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 xml:space="preserve">-65.6 </w:t>
            </w:r>
          </w:p>
        </w:tc>
        <w:tc>
          <w:tcPr>
            <w:tcW w:w="1271" w:type="dxa"/>
            <w:tcBorders>
              <w:top w:val="nil"/>
              <w:left w:val="nil"/>
              <w:bottom w:val="single" w:sz="4" w:space="0" w:color="FFFFFF"/>
              <w:right w:val="single" w:sz="4" w:space="0" w:color="FFFFFF"/>
            </w:tcBorders>
            <w:shd w:val="clear" w:color="000000" w:fill="F9F9F9"/>
            <w:vAlign w:val="center"/>
            <w:hideMark/>
          </w:tcPr>
          <w:p w:rsidR="007F6887" w:rsidRPr="00284D89" w:rsidRDefault="007F6887" w:rsidP="00234DCF">
            <w:pPr>
              <w:spacing w:before="120"/>
              <w:jc w:val="right"/>
              <w:rPr>
                <w:rFonts w:eastAsia="Times New Roman"/>
                <w:color w:val="000000"/>
                <w:sz w:val="16"/>
                <w:szCs w:val="16"/>
                <w:lang w:eastAsia="es-MX"/>
              </w:rPr>
            </w:pPr>
            <w:r w:rsidRPr="00284D89">
              <w:rPr>
                <w:rFonts w:eastAsia="Times New Roman"/>
                <w:color w:val="FF0000"/>
                <w:sz w:val="16"/>
                <w:szCs w:val="16"/>
                <w:lang w:eastAsia="es-MX"/>
              </w:rPr>
              <w:t>-2.6%</w:t>
            </w:r>
          </w:p>
        </w:tc>
      </w:tr>
      <w:tr w:rsidR="007F6887" w:rsidRPr="00C428DD" w:rsidTr="00234DCF">
        <w:trPr>
          <w:trHeight w:val="20"/>
        </w:trPr>
        <w:tc>
          <w:tcPr>
            <w:tcW w:w="0" w:type="auto"/>
            <w:tcBorders>
              <w:top w:val="single" w:sz="4" w:space="0" w:color="1A98C0"/>
              <w:left w:val="single" w:sz="4" w:space="0" w:color="FFFFFF"/>
              <w:bottom w:val="single" w:sz="4" w:space="0" w:color="FFFFFF"/>
              <w:right w:val="single" w:sz="4" w:space="0" w:color="FFFFFF"/>
            </w:tcBorders>
            <w:shd w:val="clear" w:color="D9E1F2" w:fill="FFFFFF"/>
            <w:vAlign w:val="center"/>
            <w:hideMark/>
          </w:tcPr>
          <w:p w:rsidR="007F6887" w:rsidRPr="00284D89" w:rsidRDefault="007F6887" w:rsidP="00234DCF">
            <w:pPr>
              <w:spacing w:before="120"/>
              <w:jc w:val="center"/>
              <w:rPr>
                <w:rFonts w:eastAsia="Times New Roman"/>
                <w:b/>
                <w:bCs/>
                <w:color w:val="000000"/>
                <w:sz w:val="16"/>
                <w:szCs w:val="16"/>
                <w:lang w:eastAsia="es-MX"/>
              </w:rPr>
            </w:pPr>
            <w:r w:rsidRPr="00284D89">
              <w:rPr>
                <w:rFonts w:eastAsia="Times New Roman"/>
                <w:b/>
                <w:bCs/>
                <w:color w:val="000000"/>
                <w:sz w:val="16"/>
                <w:szCs w:val="16"/>
                <w:lang w:eastAsia="es-MX"/>
              </w:rPr>
              <w:t>C=A+B</w:t>
            </w:r>
          </w:p>
        </w:tc>
        <w:tc>
          <w:tcPr>
            <w:tcW w:w="3171" w:type="dxa"/>
            <w:tcBorders>
              <w:top w:val="single" w:sz="4" w:space="0" w:color="1A98C0"/>
              <w:left w:val="nil"/>
              <w:bottom w:val="single" w:sz="4" w:space="0" w:color="FFFFFF"/>
              <w:right w:val="single" w:sz="4" w:space="0" w:color="FFFFFF"/>
            </w:tcBorders>
            <w:shd w:val="clear" w:color="D9E1F2" w:fill="FFFFFF"/>
            <w:vAlign w:val="center"/>
            <w:hideMark/>
          </w:tcPr>
          <w:p w:rsidR="007F6887" w:rsidRPr="00284D89" w:rsidRDefault="007F6887" w:rsidP="00234DCF">
            <w:pPr>
              <w:spacing w:before="120"/>
              <w:rPr>
                <w:rFonts w:eastAsia="Times New Roman"/>
                <w:b/>
                <w:bCs/>
                <w:color w:val="000000"/>
                <w:sz w:val="16"/>
                <w:szCs w:val="16"/>
                <w:lang w:eastAsia="es-MX"/>
              </w:rPr>
            </w:pPr>
            <w:r w:rsidRPr="00284D89">
              <w:rPr>
                <w:rFonts w:eastAsia="Times New Roman"/>
                <w:b/>
                <w:bCs/>
                <w:color w:val="000000"/>
                <w:sz w:val="16"/>
                <w:szCs w:val="16"/>
                <w:lang w:eastAsia="es-MX"/>
              </w:rPr>
              <w:t>Total general</w:t>
            </w:r>
          </w:p>
        </w:tc>
        <w:tc>
          <w:tcPr>
            <w:tcW w:w="1275" w:type="dxa"/>
            <w:tcBorders>
              <w:top w:val="single" w:sz="4" w:space="0" w:color="1A98C0"/>
              <w:left w:val="nil"/>
              <w:bottom w:val="single" w:sz="4" w:space="0" w:color="FFFFFF"/>
              <w:right w:val="single" w:sz="4" w:space="0" w:color="FFFFFF"/>
            </w:tcBorders>
            <w:shd w:val="clear" w:color="D9E1F2" w:fill="FFFFFF"/>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000000"/>
                <w:sz w:val="16"/>
                <w:szCs w:val="16"/>
                <w:lang w:eastAsia="es-MX"/>
              </w:rPr>
              <w:t xml:space="preserve">41,852.8 </w:t>
            </w:r>
          </w:p>
        </w:tc>
        <w:tc>
          <w:tcPr>
            <w:tcW w:w="1276" w:type="dxa"/>
            <w:tcBorders>
              <w:top w:val="single" w:sz="4" w:space="0" w:color="1A98C0"/>
              <w:left w:val="nil"/>
              <w:bottom w:val="single" w:sz="4" w:space="0" w:color="FFFFFF"/>
              <w:right w:val="single" w:sz="4" w:space="0" w:color="FFFFFF"/>
            </w:tcBorders>
            <w:shd w:val="clear" w:color="D9E1F2" w:fill="FFFFFF"/>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000000"/>
                <w:sz w:val="16"/>
                <w:szCs w:val="16"/>
                <w:lang w:eastAsia="es-MX"/>
              </w:rPr>
              <w:t xml:space="preserve">41,136.1 </w:t>
            </w:r>
          </w:p>
        </w:tc>
        <w:tc>
          <w:tcPr>
            <w:tcW w:w="1134" w:type="dxa"/>
            <w:tcBorders>
              <w:top w:val="single" w:sz="4" w:space="0" w:color="1A98C0"/>
              <w:left w:val="nil"/>
              <w:bottom w:val="single" w:sz="4" w:space="0" w:color="FFFFFF"/>
              <w:right w:val="single" w:sz="4" w:space="0" w:color="FFFFFF"/>
            </w:tcBorders>
            <w:shd w:val="clear" w:color="000000" w:fill="FFFFFF"/>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FF0000"/>
                <w:sz w:val="16"/>
                <w:szCs w:val="16"/>
                <w:lang w:eastAsia="es-MX"/>
              </w:rPr>
              <w:t xml:space="preserve">-716.7 </w:t>
            </w:r>
          </w:p>
        </w:tc>
        <w:tc>
          <w:tcPr>
            <w:tcW w:w="1134" w:type="dxa"/>
            <w:tcBorders>
              <w:top w:val="single" w:sz="4" w:space="0" w:color="1A98C0"/>
              <w:left w:val="nil"/>
              <w:bottom w:val="single" w:sz="4" w:space="0" w:color="FFFFFF"/>
              <w:right w:val="single" w:sz="4" w:space="0" w:color="FFFFFF"/>
            </w:tcBorders>
            <w:shd w:val="clear" w:color="000000" w:fill="FFFFFF"/>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FF0000"/>
                <w:sz w:val="16"/>
                <w:szCs w:val="16"/>
                <w:lang w:eastAsia="es-MX"/>
              </w:rPr>
              <w:t xml:space="preserve">-2,428.5 </w:t>
            </w:r>
          </w:p>
        </w:tc>
        <w:tc>
          <w:tcPr>
            <w:tcW w:w="1271" w:type="dxa"/>
            <w:tcBorders>
              <w:top w:val="single" w:sz="4" w:space="0" w:color="1A98C0"/>
              <w:left w:val="nil"/>
              <w:bottom w:val="single" w:sz="4" w:space="0" w:color="FFFFFF"/>
              <w:right w:val="single" w:sz="4" w:space="0" w:color="FFFFFF"/>
            </w:tcBorders>
            <w:shd w:val="clear" w:color="000000" w:fill="FFFFFF"/>
            <w:vAlign w:val="center"/>
            <w:hideMark/>
          </w:tcPr>
          <w:p w:rsidR="007F6887" w:rsidRPr="00284D89" w:rsidRDefault="007F6887" w:rsidP="00234DCF">
            <w:pPr>
              <w:spacing w:before="120"/>
              <w:jc w:val="right"/>
              <w:rPr>
                <w:rFonts w:eastAsia="Times New Roman"/>
                <w:b/>
                <w:bCs/>
                <w:color w:val="000000"/>
                <w:sz w:val="16"/>
                <w:szCs w:val="16"/>
                <w:lang w:eastAsia="es-MX"/>
              </w:rPr>
            </w:pPr>
            <w:r w:rsidRPr="00284D89">
              <w:rPr>
                <w:rFonts w:eastAsia="Times New Roman"/>
                <w:b/>
                <w:bCs/>
                <w:color w:val="FF0000"/>
                <w:sz w:val="16"/>
                <w:szCs w:val="16"/>
                <w:lang w:eastAsia="es-MX"/>
              </w:rPr>
              <w:t>-5.6%</w:t>
            </w:r>
          </w:p>
        </w:tc>
      </w:tr>
    </w:tbl>
    <w:p w:rsidR="007F6887" w:rsidRPr="00233E4D" w:rsidRDefault="007F6887" w:rsidP="007F6887">
      <w:pPr>
        <w:spacing w:before="100" w:beforeAutospacing="1" w:after="100" w:afterAutospacing="1"/>
        <w:rPr>
          <w:i/>
          <w:iCs/>
          <w:sz w:val="20"/>
        </w:rPr>
      </w:pPr>
      <w:r w:rsidRPr="00233E4D">
        <w:rPr>
          <w:i/>
          <w:iCs/>
          <w:sz w:val="20"/>
        </w:rPr>
        <w:t xml:space="preserve">El presupuesto 2020 excluye los Derechos por la Infraestructura Tecnológica en materia de Seguridad </w:t>
      </w:r>
      <w:proofErr w:type="gramStart"/>
      <w:r w:rsidRPr="00233E4D">
        <w:rPr>
          <w:i/>
          <w:iCs/>
          <w:sz w:val="20"/>
        </w:rPr>
        <w:t>Publica</w:t>
      </w:r>
      <w:proofErr w:type="gramEnd"/>
      <w:r w:rsidRPr="00233E4D">
        <w:rPr>
          <w:i/>
          <w:iCs/>
          <w:sz w:val="20"/>
        </w:rPr>
        <w:t>. Decreto 173/2020. Asimismo, se excluye el Financiamiento Yucatán Seguro*</w:t>
      </w:r>
    </w:p>
    <w:p w:rsidR="007F6887" w:rsidRPr="00233E4D" w:rsidRDefault="007F6887" w:rsidP="007F6887">
      <w:pPr>
        <w:spacing w:before="100" w:beforeAutospacing="1" w:after="100" w:afterAutospacing="1"/>
        <w:rPr>
          <w:i/>
          <w:iCs/>
          <w:sz w:val="20"/>
        </w:rPr>
      </w:pPr>
      <w:r w:rsidRPr="00233E4D">
        <w:rPr>
          <w:i/>
          <w:iCs/>
          <w:sz w:val="20"/>
        </w:rPr>
        <w:t>Considerando la inflación octubre 2019 – octubre 2020 correspondiente a 4.09% publicada por INEGI**</w:t>
      </w:r>
    </w:p>
    <w:p w:rsidR="007F6887" w:rsidRPr="00233E4D" w:rsidRDefault="007F6887" w:rsidP="007F6887">
      <w:pPr>
        <w:spacing w:before="100" w:beforeAutospacing="1" w:after="100" w:afterAutospacing="1"/>
        <w:rPr>
          <w:rFonts w:cs="Arial"/>
        </w:rPr>
      </w:pPr>
      <w:r w:rsidRPr="00233E4D">
        <w:rPr>
          <w:rFonts w:cs="Arial"/>
        </w:rPr>
        <w:t>El presupuesto presenta una reducción de -5.6% reales, siendo las dependencias, entidades y ramos generales quienes presentan una mayor disminución (-6.2% real)</w:t>
      </w:r>
      <w:r>
        <w:rPr>
          <w:rFonts w:cs="Arial"/>
        </w:rPr>
        <w:t>.</w:t>
      </w:r>
    </w:p>
    <w:p w:rsidR="007F6887" w:rsidRPr="00233E4D" w:rsidRDefault="007F6887" w:rsidP="007F6887">
      <w:pPr>
        <w:spacing w:before="100" w:beforeAutospacing="1" w:after="100" w:afterAutospacing="1"/>
        <w:rPr>
          <w:rFonts w:cs="Arial"/>
        </w:rPr>
      </w:pPr>
      <w:r w:rsidRPr="00233E4D">
        <w:rPr>
          <w:rFonts w:cs="Arial"/>
        </w:rPr>
        <w:t>Los organismos autónomos son los únicos que presentan un incremento, sin embargo, este se explica por las asignaciones presupuestales adicionales para promover la participación ciudadana en las elecciones de 2021, que suponen un crecimiento en el gasto del Instituto Electoral y de Participación Ciudadana de Yucatán, así como la creación de</w:t>
      </w:r>
      <w:r>
        <w:rPr>
          <w:rFonts w:cs="Arial"/>
        </w:rPr>
        <w:t xml:space="preserve"> </w:t>
      </w:r>
      <w:r w:rsidRPr="00233E4D">
        <w:rPr>
          <w:rFonts w:cs="Arial"/>
        </w:rPr>
        <w:t>la Fiscalía Especializada en Combate a la Corrupción del Estado de Yucatán. El presupuesto del resto de organismos autónomos disminuye en -2.6% real.</w:t>
      </w:r>
    </w:p>
    <w:p w:rsidR="007F6887" w:rsidRPr="00912F98" w:rsidRDefault="007F6887" w:rsidP="007F6887">
      <w:pPr>
        <w:spacing w:before="100" w:beforeAutospacing="1" w:after="100" w:afterAutospacing="1"/>
        <w:rPr>
          <w:rFonts w:cs="Arial"/>
          <w:b/>
          <w:i/>
        </w:rPr>
      </w:pPr>
      <w:r w:rsidRPr="00912F98">
        <w:rPr>
          <w:rFonts w:cs="Arial"/>
          <w:b/>
          <w:i/>
        </w:rPr>
        <w:t>2.2.2</w:t>
      </w:r>
      <w:r w:rsidRPr="00912F98">
        <w:rPr>
          <w:rFonts w:cs="Arial"/>
          <w:b/>
          <w:i/>
        </w:rPr>
        <w:tab/>
        <w:t>Clasificación Económica o por Tipo de gasto</w:t>
      </w:r>
    </w:p>
    <w:p w:rsidR="007F6887" w:rsidRPr="00233E4D" w:rsidRDefault="007F6887" w:rsidP="007F6887">
      <w:pPr>
        <w:spacing w:before="100" w:beforeAutospacing="1" w:after="100" w:afterAutospacing="1"/>
        <w:rPr>
          <w:rFonts w:cs="Arial"/>
        </w:rPr>
      </w:pPr>
      <w:r w:rsidRPr="00233E4D">
        <w:rPr>
          <w:rFonts w:cs="Arial"/>
        </w:rPr>
        <w:t>El Clasificador por Tipo de Gasto relaciona las transacciones públicas que generan gastos, distinguiendo los siguientes rubros: Gasto Corriente, de Capital, Amortización de la deuda y disminución de pasivos, Pensiones y Jubilaciones, y Participaciones.</w:t>
      </w:r>
    </w:p>
    <w:p w:rsidR="007F6887" w:rsidRPr="00233E4D" w:rsidRDefault="007F6887" w:rsidP="007F6887">
      <w:pPr>
        <w:spacing w:before="100" w:beforeAutospacing="1" w:after="100" w:afterAutospacing="1"/>
        <w:rPr>
          <w:rFonts w:cs="Arial"/>
        </w:rPr>
      </w:pPr>
      <w:r w:rsidRPr="00233E4D">
        <w:rPr>
          <w:rFonts w:cs="Arial"/>
        </w:rPr>
        <w:t>El desglose de la clasificación económica se puede consultar en el Anexo 2.5 del Presupuesto de Egresos del Gobierno del Estado de Yucatán para el Ejercicio Fiscal 2021.</w:t>
      </w:r>
    </w:p>
    <w:p w:rsidR="007F6887" w:rsidRDefault="007F6887" w:rsidP="007F6887">
      <w:pPr>
        <w:spacing w:before="100" w:beforeAutospacing="1" w:after="100" w:afterAutospacing="1"/>
        <w:rPr>
          <w:rFonts w:cs="Arial"/>
        </w:rPr>
      </w:pPr>
      <w:r w:rsidRPr="00233E4D">
        <w:rPr>
          <w:rFonts w:cs="Arial"/>
        </w:rPr>
        <w:lastRenderedPageBreak/>
        <w:t xml:space="preserve">Derivado de las recomendaciones realizadas por la SHCP, con base en la información enviada a través del Módulo de información Financiera del </w:t>
      </w:r>
      <w:proofErr w:type="spellStart"/>
      <w:r w:rsidRPr="00233E4D">
        <w:rPr>
          <w:rFonts w:cs="Arial"/>
        </w:rPr>
        <w:t>SEvAC</w:t>
      </w:r>
      <w:proofErr w:type="spellEnd"/>
      <w:r w:rsidRPr="00233E4D">
        <w:rPr>
          <w:rFonts w:cs="Arial"/>
        </w:rPr>
        <w:t xml:space="preserve"> 2019, se realizó la adecuación del clasificador por tipo de gasto del Estado para el presupuesto 2021 que implicó una reclasificación distinta de los tipos de gasto con respecto al paquete fiscal 2020, de manera que no son comparables ambos presupuestos. A continuación, se muestra el presupuesto con base en la clasificación que correspondía a la metodología utilizada para el ejercicio 2020 y 2021:</w:t>
      </w:r>
    </w:p>
    <w:tbl>
      <w:tblPr>
        <w:tblW w:w="0" w:type="auto"/>
        <w:tblCellMar>
          <w:left w:w="70" w:type="dxa"/>
          <w:right w:w="70" w:type="dxa"/>
        </w:tblCellMar>
        <w:tblLook w:val="04A0"/>
      </w:tblPr>
      <w:tblGrid>
        <w:gridCol w:w="5097"/>
        <w:gridCol w:w="1740"/>
        <w:gridCol w:w="2141"/>
      </w:tblGrid>
      <w:tr w:rsidR="007F6887" w:rsidRPr="00C428DD" w:rsidTr="00234DCF">
        <w:trPr>
          <w:trHeight w:val="504"/>
        </w:trPr>
        <w:tc>
          <w:tcPr>
            <w:tcW w:w="5397" w:type="dxa"/>
            <w:vMerge w:val="restart"/>
            <w:tcBorders>
              <w:top w:val="single" w:sz="4" w:space="0" w:color="FFFFFF"/>
              <w:left w:val="single" w:sz="4" w:space="0" w:color="FFFFFF"/>
              <w:bottom w:val="single" w:sz="4" w:space="0" w:color="FFFFFF"/>
              <w:right w:val="single" w:sz="4" w:space="0" w:color="FFFFFF"/>
            </w:tcBorders>
            <w:shd w:val="clear" w:color="auto" w:fill="FFC000"/>
            <w:vAlign w:val="center"/>
            <w:hideMark/>
          </w:tcPr>
          <w:p w:rsidR="007F6887" w:rsidRPr="004D5D60" w:rsidRDefault="007F6887" w:rsidP="00234DCF">
            <w:pPr>
              <w:spacing w:before="120"/>
              <w:jc w:val="center"/>
              <w:rPr>
                <w:rFonts w:eastAsia="Times New Roman"/>
                <w:b/>
                <w:color w:val="111B58"/>
                <w:lang w:eastAsia="es-MX"/>
              </w:rPr>
            </w:pPr>
            <w:r w:rsidRPr="004D5D60">
              <w:rPr>
                <w:rFonts w:eastAsia="Times New Roman"/>
                <w:b/>
                <w:color w:val="111B58"/>
                <w:lang w:eastAsia="es-MX"/>
              </w:rPr>
              <w:t>Tabla 2.3</w:t>
            </w:r>
          </w:p>
        </w:tc>
        <w:tc>
          <w:tcPr>
            <w:tcW w:w="3581" w:type="dxa"/>
            <w:gridSpan w:val="2"/>
            <w:vMerge w:val="restart"/>
            <w:tcBorders>
              <w:top w:val="nil"/>
              <w:left w:val="single" w:sz="4" w:space="0" w:color="FFFFFF"/>
              <w:bottom w:val="nil"/>
              <w:right w:val="nil"/>
            </w:tcBorders>
            <w:shd w:val="clear" w:color="auto" w:fill="111B58"/>
            <w:vAlign w:val="center"/>
            <w:hideMark/>
          </w:tcPr>
          <w:p w:rsidR="007F6887" w:rsidRPr="004D5D60" w:rsidRDefault="007F6887" w:rsidP="00234DCF">
            <w:pPr>
              <w:spacing w:before="120"/>
              <w:jc w:val="center"/>
              <w:rPr>
                <w:rFonts w:eastAsia="Times New Roman"/>
                <w:b/>
                <w:color w:val="FFFFFF"/>
                <w:lang w:eastAsia="es-MX"/>
              </w:rPr>
            </w:pPr>
            <w:r w:rsidRPr="00C428DD">
              <w:rPr>
                <w:rFonts w:eastAsia="Times New Roman"/>
                <w:b/>
                <w:color w:val="FFFFFF"/>
                <w:lang w:eastAsia="es-MX"/>
              </w:rPr>
              <w:t>Clasificación Económica</w:t>
            </w:r>
          </w:p>
        </w:tc>
      </w:tr>
      <w:tr w:rsidR="007F6887" w:rsidRPr="00C428DD" w:rsidTr="00234DCF">
        <w:trPr>
          <w:trHeight w:val="573"/>
        </w:trPr>
        <w:tc>
          <w:tcPr>
            <w:tcW w:w="5397" w:type="dxa"/>
            <w:vMerge/>
            <w:vAlign w:val="center"/>
            <w:hideMark/>
          </w:tcPr>
          <w:p w:rsidR="007F6887" w:rsidRPr="004D5D60" w:rsidRDefault="007F6887" w:rsidP="00234DCF">
            <w:pPr>
              <w:spacing w:before="120"/>
              <w:rPr>
                <w:rFonts w:eastAsia="Times New Roman"/>
                <w:color w:val="111B58"/>
                <w:lang w:eastAsia="es-MX"/>
              </w:rPr>
            </w:pPr>
          </w:p>
        </w:tc>
        <w:tc>
          <w:tcPr>
            <w:tcW w:w="3581" w:type="dxa"/>
            <w:gridSpan w:val="2"/>
            <w:vMerge/>
            <w:vAlign w:val="center"/>
            <w:hideMark/>
          </w:tcPr>
          <w:p w:rsidR="007F6887" w:rsidRPr="004D5D60" w:rsidRDefault="007F6887" w:rsidP="00234DCF">
            <w:pPr>
              <w:spacing w:before="120"/>
              <w:rPr>
                <w:rFonts w:eastAsia="Times New Roman"/>
                <w:color w:val="FFFFFF"/>
                <w:lang w:eastAsia="es-MX"/>
              </w:rPr>
            </w:pPr>
          </w:p>
        </w:tc>
      </w:tr>
      <w:tr w:rsidR="007F6887" w:rsidRPr="00C428DD" w:rsidTr="00234DCF">
        <w:tblPrEx>
          <w:jc w:val="center"/>
        </w:tblPrEx>
        <w:trPr>
          <w:trHeight w:val="453"/>
          <w:jc w:val="center"/>
        </w:trPr>
        <w:tc>
          <w:tcPr>
            <w:tcW w:w="0" w:type="auto"/>
            <w:vMerge w:val="restart"/>
            <w:tcBorders>
              <w:top w:val="single" w:sz="4" w:space="0" w:color="FFFFFF"/>
              <w:left w:val="single" w:sz="4" w:space="0" w:color="FFFFFF"/>
              <w:bottom w:val="single" w:sz="4" w:space="0" w:color="D9E1F2"/>
              <w:right w:val="single" w:sz="4"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GASTO*</w:t>
            </w:r>
          </w:p>
        </w:tc>
        <w:tc>
          <w:tcPr>
            <w:tcW w:w="0" w:type="auto"/>
            <w:vMerge w:val="restart"/>
            <w:tcBorders>
              <w:top w:val="single" w:sz="4" w:space="0" w:color="FFFFFF"/>
              <w:left w:val="single" w:sz="4" w:space="0" w:color="FFFFFF"/>
              <w:bottom w:val="single" w:sz="4" w:space="0" w:color="FFFFFF"/>
              <w:right w:val="single" w:sz="4"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AUTORIZADO 2020</w:t>
            </w:r>
          </w:p>
        </w:tc>
        <w:tc>
          <w:tcPr>
            <w:tcW w:w="0" w:type="auto"/>
            <w:vMerge w:val="restart"/>
            <w:tcBorders>
              <w:top w:val="single" w:sz="4" w:space="0" w:color="FFFFFF"/>
              <w:left w:val="single" w:sz="4" w:space="0" w:color="FFFFFF"/>
              <w:bottom w:val="single" w:sz="4" w:space="0" w:color="FFFFFF"/>
              <w:right w:val="single" w:sz="4"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ANTEPROYECTO 2021</w:t>
            </w:r>
          </w:p>
        </w:tc>
      </w:tr>
      <w:tr w:rsidR="007F6887" w:rsidRPr="00C428DD" w:rsidTr="00234DCF">
        <w:tblPrEx>
          <w:jc w:val="center"/>
        </w:tblPrEx>
        <w:trPr>
          <w:trHeight w:val="573"/>
          <w:jc w:val="center"/>
        </w:trPr>
        <w:tc>
          <w:tcPr>
            <w:tcW w:w="0" w:type="auto"/>
            <w:vMerge/>
            <w:tcBorders>
              <w:top w:val="single" w:sz="4" w:space="0" w:color="FFFFFF"/>
              <w:left w:val="single" w:sz="4" w:space="0" w:color="FFFFFF"/>
              <w:bottom w:val="single" w:sz="4" w:space="0" w:color="D9E1F2"/>
              <w:right w:val="single" w:sz="4" w:space="0" w:color="FFFFFF"/>
            </w:tcBorders>
            <w:vAlign w:val="center"/>
            <w:hideMark/>
          </w:tcPr>
          <w:p w:rsidR="007F6887" w:rsidRPr="004D5D60" w:rsidRDefault="007F6887" w:rsidP="00234DCF">
            <w:pPr>
              <w:spacing w:before="120"/>
              <w:rPr>
                <w:rFonts w:eastAsia="Times New Roman"/>
                <w:b/>
                <w:bCs/>
                <w:color w:val="FFFFFF"/>
                <w:lang w:eastAsia="es-MX"/>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7F6887" w:rsidRPr="004D5D60" w:rsidRDefault="007F6887" w:rsidP="00234DCF">
            <w:pPr>
              <w:spacing w:before="120"/>
              <w:rPr>
                <w:rFonts w:eastAsia="Times New Roman"/>
                <w:b/>
                <w:bCs/>
                <w:color w:val="FFFFFF"/>
                <w:lang w:eastAsia="es-MX"/>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7F6887" w:rsidRPr="004D5D60" w:rsidRDefault="007F6887" w:rsidP="00234DCF">
            <w:pPr>
              <w:spacing w:before="120"/>
              <w:rPr>
                <w:rFonts w:eastAsia="Times New Roman"/>
                <w:b/>
                <w:bCs/>
                <w:color w:val="FFFFFF"/>
                <w:lang w:eastAsia="es-MX"/>
              </w:rPr>
            </w:pPr>
          </w:p>
        </w:tc>
      </w:tr>
      <w:tr w:rsidR="007F6887" w:rsidRPr="00C428DD" w:rsidTr="00234DCF">
        <w:tblPrEx>
          <w:jc w:val="center"/>
        </w:tblPrEx>
        <w:trPr>
          <w:trHeight w:val="20"/>
          <w:jc w:val="center"/>
        </w:trPr>
        <w:tc>
          <w:tcPr>
            <w:tcW w:w="0" w:type="auto"/>
            <w:tcBorders>
              <w:top w:val="single" w:sz="4" w:space="0" w:color="FFFFFF"/>
              <w:left w:val="single" w:sz="4" w:space="0" w:color="FFFFFF"/>
              <w:bottom w:val="single" w:sz="4" w:space="0" w:color="FFFFFF"/>
              <w:right w:val="single" w:sz="4" w:space="0" w:color="FFFFFF"/>
            </w:tcBorders>
            <w:shd w:val="clear" w:color="000000" w:fill="F2F2F2"/>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Gasto Corriente</w:t>
            </w:r>
          </w:p>
        </w:tc>
        <w:tc>
          <w:tcPr>
            <w:tcW w:w="0" w:type="auto"/>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30,764.4 </w:t>
            </w:r>
          </w:p>
        </w:tc>
        <w:tc>
          <w:tcPr>
            <w:tcW w:w="0" w:type="auto"/>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34,428.6 </w:t>
            </w:r>
          </w:p>
        </w:tc>
      </w:tr>
      <w:tr w:rsidR="007F6887" w:rsidRPr="00C428DD" w:rsidTr="00234DCF">
        <w:tblPrEx>
          <w:jc w:val="center"/>
        </w:tblPrEx>
        <w:trPr>
          <w:trHeight w:val="20"/>
          <w:jc w:val="center"/>
        </w:trPr>
        <w:tc>
          <w:tcPr>
            <w:tcW w:w="0" w:type="auto"/>
            <w:tcBorders>
              <w:top w:val="nil"/>
              <w:left w:val="single" w:sz="4" w:space="0" w:color="FFFFFF"/>
              <w:bottom w:val="single" w:sz="4" w:space="0" w:color="FFFFFF"/>
              <w:right w:val="single" w:sz="4"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Gasto de Capital</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1,588.8 </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953.3 </w:t>
            </w:r>
          </w:p>
        </w:tc>
      </w:tr>
      <w:tr w:rsidR="007F6887" w:rsidRPr="00C428DD" w:rsidTr="00234DCF">
        <w:tblPrEx>
          <w:jc w:val="center"/>
        </w:tblPrEx>
        <w:trPr>
          <w:trHeight w:val="20"/>
          <w:jc w:val="center"/>
        </w:trPr>
        <w:tc>
          <w:tcPr>
            <w:tcW w:w="0" w:type="auto"/>
            <w:tcBorders>
              <w:top w:val="nil"/>
              <w:left w:val="single" w:sz="4" w:space="0" w:color="FFFFFF"/>
              <w:bottom w:val="single" w:sz="4" w:space="0" w:color="FFFFFF"/>
              <w:right w:val="single" w:sz="4" w:space="0" w:color="FFFFFF"/>
            </w:tcBorders>
            <w:shd w:val="clear" w:color="000000" w:fill="F2F2F2"/>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Amortización de la Deuda y Disminución de Pasivos</w:t>
            </w:r>
          </w:p>
        </w:tc>
        <w:tc>
          <w:tcPr>
            <w:tcW w:w="0" w:type="auto"/>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872.6 </w:t>
            </w:r>
          </w:p>
        </w:tc>
        <w:tc>
          <w:tcPr>
            <w:tcW w:w="0" w:type="auto"/>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506.4 </w:t>
            </w:r>
          </w:p>
        </w:tc>
      </w:tr>
      <w:tr w:rsidR="007F6887" w:rsidRPr="00C428DD" w:rsidTr="00234DCF">
        <w:tblPrEx>
          <w:jc w:val="center"/>
        </w:tblPrEx>
        <w:trPr>
          <w:trHeight w:val="20"/>
          <w:jc w:val="center"/>
        </w:trPr>
        <w:tc>
          <w:tcPr>
            <w:tcW w:w="0" w:type="auto"/>
            <w:tcBorders>
              <w:top w:val="nil"/>
              <w:left w:val="single" w:sz="4" w:space="0" w:color="FFFFFF"/>
              <w:bottom w:val="single" w:sz="4" w:space="0" w:color="FFFFFF"/>
              <w:right w:val="single" w:sz="4"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Participaciones, aportaciones y transferencias a municipios</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6,891.0 </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3,424.0 </w:t>
            </w:r>
          </w:p>
        </w:tc>
      </w:tr>
      <w:tr w:rsidR="007F6887" w:rsidRPr="00C428DD" w:rsidTr="00234DCF">
        <w:tblPrEx>
          <w:jc w:val="center"/>
        </w:tblPrEx>
        <w:trPr>
          <w:trHeight w:val="20"/>
          <w:jc w:val="center"/>
        </w:trPr>
        <w:tc>
          <w:tcPr>
            <w:tcW w:w="0" w:type="auto"/>
            <w:tcBorders>
              <w:top w:val="nil"/>
              <w:left w:val="single" w:sz="4" w:space="0" w:color="FFFFFF"/>
              <w:bottom w:val="single" w:sz="4" w:space="0" w:color="FFFFFF"/>
              <w:right w:val="single" w:sz="4" w:space="0" w:color="FFFFFF"/>
            </w:tcBorders>
            <w:shd w:val="clear" w:color="000000" w:fill="F2F2F2"/>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Pensiones y Jubilaciones</w:t>
            </w:r>
          </w:p>
        </w:tc>
        <w:tc>
          <w:tcPr>
            <w:tcW w:w="0" w:type="auto"/>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1,736.0 </w:t>
            </w:r>
          </w:p>
        </w:tc>
        <w:tc>
          <w:tcPr>
            <w:tcW w:w="0" w:type="auto"/>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1,823.7 </w:t>
            </w:r>
          </w:p>
        </w:tc>
      </w:tr>
      <w:tr w:rsidR="007F6887" w:rsidRPr="00C428DD" w:rsidTr="00234DCF">
        <w:tblPrEx>
          <w:jc w:val="center"/>
        </w:tblPrEx>
        <w:trPr>
          <w:trHeight w:val="20"/>
          <w:jc w:val="center"/>
        </w:trPr>
        <w:tc>
          <w:tcPr>
            <w:tcW w:w="0" w:type="auto"/>
            <w:tcBorders>
              <w:top w:val="single" w:sz="4" w:space="0" w:color="1A98C0"/>
              <w:left w:val="single" w:sz="4" w:space="0" w:color="FFFFFF"/>
              <w:bottom w:val="single" w:sz="4" w:space="0" w:color="FFFFFF"/>
              <w:right w:val="single" w:sz="4" w:space="0" w:color="FFFFFF"/>
            </w:tcBorders>
            <w:shd w:val="clear" w:color="D9E1F2" w:fill="FFFFFF"/>
            <w:vAlign w:val="center"/>
            <w:hideMark/>
          </w:tcPr>
          <w:p w:rsidR="007F6887" w:rsidRPr="004D5D60" w:rsidRDefault="007F6887" w:rsidP="00234DCF">
            <w:pPr>
              <w:spacing w:before="120"/>
              <w:rPr>
                <w:rFonts w:eastAsia="Times New Roman"/>
                <w:b/>
                <w:bCs/>
                <w:color w:val="000000"/>
                <w:lang w:eastAsia="es-MX"/>
              </w:rPr>
            </w:pPr>
            <w:r w:rsidRPr="004D5D60">
              <w:rPr>
                <w:rFonts w:eastAsia="Times New Roman"/>
                <w:b/>
                <w:bCs/>
                <w:color w:val="000000"/>
                <w:lang w:eastAsia="es-MX"/>
              </w:rPr>
              <w:t>Total general</w:t>
            </w:r>
          </w:p>
        </w:tc>
        <w:tc>
          <w:tcPr>
            <w:tcW w:w="0" w:type="auto"/>
            <w:tcBorders>
              <w:top w:val="single" w:sz="4" w:space="0" w:color="1A98C0"/>
              <w:left w:val="nil"/>
              <w:bottom w:val="single" w:sz="4" w:space="0" w:color="FFFFFF"/>
              <w:right w:val="single" w:sz="4" w:space="0" w:color="FFFFFF"/>
            </w:tcBorders>
            <w:shd w:val="clear" w:color="D9E1F2" w:fill="FFFFFF"/>
            <w:vAlign w:val="center"/>
            <w:hideMark/>
          </w:tcPr>
          <w:p w:rsidR="007F6887" w:rsidRPr="004D5D60" w:rsidRDefault="007F6887" w:rsidP="00234DCF">
            <w:pPr>
              <w:spacing w:before="120"/>
              <w:jc w:val="right"/>
              <w:rPr>
                <w:rFonts w:eastAsia="Times New Roman"/>
                <w:b/>
                <w:bCs/>
                <w:color w:val="000000"/>
                <w:lang w:eastAsia="es-MX"/>
              </w:rPr>
            </w:pPr>
            <w:r w:rsidRPr="004D5D60">
              <w:rPr>
                <w:rFonts w:eastAsia="Times New Roman"/>
                <w:b/>
                <w:bCs/>
                <w:color w:val="000000"/>
                <w:lang w:eastAsia="es-MX"/>
              </w:rPr>
              <w:t xml:space="preserve">41,852.8 </w:t>
            </w:r>
          </w:p>
        </w:tc>
        <w:tc>
          <w:tcPr>
            <w:tcW w:w="0" w:type="auto"/>
            <w:tcBorders>
              <w:top w:val="single" w:sz="4" w:space="0" w:color="1A98C0"/>
              <w:left w:val="nil"/>
              <w:bottom w:val="single" w:sz="4" w:space="0" w:color="FFFFFF"/>
              <w:right w:val="single" w:sz="4" w:space="0" w:color="FFFFFF"/>
            </w:tcBorders>
            <w:shd w:val="clear" w:color="D9E1F2" w:fill="FFFFFF"/>
            <w:vAlign w:val="center"/>
            <w:hideMark/>
          </w:tcPr>
          <w:p w:rsidR="007F6887" w:rsidRPr="004D5D60" w:rsidRDefault="007F6887" w:rsidP="00234DCF">
            <w:pPr>
              <w:spacing w:before="120"/>
              <w:jc w:val="right"/>
              <w:rPr>
                <w:rFonts w:eastAsia="Times New Roman"/>
                <w:b/>
                <w:bCs/>
                <w:color w:val="000000"/>
                <w:lang w:eastAsia="es-MX"/>
              </w:rPr>
            </w:pPr>
            <w:r w:rsidRPr="004D5D60">
              <w:rPr>
                <w:rFonts w:eastAsia="Times New Roman"/>
                <w:b/>
                <w:bCs/>
                <w:color w:val="000000"/>
                <w:lang w:eastAsia="es-MX"/>
              </w:rPr>
              <w:t xml:space="preserve">41,136.1 </w:t>
            </w:r>
          </w:p>
        </w:tc>
      </w:tr>
    </w:tbl>
    <w:p w:rsidR="007F6887" w:rsidRPr="00912F98" w:rsidRDefault="007F6887" w:rsidP="007F6887">
      <w:pPr>
        <w:spacing w:before="100" w:beforeAutospacing="1" w:after="100" w:afterAutospacing="1"/>
        <w:rPr>
          <w:rFonts w:cs="Arial"/>
        </w:rPr>
      </w:pPr>
      <w:r w:rsidRPr="00912F98">
        <w:rPr>
          <w:rFonts w:cs="Arial"/>
        </w:rPr>
        <w:t>Además de no ser comparables ambos presupuestos por el cambio de metodología, la mayor parte de las Transferencias, Apoyos y Subsidios y Ramos Generales son reconocidos como gasto corriente, sin embargo, parte de dichos recursos se destina a la Inversión Pública y Financiera, así como</w:t>
      </w:r>
      <w:r>
        <w:rPr>
          <w:rFonts w:cs="Arial"/>
        </w:rPr>
        <w:t xml:space="preserve"> también al Servicio de deuda, </w:t>
      </w:r>
      <w:r w:rsidRPr="00912F98">
        <w:rPr>
          <w:rFonts w:cs="Arial"/>
        </w:rPr>
        <w:t>por lo que, para tener claridad sobre el destino final de los recursos, se presenta a continuación la siguiente clasificación:</w:t>
      </w:r>
    </w:p>
    <w:p w:rsidR="007F6887" w:rsidRPr="004D5D60" w:rsidRDefault="007F6887" w:rsidP="007F6887">
      <w:pPr>
        <w:spacing w:before="120"/>
        <w:rPr>
          <w:color w:val="121D56"/>
        </w:rPr>
      </w:pPr>
    </w:p>
    <w:tbl>
      <w:tblPr>
        <w:tblW w:w="9493" w:type="dxa"/>
        <w:tblCellMar>
          <w:left w:w="70" w:type="dxa"/>
          <w:right w:w="70" w:type="dxa"/>
        </w:tblCellMar>
        <w:tblLook w:val="04A0"/>
      </w:tblPr>
      <w:tblGrid>
        <w:gridCol w:w="2122"/>
        <w:gridCol w:w="7371"/>
      </w:tblGrid>
      <w:tr w:rsidR="007F6887" w:rsidRPr="00C428DD" w:rsidTr="00234DCF">
        <w:trPr>
          <w:trHeight w:val="504"/>
        </w:trPr>
        <w:tc>
          <w:tcPr>
            <w:tcW w:w="2122" w:type="dxa"/>
            <w:vMerge w:val="restart"/>
            <w:tcBorders>
              <w:top w:val="single" w:sz="4" w:space="0" w:color="FFFFFF"/>
              <w:left w:val="single" w:sz="4" w:space="0" w:color="FFFFFF"/>
              <w:bottom w:val="single" w:sz="4" w:space="0" w:color="FFFFFF"/>
              <w:right w:val="single" w:sz="4" w:space="0" w:color="FFFFFF"/>
            </w:tcBorders>
            <w:shd w:val="clear" w:color="auto" w:fill="FFC000"/>
            <w:vAlign w:val="center"/>
            <w:hideMark/>
          </w:tcPr>
          <w:p w:rsidR="007F6887" w:rsidRPr="004D5D60" w:rsidRDefault="007F6887" w:rsidP="00234DCF">
            <w:pPr>
              <w:spacing w:before="120"/>
              <w:jc w:val="center"/>
              <w:rPr>
                <w:rFonts w:eastAsia="Times New Roman"/>
                <w:b/>
                <w:color w:val="111B58"/>
                <w:lang w:eastAsia="es-MX"/>
              </w:rPr>
            </w:pPr>
            <w:r w:rsidRPr="004D5D60">
              <w:rPr>
                <w:rFonts w:eastAsia="Times New Roman"/>
                <w:b/>
                <w:color w:val="111B58"/>
                <w:lang w:eastAsia="es-MX"/>
              </w:rPr>
              <w:t>Tabla 2.4</w:t>
            </w:r>
          </w:p>
        </w:tc>
        <w:tc>
          <w:tcPr>
            <w:tcW w:w="7371" w:type="dxa"/>
            <w:vMerge w:val="restart"/>
            <w:tcBorders>
              <w:top w:val="nil"/>
              <w:left w:val="single" w:sz="4" w:space="0" w:color="FFFFFF"/>
              <w:bottom w:val="nil"/>
              <w:right w:val="nil"/>
            </w:tcBorders>
            <w:shd w:val="clear" w:color="auto" w:fill="111B58"/>
            <w:vAlign w:val="center"/>
            <w:hideMark/>
          </w:tcPr>
          <w:p w:rsidR="007F6887" w:rsidRPr="004D5D60" w:rsidRDefault="007F6887" w:rsidP="00234DCF">
            <w:pPr>
              <w:spacing w:before="120"/>
              <w:jc w:val="center"/>
              <w:rPr>
                <w:rFonts w:eastAsia="Times New Roman"/>
                <w:b/>
                <w:color w:val="FFFFFF"/>
                <w:lang w:eastAsia="es-MX"/>
              </w:rPr>
            </w:pPr>
            <w:r w:rsidRPr="004D5D60">
              <w:rPr>
                <w:rFonts w:eastAsia="Times New Roman"/>
                <w:color w:val="FFFFFF"/>
                <w:lang w:eastAsia="es-MX"/>
              </w:rPr>
              <w:t>Clasificación Económica reconociendo el destino final del gasto</w:t>
            </w:r>
          </w:p>
        </w:tc>
      </w:tr>
      <w:tr w:rsidR="007F6887" w:rsidRPr="00C428DD" w:rsidTr="00234DCF">
        <w:trPr>
          <w:trHeight w:val="573"/>
        </w:trPr>
        <w:tc>
          <w:tcPr>
            <w:tcW w:w="2122" w:type="dxa"/>
            <w:vMerge/>
            <w:vAlign w:val="center"/>
            <w:hideMark/>
          </w:tcPr>
          <w:p w:rsidR="007F6887" w:rsidRPr="004D5D60" w:rsidRDefault="007F6887" w:rsidP="00234DCF">
            <w:pPr>
              <w:spacing w:before="120"/>
              <w:rPr>
                <w:rFonts w:eastAsia="Times New Roman"/>
                <w:color w:val="111B58"/>
                <w:lang w:eastAsia="es-MX"/>
              </w:rPr>
            </w:pPr>
          </w:p>
        </w:tc>
        <w:tc>
          <w:tcPr>
            <w:tcW w:w="7371" w:type="dxa"/>
            <w:vMerge/>
            <w:vAlign w:val="center"/>
            <w:hideMark/>
          </w:tcPr>
          <w:p w:rsidR="007F6887" w:rsidRPr="004D5D60" w:rsidRDefault="007F6887" w:rsidP="00234DCF">
            <w:pPr>
              <w:spacing w:before="120"/>
              <w:rPr>
                <w:rFonts w:eastAsia="Times New Roman"/>
                <w:color w:val="FFFFFF"/>
                <w:lang w:eastAsia="es-MX"/>
              </w:rPr>
            </w:pPr>
          </w:p>
        </w:tc>
      </w:tr>
    </w:tbl>
    <w:p w:rsidR="007F6887" w:rsidRPr="004D5D60" w:rsidRDefault="007F6887" w:rsidP="007F6887">
      <w:pPr>
        <w:spacing w:before="120"/>
        <w:jc w:val="right"/>
        <w:rPr>
          <w:i/>
          <w:iCs/>
          <w:color w:val="002060"/>
        </w:rPr>
      </w:pPr>
    </w:p>
    <w:tbl>
      <w:tblPr>
        <w:tblW w:w="5053" w:type="pct"/>
        <w:tblCellMar>
          <w:left w:w="70" w:type="dxa"/>
          <w:right w:w="70" w:type="dxa"/>
        </w:tblCellMar>
        <w:tblLook w:val="04A0"/>
      </w:tblPr>
      <w:tblGrid>
        <w:gridCol w:w="2370"/>
        <w:gridCol w:w="1740"/>
        <w:gridCol w:w="2141"/>
        <w:gridCol w:w="1260"/>
        <w:gridCol w:w="741"/>
        <w:gridCol w:w="821"/>
      </w:tblGrid>
      <w:tr w:rsidR="007F6887" w:rsidRPr="00C428DD" w:rsidTr="00234DCF">
        <w:trPr>
          <w:trHeight w:val="567"/>
        </w:trPr>
        <w:tc>
          <w:tcPr>
            <w:tcW w:w="1454" w:type="pct"/>
            <w:vMerge w:val="restart"/>
            <w:tcBorders>
              <w:top w:val="single" w:sz="8" w:space="0" w:color="FFFFFF"/>
              <w:left w:val="single" w:sz="8" w:space="0" w:color="FFFFFF"/>
              <w:bottom w:val="single" w:sz="8" w:space="0" w:color="D9E1F2"/>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Destino Final del Gasto*</w:t>
            </w:r>
          </w:p>
        </w:tc>
        <w:tc>
          <w:tcPr>
            <w:tcW w:w="889" w:type="pct"/>
            <w:vMerge w:val="restart"/>
            <w:tcBorders>
              <w:top w:val="single" w:sz="8" w:space="0" w:color="FFFFFF"/>
              <w:left w:val="single" w:sz="8" w:space="0" w:color="FFFFFF"/>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AUTORIZADO 2020</w:t>
            </w:r>
          </w:p>
        </w:tc>
        <w:tc>
          <w:tcPr>
            <w:tcW w:w="955" w:type="pct"/>
            <w:vMerge w:val="restart"/>
            <w:tcBorders>
              <w:top w:val="single" w:sz="8" w:space="0" w:color="FFFFFF"/>
              <w:left w:val="single" w:sz="8" w:space="0" w:color="FFFFFF"/>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ANTEPROYECTO 2021</w:t>
            </w:r>
          </w:p>
        </w:tc>
        <w:tc>
          <w:tcPr>
            <w:tcW w:w="596" w:type="pct"/>
            <w:tcBorders>
              <w:top w:val="single" w:sz="8" w:space="0" w:color="FFFFFF"/>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 NOMINAL</w:t>
            </w:r>
          </w:p>
        </w:tc>
        <w:tc>
          <w:tcPr>
            <w:tcW w:w="1106" w:type="pct"/>
            <w:gridSpan w:val="2"/>
            <w:tcBorders>
              <w:top w:val="single" w:sz="8" w:space="0" w:color="FFFFFF"/>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 REAL</w:t>
            </w:r>
          </w:p>
        </w:tc>
      </w:tr>
      <w:tr w:rsidR="007F6887" w:rsidRPr="00C428DD" w:rsidTr="00234DCF">
        <w:trPr>
          <w:trHeight w:val="288"/>
        </w:trPr>
        <w:tc>
          <w:tcPr>
            <w:tcW w:w="1454" w:type="pct"/>
            <w:vMerge/>
            <w:tcBorders>
              <w:top w:val="single" w:sz="8" w:space="0" w:color="FFFFFF"/>
              <w:left w:val="single" w:sz="8" w:space="0" w:color="FFFFFF"/>
              <w:bottom w:val="single" w:sz="8" w:space="0" w:color="D9E1F2"/>
              <w:right w:val="single" w:sz="8" w:space="0" w:color="FFFFFF"/>
            </w:tcBorders>
            <w:vAlign w:val="center"/>
            <w:hideMark/>
          </w:tcPr>
          <w:p w:rsidR="007F6887" w:rsidRPr="004D5D60" w:rsidRDefault="007F6887" w:rsidP="00234DCF">
            <w:pPr>
              <w:spacing w:before="120"/>
              <w:rPr>
                <w:rFonts w:eastAsia="Times New Roman"/>
                <w:b/>
                <w:bCs/>
                <w:color w:val="FFFFFF"/>
                <w:lang w:eastAsia="es-MX"/>
              </w:rPr>
            </w:pPr>
          </w:p>
        </w:tc>
        <w:tc>
          <w:tcPr>
            <w:tcW w:w="889" w:type="pct"/>
            <w:vMerge/>
            <w:tcBorders>
              <w:top w:val="single" w:sz="8" w:space="0" w:color="FFFFFF"/>
              <w:left w:val="single" w:sz="8" w:space="0" w:color="FFFFFF"/>
              <w:bottom w:val="single" w:sz="8" w:space="0" w:color="FFFFFF"/>
              <w:right w:val="single" w:sz="8" w:space="0" w:color="FFFFFF"/>
            </w:tcBorders>
            <w:vAlign w:val="center"/>
            <w:hideMark/>
          </w:tcPr>
          <w:p w:rsidR="007F6887" w:rsidRPr="004D5D60" w:rsidRDefault="007F6887" w:rsidP="00234DCF">
            <w:pPr>
              <w:spacing w:before="120"/>
              <w:rPr>
                <w:rFonts w:eastAsia="Times New Roman"/>
                <w:b/>
                <w:bCs/>
                <w:color w:val="FFFFFF"/>
                <w:lang w:eastAsia="es-MX"/>
              </w:rPr>
            </w:pPr>
          </w:p>
        </w:tc>
        <w:tc>
          <w:tcPr>
            <w:tcW w:w="955" w:type="pct"/>
            <w:vMerge/>
            <w:tcBorders>
              <w:top w:val="single" w:sz="8" w:space="0" w:color="FFFFFF"/>
              <w:left w:val="single" w:sz="8" w:space="0" w:color="FFFFFF"/>
              <w:bottom w:val="single" w:sz="8" w:space="0" w:color="FFFFFF"/>
              <w:right w:val="single" w:sz="8" w:space="0" w:color="FFFFFF"/>
            </w:tcBorders>
            <w:vAlign w:val="center"/>
            <w:hideMark/>
          </w:tcPr>
          <w:p w:rsidR="007F6887" w:rsidRPr="004D5D60" w:rsidRDefault="007F6887" w:rsidP="00234DCF">
            <w:pPr>
              <w:spacing w:before="120"/>
              <w:rPr>
                <w:rFonts w:eastAsia="Times New Roman"/>
                <w:b/>
                <w:bCs/>
                <w:color w:val="FFFFFF"/>
                <w:lang w:eastAsia="es-MX"/>
              </w:rPr>
            </w:pPr>
          </w:p>
        </w:tc>
        <w:tc>
          <w:tcPr>
            <w:tcW w:w="596" w:type="pct"/>
            <w:tcBorders>
              <w:top w:val="nil"/>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c>
          <w:tcPr>
            <w:tcW w:w="550" w:type="pct"/>
            <w:tcBorders>
              <w:top w:val="nil"/>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c>
          <w:tcPr>
            <w:tcW w:w="556" w:type="pct"/>
            <w:tcBorders>
              <w:top w:val="nil"/>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r>
      <w:tr w:rsidR="007F6887" w:rsidRPr="00C428DD" w:rsidTr="00234DCF">
        <w:trPr>
          <w:trHeight w:val="288"/>
        </w:trPr>
        <w:tc>
          <w:tcPr>
            <w:tcW w:w="1454" w:type="pct"/>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Operativo</w:t>
            </w:r>
          </w:p>
        </w:tc>
        <w:tc>
          <w:tcPr>
            <w:tcW w:w="889"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28,391.3</w:t>
            </w:r>
          </w:p>
        </w:tc>
        <w:tc>
          <w:tcPr>
            <w:tcW w:w="955"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28,532.2</w:t>
            </w:r>
          </w:p>
        </w:tc>
        <w:tc>
          <w:tcPr>
            <w:tcW w:w="596"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140.9</w:t>
            </w:r>
          </w:p>
        </w:tc>
        <w:tc>
          <w:tcPr>
            <w:tcW w:w="550"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FF0000"/>
                <w:lang w:eastAsia="es-MX"/>
              </w:rPr>
            </w:pPr>
            <w:r w:rsidRPr="004D5D60">
              <w:rPr>
                <w:rFonts w:eastAsia="Times New Roman"/>
                <w:color w:val="FF0000"/>
                <w:lang w:eastAsia="es-MX"/>
              </w:rPr>
              <w:t>-1,020</w:t>
            </w:r>
          </w:p>
        </w:tc>
        <w:tc>
          <w:tcPr>
            <w:tcW w:w="556"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FF0000"/>
                <w:lang w:eastAsia="es-MX"/>
              </w:rPr>
            </w:pPr>
            <w:r w:rsidRPr="004D5D60">
              <w:rPr>
                <w:rFonts w:eastAsia="Times New Roman"/>
                <w:color w:val="FF0000"/>
                <w:lang w:eastAsia="es-MX"/>
              </w:rPr>
              <w:t>-3.5%</w:t>
            </w:r>
          </w:p>
        </w:tc>
      </w:tr>
      <w:tr w:rsidR="007F6887" w:rsidRPr="00C428DD" w:rsidTr="00234DCF">
        <w:trPr>
          <w:trHeight w:val="567"/>
        </w:trPr>
        <w:tc>
          <w:tcPr>
            <w:tcW w:w="1454" w:type="pct"/>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 xml:space="preserve">Transferencias, Apoyos y Subsidios </w:t>
            </w:r>
          </w:p>
        </w:tc>
        <w:tc>
          <w:tcPr>
            <w:tcW w:w="889" w:type="pct"/>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2,277.3</w:t>
            </w:r>
          </w:p>
        </w:tc>
        <w:tc>
          <w:tcPr>
            <w:tcW w:w="955" w:type="pct"/>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1,629.8</w:t>
            </w:r>
          </w:p>
        </w:tc>
        <w:tc>
          <w:tcPr>
            <w:tcW w:w="596" w:type="pct"/>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FF0000"/>
                <w:lang w:eastAsia="es-MX"/>
              </w:rPr>
            </w:pPr>
            <w:r w:rsidRPr="004D5D60">
              <w:rPr>
                <w:rFonts w:eastAsia="Times New Roman"/>
                <w:color w:val="FF0000"/>
                <w:lang w:eastAsia="es-MX"/>
              </w:rPr>
              <w:t>-647.5</w:t>
            </w:r>
          </w:p>
        </w:tc>
        <w:tc>
          <w:tcPr>
            <w:tcW w:w="550" w:type="pct"/>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FF0000"/>
                <w:lang w:eastAsia="es-MX"/>
              </w:rPr>
            </w:pPr>
            <w:r w:rsidRPr="004D5D60">
              <w:rPr>
                <w:rFonts w:eastAsia="Times New Roman"/>
                <w:color w:val="FF0000"/>
                <w:lang w:eastAsia="es-MX"/>
              </w:rPr>
              <w:t>-741</w:t>
            </w:r>
          </w:p>
        </w:tc>
        <w:tc>
          <w:tcPr>
            <w:tcW w:w="556" w:type="pct"/>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FF0000"/>
                <w:lang w:eastAsia="es-MX"/>
              </w:rPr>
            </w:pPr>
            <w:r w:rsidRPr="004D5D60">
              <w:rPr>
                <w:rFonts w:eastAsia="Times New Roman"/>
                <w:color w:val="FF0000"/>
                <w:lang w:eastAsia="es-MX"/>
              </w:rPr>
              <w:t>-31.2%</w:t>
            </w:r>
          </w:p>
        </w:tc>
      </w:tr>
      <w:tr w:rsidR="007F6887" w:rsidRPr="00C428DD" w:rsidTr="00234DCF">
        <w:trPr>
          <w:trHeight w:val="846"/>
        </w:trPr>
        <w:tc>
          <w:tcPr>
            <w:tcW w:w="1454" w:type="pct"/>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Bienes Muebles, Inmuebles y otras Inversiones</w:t>
            </w:r>
          </w:p>
        </w:tc>
        <w:tc>
          <w:tcPr>
            <w:tcW w:w="889"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1,583.8</w:t>
            </w:r>
          </w:p>
        </w:tc>
        <w:tc>
          <w:tcPr>
            <w:tcW w:w="955"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953.3</w:t>
            </w:r>
          </w:p>
        </w:tc>
        <w:tc>
          <w:tcPr>
            <w:tcW w:w="596"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FF0000"/>
                <w:lang w:eastAsia="es-MX"/>
              </w:rPr>
            </w:pPr>
            <w:r w:rsidRPr="004D5D60">
              <w:rPr>
                <w:rFonts w:eastAsia="Times New Roman"/>
                <w:color w:val="FF0000"/>
                <w:lang w:eastAsia="es-MX"/>
              </w:rPr>
              <w:t>-630.5</w:t>
            </w:r>
          </w:p>
        </w:tc>
        <w:tc>
          <w:tcPr>
            <w:tcW w:w="550"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FF0000"/>
                <w:lang w:eastAsia="es-MX"/>
              </w:rPr>
            </w:pPr>
            <w:r w:rsidRPr="004D5D60">
              <w:rPr>
                <w:rFonts w:eastAsia="Times New Roman"/>
                <w:color w:val="FF0000"/>
                <w:lang w:eastAsia="es-MX"/>
              </w:rPr>
              <w:t>-695</w:t>
            </w:r>
          </w:p>
        </w:tc>
        <w:tc>
          <w:tcPr>
            <w:tcW w:w="556"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FF0000"/>
                <w:lang w:eastAsia="es-MX"/>
              </w:rPr>
            </w:pPr>
            <w:r w:rsidRPr="004D5D60">
              <w:rPr>
                <w:rFonts w:eastAsia="Times New Roman"/>
                <w:color w:val="FF0000"/>
                <w:lang w:eastAsia="es-MX"/>
              </w:rPr>
              <w:t>-42.2%</w:t>
            </w:r>
          </w:p>
        </w:tc>
      </w:tr>
      <w:tr w:rsidR="007F6887" w:rsidRPr="00C428DD" w:rsidTr="00234DCF">
        <w:trPr>
          <w:trHeight w:val="288"/>
        </w:trPr>
        <w:tc>
          <w:tcPr>
            <w:tcW w:w="1454" w:type="pct"/>
            <w:tcBorders>
              <w:top w:val="nil"/>
              <w:left w:val="single" w:sz="8" w:space="0" w:color="FFFFFF"/>
              <w:bottom w:val="nil"/>
              <w:right w:val="single" w:sz="8"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Ramos Generales</w:t>
            </w:r>
          </w:p>
        </w:tc>
        <w:tc>
          <w:tcPr>
            <w:tcW w:w="889" w:type="pct"/>
            <w:tcBorders>
              <w:top w:val="nil"/>
              <w:left w:val="nil"/>
              <w:bottom w:val="nil"/>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9,600.4</w:t>
            </w:r>
          </w:p>
        </w:tc>
        <w:tc>
          <w:tcPr>
            <w:tcW w:w="955" w:type="pct"/>
            <w:tcBorders>
              <w:top w:val="nil"/>
              <w:left w:val="nil"/>
              <w:bottom w:val="nil"/>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10,020.9</w:t>
            </w:r>
          </w:p>
        </w:tc>
        <w:tc>
          <w:tcPr>
            <w:tcW w:w="596" w:type="pct"/>
            <w:tcBorders>
              <w:top w:val="nil"/>
              <w:left w:val="nil"/>
              <w:bottom w:val="nil"/>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420.5</w:t>
            </w:r>
          </w:p>
        </w:tc>
        <w:tc>
          <w:tcPr>
            <w:tcW w:w="550" w:type="pct"/>
            <w:tcBorders>
              <w:top w:val="nil"/>
              <w:left w:val="nil"/>
              <w:bottom w:val="nil"/>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28</w:t>
            </w:r>
          </w:p>
        </w:tc>
        <w:tc>
          <w:tcPr>
            <w:tcW w:w="556" w:type="pct"/>
            <w:tcBorders>
              <w:top w:val="nil"/>
              <w:left w:val="nil"/>
              <w:bottom w:val="nil"/>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0.3%</w:t>
            </w:r>
          </w:p>
        </w:tc>
      </w:tr>
      <w:tr w:rsidR="007F6887" w:rsidRPr="00C428DD" w:rsidTr="00234DCF">
        <w:trPr>
          <w:trHeight w:val="288"/>
        </w:trPr>
        <w:tc>
          <w:tcPr>
            <w:tcW w:w="1454" w:type="pct"/>
            <w:tcBorders>
              <w:top w:val="single" w:sz="8" w:space="0" w:color="4472C4"/>
              <w:left w:val="single" w:sz="8" w:space="0" w:color="FFFFFF"/>
              <w:bottom w:val="single" w:sz="8" w:space="0" w:color="FFFFFF"/>
              <w:right w:val="single" w:sz="8" w:space="0" w:color="FFFFFF"/>
            </w:tcBorders>
            <w:shd w:val="clear" w:color="000000" w:fill="FFFFFF"/>
            <w:vAlign w:val="center"/>
            <w:hideMark/>
          </w:tcPr>
          <w:p w:rsidR="007F6887" w:rsidRPr="004D5D60" w:rsidRDefault="007F6887" w:rsidP="00234DCF">
            <w:pPr>
              <w:spacing w:before="120"/>
              <w:rPr>
                <w:rFonts w:eastAsia="Times New Roman"/>
                <w:b/>
                <w:bCs/>
                <w:color w:val="000000"/>
                <w:lang w:eastAsia="es-MX"/>
              </w:rPr>
            </w:pPr>
            <w:r w:rsidRPr="004D5D60">
              <w:rPr>
                <w:rFonts w:eastAsia="Times New Roman"/>
                <w:b/>
                <w:bCs/>
                <w:color w:val="000000"/>
                <w:lang w:eastAsia="es-MX"/>
              </w:rPr>
              <w:t>Total general</w:t>
            </w:r>
          </w:p>
        </w:tc>
        <w:tc>
          <w:tcPr>
            <w:tcW w:w="889" w:type="pct"/>
            <w:tcBorders>
              <w:top w:val="single" w:sz="8" w:space="0" w:color="4472C4"/>
              <w:left w:val="nil"/>
              <w:bottom w:val="single" w:sz="8" w:space="0" w:color="FFFFFF"/>
              <w:right w:val="single" w:sz="8" w:space="0" w:color="FFFFFF"/>
            </w:tcBorders>
            <w:shd w:val="clear" w:color="000000" w:fill="FFFFFF"/>
            <w:vAlign w:val="center"/>
            <w:hideMark/>
          </w:tcPr>
          <w:p w:rsidR="007F6887" w:rsidRPr="004D5D60" w:rsidRDefault="007F6887" w:rsidP="00234DCF">
            <w:pPr>
              <w:spacing w:before="120"/>
              <w:jc w:val="right"/>
              <w:rPr>
                <w:rFonts w:eastAsia="Times New Roman"/>
                <w:b/>
                <w:bCs/>
                <w:color w:val="000000"/>
                <w:lang w:eastAsia="es-MX"/>
              </w:rPr>
            </w:pPr>
            <w:r w:rsidRPr="004D5D60">
              <w:rPr>
                <w:rFonts w:eastAsia="Times New Roman"/>
                <w:b/>
                <w:bCs/>
                <w:color w:val="000000"/>
                <w:lang w:eastAsia="es-MX"/>
              </w:rPr>
              <w:t>41,853</w:t>
            </w:r>
          </w:p>
        </w:tc>
        <w:tc>
          <w:tcPr>
            <w:tcW w:w="955" w:type="pct"/>
            <w:tcBorders>
              <w:top w:val="single" w:sz="8" w:space="0" w:color="4472C4"/>
              <w:left w:val="nil"/>
              <w:bottom w:val="single" w:sz="8" w:space="0" w:color="FFFFFF"/>
              <w:right w:val="single" w:sz="8" w:space="0" w:color="FFFFFF"/>
            </w:tcBorders>
            <w:shd w:val="clear" w:color="000000" w:fill="FFFFFF"/>
            <w:vAlign w:val="center"/>
            <w:hideMark/>
          </w:tcPr>
          <w:p w:rsidR="007F6887" w:rsidRPr="004D5D60" w:rsidRDefault="007F6887" w:rsidP="00234DCF">
            <w:pPr>
              <w:spacing w:before="120"/>
              <w:jc w:val="right"/>
              <w:rPr>
                <w:rFonts w:eastAsia="Times New Roman"/>
                <w:b/>
                <w:bCs/>
                <w:color w:val="000000"/>
                <w:lang w:eastAsia="es-MX"/>
              </w:rPr>
            </w:pPr>
            <w:r w:rsidRPr="004D5D60">
              <w:rPr>
                <w:rFonts w:eastAsia="Times New Roman"/>
                <w:b/>
                <w:bCs/>
                <w:color w:val="000000"/>
                <w:lang w:eastAsia="es-MX"/>
              </w:rPr>
              <w:t>41,136</w:t>
            </w:r>
          </w:p>
        </w:tc>
        <w:tc>
          <w:tcPr>
            <w:tcW w:w="596" w:type="pct"/>
            <w:tcBorders>
              <w:top w:val="single" w:sz="8" w:space="0" w:color="4472C4"/>
              <w:left w:val="nil"/>
              <w:bottom w:val="single" w:sz="8" w:space="0" w:color="FFFFFF"/>
              <w:right w:val="single" w:sz="8" w:space="0" w:color="FFFFFF"/>
            </w:tcBorders>
            <w:shd w:val="clear" w:color="000000" w:fill="FFFFFF"/>
            <w:vAlign w:val="center"/>
            <w:hideMark/>
          </w:tcPr>
          <w:p w:rsidR="007F6887" w:rsidRPr="004D5D60" w:rsidRDefault="007F6887" w:rsidP="00234DCF">
            <w:pPr>
              <w:spacing w:before="120"/>
              <w:jc w:val="right"/>
              <w:rPr>
                <w:rFonts w:eastAsia="Times New Roman"/>
                <w:b/>
                <w:bCs/>
                <w:color w:val="FF0000"/>
                <w:lang w:eastAsia="es-MX"/>
              </w:rPr>
            </w:pPr>
            <w:r w:rsidRPr="004D5D60">
              <w:rPr>
                <w:rFonts w:eastAsia="Times New Roman"/>
                <w:b/>
                <w:bCs/>
                <w:color w:val="FF0000"/>
                <w:lang w:eastAsia="es-MX"/>
              </w:rPr>
              <w:t>-717.0</w:t>
            </w:r>
          </w:p>
        </w:tc>
        <w:tc>
          <w:tcPr>
            <w:tcW w:w="550" w:type="pct"/>
            <w:tcBorders>
              <w:top w:val="single" w:sz="8" w:space="0" w:color="4472C4"/>
              <w:left w:val="nil"/>
              <w:bottom w:val="single" w:sz="8" w:space="0" w:color="FFFFFF"/>
              <w:right w:val="single" w:sz="8" w:space="0" w:color="FFFFFF"/>
            </w:tcBorders>
            <w:shd w:val="clear" w:color="000000" w:fill="FFFFFF"/>
            <w:vAlign w:val="center"/>
            <w:hideMark/>
          </w:tcPr>
          <w:p w:rsidR="007F6887" w:rsidRPr="004D5D60" w:rsidRDefault="007F6887" w:rsidP="00234DCF">
            <w:pPr>
              <w:spacing w:before="120"/>
              <w:jc w:val="right"/>
              <w:rPr>
                <w:rFonts w:eastAsia="Times New Roman"/>
                <w:b/>
                <w:bCs/>
                <w:color w:val="FF0000"/>
                <w:lang w:eastAsia="es-MX"/>
              </w:rPr>
            </w:pPr>
            <w:r w:rsidRPr="004D5D60">
              <w:rPr>
                <w:rFonts w:eastAsia="Times New Roman"/>
                <w:b/>
                <w:bCs/>
                <w:color w:val="FF0000"/>
                <w:lang w:eastAsia="es-MX"/>
              </w:rPr>
              <w:t>-2,429</w:t>
            </w:r>
          </w:p>
        </w:tc>
        <w:tc>
          <w:tcPr>
            <w:tcW w:w="556" w:type="pct"/>
            <w:tcBorders>
              <w:top w:val="single" w:sz="8" w:space="0" w:color="4472C4"/>
              <w:left w:val="nil"/>
              <w:bottom w:val="single" w:sz="8" w:space="0" w:color="FFFFFF"/>
              <w:right w:val="single" w:sz="8" w:space="0" w:color="FFFFFF"/>
            </w:tcBorders>
            <w:shd w:val="clear" w:color="000000" w:fill="FFFFFF"/>
            <w:vAlign w:val="center"/>
            <w:hideMark/>
          </w:tcPr>
          <w:p w:rsidR="007F6887" w:rsidRPr="004D5D60" w:rsidRDefault="007F6887" w:rsidP="00234DCF">
            <w:pPr>
              <w:spacing w:before="120"/>
              <w:jc w:val="right"/>
              <w:rPr>
                <w:rFonts w:eastAsia="Times New Roman"/>
                <w:b/>
                <w:bCs/>
                <w:color w:val="FF0000"/>
                <w:lang w:eastAsia="es-MX"/>
              </w:rPr>
            </w:pPr>
            <w:r w:rsidRPr="004D5D60">
              <w:rPr>
                <w:rFonts w:eastAsia="Times New Roman"/>
                <w:b/>
                <w:bCs/>
                <w:color w:val="FF0000"/>
                <w:lang w:eastAsia="es-MX"/>
              </w:rPr>
              <w:t>-5.6%</w:t>
            </w:r>
          </w:p>
        </w:tc>
      </w:tr>
    </w:tbl>
    <w:p w:rsidR="007F6887" w:rsidRPr="004D5D60" w:rsidRDefault="007F6887" w:rsidP="007F6887">
      <w:pPr>
        <w:spacing w:before="120"/>
        <w:jc w:val="right"/>
        <w:rPr>
          <w:i/>
          <w:iCs/>
          <w:color w:val="002060"/>
        </w:rPr>
      </w:pPr>
    </w:p>
    <w:p w:rsidR="007F6887" w:rsidRPr="00912F98" w:rsidRDefault="007F6887" w:rsidP="007F6887">
      <w:pPr>
        <w:spacing w:before="120"/>
        <w:rPr>
          <w:i/>
          <w:iCs/>
        </w:rPr>
      </w:pPr>
      <w:r w:rsidRPr="00912F98">
        <w:rPr>
          <w:i/>
          <w:iCs/>
        </w:rPr>
        <w:t xml:space="preserve">El presupuesto 2020 excluye los Derechos por la Infraestructura Tecnológica en materia de Seguridad </w:t>
      </w:r>
      <w:proofErr w:type="gramStart"/>
      <w:r w:rsidRPr="00912F98">
        <w:rPr>
          <w:i/>
          <w:iCs/>
        </w:rPr>
        <w:t>Publica</w:t>
      </w:r>
      <w:proofErr w:type="gramEnd"/>
      <w:r w:rsidRPr="00912F98">
        <w:rPr>
          <w:i/>
          <w:iCs/>
        </w:rPr>
        <w:t>. Decreto 173/2020. Asimismo, se excluye el Financiamiento Yucatán Seguro*</w:t>
      </w:r>
    </w:p>
    <w:p w:rsidR="007F6887" w:rsidRPr="00912F98" w:rsidRDefault="007F6887" w:rsidP="007F6887">
      <w:pPr>
        <w:spacing w:before="120"/>
        <w:rPr>
          <w:i/>
          <w:iCs/>
        </w:rPr>
      </w:pPr>
      <w:r w:rsidRPr="00912F98">
        <w:rPr>
          <w:i/>
          <w:iCs/>
        </w:rPr>
        <w:t>Considerando la inflación octubre 2019 – octubre 2020 correspondiente a 4.09% publicada por INEGI**</w:t>
      </w:r>
    </w:p>
    <w:p w:rsidR="007F6887" w:rsidRDefault="007F6887" w:rsidP="00535A9D">
      <w:pPr>
        <w:pStyle w:val="Prrafodelista"/>
        <w:numPr>
          <w:ilvl w:val="0"/>
          <w:numId w:val="28"/>
        </w:numPr>
        <w:spacing w:before="100" w:beforeAutospacing="1" w:after="100" w:afterAutospacing="1" w:line="240" w:lineRule="auto"/>
        <w:rPr>
          <w:rFonts w:ascii="Arial" w:hAnsi="Arial"/>
        </w:rPr>
      </w:pPr>
      <w:r w:rsidRPr="00912F98">
        <w:rPr>
          <w:rFonts w:ascii="Arial" w:hAnsi="Arial"/>
        </w:rPr>
        <w:t xml:space="preserve">En el gasto operativo (Servicios Personales y Generales, así como Materiales y Suministros) presentan una disminución de -1,020 </w:t>
      </w:r>
      <w:proofErr w:type="spellStart"/>
      <w:r w:rsidRPr="00912F98">
        <w:rPr>
          <w:rFonts w:ascii="Arial" w:hAnsi="Arial"/>
        </w:rPr>
        <w:t>mdp</w:t>
      </w:r>
      <w:proofErr w:type="spellEnd"/>
      <w:r w:rsidRPr="00912F98">
        <w:rPr>
          <w:rFonts w:ascii="Arial" w:hAnsi="Arial"/>
        </w:rPr>
        <w:t xml:space="preserve"> reales, representando el 42% de la disminución total en el gasto.</w:t>
      </w:r>
    </w:p>
    <w:p w:rsidR="007F6887" w:rsidRDefault="007F6887" w:rsidP="00535A9D">
      <w:pPr>
        <w:pStyle w:val="Prrafodelista"/>
        <w:numPr>
          <w:ilvl w:val="0"/>
          <w:numId w:val="28"/>
        </w:numPr>
        <w:spacing w:before="100" w:beforeAutospacing="1" w:after="100" w:afterAutospacing="1" w:line="240" w:lineRule="auto"/>
        <w:rPr>
          <w:rFonts w:ascii="Arial" w:hAnsi="Arial"/>
        </w:rPr>
      </w:pPr>
      <w:r w:rsidRPr="00912F98">
        <w:rPr>
          <w:rFonts w:ascii="Arial" w:hAnsi="Arial"/>
        </w:rPr>
        <w:t>El resto de Transferencias, apoyos y subsidios presentan una disminución de - 31.1% real. En este rubro, se priorizaron aquellos programas y proyectos que contribuyan al proceso de reactivación económica, la protección de la salud y al apoyo a la población más vulnerable.</w:t>
      </w:r>
    </w:p>
    <w:p w:rsidR="007F6887" w:rsidRDefault="007F6887" w:rsidP="00535A9D">
      <w:pPr>
        <w:pStyle w:val="Prrafodelista"/>
        <w:numPr>
          <w:ilvl w:val="0"/>
          <w:numId w:val="28"/>
        </w:numPr>
        <w:spacing w:before="100" w:beforeAutospacing="1" w:after="100" w:afterAutospacing="1" w:line="240" w:lineRule="auto"/>
        <w:rPr>
          <w:rFonts w:ascii="Arial" w:hAnsi="Arial"/>
        </w:rPr>
      </w:pPr>
      <w:r w:rsidRPr="00912F98">
        <w:rPr>
          <w:rFonts w:ascii="Arial" w:hAnsi="Arial"/>
        </w:rPr>
        <w:t>El Gasto en Bienes muebles e Inmuebles y otras inversiones (Bienes Muebles e Inmuebles, Inversión Pública e Inversión Financiera) disminuye por la desaparición de Convenios Federales que contribuían al desarrollo de infraestructura, como el Fondo Metropolitano de Infraestructura.</w:t>
      </w:r>
    </w:p>
    <w:p w:rsidR="007F6887" w:rsidRPr="00912F98" w:rsidRDefault="007F6887" w:rsidP="00535A9D">
      <w:pPr>
        <w:pStyle w:val="Prrafodelista"/>
        <w:numPr>
          <w:ilvl w:val="0"/>
          <w:numId w:val="28"/>
        </w:numPr>
        <w:spacing w:before="100" w:beforeAutospacing="1" w:after="100" w:afterAutospacing="1" w:line="240" w:lineRule="auto"/>
        <w:rPr>
          <w:rFonts w:ascii="Arial" w:hAnsi="Arial"/>
        </w:rPr>
      </w:pPr>
      <w:r w:rsidRPr="00912F98">
        <w:rPr>
          <w:rFonts w:ascii="Arial" w:hAnsi="Arial"/>
        </w:rPr>
        <w:t>Los Ramos Generales (Jubilaciones y Pensiones, Deuda Pública y Aportaciones y Participaciones a Municipios) presentan un crecimiento real de 0.3%.</w:t>
      </w:r>
    </w:p>
    <w:p w:rsidR="007F6887" w:rsidRPr="00912F98" w:rsidRDefault="007F6887" w:rsidP="007F6887">
      <w:pPr>
        <w:spacing w:before="100" w:beforeAutospacing="1" w:after="100" w:afterAutospacing="1"/>
        <w:rPr>
          <w:b/>
          <w:i/>
        </w:rPr>
      </w:pPr>
      <w:r w:rsidRPr="00912F98">
        <w:rPr>
          <w:b/>
          <w:i/>
        </w:rPr>
        <w:lastRenderedPageBreak/>
        <w:t>2.2.3</w:t>
      </w:r>
      <w:r w:rsidRPr="00912F98">
        <w:rPr>
          <w:b/>
          <w:i/>
        </w:rPr>
        <w:tab/>
        <w:t>Clasificación Programática</w:t>
      </w:r>
    </w:p>
    <w:p w:rsidR="007F6887" w:rsidRPr="00912F98" w:rsidRDefault="007F6887" w:rsidP="007F6887">
      <w:pPr>
        <w:spacing w:before="100" w:beforeAutospacing="1" w:after="100" w:afterAutospacing="1"/>
      </w:pPr>
      <w:r w:rsidRPr="00912F98">
        <w:t>La clasificación programática ayuda a distinguir el Gasto según el destino de los programas presupuestarios. Los programas de carácter sustantivo son aquellos que benefician más directamente a la población, por ejemplo, los servicios prestados por pe</w:t>
      </w:r>
      <w:r>
        <w:t>rsonal mé</w:t>
      </w:r>
      <w:r w:rsidRPr="00912F98">
        <w:t>dico, policía y magisterio, así como los Subsidios al sector social y privado o entidades federativas y municipios que integran en su mayoría a los programas sujetos a reglas de operación.</w:t>
      </w:r>
    </w:p>
    <w:p w:rsidR="007F6887" w:rsidRPr="00912F98" w:rsidRDefault="007F6887" w:rsidP="007F6887">
      <w:pPr>
        <w:spacing w:before="100" w:beforeAutospacing="1" w:after="100" w:afterAutospacing="1"/>
      </w:pPr>
      <w:r w:rsidRPr="00912F98">
        <w:t>El desglose de la clasificación programática se puede consultar en el Anexo 2.3 del Presupuesto de Egresos del Gobierno del Estado de Yucatán para el Ejercicio Fiscal 2021.</w:t>
      </w:r>
    </w:p>
    <w:p w:rsidR="007F6887" w:rsidRPr="00912F98" w:rsidRDefault="007F6887" w:rsidP="007F6887">
      <w:pPr>
        <w:spacing w:before="100" w:beforeAutospacing="1" w:after="100" w:afterAutospacing="1"/>
      </w:pPr>
      <w:r w:rsidRPr="00912F98">
        <w:t>El Gasto administrativo y de apoyo tiene como finalidad mantener la operatividad del Estado. Su importancia radica en la necesidad de los distintos organismos de gestionar y administrar los recursos disponibles para que sean ejecu</w:t>
      </w:r>
      <w:r>
        <w:t>tados en beneficio de la pobla</w:t>
      </w:r>
      <w:r w:rsidRPr="00912F98">
        <w:t>ción.</w:t>
      </w:r>
    </w:p>
    <w:p w:rsidR="007F6887" w:rsidRPr="00912F98" w:rsidRDefault="007F6887" w:rsidP="007F6887">
      <w:pPr>
        <w:spacing w:before="100" w:beforeAutospacing="1" w:after="100" w:afterAutospacing="1"/>
      </w:pPr>
      <w:r w:rsidRPr="00912F98">
        <w:t>El Resto del Gasto en su mayoría corresponde a Obligaciones de Ley como el pago de Pensiones, así como Participaciones a Municipios.</w:t>
      </w:r>
    </w:p>
    <w:p w:rsidR="007F6887" w:rsidRPr="00912F98" w:rsidRDefault="007F6887" w:rsidP="007F6887">
      <w:pPr>
        <w:spacing w:before="100" w:beforeAutospacing="1" w:after="100" w:afterAutospacing="1"/>
      </w:pPr>
      <w:r w:rsidRPr="00912F98">
        <w:t xml:space="preserve">Para el ejercicio 2021, el gasto administrativo se reducirá en -999.7 </w:t>
      </w:r>
      <w:proofErr w:type="spellStart"/>
      <w:r w:rsidRPr="00912F98">
        <w:t>mdp</w:t>
      </w:r>
      <w:proofErr w:type="spellEnd"/>
      <w:r w:rsidRPr="00912F98">
        <w:t xml:space="preserve"> reales (-18.1%) mientras que el gasto sustantivo disminuye en -356.6 </w:t>
      </w:r>
      <w:proofErr w:type="spellStart"/>
      <w:r w:rsidRPr="00912F98">
        <w:t>mdp</w:t>
      </w:r>
      <w:proofErr w:type="spellEnd"/>
      <w:r w:rsidRPr="00912F98">
        <w:t xml:space="preserve"> reales (-4.2%). Ante las restricciones presupuestales, se han priorizado aquellos programas consi</w:t>
      </w:r>
      <w:r>
        <w:t>derados sustanti</w:t>
      </w:r>
      <w:r w:rsidRPr="00912F98">
        <w:t>vos, teniendo una reducción menos significativa que la observada en el gasto administrativo.</w:t>
      </w:r>
    </w:p>
    <w:p w:rsidR="007F6887" w:rsidRDefault="007F6887" w:rsidP="007F6887">
      <w:pPr>
        <w:spacing w:before="120"/>
        <w:rPr>
          <w:color w:val="121D56"/>
        </w:rPr>
      </w:pPr>
    </w:p>
    <w:tbl>
      <w:tblPr>
        <w:tblW w:w="0" w:type="auto"/>
        <w:tblCellMar>
          <w:left w:w="70" w:type="dxa"/>
          <w:right w:w="70" w:type="dxa"/>
        </w:tblCellMar>
        <w:tblLook w:val="04A0"/>
      </w:tblPr>
      <w:tblGrid>
        <w:gridCol w:w="1379"/>
        <w:gridCol w:w="7599"/>
      </w:tblGrid>
      <w:tr w:rsidR="007F6887" w:rsidRPr="00C428DD" w:rsidTr="00234DCF">
        <w:trPr>
          <w:trHeight w:val="504"/>
        </w:trPr>
        <w:tc>
          <w:tcPr>
            <w:tcW w:w="1413" w:type="dxa"/>
            <w:vMerge w:val="restart"/>
            <w:tcBorders>
              <w:top w:val="single" w:sz="4" w:space="0" w:color="FFFFFF"/>
              <w:left w:val="single" w:sz="4" w:space="0" w:color="FFFFFF"/>
              <w:bottom w:val="single" w:sz="4" w:space="0" w:color="FFFFFF"/>
              <w:right w:val="single" w:sz="4" w:space="0" w:color="FFFFFF"/>
            </w:tcBorders>
            <w:shd w:val="clear" w:color="auto" w:fill="FFC000"/>
            <w:vAlign w:val="center"/>
            <w:hideMark/>
          </w:tcPr>
          <w:p w:rsidR="007F6887" w:rsidRPr="004D5D60" w:rsidRDefault="007F6887" w:rsidP="00234DCF">
            <w:pPr>
              <w:spacing w:before="120"/>
              <w:jc w:val="center"/>
              <w:rPr>
                <w:rFonts w:eastAsia="Times New Roman"/>
                <w:b/>
                <w:color w:val="111B58"/>
                <w:lang w:eastAsia="es-MX"/>
              </w:rPr>
            </w:pPr>
            <w:r w:rsidRPr="004D5D60">
              <w:rPr>
                <w:rFonts w:eastAsia="Times New Roman"/>
                <w:b/>
                <w:color w:val="111B58"/>
                <w:lang w:eastAsia="es-MX"/>
              </w:rPr>
              <w:t>Tabla 2.5</w:t>
            </w:r>
          </w:p>
        </w:tc>
        <w:tc>
          <w:tcPr>
            <w:tcW w:w="7938" w:type="dxa"/>
            <w:vMerge w:val="restart"/>
            <w:tcBorders>
              <w:top w:val="nil"/>
              <w:left w:val="single" w:sz="4" w:space="0" w:color="FFFFFF"/>
              <w:bottom w:val="nil"/>
              <w:right w:val="nil"/>
            </w:tcBorders>
            <w:shd w:val="clear" w:color="auto" w:fill="111B58"/>
            <w:vAlign w:val="center"/>
            <w:hideMark/>
          </w:tcPr>
          <w:p w:rsidR="007F6887" w:rsidRPr="004D5D60" w:rsidRDefault="007F6887" w:rsidP="00234DCF">
            <w:pPr>
              <w:spacing w:before="120"/>
              <w:jc w:val="center"/>
              <w:rPr>
                <w:rFonts w:eastAsia="Times New Roman"/>
                <w:b/>
                <w:color w:val="FFFFFF"/>
                <w:lang w:eastAsia="es-MX"/>
              </w:rPr>
            </w:pPr>
            <w:r w:rsidRPr="004D5D60">
              <w:rPr>
                <w:rFonts w:eastAsia="Times New Roman"/>
                <w:color w:val="FFFFFF"/>
                <w:lang w:eastAsia="es-MX"/>
              </w:rPr>
              <w:t>Clasificación Programática del Gasto</w:t>
            </w:r>
          </w:p>
        </w:tc>
      </w:tr>
      <w:tr w:rsidR="007F6887" w:rsidRPr="00C428DD" w:rsidTr="00234DCF">
        <w:trPr>
          <w:trHeight w:val="573"/>
        </w:trPr>
        <w:tc>
          <w:tcPr>
            <w:tcW w:w="1413" w:type="dxa"/>
            <w:vMerge/>
            <w:vAlign w:val="center"/>
            <w:hideMark/>
          </w:tcPr>
          <w:p w:rsidR="007F6887" w:rsidRPr="004D5D60" w:rsidRDefault="007F6887" w:rsidP="00234DCF">
            <w:pPr>
              <w:spacing w:before="120"/>
              <w:rPr>
                <w:rFonts w:eastAsia="Times New Roman"/>
                <w:color w:val="111B58"/>
                <w:lang w:eastAsia="es-MX"/>
              </w:rPr>
            </w:pPr>
          </w:p>
        </w:tc>
        <w:tc>
          <w:tcPr>
            <w:tcW w:w="7938" w:type="dxa"/>
            <w:vMerge/>
            <w:vAlign w:val="center"/>
            <w:hideMark/>
          </w:tcPr>
          <w:p w:rsidR="007F6887" w:rsidRPr="004D5D60" w:rsidRDefault="007F6887" w:rsidP="00234DCF">
            <w:pPr>
              <w:spacing w:before="120"/>
              <w:rPr>
                <w:rFonts w:eastAsia="Times New Roman"/>
                <w:color w:val="FFFFFF"/>
                <w:lang w:eastAsia="es-MX"/>
              </w:rPr>
            </w:pPr>
          </w:p>
        </w:tc>
      </w:tr>
    </w:tbl>
    <w:p w:rsidR="007F6887" w:rsidRPr="004D5D60" w:rsidRDefault="007F6887" w:rsidP="007F6887">
      <w:pPr>
        <w:spacing w:before="120"/>
        <w:rPr>
          <w:color w:val="002060"/>
        </w:rPr>
      </w:pPr>
    </w:p>
    <w:tbl>
      <w:tblPr>
        <w:tblW w:w="0" w:type="auto"/>
        <w:tblCellMar>
          <w:left w:w="70" w:type="dxa"/>
          <w:right w:w="70" w:type="dxa"/>
        </w:tblCellMar>
        <w:tblLook w:val="04A0"/>
      </w:tblPr>
      <w:tblGrid>
        <w:gridCol w:w="1924"/>
        <w:gridCol w:w="1750"/>
        <w:gridCol w:w="2141"/>
        <w:gridCol w:w="1260"/>
        <w:gridCol w:w="1002"/>
        <w:gridCol w:w="901"/>
      </w:tblGrid>
      <w:tr w:rsidR="007F6887" w:rsidRPr="00C428DD" w:rsidTr="00234DCF">
        <w:trPr>
          <w:trHeight w:val="20"/>
        </w:trPr>
        <w:tc>
          <w:tcPr>
            <w:tcW w:w="0" w:type="auto"/>
            <w:vMerge w:val="restart"/>
            <w:tcBorders>
              <w:top w:val="single" w:sz="4" w:space="0" w:color="FFFFFF"/>
              <w:left w:val="single" w:sz="4" w:space="0" w:color="FFFFFF"/>
              <w:bottom w:val="single" w:sz="4" w:space="0" w:color="D5F0F9"/>
              <w:right w:val="single" w:sz="4"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Clasificación Programática del Gasto*</w:t>
            </w:r>
          </w:p>
        </w:tc>
        <w:tc>
          <w:tcPr>
            <w:tcW w:w="0" w:type="auto"/>
            <w:vMerge w:val="restart"/>
            <w:tcBorders>
              <w:top w:val="single" w:sz="4" w:space="0" w:color="FFFFFF"/>
              <w:left w:val="single" w:sz="4" w:space="0" w:color="FFFFFF"/>
              <w:bottom w:val="single" w:sz="4" w:space="0" w:color="FFFFFF"/>
              <w:right w:val="single" w:sz="4"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AUTORIZADO 2020</w:t>
            </w:r>
          </w:p>
        </w:tc>
        <w:tc>
          <w:tcPr>
            <w:tcW w:w="1556" w:type="dxa"/>
            <w:vMerge w:val="restart"/>
            <w:tcBorders>
              <w:top w:val="single" w:sz="4" w:space="0" w:color="FFFFFF"/>
              <w:left w:val="single" w:sz="4" w:space="0" w:color="FFFFFF"/>
              <w:bottom w:val="single" w:sz="4" w:space="0" w:color="FFFFFF"/>
              <w:right w:val="single" w:sz="4"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ANTEPROYECTO 2021</w:t>
            </w:r>
          </w:p>
        </w:tc>
        <w:tc>
          <w:tcPr>
            <w:tcW w:w="992" w:type="dxa"/>
            <w:tcBorders>
              <w:top w:val="single" w:sz="4" w:space="0" w:color="FFFFFF"/>
              <w:left w:val="nil"/>
              <w:bottom w:val="single" w:sz="4" w:space="0" w:color="FFFFFF"/>
              <w:right w:val="single" w:sz="4"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 NOMINAL</w:t>
            </w:r>
          </w:p>
        </w:tc>
        <w:tc>
          <w:tcPr>
            <w:tcW w:w="1696" w:type="dxa"/>
            <w:gridSpan w:val="2"/>
            <w:tcBorders>
              <w:top w:val="single" w:sz="4" w:space="0" w:color="FFFFFF"/>
              <w:left w:val="nil"/>
              <w:bottom w:val="single" w:sz="4" w:space="0" w:color="FFFFFF"/>
              <w:right w:val="single" w:sz="4"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 REAL**</w:t>
            </w:r>
          </w:p>
        </w:tc>
      </w:tr>
      <w:tr w:rsidR="007F6887" w:rsidRPr="00C428DD" w:rsidTr="00234DCF">
        <w:trPr>
          <w:trHeight w:val="20"/>
        </w:trPr>
        <w:tc>
          <w:tcPr>
            <w:tcW w:w="0" w:type="auto"/>
            <w:vMerge/>
            <w:tcBorders>
              <w:top w:val="single" w:sz="4" w:space="0" w:color="FFFFFF"/>
              <w:left w:val="single" w:sz="4" w:space="0" w:color="FFFFFF"/>
              <w:bottom w:val="single" w:sz="4" w:space="0" w:color="D5F0F9"/>
              <w:right w:val="single" w:sz="4" w:space="0" w:color="FFFFFF"/>
            </w:tcBorders>
            <w:vAlign w:val="center"/>
            <w:hideMark/>
          </w:tcPr>
          <w:p w:rsidR="007F6887" w:rsidRPr="004D5D60" w:rsidRDefault="007F6887" w:rsidP="00234DCF">
            <w:pPr>
              <w:spacing w:before="120"/>
              <w:jc w:val="center"/>
              <w:rPr>
                <w:rFonts w:eastAsia="Times New Roman"/>
                <w:b/>
                <w:bCs/>
                <w:color w:val="FFFFFF"/>
                <w:lang w:eastAsia="es-MX"/>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7F6887" w:rsidRPr="004D5D60" w:rsidRDefault="007F6887" w:rsidP="00234DCF">
            <w:pPr>
              <w:spacing w:before="120"/>
              <w:jc w:val="center"/>
              <w:rPr>
                <w:rFonts w:eastAsia="Times New Roman"/>
                <w:b/>
                <w:bCs/>
                <w:color w:val="FFFFFF"/>
                <w:lang w:eastAsia="es-MX"/>
              </w:rPr>
            </w:pPr>
          </w:p>
        </w:tc>
        <w:tc>
          <w:tcPr>
            <w:tcW w:w="1556" w:type="dxa"/>
            <w:vMerge/>
            <w:tcBorders>
              <w:top w:val="single" w:sz="4" w:space="0" w:color="FFFFFF"/>
              <w:left w:val="single" w:sz="4" w:space="0" w:color="FFFFFF"/>
              <w:bottom w:val="single" w:sz="4" w:space="0" w:color="FFFFFF"/>
              <w:right w:val="single" w:sz="4" w:space="0" w:color="FFFFFF"/>
            </w:tcBorders>
            <w:vAlign w:val="center"/>
            <w:hideMark/>
          </w:tcPr>
          <w:p w:rsidR="007F6887" w:rsidRPr="004D5D60" w:rsidRDefault="007F6887" w:rsidP="00234DCF">
            <w:pPr>
              <w:spacing w:before="120"/>
              <w:jc w:val="center"/>
              <w:rPr>
                <w:rFonts w:eastAsia="Times New Roman"/>
                <w:b/>
                <w:bCs/>
                <w:color w:val="FFFFFF"/>
                <w:lang w:eastAsia="es-MX"/>
              </w:rPr>
            </w:pPr>
          </w:p>
        </w:tc>
        <w:tc>
          <w:tcPr>
            <w:tcW w:w="992" w:type="dxa"/>
            <w:tcBorders>
              <w:top w:val="nil"/>
              <w:left w:val="nil"/>
              <w:bottom w:val="single" w:sz="4" w:space="0" w:color="FFFFFF"/>
              <w:right w:val="single" w:sz="4"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c>
          <w:tcPr>
            <w:tcW w:w="1002" w:type="dxa"/>
            <w:tcBorders>
              <w:top w:val="nil"/>
              <w:left w:val="nil"/>
              <w:bottom w:val="single" w:sz="4" w:space="0" w:color="FFFFFF"/>
              <w:right w:val="single" w:sz="4"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c>
          <w:tcPr>
            <w:tcW w:w="0" w:type="auto"/>
            <w:tcBorders>
              <w:top w:val="nil"/>
              <w:left w:val="nil"/>
              <w:bottom w:val="single" w:sz="4" w:space="0" w:color="FFFFFF"/>
              <w:right w:val="single" w:sz="4"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r>
      <w:tr w:rsidR="007F6887" w:rsidRPr="00C428DD" w:rsidTr="00234DCF">
        <w:trPr>
          <w:trHeight w:val="20"/>
        </w:trPr>
        <w:tc>
          <w:tcPr>
            <w:tcW w:w="0" w:type="auto"/>
            <w:tcBorders>
              <w:top w:val="single" w:sz="4" w:space="0" w:color="FFFFFF"/>
              <w:left w:val="single" w:sz="4" w:space="0" w:color="FFFFFF"/>
              <w:bottom w:val="single" w:sz="4" w:space="0" w:color="FFFFFF"/>
              <w:right w:val="single" w:sz="4" w:space="0" w:color="FFFFFF"/>
            </w:tcBorders>
            <w:shd w:val="clear" w:color="000000" w:fill="41BDE7"/>
            <w:vAlign w:val="center"/>
            <w:hideMark/>
          </w:tcPr>
          <w:p w:rsidR="007F6887" w:rsidRPr="004D5D60" w:rsidRDefault="007F6887" w:rsidP="00234DCF">
            <w:pPr>
              <w:spacing w:before="120"/>
              <w:rPr>
                <w:rFonts w:eastAsia="Times New Roman"/>
                <w:b/>
                <w:bCs/>
                <w:color w:val="FFFFFF"/>
                <w:lang w:eastAsia="es-MX"/>
              </w:rPr>
            </w:pPr>
            <w:r w:rsidRPr="004D5D60">
              <w:rPr>
                <w:rFonts w:eastAsia="Times New Roman"/>
                <w:b/>
                <w:bCs/>
                <w:color w:val="FFFFFF"/>
                <w:lang w:eastAsia="es-MX"/>
              </w:rPr>
              <w:t>Sustantivo</w:t>
            </w:r>
          </w:p>
        </w:tc>
        <w:tc>
          <w:tcPr>
            <w:tcW w:w="0" w:type="auto"/>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FFFF"/>
                <w:lang w:eastAsia="es-MX"/>
              </w:rPr>
              <w:t>26,945.3</w:t>
            </w:r>
          </w:p>
        </w:tc>
        <w:tc>
          <w:tcPr>
            <w:tcW w:w="1556"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FFFF"/>
                <w:lang w:eastAsia="es-MX"/>
              </w:rPr>
              <w:t>26,588.7</w:t>
            </w:r>
          </w:p>
        </w:tc>
        <w:tc>
          <w:tcPr>
            <w:tcW w:w="992"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0000"/>
                <w:lang w:eastAsia="es-MX"/>
              </w:rPr>
              <w:t>-356.5</w:t>
            </w:r>
          </w:p>
        </w:tc>
        <w:tc>
          <w:tcPr>
            <w:tcW w:w="1002"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0000"/>
                <w:lang w:eastAsia="es-MX"/>
              </w:rPr>
              <w:t>-1,458.6</w:t>
            </w:r>
          </w:p>
        </w:tc>
        <w:tc>
          <w:tcPr>
            <w:tcW w:w="0" w:type="auto"/>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0000"/>
                <w:lang w:eastAsia="es-MX"/>
              </w:rPr>
              <w:t>-5.2%</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 xml:space="preserve">1- Subsidio </w:t>
            </w:r>
            <w:r w:rsidRPr="004D5D60">
              <w:rPr>
                <w:rFonts w:eastAsia="Times New Roman"/>
                <w:color w:val="000000"/>
                <w:lang w:eastAsia="es-MX"/>
              </w:rPr>
              <w:lastRenderedPageBreak/>
              <w:t>Sector social y privado o entidades federativas y municipios</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lastRenderedPageBreak/>
              <w:t>2,289.7</w:t>
            </w:r>
          </w:p>
        </w:tc>
        <w:tc>
          <w:tcPr>
            <w:tcW w:w="1556"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2,019.0</w:t>
            </w:r>
          </w:p>
        </w:tc>
        <w:tc>
          <w:tcPr>
            <w:tcW w:w="99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-270.7</w:t>
            </w:r>
          </w:p>
        </w:tc>
        <w:tc>
          <w:tcPr>
            <w:tcW w:w="100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-364.3</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-15.3%</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lastRenderedPageBreak/>
              <w:t>2- Desempeño de las funciones</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24,655.6</w:t>
            </w:r>
          </w:p>
        </w:tc>
        <w:tc>
          <w:tcPr>
            <w:tcW w:w="1556"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24,569.7</w:t>
            </w:r>
          </w:p>
        </w:tc>
        <w:tc>
          <w:tcPr>
            <w:tcW w:w="99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-85.9</w:t>
            </w:r>
          </w:p>
        </w:tc>
        <w:tc>
          <w:tcPr>
            <w:tcW w:w="100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-1,094.3</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-4.3%</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000000" w:fill="41BDE7"/>
            <w:vAlign w:val="center"/>
            <w:hideMark/>
          </w:tcPr>
          <w:p w:rsidR="007F6887" w:rsidRPr="004D5D60" w:rsidRDefault="007F6887" w:rsidP="00234DCF">
            <w:pPr>
              <w:spacing w:before="120"/>
              <w:rPr>
                <w:rFonts w:eastAsia="Times New Roman"/>
                <w:b/>
                <w:bCs/>
                <w:color w:val="FFFFFF"/>
                <w:lang w:eastAsia="es-MX"/>
              </w:rPr>
            </w:pPr>
            <w:r w:rsidRPr="004D5D60">
              <w:rPr>
                <w:rFonts w:eastAsia="Times New Roman"/>
                <w:b/>
                <w:bCs/>
                <w:color w:val="FFFFFF"/>
                <w:lang w:eastAsia="es-MX"/>
              </w:rPr>
              <w:t>Administrativo</w:t>
            </w:r>
          </w:p>
        </w:tc>
        <w:tc>
          <w:tcPr>
            <w:tcW w:w="0" w:type="auto"/>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FFFF"/>
                <w:lang w:eastAsia="es-MX"/>
              </w:rPr>
              <w:t>5,307.2</w:t>
            </w:r>
          </w:p>
        </w:tc>
        <w:tc>
          <w:tcPr>
            <w:tcW w:w="1556"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FFFF"/>
                <w:lang w:eastAsia="es-MX"/>
              </w:rPr>
              <w:t>4,526.5</w:t>
            </w:r>
          </w:p>
        </w:tc>
        <w:tc>
          <w:tcPr>
            <w:tcW w:w="992"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0000"/>
                <w:lang w:eastAsia="es-MX"/>
              </w:rPr>
              <w:t>-780.7</w:t>
            </w:r>
          </w:p>
        </w:tc>
        <w:tc>
          <w:tcPr>
            <w:tcW w:w="1002"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0000"/>
                <w:lang w:eastAsia="es-MX"/>
              </w:rPr>
              <w:t>-997.7</w:t>
            </w:r>
          </w:p>
        </w:tc>
        <w:tc>
          <w:tcPr>
            <w:tcW w:w="0" w:type="auto"/>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0000"/>
                <w:lang w:eastAsia="es-MX"/>
              </w:rPr>
              <w:t>-18.1%</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3- Administrativos y de Apoyo</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5,307.2</w:t>
            </w:r>
          </w:p>
        </w:tc>
        <w:tc>
          <w:tcPr>
            <w:tcW w:w="1556"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4,526.5</w:t>
            </w:r>
          </w:p>
        </w:tc>
        <w:tc>
          <w:tcPr>
            <w:tcW w:w="99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-780.7</w:t>
            </w:r>
          </w:p>
        </w:tc>
        <w:tc>
          <w:tcPr>
            <w:tcW w:w="100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-997.7</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-18.1%</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000000" w:fill="41BDE7"/>
            <w:vAlign w:val="center"/>
            <w:hideMark/>
          </w:tcPr>
          <w:p w:rsidR="007F6887" w:rsidRPr="004D5D60" w:rsidRDefault="007F6887" w:rsidP="00234DCF">
            <w:pPr>
              <w:spacing w:before="120"/>
              <w:rPr>
                <w:rFonts w:eastAsia="Times New Roman"/>
                <w:b/>
                <w:bCs/>
                <w:color w:val="FFFFFF"/>
                <w:lang w:eastAsia="es-MX"/>
              </w:rPr>
            </w:pPr>
            <w:r w:rsidRPr="004D5D60">
              <w:rPr>
                <w:rFonts w:eastAsia="Times New Roman"/>
                <w:b/>
                <w:bCs/>
                <w:color w:val="FFFFFF"/>
                <w:lang w:eastAsia="es-MX"/>
              </w:rPr>
              <w:t>Resto del gasto</w:t>
            </w:r>
          </w:p>
        </w:tc>
        <w:tc>
          <w:tcPr>
            <w:tcW w:w="0" w:type="auto"/>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FFFF"/>
                <w:lang w:eastAsia="es-MX"/>
              </w:rPr>
              <w:t>9,600.4</w:t>
            </w:r>
          </w:p>
        </w:tc>
        <w:tc>
          <w:tcPr>
            <w:tcW w:w="1556"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FFFF"/>
                <w:lang w:eastAsia="es-MX"/>
              </w:rPr>
              <w:t>10,020.9</w:t>
            </w:r>
          </w:p>
        </w:tc>
        <w:tc>
          <w:tcPr>
            <w:tcW w:w="992"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FFFF"/>
                <w:lang w:eastAsia="es-MX"/>
              </w:rPr>
              <w:t>420.5</w:t>
            </w:r>
          </w:p>
        </w:tc>
        <w:tc>
          <w:tcPr>
            <w:tcW w:w="1002"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FFFF"/>
                <w:lang w:eastAsia="es-MX"/>
              </w:rPr>
              <w:t>27.8</w:t>
            </w:r>
          </w:p>
        </w:tc>
        <w:tc>
          <w:tcPr>
            <w:tcW w:w="0" w:type="auto"/>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right"/>
              <w:rPr>
                <w:rFonts w:eastAsia="Times New Roman"/>
                <w:b/>
                <w:bCs/>
                <w:color w:val="FFFFFF"/>
                <w:lang w:eastAsia="es-MX"/>
              </w:rPr>
            </w:pPr>
            <w:r w:rsidRPr="004D5D60">
              <w:rPr>
                <w:rFonts w:eastAsia="Times New Roman"/>
                <w:b/>
                <w:bCs/>
                <w:color w:val="FFFFFF"/>
                <w:lang w:eastAsia="es-MX"/>
              </w:rPr>
              <w:t>0.3%</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5- Obligaciones</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1,836.8</w:t>
            </w:r>
          </w:p>
        </w:tc>
        <w:tc>
          <w:tcPr>
            <w:tcW w:w="1556"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1,923.4</w:t>
            </w:r>
          </w:p>
        </w:tc>
        <w:tc>
          <w:tcPr>
            <w:tcW w:w="99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86.7</w:t>
            </w:r>
          </w:p>
        </w:tc>
        <w:tc>
          <w:tcPr>
            <w:tcW w:w="100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11.5</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0.6%</w:t>
            </w:r>
          </w:p>
        </w:tc>
      </w:tr>
      <w:tr w:rsidR="007F6887" w:rsidRPr="00C428DD" w:rsidTr="00234DCF">
        <w:trPr>
          <w:trHeight w:val="20"/>
        </w:trPr>
        <w:tc>
          <w:tcPr>
            <w:tcW w:w="0" w:type="auto"/>
            <w:tcBorders>
              <w:top w:val="nil"/>
              <w:left w:val="single" w:sz="4" w:space="0" w:color="FFFFFF"/>
              <w:bottom w:val="single" w:sz="4" w:space="0" w:color="FFFFFF"/>
              <w:right w:val="single" w:sz="4"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6- Programas de gasto Federalizado (gobierno federal)</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7,763.6</w:t>
            </w:r>
          </w:p>
        </w:tc>
        <w:tc>
          <w:tcPr>
            <w:tcW w:w="1556"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8,097.4</w:t>
            </w:r>
          </w:p>
        </w:tc>
        <w:tc>
          <w:tcPr>
            <w:tcW w:w="99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333.8</w:t>
            </w:r>
          </w:p>
        </w:tc>
        <w:tc>
          <w:tcPr>
            <w:tcW w:w="100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16.3</w:t>
            </w:r>
          </w:p>
        </w:tc>
        <w:tc>
          <w:tcPr>
            <w:tcW w:w="0" w:type="auto"/>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0.2%</w:t>
            </w:r>
          </w:p>
        </w:tc>
      </w:tr>
      <w:tr w:rsidR="007F6887" w:rsidRPr="00C428DD" w:rsidTr="00234DCF">
        <w:trPr>
          <w:trHeight w:val="20"/>
        </w:trPr>
        <w:tc>
          <w:tcPr>
            <w:tcW w:w="0" w:type="auto"/>
            <w:tcBorders>
              <w:top w:val="single" w:sz="4" w:space="0" w:color="1A98C0"/>
              <w:left w:val="single" w:sz="4" w:space="0" w:color="FFFFFF"/>
              <w:bottom w:val="single" w:sz="4" w:space="0" w:color="FFFFFF"/>
              <w:right w:val="single" w:sz="4" w:space="0" w:color="FFFFFF"/>
            </w:tcBorders>
            <w:shd w:val="clear" w:color="D5F0F9" w:fill="FFFFFF"/>
            <w:vAlign w:val="center"/>
            <w:hideMark/>
          </w:tcPr>
          <w:p w:rsidR="007F6887" w:rsidRPr="004D5D60" w:rsidRDefault="007F6887" w:rsidP="00234DCF">
            <w:pPr>
              <w:spacing w:before="120"/>
              <w:rPr>
                <w:rFonts w:eastAsia="Times New Roman"/>
                <w:b/>
                <w:bCs/>
                <w:color w:val="000000"/>
                <w:lang w:eastAsia="es-MX"/>
              </w:rPr>
            </w:pPr>
            <w:r w:rsidRPr="004D5D60">
              <w:rPr>
                <w:rFonts w:eastAsia="Times New Roman"/>
                <w:b/>
                <w:bCs/>
                <w:color w:val="000000"/>
                <w:lang w:eastAsia="es-MX"/>
              </w:rPr>
              <w:t>Total general</w:t>
            </w:r>
          </w:p>
        </w:tc>
        <w:tc>
          <w:tcPr>
            <w:tcW w:w="0" w:type="auto"/>
            <w:tcBorders>
              <w:top w:val="single" w:sz="4" w:space="0" w:color="1A98C0"/>
              <w:left w:val="nil"/>
              <w:bottom w:val="single" w:sz="4" w:space="0" w:color="FFFFFF"/>
              <w:right w:val="single" w:sz="4" w:space="0" w:color="FFFFFF"/>
            </w:tcBorders>
            <w:shd w:val="clear" w:color="D5F0F9" w:fill="FFFFFF"/>
            <w:vAlign w:val="center"/>
            <w:hideMark/>
          </w:tcPr>
          <w:p w:rsidR="007F6887" w:rsidRPr="004D5D60" w:rsidRDefault="007F6887" w:rsidP="00234DCF">
            <w:pPr>
              <w:spacing w:before="120"/>
              <w:jc w:val="right"/>
              <w:rPr>
                <w:rFonts w:eastAsia="Times New Roman"/>
                <w:b/>
                <w:bCs/>
                <w:color w:val="000000"/>
                <w:lang w:eastAsia="es-MX"/>
              </w:rPr>
            </w:pPr>
            <w:r w:rsidRPr="00C428DD">
              <w:rPr>
                <w:b/>
                <w:bCs/>
                <w:color w:val="000000"/>
              </w:rPr>
              <w:t xml:space="preserve">41,852.8 </w:t>
            </w:r>
          </w:p>
        </w:tc>
        <w:tc>
          <w:tcPr>
            <w:tcW w:w="1556" w:type="dxa"/>
            <w:tcBorders>
              <w:top w:val="single" w:sz="4" w:space="0" w:color="1A98C0"/>
              <w:left w:val="nil"/>
              <w:bottom w:val="single" w:sz="4" w:space="0" w:color="FFFFFF"/>
              <w:right w:val="single" w:sz="4" w:space="0" w:color="FFFFFF"/>
            </w:tcBorders>
            <w:shd w:val="clear" w:color="D5F0F9" w:fill="FFFFFF"/>
            <w:vAlign w:val="center"/>
            <w:hideMark/>
          </w:tcPr>
          <w:p w:rsidR="007F6887" w:rsidRPr="004D5D60" w:rsidRDefault="007F6887" w:rsidP="00234DCF">
            <w:pPr>
              <w:spacing w:before="120"/>
              <w:jc w:val="right"/>
              <w:rPr>
                <w:rFonts w:eastAsia="Times New Roman"/>
                <w:b/>
                <w:bCs/>
                <w:color w:val="000000"/>
                <w:lang w:eastAsia="es-MX"/>
              </w:rPr>
            </w:pPr>
            <w:r w:rsidRPr="00C428DD">
              <w:rPr>
                <w:b/>
                <w:bCs/>
                <w:color w:val="000000"/>
              </w:rPr>
              <w:t xml:space="preserve">41,136.1 </w:t>
            </w:r>
          </w:p>
        </w:tc>
        <w:tc>
          <w:tcPr>
            <w:tcW w:w="992" w:type="dxa"/>
            <w:tcBorders>
              <w:top w:val="single" w:sz="4" w:space="0" w:color="1A98C0"/>
              <w:left w:val="nil"/>
              <w:bottom w:val="single" w:sz="4" w:space="0" w:color="FFFFFF"/>
              <w:right w:val="single" w:sz="4" w:space="0" w:color="FFFFFF"/>
            </w:tcBorders>
            <w:shd w:val="clear" w:color="000000" w:fill="FFFFFF"/>
            <w:vAlign w:val="center"/>
            <w:hideMark/>
          </w:tcPr>
          <w:p w:rsidR="007F6887" w:rsidRPr="004D5D60" w:rsidRDefault="007F6887" w:rsidP="00234DCF">
            <w:pPr>
              <w:spacing w:before="120"/>
              <w:jc w:val="right"/>
              <w:rPr>
                <w:rFonts w:eastAsia="Times New Roman"/>
                <w:b/>
                <w:bCs/>
                <w:color w:val="000000"/>
                <w:lang w:eastAsia="es-MX"/>
              </w:rPr>
            </w:pPr>
            <w:r w:rsidRPr="00C428DD">
              <w:rPr>
                <w:b/>
                <w:bCs/>
                <w:color w:val="FF0000"/>
              </w:rPr>
              <w:t xml:space="preserve">-716.7 </w:t>
            </w:r>
          </w:p>
        </w:tc>
        <w:tc>
          <w:tcPr>
            <w:tcW w:w="1002" w:type="dxa"/>
            <w:tcBorders>
              <w:top w:val="single" w:sz="4" w:space="0" w:color="1A98C0"/>
              <w:left w:val="nil"/>
              <w:bottom w:val="single" w:sz="4" w:space="0" w:color="FFFFFF"/>
              <w:right w:val="single" w:sz="4" w:space="0" w:color="FFFFFF"/>
            </w:tcBorders>
            <w:shd w:val="clear" w:color="000000" w:fill="FFFFFF"/>
            <w:vAlign w:val="center"/>
            <w:hideMark/>
          </w:tcPr>
          <w:p w:rsidR="007F6887" w:rsidRPr="004D5D60" w:rsidRDefault="007F6887" w:rsidP="00234DCF">
            <w:pPr>
              <w:spacing w:before="120"/>
              <w:jc w:val="right"/>
              <w:rPr>
                <w:rFonts w:eastAsia="Times New Roman"/>
                <w:b/>
                <w:bCs/>
                <w:color w:val="000000"/>
                <w:lang w:eastAsia="es-MX"/>
              </w:rPr>
            </w:pPr>
            <w:r w:rsidRPr="00C428DD">
              <w:rPr>
                <w:b/>
                <w:bCs/>
                <w:color w:val="FF0000"/>
              </w:rPr>
              <w:t xml:space="preserve">-2,428.5 </w:t>
            </w:r>
          </w:p>
        </w:tc>
        <w:tc>
          <w:tcPr>
            <w:tcW w:w="0" w:type="auto"/>
            <w:tcBorders>
              <w:top w:val="single" w:sz="4" w:space="0" w:color="1A98C0"/>
              <w:left w:val="nil"/>
              <w:bottom w:val="single" w:sz="4" w:space="0" w:color="FFFFFF"/>
              <w:right w:val="single" w:sz="4" w:space="0" w:color="FFFFFF"/>
            </w:tcBorders>
            <w:shd w:val="clear" w:color="000000" w:fill="FFFFFF"/>
            <w:vAlign w:val="center"/>
            <w:hideMark/>
          </w:tcPr>
          <w:p w:rsidR="007F6887" w:rsidRPr="004D5D60" w:rsidRDefault="007F6887" w:rsidP="00234DCF">
            <w:pPr>
              <w:spacing w:before="120"/>
              <w:jc w:val="right"/>
              <w:rPr>
                <w:rFonts w:eastAsia="Times New Roman"/>
                <w:b/>
                <w:bCs/>
                <w:color w:val="000000"/>
                <w:lang w:eastAsia="es-MX"/>
              </w:rPr>
            </w:pPr>
            <w:r w:rsidRPr="00C428DD">
              <w:rPr>
                <w:b/>
                <w:bCs/>
                <w:color w:val="FF0000"/>
              </w:rPr>
              <w:t>-5.6%</w:t>
            </w:r>
          </w:p>
        </w:tc>
      </w:tr>
    </w:tbl>
    <w:p w:rsidR="007F6887" w:rsidRPr="004D5D60" w:rsidRDefault="007F6887" w:rsidP="007F6887">
      <w:pPr>
        <w:spacing w:before="120"/>
        <w:rPr>
          <w:i/>
          <w:iCs/>
          <w:color w:val="002060"/>
        </w:rPr>
      </w:pPr>
      <w:r w:rsidRPr="004D5D60">
        <w:rPr>
          <w:i/>
          <w:iCs/>
          <w:color w:val="002060"/>
        </w:rPr>
        <w:t xml:space="preserve">El presupuesto 2020 excluye los Derechos por la Infraestructura Tecnológica en materia de Seguridad </w:t>
      </w:r>
      <w:proofErr w:type="gramStart"/>
      <w:r w:rsidRPr="004D5D60">
        <w:rPr>
          <w:i/>
          <w:iCs/>
          <w:color w:val="002060"/>
        </w:rPr>
        <w:t>Publica</w:t>
      </w:r>
      <w:proofErr w:type="gramEnd"/>
      <w:r w:rsidRPr="004D5D60">
        <w:rPr>
          <w:i/>
          <w:iCs/>
          <w:color w:val="002060"/>
        </w:rPr>
        <w:t>. Decreto 173/2020. Asimismo, se excluye el Financiamiento Yucatán Seguro*</w:t>
      </w:r>
    </w:p>
    <w:p w:rsidR="007F6887" w:rsidRPr="004D5D60" w:rsidRDefault="007F6887" w:rsidP="007F6887">
      <w:pPr>
        <w:spacing w:before="120"/>
        <w:rPr>
          <w:i/>
          <w:iCs/>
          <w:color w:val="002060"/>
        </w:rPr>
      </w:pPr>
      <w:r w:rsidRPr="004D5D60">
        <w:rPr>
          <w:i/>
          <w:iCs/>
          <w:color w:val="002060"/>
        </w:rPr>
        <w:t>Considerando la inflación octubre 2019 – octubre 2020 correspondiente a 4.09% publicada por INEGI**</w:t>
      </w:r>
    </w:p>
    <w:p w:rsidR="007F6887" w:rsidRPr="00912F98" w:rsidRDefault="007F6887" w:rsidP="007F6887">
      <w:pPr>
        <w:spacing w:before="100" w:beforeAutospacing="1" w:after="100" w:afterAutospacing="1"/>
        <w:rPr>
          <w:rFonts w:cs="Arial"/>
          <w:sz w:val="28"/>
        </w:rPr>
      </w:pPr>
    </w:p>
    <w:p w:rsidR="007F6887" w:rsidRPr="00912F98" w:rsidRDefault="007F6887" w:rsidP="007F6887">
      <w:pPr>
        <w:spacing w:before="100" w:beforeAutospacing="1" w:after="100" w:afterAutospacing="1"/>
        <w:rPr>
          <w:rFonts w:cs="Arial"/>
          <w:b/>
          <w:i/>
        </w:rPr>
      </w:pPr>
      <w:r w:rsidRPr="00912F98">
        <w:rPr>
          <w:rFonts w:cs="Arial"/>
          <w:b/>
          <w:i/>
        </w:rPr>
        <w:t>2.2.4</w:t>
      </w:r>
      <w:r w:rsidRPr="00912F98">
        <w:rPr>
          <w:rFonts w:cs="Arial"/>
          <w:b/>
          <w:i/>
        </w:rPr>
        <w:tab/>
        <w:t>Clasificación por Objeto del Gasto</w:t>
      </w:r>
    </w:p>
    <w:p w:rsidR="007F6887" w:rsidRPr="00912F98" w:rsidRDefault="007F6887" w:rsidP="007F6887">
      <w:pPr>
        <w:spacing w:before="100" w:beforeAutospacing="1" w:after="100" w:afterAutospacing="1"/>
        <w:rPr>
          <w:rFonts w:cs="Arial"/>
        </w:rPr>
      </w:pPr>
      <w:r w:rsidRPr="00912F98">
        <w:rPr>
          <w:rFonts w:cs="Arial"/>
        </w:rPr>
        <w:t xml:space="preserve">La Clasificación CONAC reconoce como transferencias los recursos erogados por la Administración Pública Centralizada a Entidades, Poderes y Autónomos, de tal manera que una lectura directa de los “Capítulos del gasto” pudiera llevar a una interpretación errónea sobre el ejercicio de los recursos, pues, por ejemplo, los </w:t>
      </w:r>
      <w:r w:rsidRPr="00912F98">
        <w:rPr>
          <w:rFonts w:cs="Arial"/>
        </w:rPr>
        <w:lastRenderedPageBreak/>
        <w:t>recursos destinados al pago de Servicios Personales se clasifican en el Capítulo de “Transferencias, Asignaciones, Subsidios y otras Ayudas” bajo el concepto “Transferencias para Servicios Personales”. Previendo lo anterior, en el presente apartado se mostrará la clasificación del gasto reajustándola para que se pueda reconocer el Capítulo en el que ejercen los recursos de las Entidades, los Poderes Legislativo y Judicial, así como los Organismos Autónomos.</w:t>
      </w:r>
    </w:p>
    <w:p w:rsidR="007F6887" w:rsidRPr="00912F98" w:rsidRDefault="007F6887" w:rsidP="007F6887">
      <w:pPr>
        <w:spacing w:before="100" w:beforeAutospacing="1" w:after="100" w:afterAutospacing="1"/>
        <w:rPr>
          <w:rFonts w:cs="Arial"/>
        </w:rPr>
      </w:pPr>
      <w:r w:rsidRPr="00912F98">
        <w:rPr>
          <w:rFonts w:cs="Arial"/>
        </w:rPr>
        <w:t>El desglose de la clasificación por Objeto del Gasto se puede consultar en el Anexo 2.6 del Presupuesto de Egresos del Gobierno del Estado de Yucatán para el Ejercicio Fiscal 2021.</w:t>
      </w:r>
    </w:p>
    <w:p w:rsidR="007F6887" w:rsidRPr="00912F98" w:rsidRDefault="007F6887" w:rsidP="007F6887">
      <w:pPr>
        <w:spacing w:before="100" w:beforeAutospacing="1" w:after="100" w:afterAutospacing="1"/>
        <w:rPr>
          <w:rFonts w:cs="Arial"/>
        </w:rPr>
      </w:pPr>
      <w:r w:rsidRPr="00912F98">
        <w:rPr>
          <w:rFonts w:cs="Arial"/>
        </w:rPr>
        <w:t xml:space="preserve">El Proyecto de Presupuesto de Egresos para el ejercicio fiscal 2021 integra un gasto de 41,136.1 </w:t>
      </w:r>
      <w:proofErr w:type="spellStart"/>
      <w:r w:rsidRPr="00912F98">
        <w:rPr>
          <w:rFonts w:cs="Arial"/>
        </w:rPr>
        <w:t>mdp</w:t>
      </w:r>
      <w:proofErr w:type="spellEnd"/>
      <w:r w:rsidRPr="00912F98">
        <w:rPr>
          <w:rFonts w:cs="Arial"/>
        </w:rPr>
        <w:t xml:space="preserve"> cuyo destino es el siguiente:</w:t>
      </w:r>
    </w:p>
    <w:p w:rsidR="007F6887" w:rsidRPr="004D5D60" w:rsidRDefault="007F6887" w:rsidP="007F6887">
      <w:pPr>
        <w:spacing w:before="120"/>
        <w:rPr>
          <w:color w:val="121D56"/>
        </w:rPr>
      </w:pPr>
    </w:p>
    <w:p w:rsidR="007F6887" w:rsidRPr="004D5D60" w:rsidRDefault="007F6887" w:rsidP="007F6887">
      <w:pPr>
        <w:spacing w:before="120"/>
        <w:rPr>
          <w:color w:val="121D56"/>
        </w:rPr>
      </w:pPr>
    </w:p>
    <w:tbl>
      <w:tblPr>
        <w:tblW w:w="9351" w:type="dxa"/>
        <w:tblCellMar>
          <w:left w:w="70" w:type="dxa"/>
          <w:right w:w="70" w:type="dxa"/>
        </w:tblCellMar>
        <w:tblLook w:val="04A0"/>
      </w:tblPr>
      <w:tblGrid>
        <w:gridCol w:w="1696"/>
        <w:gridCol w:w="7655"/>
      </w:tblGrid>
      <w:tr w:rsidR="007F6887" w:rsidRPr="00C428DD" w:rsidTr="00234DCF">
        <w:trPr>
          <w:trHeight w:val="504"/>
        </w:trPr>
        <w:tc>
          <w:tcPr>
            <w:tcW w:w="1696" w:type="dxa"/>
            <w:vMerge w:val="restart"/>
            <w:tcBorders>
              <w:top w:val="single" w:sz="4" w:space="0" w:color="FFFFFF"/>
              <w:left w:val="single" w:sz="4" w:space="0" w:color="FFFFFF"/>
              <w:bottom w:val="single" w:sz="4" w:space="0" w:color="FFFFFF"/>
              <w:right w:val="single" w:sz="4" w:space="0" w:color="FFFFFF"/>
            </w:tcBorders>
            <w:shd w:val="clear" w:color="auto" w:fill="FFC000"/>
            <w:vAlign w:val="center"/>
            <w:hideMark/>
          </w:tcPr>
          <w:p w:rsidR="007F6887" w:rsidRPr="004D5D60" w:rsidRDefault="007F6887" w:rsidP="00234DCF">
            <w:pPr>
              <w:spacing w:before="120"/>
              <w:jc w:val="center"/>
              <w:rPr>
                <w:rFonts w:eastAsia="Times New Roman"/>
                <w:b/>
                <w:color w:val="111B58"/>
                <w:lang w:eastAsia="es-MX"/>
              </w:rPr>
            </w:pPr>
            <w:r w:rsidRPr="004D5D60">
              <w:rPr>
                <w:rFonts w:eastAsia="Times New Roman"/>
                <w:b/>
                <w:color w:val="111B58"/>
                <w:lang w:eastAsia="es-MX"/>
              </w:rPr>
              <w:t>Tabla 2.6</w:t>
            </w:r>
          </w:p>
        </w:tc>
        <w:tc>
          <w:tcPr>
            <w:tcW w:w="7655" w:type="dxa"/>
            <w:vMerge w:val="restart"/>
            <w:tcBorders>
              <w:top w:val="nil"/>
              <w:left w:val="single" w:sz="4" w:space="0" w:color="FFFFFF"/>
              <w:bottom w:val="nil"/>
              <w:right w:val="nil"/>
            </w:tcBorders>
            <w:shd w:val="clear" w:color="auto" w:fill="111B58"/>
            <w:vAlign w:val="center"/>
            <w:hideMark/>
          </w:tcPr>
          <w:p w:rsidR="007F6887" w:rsidRPr="004D5D60" w:rsidRDefault="007F6887" w:rsidP="00234DCF">
            <w:pPr>
              <w:spacing w:before="120"/>
              <w:jc w:val="center"/>
              <w:rPr>
                <w:rFonts w:eastAsia="Times New Roman"/>
                <w:b/>
                <w:color w:val="FFFFFF"/>
                <w:lang w:eastAsia="es-MX"/>
              </w:rPr>
            </w:pPr>
            <w:r w:rsidRPr="004D5D60">
              <w:rPr>
                <w:rFonts w:eastAsia="Times New Roman"/>
                <w:color w:val="FFFFFF"/>
                <w:lang w:eastAsia="es-MX"/>
              </w:rPr>
              <w:t>Clasificación por Destino Final del Gasto</w:t>
            </w:r>
          </w:p>
        </w:tc>
      </w:tr>
      <w:tr w:rsidR="007F6887" w:rsidRPr="00C428DD" w:rsidTr="00234DCF">
        <w:trPr>
          <w:trHeight w:val="573"/>
        </w:trPr>
        <w:tc>
          <w:tcPr>
            <w:tcW w:w="1696" w:type="dxa"/>
            <w:vMerge/>
            <w:vAlign w:val="center"/>
            <w:hideMark/>
          </w:tcPr>
          <w:p w:rsidR="007F6887" w:rsidRPr="004D5D60" w:rsidRDefault="007F6887" w:rsidP="00234DCF">
            <w:pPr>
              <w:spacing w:before="120"/>
              <w:rPr>
                <w:rFonts w:eastAsia="Times New Roman"/>
                <w:color w:val="111B58"/>
                <w:lang w:eastAsia="es-MX"/>
              </w:rPr>
            </w:pPr>
          </w:p>
        </w:tc>
        <w:tc>
          <w:tcPr>
            <w:tcW w:w="7655" w:type="dxa"/>
            <w:vMerge/>
            <w:vAlign w:val="center"/>
            <w:hideMark/>
          </w:tcPr>
          <w:p w:rsidR="007F6887" w:rsidRPr="004D5D60" w:rsidRDefault="007F6887" w:rsidP="00234DCF">
            <w:pPr>
              <w:spacing w:before="120"/>
              <w:rPr>
                <w:rFonts w:eastAsia="Times New Roman"/>
                <w:color w:val="FFFFFF"/>
                <w:lang w:eastAsia="es-MX"/>
              </w:rPr>
            </w:pPr>
          </w:p>
        </w:tc>
      </w:tr>
    </w:tbl>
    <w:p w:rsidR="007F6887" w:rsidRPr="004D5D60" w:rsidRDefault="007F6887" w:rsidP="007F6887">
      <w:pPr>
        <w:spacing w:before="120"/>
        <w:rPr>
          <w:color w:val="121D56"/>
        </w:rPr>
      </w:pPr>
    </w:p>
    <w:tbl>
      <w:tblPr>
        <w:tblW w:w="4990" w:type="pct"/>
        <w:tblCellMar>
          <w:left w:w="70" w:type="dxa"/>
          <w:right w:w="70" w:type="dxa"/>
        </w:tblCellMar>
        <w:tblLook w:val="04A0"/>
      </w:tblPr>
      <w:tblGrid>
        <w:gridCol w:w="2394"/>
        <w:gridCol w:w="1740"/>
        <w:gridCol w:w="2141"/>
        <w:gridCol w:w="1260"/>
        <w:gridCol w:w="715"/>
        <w:gridCol w:w="710"/>
      </w:tblGrid>
      <w:tr w:rsidR="007F6887" w:rsidRPr="00C428DD" w:rsidTr="00234DCF">
        <w:trPr>
          <w:trHeight w:val="235"/>
        </w:trPr>
        <w:tc>
          <w:tcPr>
            <w:tcW w:w="1540" w:type="pct"/>
            <w:vMerge w:val="restart"/>
            <w:tcBorders>
              <w:top w:val="single" w:sz="8" w:space="0" w:color="FFFFFF"/>
              <w:left w:val="nil"/>
              <w:bottom w:val="single" w:sz="8" w:space="0" w:color="D5F0F9"/>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DESTINO FINAL DEL GASTO*</w:t>
            </w:r>
          </w:p>
        </w:tc>
        <w:tc>
          <w:tcPr>
            <w:tcW w:w="915" w:type="pct"/>
            <w:vMerge w:val="restart"/>
            <w:tcBorders>
              <w:top w:val="single" w:sz="8" w:space="0" w:color="FFFFFF"/>
              <w:left w:val="single" w:sz="8" w:space="0" w:color="FFFFFF"/>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AUTORIZADO 2020</w:t>
            </w:r>
          </w:p>
        </w:tc>
        <w:tc>
          <w:tcPr>
            <w:tcW w:w="737" w:type="pct"/>
            <w:vMerge w:val="restart"/>
            <w:tcBorders>
              <w:top w:val="single" w:sz="8" w:space="0" w:color="FFFFFF"/>
              <w:left w:val="single" w:sz="8" w:space="0" w:color="FFFFFF"/>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ANTEPROYECTO 2021</w:t>
            </w:r>
          </w:p>
        </w:tc>
        <w:tc>
          <w:tcPr>
            <w:tcW w:w="605" w:type="pct"/>
            <w:tcBorders>
              <w:top w:val="single" w:sz="8" w:space="0" w:color="FFFFFF"/>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 NOMINAL</w:t>
            </w:r>
          </w:p>
        </w:tc>
        <w:tc>
          <w:tcPr>
            <w:tcW w:w="1203" w:type="pct"/>
            <w:gridSpan w:val="2"/>
            <w:tcBorders>
              <w:top w:val="single" w:sz="8" w:space="0" w:color="FFFFFF"/>
              <w:left w:val="nil"/>
              <w:bottom w:val="single" w:sz="8" w:space="0" w:color="FFFFFF"/>
              <w:right w:val="nil"/>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 REAL**</w:t>
            </w:r>
          </w:p>
        </w:tc>
      </w:tr>
      <w:tr w:rsidR="007F6887" w:rsidRPr="00C428DD" w:rsidTr="00234DCF">
        <w:trPr>
          <w:trHeight w:val="235"/>
        </w:trPr>
        <w:tc>
          <w:tcPr>
            <w:tcW w:w="1540" w:type="pct"/>
            <w:vMerge/>
            <w:tcBorders>
              <w:top w:val="single" w:sz="8" w:space="0" w:color="FFFFFF"/>
              <w:left w:val="nil"/>
              <w:bottom w:val="single" w:sz="8" w:space="0" w:color="D5F0F9"/>
              <w:right w:val="single" w:sz="8" w:space="0" w:color="FFFFFF"/>
            </w:tcBorders>
            <w:vAlign w:val="center"/>
            <w:hideMark/>
          </w:tcPr>
          <w:p w:rsidR="007F6887" w:rsidRPr="004D5D60" w:rsidRDefault="007F6887" w:rsidP="00234DCF">
            <w:pPr>
              <w:spacing w:before="120"/>
              <w:rPr>
                <w:rFonts w:eastAsia="Times New Roman"/>
                <w:b/>
                <w:bCs/>
                <w:color w:val="FFFFFF"/>
                <w:lang w:eastAsia="es-MX"/>
              </w:rPr>
            </w:pPr>
          </w:p>
        </w:tc>
        <w:tc>
          <w:tcPr>
            <w:tcW w:w="915" w:type="pct"/>
            <w:vMerge/>
            <w:tcBorders>
              <w:top w:val="single" w:sz="8" w:space="0" w:color="FFFFFF"/>
              <w:left w:val="single" w:sz="8" w:space="0" w:color="FFFFFF"/>
              <w:bottom w:val="single" w:sz="8" w:space="0" w:color="FFFFFF"/>
              <w:right w:val="single" w:sz="8" w:space="0" w:color="FFFFFF"/>
            </w:tcBorders>
            <w:vAlign w:val="center"/>
            <w:hideMark/>
          </w:tcPr>
          <w:p w:rsidR="007F6887" w:rsidRPr="004D5D60" w:rsidRDefault="007F6887" w:rsidP="00234DCF">
            <w:pPr>
              <w:spacing w:before="120"/>
              <w:rPr>
                <w:rFonts w:eastAsia="Times New Roman"/>
                <w:b/>
                <w:bCs/>
                <w:color w:val="FFFFFF"/>
                <w:lang w:eastAsia="es-MX"/>
              </w:rPr>
            </w:pPr>
          </w:p>
        </w:tc>
        <w:tc>
          <w:tcPr>
            <w:tcW w:w="737" w:type="pct"/>
            <w:vMerge/>
            <w:tcBorders>
              <w:top w:val="single" w:sz="8" w:space="0" w:color="FFFFFF"/>
              <w:left w:val="single" w:sz="8" w:space="0" w:color="FFFFFF"/>
              <w:bottom w:val="single" w:sz="8" w:space="0" w:color="FFFFFF"/>
              <w:right w:val="single" w:sz="8" w:space="0" w:color="FFFFFF"/>
            </w:tcBorders>
            <w:vAlign w:val="center"/>
            <w:hideMark/>
          </w:tcPr>
          <w:p w:rsidR="007F6887" w:rsidRPr="004D5D60" w:rsidRDefault="007F6887" w:rsidP="00234DCF">
            <w:pPr>
              <w:spacing w:before="120"/>
              <w:rPr>
                <w:rFonts w:eastAsia="Times New Roman"/>
                <w:b/>
                <w:bCs/>
                <w:color w:val="FFFFFF"/>
                <w:lang w:eastAsia="es-MX"/>
              </w:rPr>
            </w:pPr>
          </w:p>
        </w:tc>
        <w:tc>
          <w:tcPr>
            <w:tcW w:w="605" w:type="pct"/>
            <w:tcBorders>
              <w:top w:val="nil"/>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c>
          <w:tcPr>
            <w:tcW w:w="603" w:type="pct"/>
            <w:tcBorders>
              <w:top w:val="nil"/>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c>
          <w:tcPr>
            <w:tcW w:w="600" w:type="pct"/>
            <w:tcBorders>
              <w:top w:val="nil"/>
              <w:left w:val="nil"/>
              <w:bottom w:val="single" w:sz="8" w:space="0" w:color="FFFFFF"/>
              <w:right w:val="nil"/>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r>
      <w:tr w:rsidR="007F6887" w:rsidRPr="00C428DD" w:rsidTr="00234DCF">
        <w:trPr>
          <w:trHeight w:val="235"/>
        </w:trPr>
        <w:tc>
          <w:tcPr>
            <w:tcW w:w="1540" w:type="pct"/>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SERVICIOS PERSONALES</w:t>
            </w:r>
          </w:p>
        </w:tc>
        <w:tc>
          <w:tcPr>
            <w:tcW w:w="915"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20,946.0</w:t>
            </w:r>
          </w:p>
        </w:tc>
        <w:tc>
          <w:tcPr>
            <w:tcW w:w="737"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21,747.8</w:t>
            </w:r>
          </w:p>
        </w:tc>
        <w:tc>
          <w:tcPr>
            <w:tcW w:w="605"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000000"/>
                <w:sz w:val="16"/>
                <w:lang w:eastAsia="es-MX"/>
              </w:rPr>
            </w:pPr>
            <w:r w:rsidRPr="006B071C">
              <w:rPr>
                <w:rFonts w:eastAsia="Times New Roman"/>
                <w:color w:val="000000"/>
                <w:sz w:val="16"/>
                <w:lang w:eastAsia="es-MX"/>
              </w:rPr>
              <w:t>801.8</w:t>
            </w:r>
          </w:p>
        </w:tc>
        <w:tc>
          <w:tcPr>
            <w:tcW w:w="603"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000000"/>
                <w:sz w:val="16"/>
                <w:lang w:eastAsia="es-MX"/>
              </w:rPr>
            </w:pPr>
            <w:r w:rsidRPr="006B071C">
              <w:rPr>
                <w:rFonts w:eastAsia="Times New Roman"/>
                <w:color w:val="000000"/>
                <w:sz w:val="16"/>
                <w:lang w:eastAsia="es-MX"/>
              </w:rPr>
              <w:t>-54.9</w:t>
            </w:r>
          </w:p>
        </w:tc>
        <w:tc>
          <w:tcPr>
            <w:tcW w:w="600"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-0.3%</w:t>
            </w:r>
          </w:p>
        </w:tc>
      </w:tr>
      <w:tr w:rsidR="007F6887" w:rsidRPr="00C428DD" w:rsidTr="00234DCF">
        <w:trPr>
          <w:trHeight w:val="235"/>
        </w:trPr>
        <w:tc>
          <w:tcPr>
            <w:tcW w:w="1540" w:type="pct"/>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MATERIALES Y SUMINISTROS</w:t>
            </w:r>
          </w:p>
        </w:tc>
        <w:tc>
          <w:tcPr>
            <w:tcW w:w="915" w:type="pct"/>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2,999.3</w:t>
            </w:r>
          </w:p>
        </w:tc>
        <w:tc>
          <w:tcPr>
            <w:tcW w:w="737" w:type="pct"/>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2,653.6</w:t>
            </w:r>
          </w:p>
        </w:tc>
        <w:tc>
          <w:tcPr>
            <w:tcW w:w="605" w:type="pct"/>
            <w:tcBorders>
              <w:top w:val="nil"/>
              <w:left w:val="nil"/>
              <w:bottom w:val="single" w:sz="8" w:space="0" w:color="FFFFFF"/>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-345.7</w:t>
            </w:r>
          </w:p>
        </w:tc>
        <w:tc>
          <w:tcPr>
            <w:tcW w:w="603" w:type="pct"/>
            <w:tcBorders>
              <w:top w:val="nil"/>
              <w:left w:val="nil"/>
              <w:bottom w:val="single" w:sz="8" w:space="0" w:color="FFFFFF"/>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-468.4</w:t>
            </w:r>
          </w:p>
        </w:tc>
        <w:tc>
          <w:tcPr>
            <w:tcW w:w="600" w:type="pct"/>
            <w:tcBorders>
              <w:top w:val="nil"/>
              <w:left w:val="nil"/>
              <w:bottom w:val="single" w:sz="8" w:space="0" w:color="FFFFFF"/>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-15.0%</w:t>
            </w:r>
          </w:p>
        </w:tc>
      </w:tr>
      <w:tr w:rsidR="007F6887" w:rsidRPr="00C428DD" w:rsidTr="00234DCF">
        <w:trPr>
          <w:trHeight w:val="235"/>
        </w:trPr>
        <w:tc>
          <w:tcPr>
            <w:tcW w:w="1540" w:type="pct"/>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SERVICIOS GENERALES</w:t>
            </w:r>
          </w:p>
        </w:tc>
        <w:tc>
          <w:tcPr>
            <w:tcW w:w="915"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4,445.9</w:t>
            </w:r>
          </w:p>
        </w:tc>
        <w:tc>
          <w:tcPr>
            <w:tcW w:w="737"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4,130.8</w:t>
            </w:r>
          </w:p>
        </w:tc>
        <w:tc>
          <w:tcPr>
            <w:tcW w:w="605"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-315.1</w:t>
            </w:r>
          </w:p>
        </w:tc>
        <w:tc>
          <w:tcPr>
            <w:tcW w:w="603"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-496.9</w:t>
            </w:r>
          </w:p>
        </w:tc>
        <w:tc>
          <w:tcPr>
            <w:tcW w:w="600"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-10.7%</w:t>
            </w:r>
          </w:p>
        </w:tc>
      </w:tr>
      <w:tr w:rsidR="007F6887" w:rsidRPr="00C428DD" w:rsidTr="00234DCF">
        <w:trPr>
          <w:trHeight w:val="442"/>
        </w:trPr>
        <w:tc>
          <w:tcPr>
            <w:tcW w:w="1540" w:type="pct"/>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TRANSFERENCIAS, APOYOS Y SUBSIDIOS</w:t>
            </w:r>
          </w:p>
        </w:tc>
        <w:tc>
          <w:tcPr>
            <w:tcW w:w="915" w:type="pct"/>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2,277.3</w:t>
            </w:r>
          </w:p>
        </w:tc>
        <w:tc>
          <w:tcPr>
            <w:tcW w:w="737" w:type="pct"/>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1,629.8</w:t>
            </w:r>
          </w:p>
        </w:tc>
        <w:tc>
          <w:tcPr>
            <w:tcW w:w="605" w:type="pct"/>
            <w:tcBorders>
              <w:top w:val="nil"/>
              <w:left w:val="nil"/>
              <w:bottom w:val="single" w:sz="8" w:space="0" w:color="FFFFFF"/>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-647.5</w:t>
            </w:r>
          </w:p>
        </w:tc>
        <w:tc>
          <w:tcPr>
            <w:tcW w:w="603" w:type="pct"/>
            <w:tcBorders>
              <w:top w:val="nil"/>
              <w:left w:val="nil"/>
              <w:bottom w:val="single" w:sz="8" w:space="0" w:color="FFFFFF"/>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-740.6</w:t>
            </w:r>
          </w:p>
        </w:tc>
        <w:tc>
          <w:tcPr>
            <w:tcW w:w="600" w:type="pct"/>
            <w:tcBorders>
              <w:top w:val="nil"/>
              <w:left w:val="nil"/>
              <w:bottom w:val="single" w:sz="8" w:space="0" w:color="FFFFFF"/>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-31.2%</w:t>
            </w:r>
          </w:p>
        </w:tc>
      </w:tr>
      <w:tr w:rsidR="007F6887" w:rsidRPr="00C428DD" w:rsidTr="00234DCF">
        <w:trPr>
          <w:trHeight w:val="235"/>
        </w:trPr>
        <w:tc>
          <w:tcPr>
            <w:tcW w:w="1540" w:type="pct"/>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BIENES MUEBLES E INMUEBLES</w:t>
            </w:r>
          </w:p>
        </w:tc>
        <w:tc>
          <w:tcPr>
            <w:tcW w:w="915"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187.8</w:t>
            </w:r>
          </w:p>
        </w:tc>
        <w:tc>
          <w:tcPr>
            <w:tcW w:w="737"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90.6</w:t>
            </w:r>
          </w:p>
        </w:tc>
        <w:tc>
          <w:tcPr>
            <w:tcW w:w="605"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-97.2</w:t>
            </w:r>
          </w:p>
        </w:tc>
        <w:tc>
          <w:tcPr>
            <w:tcW w:w="603"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-104.9</w:t>
            </w:r>
          </w:p>
        </w:tc>
        <w:tc>
          <w:tcPr>
            <w:tcW w:w="600"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-53.7%</w:t>
            </w:r>
          </w:p>
        </w:tc>
      </w:tr>
      <w:tr w:rsidR="007F6887" w:rsidRPr="00C428DD" w:rsidTr="00234DCF">
        <w:trPr>
          <w:trHeight w:val="235"/>
        </w:trPr>
        <w:tc>
          <w:tcPr>
            <w:tcW w:w="1540" w:type="pct"/>
            <w:tcBorders>
              <w:top w:val="nil"/>
              <w:left w:val="single" w:sz="8" w:space="0" w:color="FFFFFF"/>
              <w:bottom w:val="single" w:sz="8" w:space="0" w:color="FFFFFF"/>
              <w:right w:val="single" w:sz="8"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lastRenderedPageBreak/>
              <w:t>INVERSIÓN PÚBLICA</w:t>
            </w:r>
          </w:p>
        </w:tc>
        <w:tc>
          <w:tcPr>
            <w:tcW w:w="915" w:type="pct"/>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1,199.6</w:t>
            </w:r>
          </w:p>
        </w:tc>
        <w:tc>
          <w:tcPr>
            <w:tcW w:w="737" w:type="pct"/>
            <w:tcBorders>
              <w:top w:val="nil"/>
              <w:left w:val="nil"/>
              <w:bottom w:val="single" w:sz="8" w:space="0" w:color="FFFFFF"/>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693.3</w:t>
            </w:r>
          </w:p>
        </w:tc>
        <w:tc>
          <w:tcPr>
            <w:tcW w:w="605" w:type="pct"/>
            <w:tcBorders>
              <w:top w:val="nil"/>
              <w:left w:val="nil"/>
              <w:bottom w:val="single" w:sz="8" w:space="0" w:color="FFFFFF"/>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-506.3</w:t>
            </w:r>
          </w:p>
        </w:tc>
        <w:tc>
          <w:tcPr>
            <w:tcW w:w="603" w:type="pct"/>
            <w:tcBorders>
              <w:top w:val="nil"/>
              <w:left w:val="nil"/>
              <w:bottom w:val="single" w:sz="8" w:space="0" w:color="FFFFFF"/>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-555.4</w:t>
            </w:r>
          </w:p>
        </w:tc>
        <w:tc>
          <w:tcPr>
            <w:tcW w:w="600" w:type="pct"/>
            <w:tcBorders>
              <w:top w:val="nil"/>
              <w:left w:val="nil"/>
              <w:bottom w:val="single" w:sz="8" w:space="0" w:color="FFFFFF"/>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-44.5%</w:t>
            </w:r>
          </w:p>
        </w:tc>
      </w:tr>
      <w:tr w:rsidR="007F6887" w:rsidRPr="00C428DD" w:rsidTr="00234DCF">
        <w:trPr>
          <w:trHeight w:val="235"/>
        </w:trPr>
        <w:tc>
          <w:tcPr>
            <w:tcW w:w="1540" w:type="pct"/>
            <w:tcBorders>
              <w:top w:val="nil"/>
              <w:left w:val="single" w:sz="8" w:space="0" w:color="FFFFFF"/>
              <w:bottom w:val="single" w:sz="8" w:space="0" w:color="FFFFFF"/>
              <w:right w:val="single" w:sz="8" w:space="0" w:color="FFFFFF"/>
            </w:tcBorders>
            <w:shd w:val="clear" w:color="000000" w:fill="F2F2F2"/>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INVERSIÓN FINANCIERA</w:t>
            </w:r>
          </w:p>
        </w:tc>
        <w:tc>
          <w:tcPr>
            <w:tcW w:w="915"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196.5</w:t>
            </w:r>
          </w:p>
        </w:tc>
        <w:tc>
          <w:tcPr>
            <w:tcW w:w="737" w:type="pct"/>
            <w:tcBorders>
              <w:top w:val="nil"/>
              <w:left w:val="nil"/>
              <w:bottom w:val="single" w:sz="8" w:space="0" w:color="FFFFFF"/>
              <w:right w:val="single" w:sz="8"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169.4</w:t>
            </w:r>
          </w:p>
        </w:tc>
        <w:tc>
          <w:tcPr>
            <w:tcW w:w="605"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-27.1</w:t>
            </w:r>
          </w:p>
        </w:tc>
        <w:tc>
          <w:tcPr>
            <w:tcW w:w="603"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-35.1</w:t>
            </w:r>
          </w:p>
        </w:tc>
        <w:tc>
          <w:tcPr>
            <w:tcW w:w="600" w:type="pct"/>
            <w:tcBorders>
              <w:top w:val="nil"/>
              <w:left w:val="nil"/>
              <w:bottom w:val="single" w:sz="8" w:space="0" w:color="FFFFFF"/>
              <w:right w:val="single" w:sz="8" w:space="0" w:color="FFFFFF"/>
            </w:tcBorders>
            <w:shd w:val="clear" w:color="000000" w:fill="F2F2F2"/>
            <w:vAlign w:val="center"/>
            <w:hideMark/>
          </w:tcPr>
          <w:p w:rsidR="007F6887" w:rsidRPr="006B071C" w:rsidRDefault="007F6887" w:rsidP="00234DCF">
            <w:pPr>
              <w:spacing w:before="120"/>
              <w:jc w:val="right"/>
              <w:rPr>
                <w:rFonts w:eastAsia="Times New Roman"/>
                <w:color w:val="FF0000"/>
                <w:sz w:val="16"/>
                <w:lang w:eastAsia="es-MX"/>
              </w:rPr>
            </w:pPr>
            <w:r w:rsidRPr="006B071C">
              <w:rPr>
                <w:rFonts w:eastAsia="Times New Roman"/>
                <w:color w:val="FF0000"/>
                <w:sz w:val="16"/>
                <w:lang w:eastAsia="es-MX"/>
              </w:rPr>
              <w:t>-17.2%</w:t>
            </w:r>
          </w:p>
        </w:tc>
      </w:tr>
      <w:tr w:rsidR="007F6887" w:rsidRPr="00C428DD" w:rsidTr="00234DCF">
        <w:trPr>
          <w:trHeight w:val="235"/>
        </w:trPr>
        <w:tc>
          <w:tcPr>
            <w:tcW w:w="1540" w:type="pct"/>
            <w:tcBorders>
              <w:top w:val="single" w:sz="8" w:space="0" w:color="FFFFFF"/>
              <w:left w:val="single" w:sz="8" w:space="0" w:color="FFFFFF"/>
              <w:bottom w:val="single" w:sz="4" w:space="0" w:color="0070C0"/>
              <w:right w:val="single" w:sz="8" w:space="0" w:color="FFFFFF"/>
            </w:tcBorders>
            <w:shd w:val="clear" w:color="auto" w:fill="auto"/>
            <w:vAlign w:val="center"/>
            <w:hideMark/>
          </w:tcPr>
          <w:p w:rsidR="007F6887" w:rsidRPr="004D5D60" w:rsidRDefault="007F6887" w:rsidP="00234DCF">
            <w:pPr>
              <w:spacing w:before="120"/>
              <w:ind w:firstLineChars="100" w:firstLine="240"/>
              <w:rPr>
                <w:rFonts w:eastAsia="Times New Roman"/>
                <w:color w:val="000000"/>
                <w:lang w:eastAsia="es-MX"/>
              </w:rPr>
            </w:pPr>
            <w:r w:rsidRPr="004D5D60">
              <w:rPr>
                <w:rFonts w:eastAsia="Times New Roman"/>
                <w:color w:val="000000"/>
                <w:lang w:eastAsia="es-MX"/>
              </w:rPr>
              <w:t>RAMOS GENERALES</w:t>
            </w:r>
          </w:p>
        </w:tc>
        <w:tc>
          <w:tcPr>
            <w:tcW w:w="915" w:type="pct"/>
            <w:tcBorders>
              <w:top w:val="single" w:sz="8" w:space="0" w:color="FFFFFF"/>
              <w:left w:val="nil"/>
              <w:bottom w:val="single" w:sz="4" w:space="0" w:color="0070C0"/>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9,600.4</w:t>
            </w:r>
          </w:p>
        </w:tc>
        <w:tc>
          <w:tcPr>
            <w:tcW w:w="737" w:type="pct"/>
            <w:tcBorders>
              <w:top w:val="single" w:sz="8" w:space="0" w:color="FFFFFF"/>
              <w:left w:val="nil"/>
              <w:bottom w:val="single" w:sz="4" w:space="0" w:color="0070C0"/>
              <w:right w:val="single" w:sz="8"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10,020.9</w:t>
            </w:r>
          </w:p>
        </w:tc>
        <w:tc>
          <w:tcPr>
            <w:tcW w:w="605" w:type="pct"/>
            <w:tcBorders>
              <w:top w:val="single" w:sz="8" w:space="0" w:color="FFFFFF"/>
              <w:left w:val="nil"/>
              <w:bottom w:val="single" w:sz="4" w:space="0" w:color="0070C0"/>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000000"/>
                <w:sz w:val="16"/>
                <w:lang w:eastAsia="es-MX"/>
              </w:rPr>
            </w:pPr>
            <w:r w:rsidRPr="006B071C">
              <w:rPr>
                <w:rFonts w:eastAsia="Times New Roman"/>
                <w:color w:val="000000"/>
                <w:sz w:val="16"/>
                <w:lang w:eastAsia="es-MX"/>
              </w:rPr>
              <w:t>420.5</w:t>
            </w:r>
          </w:p>
        </w:tc>
        <w:tc>
          <w:tcPr>
            <w:tcW w:w="603" w:type="pct"/>
            <w:tcBorders>
              <w:top w:val="single" w:sz="8" w:space="0" w:color="FFFFFF"/>
              <w:left w:val="nil"/>
              <w:bottom w:val="single" w:sz="4" w:space="0" w:color="0070C0"/>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000000"/>
                <w:sz w:val="16"/>
                <w:lang w:eastAsia="es-MX"/>
              </w:rPr>
            </w:pPr>
            <w:r w:rsidRPr="006B071C">
              <w:rPr>
                <w:rFonts w:eastAsia="Times New Roman"/>
                <w:color w:val="000000"/>
                <w:sz w:val="16"/>
                <w:lang w:eastAsia="es-MX"/>
              </w:rPr>
              <w:t>27.8</w:t>
            </w:r>
          </w:p>
        </w:tc>
        <w:tc>
          <w:tcPr>
            <w:tcW w:w="600" w:type="pct"/>
            <w:tcBorders>
              <w:top w:val="single" w:sz="8" w:space="0" w:color="FFFFFF"/>
              <w:left w:val="nil"/>
              <w:bottom w:val="single" w:sz="4" w:space="0" w:color="0070C0"/>
              <w:right w:val="single" w:sz="8" w:space="0" w:color="FFFFFF"/>
            </w:tcBorders>
            <w:shd w:val="clear" w:color="auto" w:fill="auto"/>
            <w:vAlign w:val="center"/>
            <w:hideMark/>
          </w:tcPr>
          <w:p w:rsidR="007F6887" w:rsidRPr="006B071C" w:rsidRDefault="007F6887" w:rsidP="00234DCF">
            <w:pPr>
              <w:spacing w:before="120"/>
              <w:jc w:val="right"/>
              <w:rPr>
                <w:rFonts w:eastAsia="Times New Roman"/>
                <w:color w:val="000000"/>
                <w:sz w:val="16"/>
                <w:lang w:eastAsia="es-MX"/>
              </w:rPr>
            </w:pPr>
            <w:r w:rsidRPr="006B071C">
              <w:rPr>
                <w:rFonts w:eastAsia="Times New Roman"/>
                <w:color w:val="000000"/>
                <w:sz w:val="16"/>
                <w:lang w:eastAsia="es-MX"/>
              </w:rPr>
              <w:t>0.3%</w:t>
            </w:r>
          </w:p>
        </w:tc>
      </w:tr>
      <w:tr w:rsidR="007F6887" w:rsidRPr="00C428DD" w:rsidTr="00234DCF">
        <w:trPr>
          <w:trHeight w:val="235"/>
        </w:trPr>
        <w:tc>
          <w:tcPr>
            <w:tcW w:w="1540" w:type="pct"/>
            <w:tcBorders>
              <w:top w:val="single" w:sz="4" w:space="0" w:color="0070C0"/>
              <w:left w:val="single" w:sz="8" w:space="0" w:color="FFFFFF"/>
              <w:bottom w:val="single" w:sz="8" w:space="0" w:color="FFFFFF"/>
              <w:right w:val="single" w:sz="8" w:space="0" w:color="FFFFFF"/>
            </w:tcBorders>
            <w:shd w:val="clear" w:color="000000" w:fill="FFFFFF"/>
            <w:vAlign w:val="center"/>
            <w:hideMark/>
          </w:tcPr>
          <w:p w:rsidR="007F6887" w:rsidRPr="004D5D60" w:rsidRDefault="007F6887" w:rsidP="00234DCF">
            <w:pPr>
              <w:spacing w:before="120"/>
              <w:rPr>
                <w:rFonts w:eastAsia="Times New Roman"/>
                <w:b/>
                <w:bCs/>
                <w:color w:val="000000"/>
                <w:lang w:eastAsia="es-MX"/>
              </w:rPr>
            </w:pPr>
            <w:r w:rsidRPr="004D5D60">
              <w:rPr>
                <w:rFonts w:eastAsia="Times New Roman"/>
                <w:b/>
                <w:bCs/>
                <w:color w:val="000000"/>
                <w:lang w:eastAsia="es-MX"/>
              </w:rPr>
              <w:t>Total general</w:t>
            </w:r>
          </w:p>
        </w:tc>
        <w:tc>
          <w:tcPr>
            <w:tcW w:w="915" w:type="pct"/>
            <w:tcBorders>
              <w:top w:val="single" w:sz="4" w:space="0" w:color="0070C0"/>
              <w:left w:val="nil"/>
              <w:bottom w:val="single" w:sz="8" w:space="0" w:color="FFFFFF"/>
              <w:right w:val="single" w:sz="8" w:space="0" w:color="FFFFFF"/>
            </w:tcBorders>
            <w:shd w:val="clear" w:color="000000" w:fill="FFFFFF"/>
            <w:vAlign w:val="center"/>
            <w:hideMark/>
          </w:tcPr>
          <w:p w:rsidR="007F6887" w:rsidRPr="004D5D60" w:rsidRDefault="007F6887" w:rsidP="00234DCF">
            <w:pPr>
              <w:spacing w:before="120"/>
              <w:jc w:val="right"/>
              <w:rPr>
                <w:rFonts w:eastAsia="Times New Roman"/>
                <w:b/>
                <w:bCs/>
                <w:color w:val="000000"/>
                <w:lang w:eastAsia="es-MX"/>
              </w:rPr>
            </w:pPr>
            <w:r w:rsidRPr="004D5D60">
              <w:rPr>
                <w:rFonts w:eastAsia="Times New Roman"/>
                <w:b/>
                <w:bCs/>
                <w:color w:val="000000"/>
                <w:lang w:eastAsia="es-MX"/>
              </w:rPr>
              <w:t>41,852.80</w:t>
            </w:r>
          </w:p>
        </w:tc>
        <w:tc>
          <w:tcPr>
            <w:tcW w:w="737" w:type="pct"/>
            <w:tcBorders>
              <w:top w:val="single" w:sz="4" w:space="0" w:color="0070C0"/>
              <w:left w:val="nil"/>
              <w:bottom w:val="single" w:sz="8" w:space="0" w:color="FFFFFF"/>
              <w:right w:val="single" w:sz="8" w:space="0" w:color="FFFFFF"/>
            </w:tcBorders>
            <w:shd w:val="clear" w:color="000000" w:fill="FFFFFF"/>
            <w:vAlign w:val="center"/>
            <w:hideMark/>
          </w:tcPr>
          <w:p w:rsidR="007F6887" w:rsidRPr="004D5D60" w:rsidRDefault="007F6887" w:rsidP="00234DCF">
            <w:pPr>
              <w:spacing w:before="120"/>
              <w:jc w:val="right"/>
              <w:rPr>
                <w:rFonts w:eastAsia="Times New Roman"/>
                <w:b/>
                <w:bCs/>
                <w:color w:val="000000"/>
                <w:lang w:eastAsia="es-MX"/>
              </w:rPr>
            </w:pPr>
            <w:r w:rsidRPr="004D5D60">
              <w:rPr>
                <w:rFonts w:eastAsia="Times New Roman"/>
                <w:b/>
                <w:bCs/>
                <w:color w:val="000000"/>
                <w:lang w:eastAsia="es-MX"/>
              </w:rPr>
              <w:t>41,136.10</w:t>
            </w:r>
          </w:p>
        </w:tc>
        <w:tc>
          <w:tcPr>
            <w:tcW w:w="605" w:type="pct"/>
            <w:tcBorders>
              <w:top w:val="single" w:sz="4" w:space="0" w:color="0070C0"/>
              <w:left w:val="nil"/>
              <w:bottom w:val="single" w:sz="8" w:space="0" w:color="FFFFFF"/>
              <w:right w:val="single" w:sz="8" w:space="0" w:color="FFFFFF"/>
            </w:tcBorders>
            <w:shd w:val="clear" w:color="000000" w:fill="FFFFFF"/>
            <w:vAlign w:val="center"/>
            <w:hideMark/>
          </w:tcPr>
          <w:p w:rsidR="007F6887" w:rsidRPr="006B071C" w:rsidRDefault="007F6887" w:rsidP="00234DCF">
            <w:pPr>
              <w:spacing w:before="120"/>
              <w:jc w:val="right"/>
              <w:rPr>
                <w:rFonts w:eastAsia="Times New Roman"/>
                <w:b/>
                <w:bCs/>
                <w:color w:val="FF0000"/>
                <w:sz w:val="16"/>
                <w:lang w:eastAsia="es-MX"/>
              </w:rPr>
            </w:pPr>
            <w:r w:rsidRPr="006B071C">
              <w:rPr>
                <w:rFonts w:eastAsia="Times New Roman"/>
                <w:b/>
                <w:bCs/>
                <w:color w:val="FF0000"/>
                <w:sz w:val="16"/>
                <w:lang w:eastAsia="es-MX"/>
              </w:rPr>
              <w:t>-716.7</w:t>
            </w:r>
          </w:p>
        </w:tc>
        <w:tc>
          <w:tcPr>
            <w:tcW w:w="603" w:type="pct"/>
            <w:tcBorders>
              <w:top w:val="single" w:sz="4" w:space="0" w:color="0070C0"/>
              <w:left w:val="nil"/>
              <w:bottom w:val="single" w:sz="8" w:space="0" w:color="FFFFFF"/>
              <w:right w:val="single" w:sz="8" w:space="0" w:color="FFFFFF"/>
            </w:tcBorders>
            <w:shd w:val="clear" w:color="000000" w:fill="FFFFFF"/>
            <w:vAlign w:val="center"/>
            <w:hideMark/>
          </w:tcPr>
          <w:p w:rsidR="007F6887" w:rsidRPr="006B071C" w:rsidRDefault="007F6887" w:rsidP="00234DCF">
            <w:pPr>
              <w:spacing w:before="120"/>
              <w:jc w:val="right"/>
              <w:rPr>
                <w:rFonts w:eastAsia="Times New Roman"/>
                <w:b/>
                <w:bCs/>
                <w:color w:val="FF0000"/>
                <w:sz w:val="16"/>
                <w:lang w:eastAsia="es-MX"/>
              </w:rPr>
            </w:pPr>
            <w:r w:rsidRPr="006B071C">
              <w:rPr>
                <w:rFonts w:eastAsia="Times New Roman"/>
                <w:b/>
                <w:bCs/>
                <w:color w:val="FF0000"/>
                <w:sz w:val="16"/>
                <w:lang w:eastAsia="es-MX"/>
              </w:rPr>
              <w:t>-2,428.5</w:t>
            </w:r>
          </w:p>
        </w:tc>
        <w:tc>
          <w:tcPr>
            <w:tcW w:w="600" w:type="pct"/>
            <w:tcBorders>
              <w:top w:val="single" w:sz="4" w:space="0" w:color="0070C0"/>
              <w:left w:val="nil"/>
              <w:bottom w:val="single" w:sz="8" w:space="0" w:color="FFFFFF"/>
              <w:right w:val="single" w:sz="8" w:space="0" w:color="FFFFFF"/>
            </w:tcBorders>
            <w:shd w:val="clear" w:color="000000" w:fill="FFFFFF"/>
            <w:vAlign w:val="center"/>
            <w:hideMark/>
          </w:tcPr>
          <w:p w:rsidR="007F6887" w:rsidRPr="006B071C" w:rsidRDefault="007F6887" w:rsidP="00234DCF">
            <w:pPr>
              <w:spacing w:before="120"/>
              <w:jc w:val="right"/>
              <w:rPr>
                <w:rFonts w:eastAsia="Times New Roman"/>
                <w:b/>
                <w:bCs/>
                <w:color w:val="FF0000"/>
                <w:sz w:val="16"/>
                <w:lang w:eastAsia="es-MX"/>
              </w:rPr>
            </w:pPr>
            <w:r w:rsidRPr="006B071C">
              <w:rPr>
                <w:rFonts w:eastAsia="Times New Roman"/>
                <w:b/>
                <w:bCs/>
                <w:color w:val="FF0000"/>
                <w:sz w:val="16"/>
                <w:lang w:eastAsia="es-MX"/>
              </w:rPr>
              <w:t>-5.6%</w:t>
            </w:r>
          </w:p>
        </w:tc>
      </w:tr>
    </w:tbl>
    <w:p w:rsidR="007F6887" w:rsidRPr="004D5D60" w:rsidRDefault="007F6887" w:rsidP="007F6887">
      <w:pPr>
        <w:spacing w:before="120"/>
        <w:rPr>
          <w:i/>
          <w:iCs/>
          <w:color w:val="002060"/>
        </w:rPr>
      </w:pPr>
    </w:p>
    <w:p w:rsidR="007F6887" w:rsidRPr="00912F98" w:rsidRDefault="007F6887" w:rsidP="007F6887">
      <w:pPr>
        <w:spacing w:before="120"/>
        <w:rPr>
          <w:i/>
        </w:rPr>
      </w:pPr>
      <w:r w:rsidRPr="00912F98">
        <w:rPr>
          <w:i/>
        </w:rPr>
        <w:t xml:space="preserve">El presupuesto 2020 excluye los Derechos por la Infraestructura Tecnológica en materia de Seguridad </w:t>
      </w:r>
      <w:proofErr w:type="gramStart"/>
      <w:r w:rsidRPr="00912F98">
        <w:rPr>
          <w:i/>
        </w:rPr>
        <w:t>Publica</w:t>
      </w:r>
      <w:proofErr w:type="gramEnd"/>
      <w:r w:rsidRPr="00912F98">
        <w:rPr>
          <w:i/>
        </w:rPr>
        <w:t>. Decreto 173/2020. Asimismo, se excluye el Financiamiento Yucatán Seguro*</w:t>
      </w:r>
    </w:p>
    <w:p w:rsidR="007F6887" w:rsidRPr="00912F98" w:rsidRDefault="007F6887" w:rsidP="007F6887">
      <w:pPr>
        <w:spacing w:before="120"/>
        <w:rPr>
          <w:i/>
        </w:rPr>
      </w:pPr>
      <w:r w:rsidRPr="00912F98">
        <w:rPr>
          <w:i/>
        </w:rPr>
        <w:t>Considerando la inflación octubre 2019 – octubre 2020 correspondiente a 4.09% publicada por INEGI**</w:t>
      </w:r>
    </w:p>
    <w:p w:rsidR="007F6887" w:rsidRPr="00912F98" w:rsidRDefault="007F6887" w:rsidP="007F6887">
      <w:pPr>
        <w:spacing w:before="100" w:beforeAutospacing="1" w:after="100" w:afterAutospacing="1"/>
        <w:rPr>
          <w:rFonts w:cs="Arial"/>
          <w:b/>
          <w:i/>
        </w:rPr>
      </w:pPr>
      <w:r w:rsidRPr="00912F98">
        <w:rPr>
          <w:rFonts w:cs="Arial"/>
          <w:b/>
          <w:i/>
        </w:rPr>
        <w:t>3.2.5 Otras Clasificaciones del Gasto</w:t>
      </w:r>
    </w:p>
    <w:p w:rsidR="007F6887" w:rsidRPr="00912F98" w:rsidRDefault="007F6887" w:rsidP="007F6887">
      <w:pPr>
        <w:spacing w:before="100" w:beforeAutospacing="1" w:after="100" w:afterAutospacing="1"/>
        <w:rPr>
          <w:rFonts w:cs="Arial"/>
        </w:rPr>
      </w:pPr>
      <w:r w:rsidRPr="00912F98">
        <w:rPr>
          <w:rFonts w:cs="Arial"/>
        </w:rPr>
        <w:t>El desglose de la clasificación por fuente de Financiamiento se puede consultar en el Anexo 2.2 del Presupuesto de Egresos del Gobierno del Estado de Yucatán para el Ejercicio Fiscal 2021.</w:t>
      </w:r>
    </w:p>
    <w:p w:rsidR="007F6887" w:rsidRPr="00912F98" w:rsidRDefault="007F6887" w:rsidP="007F6887">
      <w:pPr>
        <w:spacing w:before="100" w:beforeAutospacing="1" w:after="100" w:afterAutospacing="1"/>
        <w:rPr>
          <w:rFonts w:cs="Arial"/>
        </w:rPr>
      </w:pPr>
      <w:r w:rsidRPr="00912F98">
        <w:rPr>
          <w:rFonts w:cs="Arial"/>
        </w:rPr>
        <w:t>El desglose de la clasificación Funcional se puede consultar en el Anexo 2.3 del Presupuesto de Egresos del Gobierno del Estado de Yucatán para el Ejercicio Fiscal 2021.</w:t>
      </w:r>
    </w:p>
    <w:p w:rsidR="007F6887" w:rsidRPr="00912F98" w:rsidRDefault="007F6887" w:rsidP="007F6887">
      <w:pPr>
        <w:spacing w:before="100" w:beforeAutospacing="1" w:after="100" w:afterAutospacing="1"/>
        <w:rPr>
          <w:rFonts w:cs="Arial"/>
          <w:b/>
        </w:rPr>
      </w:pPr>
      <w:r w:rsidRPr="00912F98">
        <w:rPr>
          <w:rFonts w:cs="Arial"/>
          <w:b/>
        </w:rPr>
        <w:t>2.3 Ramos Generales</w:t>
      </w:r>
    </w:p>
    <w:p w:rsidR="007F6887" w:rsidRPr="00912F98" w:rsidRDefault="007F6887" w:rsidP="007F6887">
      <w:pPr>
        <w:spacing w:before="100" w:beforeAutospacing="1" w:after="100" w:afterAutospacing="1"/>
        <w:rPr>
          <w:rFonts w:cs="Arial"/>
          <w:b/>
          <w:i/>
        </w:rPr>
      </w:pPr>
      <w:r w:rsidRPr="00912F98">
        <w:rPr>
          <w:rFonts w:cs="Arial"/>
          <w:b/>
          <w:i/>
        </w:rPr>
        <w:t>2.3.1</w:t>
      </w:r>
      <w:r w:rsidRPr="00912F98">
        <w:rPr>
          <w:rFonts w:cs="Arial"/>
          <w:b/>
          <w:i/>
        </w:rPr>
        <w:tab/>
        <w:t>Deuda Pública y Obligaciones</w:t>
      </w:r>
    </w:p>
    <w:p w:rsidR="007F6887" w:rsidRPr="00912F98" w:rsidRDefault="007F6887" w:rsidP="007F6887">
      <w:pPr>
        <w:spacing w:before="100" w:beforeAutospacing="1" w:after="100" w:afterAutospacing="1"/>
        <w:rPr>
          <w:rFonts w:cs="Arial"/>
          <w:b/>
        </w:rPr>
      </w:pPr>
      <w:r w:rsidRPr="00912F98">
        <w:rPr>
          <w:rFonts w:cs="Arial"/>
          <w:b/>
        </w:rPr>
        <w:t>Perspectiva de Cierre 2020</w:t>
      </w:r>
    </w:p>
    <w:p w:rsidR="007F6887" w:rsidRPr="00912F98" w:rsidRDefault="007F6887" w:rsidP="007F6887">
      <w:pPr>
        <w:spacing w:before="100" w:beforeAutospacing="1" w:after="100" w:afterAutospacing="1"/>
        <w:rPr>
          <w:rFonts w:cs="Arial"/>
        </w:rPr>
      </w:pPr>
      <w:r w:rsidRPr="00912F98">
        <w:rPr>
          <w:rFonts w:cs="Arial"/>
        </w:rPr>
        <w:t>La deuda pública directa a cargo del Estado está integrada por cuatro créditos contratados con el Banco Nacional de Obras y Servicios Públicos, S.N.C., y uno contratado con el Banco Nacional de México, S.A.</w:t>
      </w:r>
    </w:p>
    <w:p w:rsidR="007F6887" w:rsidRPr="00912F98" w:rsidRDefault="007F6887" w:rsidP="007F6887">
      <w:pPr>
        <w:spacing w:before="100" w:beforeAutospacing="1" w:after="100" w:afterAutospacing="1"/>
        <w:rPr>
          <w:rFonts w:cs="Arial"/>
        </w:rPr>
      </w:pPr>
      <w:r w:rsidRPr="00912F98">
        <w:rPr>
          <w:rFonts w:cs="Arial"/>
        </w:rPr>
        <w:t xml:space="preserve">Al cierre del ejercicio 2020, se espera que la deuda pública directa presente un saldo de alrededor de 5,994 </w:t>
      </w:r>
      <w:proofErr w:type="spellStart"/>
      <w:r w:rsidRPr="00912F98">
        <w:rPr>
          <w:rFonts w:cs="Arial"/>
        </w:rPr>
        <w:t>mdp</w:t>
      </w:r>
      <w:proofErr w:type="spellEnd"/>
      <w:r w:rsidRPr="00912F98">
        <w:rPr>
          <w:rFonts w:cs="Arial"/>
        </w:rPr>
        <w:t xml:space="preserve">. Por su parte, la deuda pública con garantía del Fondo de Apoyo para Infraestructura y Seguridad, contratada con el Banco Nacional de Obras y Servicios Públicos, S.N.C., presentaría un saldo de alrededor </w:t>
      </w:r>
      <w:r w:rsidRPr="00912F98">
        <w:rPr>
          <w:rFonts w:cs="Arial"/>
        </w:rPr>
        <w:lastRenderedPageBreak/>
        <w:t xml:space="preserve">de 306.9 </w:t>
      </w:r>
      <w:proofErr w:type="spellStart"/>
      <w:r w:rsidRPr="00912F98">
        <w:rPr>
          <w:rFonts w:cs="Arial"/>
        </w:rPr>
        <w:t>mdp</w:t>
      </w:r>
      <w:proofErr w:type="spellEnd"/>
      <w:r w:rsidRPr="00912F98">
        <w:rPr>
          <w:rFonts w:cs="Arial"/>
        </w:rPr>
        <w:t>. Adicionalmente durante el ejercicio 2020 se dispusieron Obligaciones a Corto Plazo.</w:t>
      </w:r>
    </w:p>
    <w:p w:rsidR="007F6887" w:rsidRPr="00912F98" w:rsidRDefault="007F6887" w:rsidP="007F6887">
      <w:pPr>
        <w:spacing w:before="100" w:beforeAutospacing="1" w:after="100" w:afterAutospacing="1"/>
        <w:rPr>
          <w:rFonts w:cs="Arial"/>
          <w:b/>
        </w:rPr>
      </w:pPr>
      <w:r w:rsidRPr="00912F98">
        <w:rPr>
          <w:rFonts w:cs="Arial"/>
          <w:b/>
        </w:rPr>
        <w:t>Presupuesto asignado 2021</w:t>
      </w:r>
    </w:p>
    <w:p w:rsidR="007F6887" w:rsidRPr="00912F98" w:rsidRDefault="007F6887" w:rsidP="007F6887">
      <w:pPr>
        <w:spacing w:before="100" w:beforeAutospacing="1" w:after="100" w:afterAutospacing="1"/>
        <w:rPr>
          <w:rFonts w:cs="Arial"/>
        </w:rPr>
      </w:pPr>
      <w:r w:rsidRPr="00912F98">
        <w:rPr>
          <w:rFonts w:cs="Arial"/>
        </w:rPr>
        <w:t>El presupuesto asignado para el servicio de la deuda pública y obligaciones se desglosa en el Anexo 5 “Deuda Pública”, en este se consideran las disponibilidades presupuestales para el pago de amortización, intereses, gastos y costos por coberturas de la deuda pública, así como asignaciones presupuestarias para ADEFAS.</w:t>
      </w:r>
    </w:p>
    <w:p w:rsidR="007F6887" w:rsidRPr="00912F98" w:rsidRDefault="007F6887" w:rsidP="007F6887">
      <w:pPr>
        <w:spacing w:before="100" w:beforeAutospacing="1" w:after="100" w:afterAutospacing="1"/>
        <w:rPr>
          <w:rFonts w:cs="Arial"/>
        </w:rPr>
      </w:pPr>
      <w:r w:rsidRPr="00912F98">
        <w:rPr>
          <w:rFonts w:cs="Arial"/>
        </w:rPr>
        <w:t>De igual manera, se incluye el presupuesto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Federativas (FEIEF).</w:t>
      </w:r>
    </w:p>
    <w:p w:rsidR="007F6887" w:rsidRPr="00912F98" w:rsidRDefault="007F6887" w:rsidP="007F6887">
      <w:pPr>
        <w:spacing w:before="100" w:beforeAutospacing="1" w:after="100" w:afterAutospacing="1"/>
        <w:rPr>
          <w:rFonts w:cs="Arial"/>
          <w:b/>
        </w:rPr>
      </w:pPr>
      <w:r w:rsidRPr="00912F98">
        <w:rPr>
          <w:rFonts w:cs="Arial"/>
          <w:b/>
        </w:rPr>
        <w:t>Endeudamiento Sostenible</w:t>
      </w:r>
    </w:p>
    <w:p w:rsidR="007F6887" w:rsidRPr="00912F98" w:rsidRDefault="007F6887" w:rsidP="007F6887">
      <w:pPr>
        <w:spacing w:before="100" w:beforeAutospacing="1" w:after="100" w:afterAutospacing="1"/>
        <w:rPr>
          <w:rFonts w:cs="Arial"/>
        </w:rPr>
      </w:pPr>
      <w:r w:rsidRPr="00912F98">
        <w:rPr>
          <w:rFonts w:cs="Arial"/>
        </w:rPr>
        <w:t>El Sistema de Alertas mide el nivel de endeudamiento de los Entes Públicos que tengan contratados Financiamientos y Obligaciones, y estos se encuentren inscritos en el Registro Público Único, cuya fuente o garantía de pago sea de Ingresos de Libre Disposición. Actualmente, Yucatán se encuentra evaluado con un nivel de endeudamiento sostenible.</w:t>
      </w:r>
    </w:p>
    <w:p w:rsidR="007F6887" w:rsidRPr="00912F98" w:rsidRDefault="007F6887" w:rsidP="007F6887">
      <w:pPr>
        <w:spacing w:before="100" w:beforeAutospacing="1" w:after="100" w:afterAutospacing="1"/>
        <w:rPr>
          <w:rFonts w:cs="Arial"/>
        </w:rPr>
      </w:pPr>
      <w:r w:rsidRPr="00912F98">
        <w:rPr>
          <w:rFonts w:cs="Arial"/>
        </w:rPr>
        <w:t>El Servicio de la Deuda en 2021 se mantiene por debajo de 2.9% del presupuesto del Anteproyecto, siendo uno de los niveles más bajos de las Entidades Federativas. El Refinanciamiento permitió obtener ahorros en el Servicio de la Deuda y su pago se cubrirá principalmente con recursos del Fondo de Aportaciones para el Fortalecimiento de las Entidades Federativas (FAFEF).</w:t>
      </w:r>
    </w:p>
    <w:p w:rsidR="007F6887" w:rsidRPr="00912F98" w:rsidRDefault="007F6887" w:rsidP="007F6887">
      <w:pPr>
        <w:spacing w:before="100" w:beforeAutospacing="1" w:after="100" w:afterAutospacing="1"/>
        <w:rPr>
          <w:rFonts w:cs="Arial"/>
        </w:rPr>
      </w:pPr>
      <w:r w:rsidRPr="00912F98">
        <w:rPr>
          <w:rFonts w:cs="Arial"/>
        </w:rPr>
        <w:t>El perfil crediticio del Estado refleja niveles moderados de deuda y de su servicio. Para 2021 se estima que registrará una razón de deuda directa y de su servicio a ingresos totales promedio de 15.3% y 1.4%, respectivamente, niveles sostenibles con respecto a los indicadores de sostenibilidad de la deuda y por debajo de los perfiles de endeudamiento de otras entidades del país.</w:t>
      </w:r>
    </w:p>
    <w:p w:rsidR="007F6887" w:rsidRPr="00912F98" w:rsidRDefault="007F6887" w:rsidP="007F6887">
      <w:pPr>
        <w:spacing w:before="100" w:beforeAutospacing="1" w:after="100" w:afterAutospacing="1"/>
        <w:rPr>
          <w:rFonts w:cs="Arial"/>
          <w:b/>
        </w:rPr>
      </w:pPr>
      <w:r w:rsidRPr="00912F98">
        <w:rPr>
          <w:rFonts w:cs="Arial"/>
          <w:b/>
        </w:rPr>
        <w:t>Perspectiva crediticia estable</w:t>
      </w:r>
    </w:p>
    <w:p w:rsidR="007F6887" w:rsidRPr="00912F98" w:rsidRDefault="007F6887" w:rsidP="007F6887">
      <w:pPr>
        <w:spacing w:before="100" w:beforeAutospacing="1" w:after="100" w:afterAutospacing="1"/>
        <w:rPr>
          <w:rFonts w:cs="Arial"/>
        </w:rPr>
      </w:pPr>
      <w:r w:rsidRPr="00912F98">
        <w:rPr>
          <w:rFonts w:cs="Arial"/>
        </w:rPr>
        <w:lastRenderedPageBreak/>
        <w:t xml:space="preserve">Respecto a las calificaciones obtenidas en materia crediticia, la calificadora HR Ratings ratificó la calificación del Estado de AA-, por su parte </w:t>
      </w:r>
      <w:proofErr w:type="spellStart"/>
      <w:r w:rsidRPr="00912F98">
        <w:rPr>
          <w:rFonts w:cs="Arial"/>
        </w:rPr>
        <w:t>Fitch</w:t>
      </w:r>
      <w:proofErr w:type="spellEnd"/>
      <w:r w:rsidRPr="00912F98">
        <w:rPr>
          <w:rFonts w:cs="Arial"/>
        </w:rPr>
        <w:t xml:space="preserve"> Ratings y </w:t>
      </w:r>
      <w:proofErr w:type="spellStart"/>
      <w:r w:rsidRPr="00912F98">
        <w:rPr>
          <w:rFonts w:cs="Arial"/>
        </w:rPr>
        <w:t>Moody´s</w:t>
      </w:r>
      <w:proofErr w:type="spellEnd"/>
      <w:r w:rsidRPr="00912F98">
        <w:rPr>
          <w:rFonts w:cs="Arial"/>
        </w:rPr>
        <w:t xml:space="preserve"> México,</w:t>
      </w:r>
    </w:p>
    <w:p w:rsidR="007F6887" w:rsidRPr="00912F98" w:rsidRDefault="007F6887" w:rsidP="007F6887">
      <w:pPr>
        <w:spacing w:before="100" w:beforeAutospacing="1" w:after="100" w:afterAutospacing="1"/>
        <w:rPr>
          <w:rFonts w:cs="Arial"/>
        </w:rPr>
      </w:pPr>
      <w:r w:rsidRPr="00912F98">
        <w:rPr>
          <w:rFonts w:cs="Arial"/>
        </w:rPr>
        <w:t xml:space="preserve"> </w:t>
      </w:r>
    </w:p>
    <w:p w:rsidR="007F6887" w:rsidRPr="00912F98" w:rsidRDefault="007F6887" w:rsidP="007F6887">
      <w:pPr>
        <w:spacing w:before="100" w:beforeAutospacing="1" w:after="100" w:afterAutospacing="1"/>
        <w:rPr>
          <w:rFonts w:cs="Arial"/>
        </w:rPr>
      </w:pPr>
    </w:p>
    <w:p w:rsidR="007F6887" w:rsidRPr="00912F98" w:rsidRDefault="007F6887" w:rsidP="007F6887">
      <w:pPr>
        <w:spacing w:before="100" w:beforeAutospacing="1" w:after="100" w:afterAutospacing="1"/>
        <w:rPr>
          <w:rFonts w:cs="Arial"/>
        </w:rPr>
      </w:pPr>
      <w:proofErr w:type="gramStart"/>
      <w:r w:rsidRPr="00912F98">
        <w:rPr>
          <w:rFonts w:cs="Arial"/>
        </w:rPr>
        <w:t>ratificaron</w:t>
      </w:r>
      <w:proofErr w:type="gramEnd"/>
      <w:r w:rsidRPr="00912F98">
        <w:rPr>
          <w:rFonts w:cs="Arial"/>
        </w:rPr>
        <w:t xml:space="preserve"> la calificación del Estado de Yucatán en A+(</w:t>
      </w:r>
      <w:proofErr w:type="spellStart"/>
      <w:r w:rsidRPr="00912F98">
        <w:rPr>
          <w:rFonts w:cs="Arial"/>
        </w:rPr>
        <w:t>mex</w:t>
      </w:r>
      <w:proofErr w:type="spellEnd"/>
      <w:r w:rsidRPr="00912F98">
        <w:rPr>
          <w:rFonts w:cs="Arial"/>
        </w:rPr>
        <w:t>) y Ba1/A1.mx, ambas con perspectiva estable.</w:t>
      </w:r>
    </w:p>
    <w:p w:rsidR="007F6887" w:rsidRPr="00912F98" w:rsidRDefault="007F6887" w:rsidP="007F6887">
      <w:pPr>
        <w:spacing w:before="100" w:beforeAutospacing="1" w:after="100" w:afterAutospacing="1"/>
        <w:rPr>
          <w:rFonts w:cs="Arial"/>
          <w:b/>
          <w:i/>
        </w:rPr>
      </w:pPr>
      <w:r w:rsidRPr="00912F98">
        <w:rPr>
          <w:rFonts w:cs="Arial"/>
          <w:b/>
          <w:i/>
        </w:rPr>
        <w:t>2.3.2</w:t>
      </w:r>
      <w:r w:rsidRPr="00912F98">
        <w:rPr>
          <w:rFonts w:cs="Arial"/>
          <w:b/>
          <w:i/>
        </w:rPr>
        <w:tab/>
        <w:t>Jubilaciones y Pensiones</w:t>
      </w:r>
    </w:p>
    <w:p w:rsidR="007F6887" w:rsidRPr="00912F98" w:rsidRDefault="007F6887" w:rsidP="007F6887">
      <w:pPr>
        <w:spacing w:before="100" w:beforeAutospacing="1" w:after="100" w:afterAutospacing="1"/>
        <w:rPr>
          <w:rFonts w:cs="Arial"/>
        </w:rPr>
      </w:pPr>
      <w:r w:rsidRPr="00912F98">
        <w:rPr>
          <w:rFonts w:cs="Arial"/>
        </w:rPr>
        <w:t xml:space="preserve">En 2021 crece la erogación estimada para el pago de pensiones, generando presiones financieras para el Estado. De los 1,923.4 </w:t>
      </w:r>
      <w:proofErr w:type="spellStart"/>
      <w:r w:rsidRPr="00912F98">
        <w:rPr>
          <w:rFonts w:cs="Arial"/>
        </w:rPr>
        <w:t>mdp</w:t>
      </w:r>
      <w:proofErr w:type="spellEnd"/>
      <w:r w:rsidRPr="00912F98">
        <w:rPr>
          <w:rFonts w:cs="Arial"/>
        </w:rPr>
        <w:t xml:space="preserve"> que se proyecta ejercer en 2021 para el pago de Jubilaciones y Pensiones, 1,100.6 </w:t>
      </w:r>
      <w:proofErr w:type="spellStart"/>
      <w:r w:rsidRPr="00912F98">
        <w:rPr>
          <w:rFonts w:cs="Arial"/>
        </w:rPr>
        <w:t>mdp</w:t>
      </w:r>
      <w:proofErr w:type="spellEnd"/>
      <w:r w:rsidRPr="00912F98">
        <w:rPr>
          <w:rFonts w:cs="Arial"/>
        </w:rPr>
        <w:t xml:space="preserve"> corresponden a jubilados por el ISSTEY, con un incremento estimado de 6.6% real, mientras que se estiman 808.3 </w:t>
      </w:r>
      <w:proofErr w:type="spellStart"/>
      <w:r w:rsidRPr="00912F98">
        <w:rPr>
          <w:rFonts w:cs="Arial"/>
        </w:rPr>
        <w:t>mdp</w:t>
      </w:r>
      <w:proofErr w:type="spellEnd"/>
      <w:r w:rsidRPr="00912F98">
        <w:rPr>
          <w:rFonts w:cs="Arial"/>
        </w:rPr>
        <w:t xml:space="preserve"> a los jubilados y pensionados directos a cargo del Poder Ejecutivo. Adicionalmente, el Grupo de Jubilados administrados por la JAPAY se incrementa en 500 mil pesos.</w:t>
      </w:r>
    </w:p>
    <w:p w:rsidR="007F6887" w:rsidRPr="004D5D60" w:rsidRDefault="007F6887" w:rsidP="007F6887">
      <w:pPr>
        <w:spacing w:before="120"/>
        <w:rPr>
          <w:color w:val="121D56"/>
        </w:rPr>
      </w:pPr>
    </w:p>
    <w:tbl>
      <w:tblPr>
        <w:tblW w:w="0" w:type="auto"/>
        <w:tblCellMar>
          <w:left w:w="70" w:type="dxa"/>
          <w:right w:w="70" w:type="dxa"/>
        </w:tblCellMar>
        <w:tblLook w:val="04A0"/>
      </w:tblPr>
      <w:tblGrid>
        <w:gridCol w:w="1379"/>
        <w:gridCol w:w="7599"/>
      </w:tblGrid>
      <w:tr w:rsidR="007F6887" w:rsidRPr="00C428DD" w:rsidTr="00234DCF">
        <w:trPr>
          <w:trHeight w:val="504"/>
        </w:trPr>
        <w:tc>
          <w:tcPr>
            <w:tcW w:w="1413" w:type="dxa"/>
            <w:vMerge w:val="restart"/>
            <w:tcBorders>
              <w:top w:val="single" w:sz="4" w:space="0" w:color="FFFFFF"/>
              <w:left w:val="single" w:sz="4" w:space="0" w:color="FFFFFF"/>
              <w:bottom w:val="single" w:sz="4" w:space="0" w:color="FFFFFF"/>
              <w:right w:val="single" w:sz="4" w:space="0" w:color="FFFFFF"/>
            </w:tcBorders>
            <w:shd w:val="clear" w:color="auto" w:fill="FFC000"/>
            <w:vAlign w:val="center"/>
            <w:hideMark/>
          </w:tcPr>
          <w:p w:rsidR="007F6887" w:rsidRPr="004D5D60" w:rsidRDefault="007F6887" w:rsidP="00234DCF">
            <w:pPr>
              <w:spacing w:before="120"/>
              <w:jc w:val="center"/>
              <w:rPr>
                <w:rFonts w:eastAsia="Times New Roman"/>
                <w:b/>
                <w:color w:val="111B58"/>
                <w:lang w:eastAsia="es-MX"/>
              </w:rPr>
            </w:pPr>
            <w:r w:rsidRPr="004D5D60">
              <w:rPr>
                <w:rFonts w:eastAsia="Times New Roman"/>
                <w:b/>
                <w:color w:val="111B58"/>
                <w:lang w:eastAsia="es-MX"/>
              </w:rPr>
              <w:t xml:space="preserve">Tabla </w:t>
            </w:r>
            <w:r>
              <w:rPr>
                <w:rFonts w:eastAsia="Times New Roman"/>
                <w:b/>
                <w:color w:val="111B58"/>
                <w:lang w:eastAsia="es-MX"/>
              </w:rPr>
              <w:t>2</w:t>
            </w:r>
            <w:r w:rsidRPr="004D5D60">
              <w:rPr>
                <w:rFonts w:eastAsia="Times New Roman"/>
                <w:b/>
                <w:color w:val="111B58"/>
                <w:lang w:eastAsia="es-MX"/>
              </w:rPr>
              <w:t>.7</w:t>
            </w:r>
          </w:p>
        </w:tc>
        <w:tc>
          <w:tcPr>
            <w:tcW w:w="7938" w:type="dxa"/>
            <w:vMerge w:val="restart"/>
            <w:tcBorders>
              <w:top w:val="nil"/>
              <w:left w:val="single" w:sz="4" w:space="0" w:color="FFFFFF"/>
              <w:bottom w:val="nil"/>
              <w:right w:val="nil"/>
            </w:tcBorders>
            <w:shd w:val="clear" w:color="auto" w:fill="111B58"/>
            <w:vAlign w:val="center"/>
            <w:hideMark/>
          </w:tcPr>
          <w:p w:rsidR="007F6887" w:rsidRPr="004D5D60" w:rsidRDefault="007F6887" w:rsidP="00234DCF">
            <w:pPr>
              <w:spacing w:before="120"/>
              <w:jc w:val="center"/>
              <w:rPr>
                <w:rFonts w:eastAsia="Times New Roman"/>
                <w:b/>
                <w:color w:val="FFFFFF"/>
                <w:lang w:eastAsia="es-MX"/>
              </w:rPr>
            </w:pPr>
            <w:r w:rsidRPr="004D5D60">
              <w:rPr>
                <w:rFonts w:eastAsia="Times New Roman"/>
                <w:color w:val="FFFFFF"/>
                <w:lang w:eastAsia="es-MX"/>
              </w:rPr>
              <w:t>Jubilaciones y Pensiones</w:t>
            </w:r>
          </w:p>
        </w:tc>
      </w:tr>
      <w:tr w:rsidR="007F6887" w:rsidRPr="00C428DD" w:rsidTr="00234DCF">
        <w:trPr>
          <w:trHeight w:val="573"/>
        </w:trPr>
        <w:tc>
          <w:tcPr>
            <w:tcW w:w="1413" w:type="dxa"/>
            <w:vMerge/>
            <w:vAlign w:val="center"/>
            <w:hideMark/>
          </w:tcPr>
          <w:p w:rsidR="007F6887" w:rsidRPr="004D5D60" w:rsidRDefault="007F6887" w:rsidP="00234DCF">
            <w:pPr>
              <w:spacing w:before="120"/>
              <w:rPr>
                <w:rFonts w:eastAsia="Times New Roman"/>
                <w:color w:val="111B58"/>
                <w:lang w:eastAsia="es-MX"/>
              </w:rPr>
            </w:pPr>
          </w:p>
        </w:tc>
        <w:tc>
          <w:tcPr>
            <w:tcW w:w="7938" w:type="dxa"/>
            <w:vMerge/>
            <w:vAlign w:val="center"/>
            <w:hideMark/>
          </w:tcPr>
          <w:p w:rsidR="007F6887" w:rsidRPr="004D5D60" w:rsidRDefault="007F6887" w:rsidP="00234DCF">
            <w:pPr>
              <w:spacing w:before="120"/>
              <w:rPr>
                <w:rFonts w:eastAsia="Times New Roman"/>
                <w:color w:val="FFFFFF"/>
                <w:lang w:eastAsia="es-MX"/>
              </w:rPr>
            </w:pPr>
          </w:p>
        </w:tc>
      </w:tr>
    </w:tbl>
    <w:p w:rsidR="007F6887" w:rsidRPr="004D5D60" w:rsidRDefault="007F6887" w:rsidP="007F6887">
      <w:pPr>
        <w:spacing w:before="120"/>
        <w:jc w:val="right"/>
        <w:rPr>
          <w:i/>
          <w:color w:val="121D56"/>
        </w:rPr>
      </w:pPr>
    </w:p>
    <w:tbl>
      <w:tblPr>
        <w:tblW w:w="0" w:type="auto"/>
        <w:tblCellMar>
          <w:left w:w="70" w:type="dxa"/>
          <w:right w:w="70" w:type="dxa"/>
        </w:tblCellMar>
        <w:tblLook w:val="04A0"/>
      </w:tblPr>
      <w:tblGrid>
        <w:gridCol w:w="2141"/>
        <w:gridCol w:w="1740"/>
        <w:gridCol w:w="2141"/>
        <w:gridCol w:w="1324"/>
        <w:gridCol w:w="763"/>
        <w:gridCol w:w="869"/>
      </w:tblGrid>
      <w:tr w:rsidR="007F6887" w:rsidRPr="00C428DD" w:rsidTr="00234DCF">
        <w:trPr>
          <w:trHeight w:val="350"/>
        </w:trPr>
        <w:tc>
          <w:tcPr>
            <w:tcW w:w="0" w:type="auto"/>
            <w:vMerge w:val="restart"/>
            <w:tcBorders>
              <w:top w:val="single" w:sz="8" w:space="0" w:color="FFFFFF"/>
              <w:left w:val="nil"/>
              <w:bottom w:val="single" w:sz="8" w:space="0" w:color="D5F0F9"/>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Jubilaciones y Pensiones</w:t>
            </w:r>
          </w:p>
        </w:tc>
        <w:tc>
          <w:tcPr>
            <w:tcW w:w="1642" w:type="dxa"/>
            <w:vMerge w:val="restart"/>
            <w:tcBorders>
              <w:top w:val="single" w:sz="8" w:space="0" w:color="FFFFFF"/>
              <w:left w:val="single" w:sz="8" w:space="0" w:color="FFFFFF"/>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AUTORIZADO 2020</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ANTEPROYECTO 2021</w:t>
            </w:r>
          </w:p>
        </w:tc>
        <w:tc>
          <w:tcPr>
            <w:tcW w:w="1418" w:type="dxa"/>
            <w:tcBorders>
              <w:top w:val="single" w:sz="8" w:space="0" w:color="FFFFFF"/>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 NOMINAL</w:t>
            </w:r>
          </w:p>
        </w:tc>
        <w:tc>
          <w:tcPr>
            <w:tcW w:w="2126" w:type="dxa"/>
            <w:gridSpan w:val="2"/>
            <w:tcBorders>
              <w:top w:val="single" w:sz="8" w:space="0" w:color="FFFFFF"/>
              <w:left w:val="nil"/>
              <w:bottom w:val="single" w:sz="8" w:space="0" w:color="FFFFFF"/>
              <w:right w:val="nil"/>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 REAL*</w:t>
            </w:r>
          </w:p>
        </w:tc>
      </w:tr>
      <w:tr w:rsidR="007F6887" w:rsidRPr="00C428DD" w:rsidTr="00234DCF">
        <w:trPr>
          <w:trHeight w:val="350"/>
        </w:trPr>
        <w:tc>
          <w:tcPr>
            <w:tcW w:w="0" w:type="auto"/>
            <w:vMerge/>
            <w:tcBorders>
              <w:top w:val="single" w:sz="8" w:space="0" w:color="FFFFFF"/>
              <w:left w:val="nil"/>
              <w:bottom w:val="single" w:sz="8" w:space="0" w:color="D5F0F9"/>
              <w:right w:val="single" w:sz="8" w:space="0" w:color="FFFFFF"/>
            </w:tcBorders>
            <w:vAlign w:val="center"/>
            <w:hideMark/>
          </w:tcPr>
          <w:p w:rsidR="007F6887" w:rsidRPr="004D5D60" w:rsidRDefault="007F6887" w:rsidP="00234DCF">
            <w:pPr>
              <w:spacing w:before="120"/>
              <w:rPr>
                <w:rFonts w:eastAsia="Times New Roman"/>
                <w:b/>
                <w:bCs/>
                <w:color w:val="FFFFFF"/>
                <w:lang w:eastAsia="es-MX"/>
              </w:rPr>
            </w:pPr>
          </w:p>
        </w:tc>
        <w:tc>
          <w:tcPr>
            <w:tcW w:w="1642" w:type="dxa"/>
            <w:vMerge/>
            <w:tcBorders>
              <w:top w:val="single" w:sz="8" w:space="0" w:color="FFFFFF"/>
              <w:left w:val="single" w:sz="8" w:space="0" w:color="FFFFFF"/>
              <w:bottom w:val="single" w:sz="8" w:space="0" w:color="FFFFFF"/>
              <w:right w:val="single" w:sz="8" w:space="0" w:color="FFFFFF"/>
            </w:tcBorders>
            <w:vAlign w:val="center"/>
            <w:hideMark/>
          </w:tcPr>
          <w:p w:rsidR="007F6887" w:rsidRPr="004D5D60" w:rsidRDefault="007F6887" w:rsidP="00234DCF">
            <w:pPr>
              <w:spacing w:before="120"/>
              <w:rPr>
                <w:rFonts w:eastAsia="Times New Roman"/>
                <w:b/>
                <w:bCs/>
                <w:color w:val="FFFFFF"/>
                <w:lang w:eastAsia="es-MX"/>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rsidR="007F6887" w:rsidRPr="004D5D60" w:rsidRDefault="007F6887" w:rsidP="00234DCF">
            <w:pPr>
              <w:spacing w:before="120"/>
              <w:rPr>
                <w:rFonts w:eastAsia="Times New Roman"/>
                <w:b/>
                <w:bCs/>
                <w:color w:val="FFFFFF"/>
                <w:lang w:eastAsia="es-MX"/>
              </w:rPr>
            </w:pPr>
          </w:p>
        </w:tc>
        <w:tc>
          <w:tcPr>
            <w:tcW w:w="1418" w:type="dxa"/>
            <w:tcBorders>
              <w:top w:val="nil"/>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c>
          <w:tcPr>
            <w:tcW w:w="992" w:type="dxa"/>
            <w:tcBorders>
              <w:top w:val="nil"/>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c>
          <w:tcPr>
            <w:tcW w:w="1134" w:type="dxa"/>
            <w:tcBorders>
              <w:top w:val="nil"/>
              <w:left w:val="nil"/>
              <w:bottom w:val="single" w:sz="8" w:space="0" w:color="FFFFFF"/>
              <w:right w:val="nil"/>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r>
      <w:tr w:rsidR="007F6887" w:rsidRPr="00C428DD" w:rsidTr="00234DCF">
        <w:trPr>
          <w:trHeight w:val="580"/>
        </w:trPr>
        <w:tc>
          <w:tcPr>
            <w:tcW w:w="0" w:type="auto"/>
            <w:tcBorders>
              <w:top w:val="single" w:sz="4" w:space="0" w:color="FFFFFF"/>
              <w:left w:val="single" w:sz="4" w:space="0" w:color="FFFFFF"/>
              <w:bottom w:val="single" w:sz="4" w:space="0" w:color="FFFFFF"/>
              <w:right w:val="single" w:sz="4" w:space="0" w:color="FFFFFF"/>
            </w:tcBorders>
            <w:shd w:val="clear" w:color="000000" w:fill="F2F2F2"/>
            <w:vAlign w:val="center"/>
            <w:hideMark/>
          </w:tcPr>
          <w:p w:rsidR="007F6887" w:rsidRPr="004D5D60" w:rsidRDefault="007F6887" w:rsidP="00234DCF">
            <w:pPr>
              <w:spacing w:before="120"/>
              <w:rPr>
                <w:rFonts w:eastAsia="Times New Roman"/>
                <w:color w:val="000000"/>
                <w:lang w:eastAsia="es-MX"/>
              </w:rPr>
            </w:pPr>
            <w:r w:rsidRPr="004D5D60">
              <w:rPr>
                <w:rFonts w:eastAsia="Times New Roman"/>
                <w:color w:val="000000"/>
                <w:lang w:eastAsia="es-MX"/>
              </w:rPr>
              <w:t>ADMINISTRADOS POR EL PODER EJECUTIVO</w:t>
            </w:r>
          </w:p>
        </w:tc>
        <w:tc>
          <w:tcPr>
            <w:tcW w:w="1642" w:type="dxa"/>
            <w:tcBorders>
              <w:top w:val="single" w:sz="4" w:space="0" w:color="FFFFFF"/>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831.9 </w:t>
            </w:r>
          </w:p>
        </w:tc>
        <w:tc>
          <w:tcPr>
            <w:tcW w:w="1559" w:type="dxa"/>
            <w:tcBorders>
              <w:top w:val="single" w:sz="4" w:space="0" w:color="FFFFFF"/>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808.3 </w:t>
            </w:r>
          </w:p>
        </w:tc>
        <w:tc>
          <w:tcPr>
            <w:tcW w:w="1418" w:type="dxa"/>
            <w:tcBorders>
              <w:top w:val="single" w:sz="4" w:space="0" w:color="FFFFFF"/>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 xml:space="preserve">-23.7 </w:t>
            </w:r>
          </w:p>
        </w:tc>
        <w:tc>
          <w:tcPr>
            <w:tcW w:w="992" w:type="dxa"/>
            <w:tcBorders>
              <w:top w:val="single" w:sz="4" w:space="0" w:color="FFFFFF"/>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 xml:space="preserve">-57.7 </w:t>
            </w:r>
          </w:p>
        </w:tc>
        <w:tc>
          <w:tcPr>
            <w:tcW w:w="1134" w:type="dxa"/>
            <w:tcBorders>
              <w:top w:val="single" w:sz="4" w:space="0" w:color="FFFFFF"/>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FF0000"/>
                <w:lang w:eastAsia="es-MX"/>
              </w:rPr>
              <w:t>-6.7%</w:t>
            </w:r>
          </w:p>
        </w:tc>
      </w:tr>
      <w:tr w:rsidR="007F6887" w:rsidRPr="00C428DD" w:rsidTr="00234DCF">
        <w:trPr>
          <w:trHeight w:val="290"/>
        </w:trPr>
        <w:tc>
          <w:tcPr>
            <w:tcW w:w="0" w:type="auto"/>
            <w:tcBorders>
              <w:top w:val="nil"/>
              <w:left w:val="single" w:sz="4" w:space="0" w:color="FFFFFF"/>
              <w:bottom w:val="single" w:sz="4" w:space="0" w:color="FFFFFF"/>
              <w:right w:val="single" w:sz="4" w:space="0" w:color="FFFFFF"/>
            </w:tcBorders>
            <w:shd w:val="clear" w:color="auto" w:fill="auto"/>
            <w:vAlign w:val="center"/>
            <w:hideMark/>
          </w:tcPr>
          <w:p w:rsidR="007F6887" w:rsidRPr="004D5D60" w:rsidRDefault="007F6887" w:rsidP="00234DCF">
            <w:pPr>
              <w:spacing w:before="120"/>
              <w:rPr>
                <w:rFonts w:eastAsia="Times New Roman"/>
                <w:color w:val="000000"/>
                <w:lang w:eastAsia="es-MX"/>
              </w:rPr>
            </w:pPr>
            <w:r w:rsidRPr="004D5D60">
              <w:rPr>
                <w:rFonts w:eastAsia="Times New Roman"/>
                <w:color w:val="000000"/>
                <w:lang w:eastAsia="es-MX"/>
              </w:rPr>
              <w:t>ADMINISTRADOS POR ISSTEY</w:t>
            </w:r>
          </w:p>
        </w:tc>
        <w:tc>
          <w:tcPr>
            <w:tcW w:w="164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1,000.8 </w:t>
            </w:r>
          </w:p>
        </w:tc>
        <w:tc>
          <w:tcPr>
            <w:tcW w:w="1559"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1,110.6 </w:t>
            </w:r>
          </w:p>
        </w:tc>
        <w:tc>
          <w:tcPr>
            <w:tcW w:w="1418"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109.8 </w:t>
            </w:r>
          </w:p>
        </w:tc>
        <w:tc>
          <w:tcPr>
            <w:tcW w:w="992"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68.9 </w:t>
            </w:r>
          </w:p>
        </w:tc>
        <w:tc>
          <w:tcPr>
            <w:tcW w:w="1134"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6.6%</w:t>
            </w:r>
          </w:p>
        </w:tc>
      </w:tr>
      <w:tr w:rsidR="007F6887" w:rsidRPr="00C428DD" w:rsidTr="00234DCF">
        <w:trPr>
          <w:trHeight w:val="290"/>
        </w:trPr>
        <w:tc>
          <w:tcPr>
            <w:tcW w:w="0" w:type="auto"/>
            <w:tcBorders>
              <w:top w:val="nil"/>
              <w:left w:val="single" w:sz="4" w:space="0" w:color="FFFFFF"/>
              <w:bottom w:val="single" w:sz="4" w:space="0" w:color="FFFFFF"/>
              <w:right w:val="single" w:sz="4" w:space="0" w:color="FFFFFF"/>
            </w:tcBorders>
            <w:shd w:val="clear" w:color="000000" w:fill="F2F2F2"/>
            <w:vAlign w:val="center"/>
            <w:hideMark/>
          </w:tcPr>
          <w:p w:rsidR="007F6887" w:rsidRPr="004D5D60" w:rsidRDefault="007F6887" w:rsidP="00234DCF">
            <w:pPr>
              <w:spacing w:before="120"/>
              <w:rPr>
                <w:rFonts w:eastAsia="Times New Roman"/>
                <w:color w:val="000000"/>
                <w:lang w:eastAsia="es-MX"/>
              </w:rPr>
            </w:pPr>
            <w:r w:rsidRPr="004D5D60">
              <w:rPr>
                <w:rFonts w:eastAsia="Times New Roman"/>
                <w:color w:val="000000"/>
                <w:lang w:eastAsia="es-MX"/>
              </w:rPr>
              <w:t>ADMINISTRADOS POR JAPAY</w:t>
            </w:r>
          </w:p>
        </w:tc>
        <w:tc>
          <w:tcPr>
            <w:tcW w:w="1642"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4.1 </w:t>
            </w:r>
          </w:p>
        </w:tc>
        <w:tc>
          <w:tcPr>
            <w:tcW w:w="1559"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4.6 </w:t>
            </w:r>
          </w:p>
        </w:tc>
        <w:tc>
          <w:tcPr>
            <w:tcW w:w="1418"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0.5 </w:t>
            </w:r>
          </w:p>
        </w:tc>
        <w:tc>
          <w:tcPr>
            <w:tcW w:w="992"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 xml:space="preserve">0.4 </w:t>
            </w:r>
          </w:p>
        </w:tc>
        <w:tc>
          <w:tcPr>
            <w:tcW w:w="1134"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right"/>
              <w:rPr>
                <w:rFonts w:eastAsia="Times New Roman"/>
                <w:color w:val="000000"/>
                <w:lang w:eastAsia="es-MX"/>
              </w:rPr>
            </w:pPr>
            <w:r w:rsidRPr="004D5D60">
              <w:rPr>
                <w:rFonts w:eastAsia="Times New Roman"/>
                <w:color w:val="000000"/>
                <w:lang w:eastAsia="es-MX"/>
              </w:rPr>
              <w:t>8.6%</w:t>
            </w:r>
          </w:p>
        </w:tc>
      </w:tr>
      <w:tr w:rsidR="007F6887" w:rsidRPr="00C428DD" w:rsidTr="00234DCF">
        <w:trPr>
          <w:trHeight w:val="290"/>
        </w:trPr>
        <w:tc>
          <w:tcPr>
            <w:tcW w:w="0" w:type="auto"/>
            <w:tcBorders>
              <w:top w:val="single" w:sz="4" w:space="0" w:color="1A98C0"/>
              <w:left w:val="single" w:sz="4" w:space="0" w:color="FFFFFF"/>
              <w:bottom w:val="single" w:sz="4" w:space="0" w:color="FFFFFF"/>
              <w:right w:val="single" w:sz="4" w:space="0" w:color="FFFFFF"/>
            </w:tcBorders>
            <w:shd w:val="clear" w:color="D5F0F9" w:fill="FFFFFF"/>
            <w:vAlign w:val="center"/>
            <w:hideMark/>
          </w:tcPr>
          <w:p w:rsidR="007F6887" w:rsidRPr="004D5D60" w:rsidRDefault="007F6887" w:rsidP="00234DCF">
            <w:pPr>
              <w:spacing w:before="120"/>
              <w:rPr>
                <w:rFonts w:eastAsia="Times New Roman"/>
                <w:b/>
                <w:bCs/>
                <w:color w:val="000000"/>
                <w:lang w:eastAsia="es-MX"/>
              </w:rPr>
            </w:pPr>
            <w:r w:rsidRPr="004D5D60">
              <w:rPr>
                <w:rFonts w:eastAsia="Times New Roman"/>
                <w:b/>
                <w:bCs/>
                <w:color w:val="000000"/>
                <w:lang w:eastAsia="es-MX"/>
              </w:rPr>
              <w:t>Total general</w:t>
            </w:r>
          </w:p>
        </w:tc>
        <w:tc>
          <w:tcPr>
            <w:tcW w:w="1642" w:type="dxa"/>
            <w:tcBorders>
              <w:top w:val="single" w:sz="4" w:space="0" w:color="1A98C0"/>
              <w:left w:val="nil"/>
              <w:bottom w:val="single" w:sz="4" w:space="0" w:color="FFFFFF"/>
              <w:right w:val="single" w:sz="4" w:space="0" w:color="FFFFFF"/>
            </w:tcBorders>
            <w:shd w:val="clear" w:color="D5F0F9" w:fill="FFFFFF"/>
            <w:vAlign w:val="center"/>
            <w:hideMark/>
          </w:tcPr>
          <w:p w:rsidR="007F6887" w:rsidRPr="004D5D60" w:rsidRDefault="007F6887" w:rsidP="00234DCF">
            <w:pPr>
              <w:spacing w:before="120"/>
              <w:jc w:val="right"/>
              <w:rPr>
                <w:rFonts w:eastAsia="Times New Roman"/>
                <w:b/>
                <w:bCs/>
                <w:color w:val="000000"/>
                <w:lang w:eastAsia="es-MX"/>
              </w:rPr>
            </w:pPr>
            <w:r w:rsidRPr="004D5D60">
              <w:rPr>
                <w:rFonts w:eastAsia="Times New Roman"/>
                <w:b/>
                <w:bCs/>
                <w:color w:val="000000"/>
                <w:lang w:eastAsia="es-MX"/>
              </w:rPr>
              <w:t xml:space="preserve">1,836.8 </w:t>
            </w:r>
          </w:p>
        </w:tc>
        <w:tc>
          <w:tcPr>
            <w:tcW w:w="1559" w:type="dxa"/>
            <w:tcBorders>
              <w:top w:val="single" w:sz="4" w:space="0" w:color="1A98C0"/>
              <w:left w:val="nil"/>
              <w:bottom w:val="single" w:sz="4" w:space="0" w:color="FFFFFF"/>
              <w:right w:val="single" w:sz="4" w:space="0" w:color="FFFFFF"/>
            </w:tcBorders>
            <w:shd w:val="clear" w:color="D5F0F9" w:fill="FFFFFF"/>
            <w:vAlign w:val="center"/>
            <w:hideMark/>
          </w:tcPr>
          <w:p w:rsidR="007F6887" w:rsidRPr="004D5D60" w:rsidRDefault="007F6887" w:rsidP="00234DCF">
            <w:pPr>
              <w:spacing w:before="120"/>
              <w:jc w:val="right"/>
              <w:rPr>
                <w:rFonts w:eastAsia="Times New Roman"/>
                <w:b/>
                <w:bCs/>
                <w:color w:val="000000"/>
                <w:lang w:eastAsia="es-MX"/>
              </w:rPr>
            </w:pPr>
            <w:r w:rsidRPr="004D5D60">
              <w:rPr>
                <w:rFonts w:eastAsia="Times New Roman"/>
                <w:b/>
                <w:bCs/>
                <w:color w:val="000000"/>
                <w:lang w:eastAsia="es-MX"/>
              </w:rPr>
              <w:t xml:space="preserve">1,923.4 </w:t>
            </w:r>
          </w:p>
        </w:tc>
        <w:tc>
          <w:tcPr>
            <w:tcW w:w="1418" w:type="dxa"/>
            <w:tcBorders>
              <w:top w:val="single" w:sz="4" w:space="0" w:color="1A98C0"/>
              <w:left w:val="nil"/>
              <w:bottom w:val="single" w:sz="4" w:space="0" w:color="FFFFFF"/>
              <w:right w:val="single" w:sz="4" w:space="0" w:color="FFFFFF"/>
            </w:tcBorders>
            <w:shd w:val="clear" w:color="000000" w:fill="FFFFFF"/>
            <w:vAlign w:val="center"/>
            <w:hideMark/>
          </w:tcPr>
          <w:p w:rsidR="007F6887" w:rsidRPr="004D5D60" w:rsidRDefault="007F6887" w:rsidP="00234DCF">
            <w:pPr>
              <w:spacing w:before="120"/>
              <w:jc w:val="right"/>
              <w:rPr>
                <w:rFonts w:eastAsia="Times New Roman"/>
                <w:b/>
                <w:bCs/>
                <w:color w:val="000000"/>
                <w:lang w:eastAsia="es-MX"/>
              </w:rPr>
            </w:pPr>
            <w:r w:rsidRPr="004D5D60">
              <w:rPr>
                <w:rFonts w:eastAsia="Times New Roman"/>
                <w:b/>
                <w:bCs/>
                <w:color w:val="000000"/>
                <w:lang w:eastAsia="es-MX"/>
              </w:rPr>
              <w:t xml:space="preserve">86.7 </w:t>
            </w:r>
          </w:p>
        </w:tc>
        <w:tc>
          <w:tcPr>
            <w:tcW w:w="992" w:type="dxa"/>
            <w:tcBorders>
              <w:top w:val="single" w:sz="4" w:space="0" w:color="1A98C0"/>
              <w:left w:val="nil"/>
              <w:bottom w:val="single" w:sz="4" w:space="0" w:color="FFFFFF"/>
              <w:right w:val="single" w:sz="4" w:space="0" w:color="FFFFFF"/>
            </w:tcBorders>
            <w:shd w:val="clear" w:color="000000" w:fill="FFFFFF"/>
            <w:vAlign w:val="center"/>
            <w:hideMark/>
          </w:tcPr>
          <w:p w:rsidR="007F6887" w:rsidRPr="004D5D60" w:rsidRDefault="007F6887" w:rsidP="00234DCF">
            <w:pPr>
              <w:spacing w:before="120"/>
              <w:jc w:val="right"/>
              <w:rPr>
                <w:rFonts w:eastAsia="Times New Roman"/>
                <w:b/>
                <w:bCs/>
                <w:color w:val="000000"/>
                <w:lang w:eastAsia="es-MX"/>
              </w:rPr>
            </w:pPr>
            <w:r w:rsidRPr="004D5D60">
              <w:rPr>
                <w:rFonts w:eastAsia="Times New Roman"/>
                <w:b/>
                <w:bCs/>
                <w:color w:val="000000"/>
                <w:lang w:eastAsia="es-MX"/>
              </w:rPr>
              <w:t xml:space="preserve">11.5 </w:t>
            </w:r>
          </w:p>
        </w:tc>
        <w:tc>
          <w:tcPr>
            <w:tcW w:w="1134" w:type="dxa"/>
            <w:tcBorders>
              <w:top w:val="single" w:sz="4" w:space="0" w:color="1A98C0"/>
              <w:left w:val="nil"/>
              <w:bottom w:val="single" w:sz="4" w:space="0" w:color="FFFFFF"/>
              <w:right w:val="single" w:sz="4" w:space="0" w:color="FFFFFF"/>
            </w:tcBorders>
            <w:shd w:val="clear" w:color="000000" w:fill="FFFFFF"/>
            <w:vAlign w:val="center"/>
            <w:hideMark/>
          </w:tcPr>
          <w:p w:rsidR="007F6887" w:rsidRPr="004D5D60" w:rsidRDefault="007F6887" w:rsidP="00234DCF">
            <w:pPr>
              <w:spacing w:before="120"/>
              <w:jc w:val="right"/>
              <w:rPr>
                <w:rFonts w:eastAsia="Times New Roman"/>
                <w:b/>
                <w:bCs/>
                <w:color w:val="000000"/>
                <w:lang w:eastAsia="es-MX"/>
              </w:rPr>
            </w:pPr>
            <w:r w:rsidRPr="004D5D60">
              <w:rPr>
                <w:rFonts w:eastAsia="Times New Roman"/>
                <w:b/>
                <w:bCs/>
                <w:color w:val="000000"/>
                <w:lang w:eastAsia="es-MX"/>
              </w:rPr>
              <w:t>0.6%</w:t>
            </w:r>
          </w:p>
        </w:tc>
      </w:tr>
    </w:tbl>
    <w:p w:rsidR="007F6887" w:rsidRPr="00912F98" w:rsidRDefault="007F6887" w:rsidP="007F6887">
      <w:pPr>
        <w:spacing w:before="120"/>
        <w:rPr>
          <w:i/>
          <w:iCs/>
        </w:rPr>
      </w:pPr>
      <w:r w:rsidRPr="00912F98">
        <w:rPr>
          <w:i/>
          <w:iCs/>
        </w:rPr>
        <w:lastRenderedPageBreak/>
        <w:t>Considerando la inflación octubre 2019 – octubre 2020 correspondiente a 4.09% publicada por INEGI*</w:t>
      </w:r>
    </w:p>
    <w:p w:rsidR="007F6887" w:rsidRPr="00912F98" w:rsidRDefault="007F6887" w:rsidP="007F6887">
      <w:pPr>
        <w:spacing w:before="100" w:beforeAutospacing="1" w:after="100" w:afterAutospacing="1"/>
        <w:rPr>
          <w:rFonts w:cs="Arial"/>
          <w:sz w:val="28"/>
        </w:rPr>
      </w:pPr>
    </w:p>
    <w:p w:rsidR="007F6887" w:rsidRPr="00912F98" w:rsidRDefault="007F6887" w:rsidP="007F6887">
      <w:pPr>
        <w:spacing w:before="100" w:beforeAutospacing="1" w:after="100" w:afterAutospacing="1"/>
        <w:rPr>
          <w:rFonts w:cs="Arial"/>
          <w:b/>
          <w:i/>
        </w:rPr>
      </w:pPr>
      <w:r w:rsidRPr="00912F98">
        <w:rPr>
          <w:rFonts w:cs="Arial"/>
          <w:b/>
          <w:i/>
        </w:rPr>
        <w:t>2.3.3 Participaciones, Aportaciones, Subsidios y Transferencias a Municipios</w:t>
      </w:r>
    </w:p>
    <w:p w:rsidR="007F6887" w:rsidRDefault="007F6887" w:rsidP="007F6887">
      <w:pPr>
        <w:spacing w:before="100" w:beforeAutospacing="1" w:after="100" w:afterAutospacing="1"/>
        <w:rPr>
          <w:rFonts w:cs="Arial"/>
        </w:rPr>
      </w:pPr>
      <w:r w:rsidRPr="00912F98">
        <w:rPr>
          <w:rFonts w:cs="Arial"/>
        </w:rPr>
        <w:t xml:space="preserve">Las participaciones estimadas para el 2021 presentan una reducción de 5% real, siendo especialmente importante la disminución de -53.4 reales del Fondo Municipal y de 93.7 </w:t>
      </w:r>
      <w:proofErr w:type="spellStart"/>
      <w:r w:rsidRPr="00912F98">
        <w:rPr>
          <w:rFonts w:cs="Arial"/>
        </w:rPr>
        <w:t>mdp</w:t>
      </w:r>
      <w:proofErr w:type="spellEnd"/>
      <w:r w:rsidRPr="00912F98">
        <w:rPr>
          <w:rFonts w:cs="Arial"/>
        </w:rPr>
        <w:t xml:space="preserve"> reales del Fondo General de Participaciones para Municipios. De igual manera, las aportaciones se ven afectadas con un decremento de casi el 6% globalmente.</w:t>
      </w:r>
    </w:p>
    <w:p w:rsidR="007F6887" w:rsidRPr="004D5D60" w:rsidRDefault="007F6887" w:rsidP="007F6887">
      <w:pPr>
        <w:spacing w:before="120"/>
        <w:rPr>
          <w:color w:val="121D56"/>
        </w:rPr>
      </w:pPr>
    </w:p>
    <w:p w:rsidR="007F6887" w:rsidRPr="004D5D60" w:rsidRDefault="007F6887" w:rsidP="007F6887">
      <w:pPr>
        <w:spacing w:before="120"/>
        <w:rPr>
          <w:color w:val="121D56"/>
        </w:rPr>
      </w:pPr>
    </w:p>
    <w:tbl>
      <w:tblPr>
        <w:tblW w:w="9493" w:type="dxa"/>
        <w:tblCellMar>
          <w:left w:w="70" w:type="dxa"/>
          <w:right w:w="70" w:type="dxa"/>
        </w:tblCellMar>
        <w:tblLook w:val="04A0"/>
      </w:tblPr>
      <w:tblGrid>
        <w:gridCol w:w="1413"/>
        <w:gridCol w:w="8080"/>
      </w:tblGrid>
      <w:tr w:rsidR="007F6887" w:rsidRPr="00C428DD" w:rsidTr="00234DCF">
        <w:trPr>
          <w:trHeight w:val="504"/>
        </w:trPr>
        <w:tc>
          <w:tcPr>
            <w:tcW w:w="1413" w:type="dxa"/>
            <w:vMerge w:val="restart"/>
            <w:tcBorders>
              <w:top w:val="single" w:sz="4" w:space="0" w:color="FFFFFF"/>
              <w:left w:val="single" w:sz="4" w:space="0" w:color="FFFFFF"/>
              <w:bottom w:val="single" w:sz="4" w:space="0" w:color="FFFFFF"/>
              <w:right w:val="single" w:sz="4" w:space="0" w:color="FFFFFF"/>
            </w:tcBorders>
            <w:shd w:val="clear" w:color="auto" w:fill="FFC000"/>
            <w:vAlign w:val="center"/>
            <w:hideMark/>
          </w:tcPr>
          <w:p w:rsidR="007F6887" w:rsidRPr="004D5D60" w:rsidRDefault="007F6887" w:rsidP="00234DCF">
            <w:pPr>
              <w:spacing w:before="120"/>
              <w:jc w:val="center"/>
              <w:rPr>
                <w:rFonts w:eastAsia="Times New Roman"/>
                <w:b/>
                <w:color w:val="111B58"/>
                <w:lang w:eastAsia="es-MX"/>
              </w:rPr>
            </w:pPr>
            <w:r w:rsidRPr="004D5D60">
              <w:rPr>
                <w:rFonts w:eastAsia="Times New Roman"/>
                <w:b/>
                <w:color w:val="111B58"/>
                <w:lang w:eastAsia="es-MX"/>
              </w:rPr>
              <w:t xml:space="preserve">Tabla </w:t>
            </w:r>
            <w:r>
              <w:rPr>
                <w:rFonts w:eastAsia="Times New Roman"/>
                <w:b/>
                <w:color w:val="111B58"/>
                <w:lang w:eastAsia="es-MX"/>
              </w:rPr>
              <w:t>2</w:t>
            </w:r>
            <w:r w:rsidRPr="004D5D60">
              <w:rPr>
                <w:rFonts w:eastAsia="Times New Roman"/>
                <w:b/>
                <w:color w:val="111B58"/>
                <w:lang w:eastAsia="es-MX"/>
              </w:rPr>
              <w:t>.8</w:t>
            </w:r>
          </w:p>
        </w:tc>
        <w:tc>
          <w:tcPr>
            <w:tcW w:w="8080" w:type="dxa"/>
            <w:vMerge w:val="restart"/>
            <w:tcBorders>
              <w:top w:val="nil"/>
              <w:left w:val="single" w:sz="4" w:space="0" w:color="FFFFFF"/>
              <w:bottom w:val="nil"/>
              <w:right w:val="nil"/>
            </w:tcBorders>
            <w:shd w:val="clear" w:color="auto" w:fill="111B58"/>
            <w:vAlign w:val="center"/>
            <w:hideMark/>
          </w:tcPr>
          <w:p w:rsidR="007F6887" w:rsidRPr="004D5D60" w:rsidRDefault="007F6887" w:rsidP="00234DCF">
            <w:pPr>
              <w:spacing w:before="120"/>
              <w:jc w:val="center"/>
              <w:rPr>
                <w:rFonts w:eastAsia="Times New Roman"/>
                <w:b/>
                <w:color w:val="FFFFFF"/>
                <w:lang w:eastAsia="es-MX"/>
              </w:rPr>
            </w:pPr>
            <w:r w:rsidRPr="004D5D60">
              <w:rPr>
                <w:rFonts w:eastAsia="Times New Roman"/>
                <w:color w:val="FFFFFF"/>
                <w:lang w:eastAsia="es-MX"/>
              </w:rPr>
              <w:t>Recursos destinados a Municipios</w:t>
            </w:r>
          </w:p>
        </w:tc>
      </w:tr>
      <w:tr w:rsidR="007F6887" w:rsidRPr="00C428DD" w:rsidTr="00234DCF">
        <w:trPr>
          <w:trHeight w:val="573"/>
        </w:trPr>
        <w:tc>
          <w:tcPr>
            <w:tcW w:w="1413" w:type="dxa"/>
            <w:vMerge/>
            <w:vAlign w:val="center"/>
            <w:hideMark/>
          </w:tcPr>
          <w:p w:rsidR="007F6887" w:rsidRPr="004D5D60" w:rsidRDefault="007F6887" w:rsidP="00234DCF">
            <w:pPr>
              <w:spacing w:before="120"/>
              <w:rPr>
                <w:rFonts w:eastAsia="Times New Roman"/>
                <w:color w:val="111B58"/>
                <w:lang w:eastAsia="es-MX"/>
              </w:rPr>
            </w:pPr>
          </w:p>
        </w:tc>
        <w:tc>
          <w:tcPr>
            <w:tcW w:w="8080" w:type="dxa"/>
            <w:vMerge/>
            <w:vAlign w:val="center"/>
            <w:hideMark/>
          </w:tcPr>
          <w:p w:rsidR="007F6887" w:rsidRPr="004D5D60" w:rsidRDefault="007F6887" w:rsidP="00234DCF">
            <w:pPr>
              <w:spacing w:before="120"/>
              <w:rPr>
                <w:rFonts w:eastAsia="Times New Roman"/>
                <w:color w:val="FFFFFF"/>
                <w:lang w:eastAsia="es-MX"/>
              </w:rPr>
            </w:pPr>
          </w:p>
        </w:tc>
      </w:tr>
    </w:tbl>
    <w:p w:rsidR="007F6887" w:rsidRPr="004D5D60" w:rsidRDefault="007F6887" w:rsidP="007F6887">
      <w:pPr>
        <w:spacing w:before="120"/>
        <w:jc w:val="right"/>
        <w:rPr>
          <w:i/>
          <w:color w:val="121D56"/>
        </w:rPr>
      </w:pPr>
    </w:p>
    <w:tbl>
      <w:tblPr>
        <w:tblW w:w="0" w:type="auto"/>
        <w:tblCellMar>
          <w:left w:w="70" w:type="dxa"/>
          <w:right w:w="70" w:type="dxa"/>
        </w:tblCellMar>
        <w:tblLook w:val="04A0"/>
      </w:tblPr>
      <w:tblGrid>
        <w:gridCol w:w="2447"/>
        <w:gridCol w:w="1740"/>
        <w:gridCol w:w="2141"/>
        <w:gridCol w:w="1261"/>
        <w:gridCol w:w="612"/>
        <w:gridCol w:w="777"/>
      </w:tblGrid>
      <w:tr w:rsidR="007F6887" w:rsidRPr="00C428DD" w:rsidTr="00234DCF">
        <w:trPr>
          <w:trHeight w:val="20"/>
        </w:trPr>
        <w:tc>
          <w:tcPr>
            <w:tcW w:w="4237" w:type="dxa"/>
            <w:vMerge w:val="restart"/>
            <w:tcBorders>
              <w:top w:val="single" w:sz="8" w:space="0" w:color="FFFFFF"/>
              <w:left w:val="nil"/>
              <w:bottom w:val="single" w:sz="8" w:space="0" w:color="D5F0F9"/>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Recursos Destinados a Municipios</w:t>
            </w:r>
          </w:p>
        </w:tc>
        <w:tc>
          <w:tcPr>
            <w:tcW w:w="1414" w:type="dxa"/>
            <w:vMerge w:val="restart"/>
            <w:tcBorders>
              <w:top w:val="single" w:sz="8" w:space="0" w:color="FFFFFF"/>
              <w:left w:val="single" w:sz="8" w:space="0" w:color="FFFFFF"/>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AUTORIZADO 2020</w:t>
            </w:r>
          </w:p>
        </w:tc>
        <w:tc>
          <w:tcPr>
            <w:tcW w:w="1273" w:type="dxa"/>
            <w:vMerge w:val="restart"/>
            <w:tcBorders>
              <w:top w:val="single" w:sz="8" w:space="0" w:color="FFFFFF"/>
              <w:left w:val="single" w:sz="8" w:space="0" w:color="FFFFFF"/>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ANTEPROYECTO 2021</w:t>
            </w:r>
          </w:p>
        </w:tc>
        <w:tc>
          <w:tcPr>
            <w:tcW w:w="1273" w:type="dxa"/>
            <w:tcBorders>
              <w:top w:val="single" w:sz="8" w:space="0" w:color="FFFFFF"/>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 NOMINAL</w:t>
            </w:r>
          </w:p>
        </w:tc>
        <w:tc>
          <w:tcPr>
            <w:tcW w:w="2293" w:type="dxa"/>
            <w:gridSpan w:val="2"/>
            <w:tcBorders>
              <w:top w:val="single" w:sz="8" w:space="0" w:color="FFFFFF"/>
              <w:left w:val="nil"/>
              <w:bottom w:val="single" w:sz="8" w:space="0" w:color="FFFFFF"/>
              <w:right w:val="nil"/>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 REAL*</w:t>
            </w:r>
          </w:p>
        </w:tc>
      </w:tr>
      <w:tr w:rsidR="007F6887" w:rsidRPr="00C428DD" w:rsidTr="00234DCF">
        <w:trPr>
          <w:trHeight w:val="20"/>
        </w:trPr>
        <w:tc>
          <w:tcPr>
            <w:tcW w:w="4237" w:type="dxa"/>
            <w:vMerge/>
            <w:tcBorders>
              <w:top w:val="single" w:sz="8" w:space="0" w:color="FFFFFF"/>
              <w:left w:val="nil"/>
              <w:bottom w:val="single" w:sz="8" w:space="0" w:color="D5F0F9"/>
              <w:right w:val="single" w:sz="8" w:space="0" w:color="FFFFFF"/>
            </w:tcBorders>
            <w:vAlign w:val="center"/>
            <w:hideMark/>
          </w:tcPr>
          <w:p w:rsidR="007F6887" w:rsidRPr="004D5D60" w:rsidRDefault="007F6887" w:rsidP="00234DCF">
            <w:pPr>
              <w:spacing w:before="120"/>
              <w:jc w:val="center"/>
              <w:rPr>
                <w:rFonts w:eastAsia="Times New Roman"/>
                <w:b/>
                <w:bCs/>
                <w:color w:val="FFFFFF"/>
                <w:lang w:eastAsia="es-MX"/>
              </w:rPr>
            </w:pPr>
          </w:p>
        </w:tc>
        <w:tc>
          <w:tcPr>
            <w:tcW w:w="1414" w:type="dxa"/>
            <w:vMerge/>
            <w:tcBorders>
              <w:top w:val="single" w:sz="8" w:space="0" w:color="FFFFFF"/>
              <w:left w:val="single" w:sz="8" w:space="0" w:color="FFFFFF"/>
              <w:bottom w:val="single" w:sz="8" w:space="0" w:color="FFFFFF"/>
              <w:right w:val="single" w:sz="8" w:space="0" w:color="FFFFFF"/>
            </w:tcBorders>
            <w:vAlign w:val="center"/>
            <w:hideMark/>
          </w:tcPr>
          <w:p w:rsidR="007F6887" w:rsidRPr="004D5D60" w:rsidRDefault="007F6887" w:rsidP="00234DCF">
            <w:pPr>
              <w:spacing w:before="120"/>
              <w:jc w:val="center"/>
              <w:rPr>
                <w:rFonts w:eastAsia="Times New Roman"/>
                <w:b/>
                <w:bCs/>
                <w:color w:val="FFFFFF"/>
                <w:lang w:eastAsia="es-MX"/>
              </w:rPr>
            </w:pPr>
          </w:p>
        </w:tc>
        <w:tc>
          <w:tcPr>
            <w:tcW w:w="1273" w:type="dxa"/>
            <w:vMerge/>
            <w:tcBorders>
              <w:top w:val="single" w:sz="8" w:space="0" w:color="FFFFFF"/>
              <w:left w:val="single" w:sz="8" w:space="0" w:color="FFFFFF"/>
              <w:bottom w:val="single" w:sz="8" w:space="0" w:color="FFFFFF"/>
              <w:right w:val="single" w:sz="8" w:space="0" w:color="FFFFFF"/>
            </w:tcBorders>
            <w:vAlign w:val="center"/>
            <w:hideMark/>
          </w:tcPr>
          <w:p w:rsidR="007F6887" w:rsidRPr="004D5D60" w:rsidRDefault="007F6887" w:rsidP="00234DCF">
            <w:pPr>
              <w:spacing w:before="120"/>
              <w:jc w:val="center"/>
              <w:rPr>
                <w:rFonts w:eastAsia="Times New Roman"/>
                <w:b/>
                <w:bCs/>
                <w:color w:val="FFFFFF"/>
                <w:lang w:eastAsia="es-MX"/>
              </w:rPr>
            </w:pPr>
          </w:p>
        </w:tc>
        <w:tc>
          <w:tcPr>
            <w:tcW w:w="1273" w:type="dxa"/>
            <w:tcBorders>
              <w:top w:val="nil"/>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c>
          <w:tcPr>
            <w:tcW w:w="1017" w:type="dxa"/>
            <w:tcBorders>
              <w:top w:val="nil"/>
              <w:left w:val="nil"/>
              <w:bottom w:val="single" w:sz="8" w:space="0" w:color="FFFFFF"/>
              <w:right w:val="single" w:sz="8" w:space="0" w:color="FFFFFF"/>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c>
          <w:tcPr>
            <w:tcW w:w="1276" w:type="dxa"/>
            <w:tcBorders>
              <w:top w:val="nil"/>
              <w:left w:val="nil"/>
              <w:bottom w:val="single" w:sz="8" w:space="0" w:color="FFFFFF"/>
              <w:right w:val="nil"/>
            </w:tcBorders>
            <w:shd w:val="clear" w:color="000000" w:fill="1A98C0"/>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w:t>
            </w:r>
          </w:p>
        </w:tc>
      </w:tr>
      <w:tr w:rsidR="007F6887" w:rsidRPr="00C428DD" w:rsidTr="00234DCF">
        <w:trPr>
          <w:trHeight w:val="20"/>
        </w:trPr>
        <w:tc>
          <w:tcPr>
            <w:tcW w:w="4237" w:type="dxa"/>
            <w:tcBorders>
              <w:top w:val="single" w:sz="4" w:space="0" w:color="FFFFFF"/>
              <w:left w:val="single" w:sz="4" w:space="0" w:color="FFFFFF"/>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PARTICIPACIONES</w:t>
            </w:r>
          </w:p>
        </w:tc>
        <w:tc>
          <w:tcPr>
            <w:tcW w:w="1414" w:type="dxa"/>
            <w:tcBorders>
              <w:top w:val="single" w:sz="4" w:space="0" w:color="FFFFFF"/>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3,698.4</w:t>
            </w:r>
          </w:p>
        </w:tc>
        <w:tc>
          <w:tcPr>
            <w:tcW w:w="1273" w:type="dxa"/>
            <w:tcBorders>
              <w:top w:val="single" w:sz="4" w:space="0" w:color="FFFFFF"/>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3,658.1</w:t>
            </w:r>
          </w:p>
        </w:tc>
        <w:tc>
          <w:tcPr>
            <w:tcW w:w="1273" w:type="dxa"/>
            <w:tcBorders>
              <w:top w:val="single" w:sz="4" w:space="0" w:color="FFFFFF"/>
              <w:left w:val="nil"/>
              <w:bottom w:val="single" w:sz="4" w:space="0" w:color="FFFFFF"/>
              <w:right w:val="single" w:sz="4" w:space="0" w:color="FFFFFF"/>
            </w:tcBorders>
            <w:shd w:val="clear" w:color="000000" w:fill="41BDE7"/>
            <w:vAlign w:val="center"/>
            <w:hideMark/>
          </w:tcPr>
          <w:p w:rsidR="007F6887" w:rsidRPr="006B071C" w:rsidRDefault="007F6887" w:rsidP="00234DCF">
            <w:pPr>
              <w:spacing w:before="120"/>
              <w:jc w:val="center"/>
              <w:rPr>
                <w:rFonts w:eastAsia="Times New Roman"/>
                <w:b/>
                <w:bCs/>
                <w:color w:val="FFFFFF"/>
                <w:sz w:val="18"/>
                <w:lang w:eastAsia="es-MX"/>
              </w:rPr>
            </w:pPr>
            <w:r w:rsidRPr="006B071C">
              <w:rPr>
                <w:b/>
                <w:bCs/>
                <w:color w:val="FF0000"/>
                <w:sz w:val="18"/>
              </w:rPr>
              <w:t xml:space="preserve">-40.3 </w:t>
            </w:r>
          </w:p>
        </w:tc>
        <w:tc>
          <w:tcPr>
            <w:tcW w:w="1017" w:type="dxa"/>
            <w:tcBorders>
              <w:top w:val="single" w:sz="4" w:space="0" w:color="FFFFFF"/>
              <w:left w:val="nil"/>
              <w:bottom w:val="single" w:sz="4" w:space="0" w:color="FFFFFF"/>
              <w:right w:val="single" w:sz="4" w:space="0" w:color="FFFFFF"/>
            </w:tcBorders>
            <w:shd w:val="clear" w:color="000000" w:fill="41BDE7"/>
            <w:vAlign w:val="center"/>
            <w:hideMark/>
          </w:tcPr>
          <w:p w:rsidR="007F6887" w:rsidRPr="006B071C" w:rsidRDefault="007F6887" w:rsidP="00234DCF">
            <w:pPr>
              <w:spacing w:before="120"/>
              <w:jc w:val="center"/>
              <w:rPr>
                <w:rFonts w:eastAsia="Times New Roman"/>
                <w:b/>
                <w:bCs/>
                <w:color w:val="FFFFFF"/>
                <w:sz w:val="18"/>
                <w:lang w:eastAsia="es-MX"/>
              </w:rPr>
            </w:pPr>
            <w:r w:rsidRPr="006B071C">
              <w:rPr>
                <w:b/>
                <w:bCs/>
                <w:color w:val="FF0000"/>
                <w:sz w:val="18"/>
              </w:rPr>
              <w:t xml:space="preserve">-191.6 </w:t>
            </w:r>
          </w:p>
        </w:tc>
        <w:tc>
          <w:tcPr>
            <w:tcW w:w="1276" w:type="dxa"/>
            <w:tcBorders>
              <w:top w:val="single" w:sz="4" w:space="0" w:color="FFFFFF"/>
              <w:left w:val="nil"/>
              <w:bottom w:val="single" w:sz="4" w:space="0" w:color="FFFFFF"/>
              <w:right w:val="single" w:sz="4" w:space="0" w:color="FFFFFF"/>
            </w:tcBorders>
            <w:shd w:val="clear" w:color="000000" w:fill="41BDE7"/>
            <w:vAlign w:val="center"/>
            <w:hideMark/>
          </w:tcPr>
          <w:p w:rsidR="007F6887" w:rsidRPr="006B071C" w:rsidRDefault="007F6887" w:rsidP="00234DCF">
            <w:pPr>
              <w:spacing w:before="120"/>
              <w:jc w:val="center"/>
              <w:rPr>
                <w:rFonts w:eastAsia="Times New Roman"/>
                <w:b/>
                <w:bCs/>
                <w:color w:val="FFFFFF"/>
                <w:sz w:val="18"/>
                <w:lang w:eastAsia="es-MX"/>
              </w:rPr>
            </w:pPr>
            <w:r w:rsidRPr="006B071C">
              <w:rPr>
                <w:b/>
                <w:bCs/>
                <w:color w:val="FF0000"/>
                <w:sz w:val="18"/>
              </w:rPr>
              <w:t>-5.0%</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000000" w:fill="F2F2F2"/>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t>COMPENSACION DEL IMPUESTO SOBRE AUTOS NUEVOS</w:t>
            </w:r>
          </w:p>
        </w:tc>
        <w:tc>
          <w:tcPr>
            <w:tcW w:w="1414"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7.2</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7.5</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000000"/>
                <w:sz w:val="18"/>
                <w:lang w:eastAsia="es-MX"/>
              </w:rPr>
              <w:t>0.2</w:t>
            </w:r>
          </w:p>
        </w:tc>
        <w:tc>
          <w:tcPr>
            <w:tcW w:w="1017"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-0.1</w:t>
            </w:r>
          </w:p>
        </w:tc>
        <w:tc>
          <w:tcPr>
            <w:tcW w:w="1276"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-0.8%</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auto" w:fill="auto"/>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t>FONDO DE FOMENTO MUNICIPAL</w:t>
            </w:r>
          </w:p>
        </w:tc>
        <w:tc>
          <w:tcPr>
            <w:tcW w:w="1414"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963.7</w:t>
            </w:r>
          </w:p>
        </w:tc>
        <w:tc>
          <w:tcPr>
            <w:tcW w:w="1273"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949.6</w:t>
            </w:r>
          </w:p>
        </w:tc>
        <w:tc>
          <w:tcPr>
            <w:tcW w:w="1273"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-14.0</w:t>
            </w:r>
          </w:p>
        </w:tc>
        <w:tc>
          <w:tcPr>
            <w:tcW w:w="1017"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-53.4</w:t>
            </w:r>
          </w:p>
        </w:tc>
        <w:tc>
          <w:tcPr>
            <w:tcW w:w="1276"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-5.3%</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000000" w:fill="F2F2F2"/>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t>FONDO ESPECIAL(IEPS)</w:t>
            </w:r>
          </w:p>
        </w:tc>
        <w:tc>
          <w:tcPr>
            <w:tcW w:w="1414"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52.6</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55.6</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000000"/>
                <w:sz w:val="18"/>
                <w:lang w:eastAsia="es-MX"/>
              </w:rPr>
              <w:t>3.0</w:t>
            </w:r>
          </w:p>
        </w:tc>
        <w:tc>
          <w:tcPr>
            <w:tcW w:w="1017"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000000"/>
                <w:sz w:val="18"/>
                <w:lang w:eastAsia="es-MX"/>
              </w:rPr>
              <w:t>0.9</w:t>
            </w:r>
          </w:p>
        </w:tc>
        <w:tc>
          <w:tcPr>
            <w:tcW w:w="1276"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000000"/>
                <w:sz w:val="18"/>
                <w:lang w:eastAsia="es-MX"/>
              </w:rPr>
              <w:t>1.6%</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auto" w:fill="auto"/>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t>FONDO GENERAL DE PARTICIPACIONES PARA MUNICIPIOS</w:t>
            </w:r>
          </w:p>
        </w:tc>
        <w:tc>
          <w:tcPr>
            <w:tcW w:w="1414"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2,196.6</w:t>
            </w:r>
          </w:p>
        </w:tc>
        <w:tc>
          <w:tcPr>
            <w:tcW w:w="1273"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2,192.8</w:t>
            </w:r>
          </w:p>
        </w:tc>
        <w:tc>
          <w:tcPr>
            <w:tcW w:w="1273"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-3.8</w:t>
            </w:r>
          </w:p>
        </w:tc>
        <w:tc>
          <w:tcPr>
            <w:tcW w:w="1017"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-93.7</w:t>
            </w:r>
          </w:p>
        </w:tc>
        <w:tc>
          <w:tcPr>
            <w:tcW w:w="1276"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-4.1%</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000000" w:fill="F2F2F2"/>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t>FONDO ISR</w:t>
            </w:r>
          </w:p>
        </w:tc>
        <w:tc>
          <w:tcPr>
            <w:tcW w:w="1414"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74.6</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74.6</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000000"/>
                <w:sz w:val="18"/>
                <w:lang w:eastAsia="es-MX"/>
              </w:rPr>
              <w:t>0.0</w:t>
            </w:r>
          </w:p>
        </w:tc>
        <w:tc>
          <w:tcPr>
            <w:tcW w:w="1017"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-3.0</w:t>
            </w:r>
          </w:p>
        </w:tc>
        <w:tc>
          <w:tcPr>
            <w:tcW w:w="1276"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-3.9%</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auto" w:fill="auto"/>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t>ISR DERIVADO DE ENAJENACIÓN DE BIENES INMUEBLES</w:t>
            </w:r>
          </w:p>
        </w:tc>
        <w:tc>
          <w:tcPr>
            <w:tcW w:w="1414"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p>
        </w:tc>
        <w:tc>
          <w:tcPr>
            <w:tcW w:w="1273"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5.3</w:t>
            </w:r>
          </w:p>
        </w:tc>
        <w:tc>
          <w:tcPr>
            <w:tcW w:w="1273"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000000"/>
                <w:sz w:val="18"/>
                <w:lang w:eastAsia="es-MX"/>
              </w:rPr>
              <w:t>5.3</w:t>
            </w:r>
          </w:p>
        </w:tc>
        <w:tc>
          <w:tcPr>
            <w:tcW w:w="1017"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000000"/>
                <w:sz w:val="18"/>
                <w:lang w:eastAsia="es-MX"/>
              </w:rPr>
              <w:t>5.3</w:t>
            </w:r>
          </w:p>
        </w:tc>
        <w:tc>
          <w:tcPr>
            <w:tcW w:w="1276"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000000"/>
                <w:sz w:val="18"/>
                <w:lang w:eastAsia="es-MX"/>
              </w:rPr>
              <w:t>100.0%</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000000" w:fill="F2F2F2"/>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lastRenderedPageBreak/>
              <w:t>OTROS CONCEPTOS PARTICIPABLES</w:t>
            </w:r>
          </w:p>
        </w:tc>
        <w:tc>
          <w:tcPr>
            <w:tcW w:w="1414"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93.4</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87.1</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-6.3</w:t>
            </w:r>
          </w:p>
        </w:tc>
        <w:tc>
          <w:tcPr>
            <w:tcW w:w="1017"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-10.1</w:t>
            </w:r>
          </w:p>
        </w:tc>
        <w:tc>
          <w:tcPr>
            <w:tcW w:w="1276"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-10.4%</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auto" w:fill="auto"/>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t>PARTICIPACIONES SOBRE IMPUESTOS DE AUTOS NUEVOS</w:t>
            </w:r>
          </w:p>
        </w:tc>
        <w:tc>
          <w:tcPr>
            <w:tcW w:w="1414"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27.4</w:t>
            </w:r>
          </w:p>
        </w:tc>
        <w:tc>
          <w:tcPr>
            <w:tcW w:w="1273"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19.3</w:t>
            </w:r>
          </w:p>
        </w:tc>
        <w:tc>
          <w:tcPr>
            <w:tcW w:w="1273"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-8.1</w:t>
            </w:r>
          </w:p>
        </w:tc>
        <w:tc>
          <w:tcPr>
            <w:tcW w:w="1017"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-9.3</w:t>
            </w:r>
          </w:p>
        </w:tc>
        <w:tc>
          <w:tcPr>
            <w:tcW w:w="1276"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-32.4%</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000000" w:fill="F2F2F2"/>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t>PATICIPACIONES ESTATALES</w:t>
            </w:r>
          </w:p>
        </w:tc>
        <w:tc>
          <w:tcPr>
            <w:tcW w:w="1414"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46.3</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32.3</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-14.0</w:t>
            </w:r>
          </w:p>
        </w:tc>
        <w:tc>
          <w:tcPr>
            <w:tcW w:w="1017"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-15.9</w:t>
            </w:r>
          </w:p>
        </w:tc>
        <w:tc>
          <w:tcPr>
            <w:tcW w:w="1276"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-33.0%</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auto" w:fill="auto"/>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t>FONDO DE FISCALIZACIÓN Y RECAUDACIÓN</w:t>
            </w:r>
          </w:p>
        </w:tc>
        <w:tc>
          <w:tcPr>
            <w:tcW w:w="1414"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236.6</w:t>
            </w:r>
          </w:p>
        </w:tc>
        <w:tc>
          <w:tcPr>
            <w:tcW w:w="1273"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234.0</w:t>
            </w:r>
          </w:p>
        </w:tc>
        <w:tc>
          <w:tcPr>
            <w:tcW w:w="1273"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-2.6</w:t>
            </w:r>
          </w:p>
        </w:tc>
        <w:tc>
          <w:tcPr>
            <w:tcW w:w="1017"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-12.3</w:t>
            </w:r>
          </w:p>
        </w:tc>
        <w:tc>
          <w:tcPr>
            <w:tcW w:w="1276"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-5.0%</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000000" w:fill="41BDE7"/>
            <w:vAlign w:val="center"/>
            <w:hideMark/>
          </w:tcPr>
          <w:p w:rsidR="007F6887" w:rsidRPr="00912F98" w:rsidRDefault="007F6887" w:rsidP="00234DCF">
            <w:pPr>
              <w:spacing w:before="120"/>
              <w:rPr>
                <w:rFonts w:eastAsia="Times New Roman"/>
                <w:b/>
                <w:bCs/>
                <w:color w:val="FFFFFF"/>
                <w:sz w:val="20"/>
                <w:lang w:eastAsia="es-MX"/>
              </w:rPr>
            </w:pPr>
            <w:r w:rsidRPr="00912F98">
              <w:rPr>
                <w:rFonts w:eastAsia="Times New Roman"/>
                <w:b/>
                <w:bCs/>
                <w:color w:val="FFFFFF"/>
                <w:sz w:val="20"/>
                <w:lang w:eastAsia="es-MX"/>
              </w:rPr>
              <w:t>APORTACIONES</w:t>
            </w:r>
          </w:p>
        </w:tc>
        <w:tc>
          <w:tcPr>
            <w:tcW w:w="1414"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3,161.7</w:t>
            </w:r>
          </w:p>
        </w:tc>
        <w:tc>
          <w:tcPr>
            <w:tcW w:w="1273"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3,103.3</w:t>
            </w:r>
          </w:p>
        </w:tc>
        <w:tc>
          <w:tcPr>
            <w:tcW w:w="1273" w:type="dxa"/>
            <w:tcBorders>
              <w:top w:val="nil"/>
              <w:left w:val="nil"/>
              <w:bottom w:val="single" w:sz="4" w:space="0" w:color="FFFFFF"/>
              <w:right w:val="single" w:sz="4" w:space="0" w:color="FFFFFF"/>
            </w:tcBorders>
            <w:shd w:val="clear" w:color="000000" w:fill="41BDE7"/>
            <w:vAlign w:val="center"/>
            <w:hideMark/>
          </w:tcPr>
          <w:p w:rsidR="007F6887" w:rsidRPr="006B071C" w:rsidRDefault="007F6887" w:rsidP="00234DCF">
            <w:pPr>
              <w:spacing w:before="120"/>
              <w:jc w:val="center"/>
              <w:rPr>
                <w:rFonts w:eastAsia="Times New Roman"/>
                <w:b/>
                <w:bCs/>
                <w:color w:val="FFFFFF"/>
                <w:sz w:val="18"/>
                <w:lang w:eastAsia="es-MX"/>
              </w:rPr>
            </w:pPr>
            <w:r w:rsidRPr="006B071C">
              <w:rPr>
                <w:rFonts w:eastAsia="Times New Roman"/>
                <w:b/>
                <w:bCs/>
                <w:color w:val="FF0000"/>
                <w:sz w:val="18"/>
                <w:lang w:eastAsia="es-MX"/>
              </w:rPr>
              <w:t>-58.4</w:t>
            </w:r>
          </w:p>
        </w:tc>
        <w:tc>
          <w:tcPr>
            <w:tcW w:w="1017" w:type="dxa"/>
            <w:tcBorders>
              <w:top w:val="nil"/>
              <w:left w:val="nil"/>
              <w:bottom w:val="single" w:sz="4" w:space="0" w:color="FFFFFF"/>
              <w:right w:val="single" w:sz="4" w:space="0" w:color="FFFFFF"/>
            </w:tcBorders>
            <w:shd w:val="clear" w:color="000000" w:fill="41BDE7"/>
            <w:vAlign w:val="center"/>
            <w:hideMark/>
          </w:tcPr>
          <w:p w:rsidR="007F6887" w:rsidRPr="006B071C" w:rsidRDefault="007F6887" w:rsidP="00234DCF">
            <w:pPr>
              <w:spacing w:before="120"/>
              <w:jc w:val="center"/>
              <w:rPr>
                <w:rFonts w:eastAsia="Times New Roman"/>
                <w:b/>
                <w:bCs/>
                <w:color w:val="FFFFFF"/>
                <w:sz w:val="18"/>
                <w:lang w:eastAsia="es-MX"/>
              </w:rPr>
            </w:pPr>
            <w:r w:rsidRPr="006B071C">
              <w:rPr>
                <w:rFonts w:eastAsia="Times New Roman"/>
                <w:b/>
                <w:bCs/>
                <w:color w:val="FF0000"/>
                <w:sz w:val="18"/>
                <w:lang w:eastAsia="es-MX"/>
              </w:rPr>
              <w:t>-187.7</w:t>
            </w:r>
          </w:p>
        </w:tc>
        <w:tc>
          <w:tcPr>
            <w:tcW w:w="1276" w:type="dxa"/>
            <w:tcBorders>
              <w:top w:val="nil"/>
              <w:left w:val="nil"/>
              <w:bottom w:val="single" w:sz="4" w:space="0" w:color="FFFFFF"/>
              <w:right w:val="single" w:sz="4" w:space="0" w:color="FFFFFF"/>
            </w:tcBorders>
            <w:shd w:val="clear" w:color="000000" w:fill="41BDE7"/>
            <w:vAlign w:val="center"/>
            <w:hideMark/>
          </w:tcPr>
          <w:p w:rsidR="007F6887" w:rsidRPr="006B071C" w:rsidRDefault="007F6887" w:rsidP="00234DCF">
            <w:pPr>
              <w:spacing w:before="120"/>
              <w:jc w:val="center"/>
              <w:rPr>
                <w:rFonts w:eastAsia="Times New Roman"/>
                <w:b/>
                <w:bCs/>
                <w:color w:val="FFFFFF"/>
                <w:sz w:val="18"/>
                <w:lang w:eastAsia="es-MX"/>
              </w:rPr>
            </w:pPr>
            <w:r w:rsidRPr="006B071C">
              <w:rPr>
                <w:rFonts w:eastAsia="Times New Roman"/>
                <w:b/>
                <w:bCs/>
                <w:color w:val="FF0000"/>
                <w:sz w:val="18"/>
                <w:lang w:eastAsia="es-MX"/>
              </w:rPr>
              <w:t>-5.7%</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000000" w:fill="F2F2F2"/>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t>FONDO DE APORTACIONES PARA EL FORTALECIMIENTO DE LOS MUNICIPIOS (FORTAMUN)</w:t>
            </w:r>
          </w:p>
        </w:tc>
        <w:tc>
          <w:tcPr>
            <w:tcW w:w="1414"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1,511.5</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1,496.6</w:t>
            </w:r>
          </w:p>
        </w:tc>
        <w:tc>
          <w:tcPr>
            <w:tcW w:w="1273"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-14.8</w:t>
            </w:r>
          </w:p>
        </w:tc>
        <w:tc>
          <w:tcPr>
            <w:tcW w:w="1017"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-76.6</w:t>
            </w:r>
          </w:p>
        </w:tc>
        <w:tc>
          <w:tcPr>
            <w:tcW w:w="1276" w:type="dxa"/>
            <w:tcBorders>
              <w:top w:val="nil"/>
              <w:left w:val="nil"/>
              <w:bottom w:val="single" w:sz="4" w:space="0" w:color="FFFFFF"/>
              <w:right w:val="single" w:sz="4" w:space="0" w:color="FFFFFF"/>
            </w:tcBorders>
            <w:shd w:val="clear" w:color="000000" w:fill="F2F2F2"/>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-4.9%</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auto" w:fill="auto"/>
            <w:vAlign w:val="center"/>
            <w:hideMark/>
          </w:tcPr>
          <w:p w:rsidR="007F6887" w:rsidRPr="00912F98" w:rsidRDefault="007F6887" w:rsidP="00234DCF">
            <w:pPr>
              <w:spacing w:before="120"/>
              <w:ind w:firstLineChars="100" w:firstLine="200"/>
              <w:rPr>
                <w:rFonts w:eastAsia="Times New Roman"/>
                <w:color w:val="000000"/>
                <w:sz w:val="20"/>
                <w:lang w:eastAsia="es-MX"/>
              </w:rPr>
            </w:pPr>
            <w:r w:rsidRPr="00912F98">
              <w:rPr>
                <w:rFonts w:eastAsia="Times New Roman"/>
                <w:color w:val="000000"/>
                <w:sz w:val="20"/>
                <w:lang w:eastAsia="es-MX"/>
              </w:rPr>
              <w:t>FONDO DE APORTACIONES PARA LA INFRAESTRUCTURA SOCIAL MUNICIPAL (FAISM)</w:t>
            </w:r>
          </w:p>
        </w:tc>
        <w:tc>
          <w:tcPr>
            <w:tcW w:w="1414"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1,650.2</w:t>
            </w:r>
          </w:p>
        </w:tc>
        <w:tc>
          <w:tcPr>
            <w:tcW w:w="1273" w:type="dxa"/>
            <w:tcBorders>
              <w:top w:val="nil"/>
              <w:left w:val="nil"/>
              <w:bottom w:val="single" w:sz="4" w:space="0" w:color="FFFFFF"/>
              <w:right w:val="single" w:sz="4" w:space="0" w:color="FFFFFF"/>
            </w:tcBorders>
            <w:shd w:val="clear" w:color="auto" w:fill="auto"/>
            <w:vAlign w:val="center"/>
            <w:hideMark/>
          </w:tcPr>
          <w:p w:rsidR="007F6887" w:rsidRPr="004D5D60" w:rsidRDefault="007F6887" w:rsidP="00234DCF">
            <w:pPr>
              <w:spacing w:before="120"/>
              <w:jc w:val="center"/>
              <w:rPr>
                <w:rFonts w:eastAsia="Times New Roman"/>
                <w:color w:val="000000"/>
                <w:lang w:eastAsia="es-MX"/>
              </w:rPr>
            </w:pPr>
            <w:r w:rsidRPr="004D5D60">
              <w:rPr>
                <w:rFonts w:eastAsia="Times New Roman"/>
                <w:color w:val="000000"/>
                <w:lang w:eastAsia="es-MX"/>
              </w:rPr>
              <w:t>1,606.7</w:t>
            </w:r>
          </w:p>
        </w:tc>
        <w:tc>
          <w:tcPr>
            <w:tcW w:w="1273"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-43.6</w:t>
            </w:r>
          </w:p>
        </w:tc>
        <w:tc>
          <w:tcPr>
            <w:tcW w:w="1017"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-111.1</w:t>
            </w:r>
          </w:p>
        </w:tc>
        <w:tc>
          <w:tcPr>
            <w:tcW w:w="1276" w:type="dxa"/>
            <w:tcBorders>
              <w:top w:val="nil"/>
              <w:left w:val="nil"/>
              <w:bottom w:val="single" w:sz="4" w:space="0" w:color="FFFFFF"/>
              <w:right w:val="single" w:sz="4" w:space="0" w:color="FFFFFF"/>
            </w:tcBorders>
            <w:shd w:val="clear" w:color="auto" w:fill="auto"/>
            <w:vAlign w:val="center"/>
            <w:hideMark/>
          </w:tcPr>
          <w:p w:rsidR="007F6887" w:rsidRPr="006B071C" w:rsidRDefault="007F6887" w:rsidP="00234DCF">
            <w:pPr>
              <w:spacing w:before="120"/>
              <w:jc w:val="center"/>
              <w:rPr>
                <w:rFonts w:eastAsia="Times New Roman"/>
                <w:color w:val="000000"/>
                <w:sz w:val="18"/>
                <w:lang w:eastAsia="es-MX"/>
              </w:rPr>
            </w:pPr>
            <w:r w:rsidRPr="006B071C">
              <w:rPr>
                <w:rFonts w:eastAsia="Times New Roman"/>
                <w:color w:val="FF0000"/>
                <w:sz w:val="18"/>
                <w:lang w:eastAsia="es-MX"/>
              </w:rPr>
              <w:t>-6.5%</w:t>
            </w:r>
          </w:p>
        </w:tc>
      </w:tr>
      <w:tr w:rsidR="007F6887" w:rsidRPr="00C428DD" w:rsidTr="00234DCF">
        <w:trPr>
          <w:trHeight w:val="20"/>
        </w:trPr>
        <w:tc>
          <w:tcPr>
            <w:tcW w:w="4237" w:type="dxa"/>
            <w:tcBorders>
              <w:top w:val="nil"/>
              <w:left w:val="single" w:sz="4" w:space="0" w:color="FFFFFF"/>
              <w:bottom w:val="single" w:sz="4" w:space="0" w:color="FFFFFF"/>
              <w:right w:val="single" w:sz="4" w:space="0" w:color="FFFFFF"/>
            </w:tcBorders>
            <w:shd w:val="clear" w:color="000000" w:fill="41BDE7"/>
            <w:vAlign w:val="center"/>
            <w:hideMark/>
          </w:tcPr>
          <w:p w:rsidR="007F6887" w:rsidRPr="00912F98" w:rsidRDefault="007F6887" w:rsidP="00234DCF">
            <w:pPr>
              <w:spacing w:before="120"/>
              <w:rPr>
                <w:rFonts w:eastAsia="Times New Roman"/>
                <w:b/>
                <w:bCs/>
                <w:color w:val="FFFFFF"/>
                <w:sz w:val="20"/>
                <w:lang w:eastAsia="es-MX"/>
              </w:rPr>
            </w:pPr>
            <w:r w:rsidRPr="00912F98">
              <w:rPr>
                <w:rFonts w:eastAsia="Times New Roman"/>
                <w:b/>
                <w:bCs/>
                <w:color w:val="FFFFFF"/>
                <w:sz w:val="20"/>
                <w:lang w:eastAsia="es-MX"/>
              </w:rPr>
              <w:t>SUBSIDIOS PARA EL APOYO DE OBRAS PUBLICAS A ENTIDADES FEDERATIVAS Y MUNICIPIOS</w:t>
            </w:r>
          </w:p>
        </w:tc>
        <w:tc>
          <w:tcPr>
            <w:tcW w:w="1414"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center"/>
              <w:rPr>
                <w:rFonts w:eastAsia="Times New Roman"/>
                <w:b/>
                <w:bCs/>
                <w:color w:val="FFFFFF"/>
                <w:lang w:eastAsia="es-MX"/>
              </w:rPr>
            </w:pPr>
            <w:r w:rsidRPr="004D5D60">
              <w:rPr>
                <w:rFonts w:eastAsia="Times New Roman"/>
                <w:b/>
                <w:bCs/>
                <w:color w:val="FFFFFF"/>
                <w:lang w:eastAsia="es-MX"/>
              </w:rPr>
              <w:t>30.9</w:t>
            </w:r>
          </w:p>
        </w:tc>
        <w:tc>
          <w:tcPr>
            <w:tcW w:w="1273" w:type="dxa"/>
            <w:tcBorders>
              <w:top w:val="nil"/>
              <w:left w:val="nil"/>
              <w:bottom w:val="single" w:sz="4" w:space="0" w:color="FFFFFF"/>
              <w:right w:val="single" w:sz="4" w:space="0" w:color="FFFFFF"/>
            </w:tcBorders>
            <w:shd w:val="clear" w:color="000000" w:fill="41BDE7"/>
            <w:vAlign w:val="center"/>
            <w:hideMark/>
          </w:tcPr>
          <w:p w:rsidR="007F6887" w:rsidRPr="004D5D60" w:rsidRDefault="007F6887" w:rsidP="00234DCF">
            <w:pPr>
              <w:spacing w:before="120"/>
              <w:jc w:val="center"/>
              <w:rPr>
                <w:rFonts w:eastAsia="Times New Roman"/>
                <w:b/>
                <w:bCs/>
                <w:color w:val="FFFFFF"/>
                <w:lang w:eastAsia="es-MX"/>
              </w:rPr>
            </w:pPr>
          </w:p>
        </w:tc>
        <w:tc>
          <w:tcPr>
            <w:tcW w:w="1273" w:type="dxa"/>
            <w:tcBorders>
              <w:top w:val="nil"/>
              <w:left w:val="nil"/>
              <w:bottom w:val="single" w:sz="4" w:space="0" w:color="FFFFFF"/>
              <w:right w:val="single" w:sz="4" w:space="0" w:color="FFFFFF"/>
            </w:tcBorders>
            <w:shd w:val="clear" w:color="000000" w:fill="41BDE7"/>
            <w:vAlign w:val="center"/>
            <w:hideMark/>
          </w:tcPr>
          <w:p w:rsidR="007F6887" w:rsidRPr="006B071C" w:rsidRDefault="007F6887" w:rsidP="00234DCF">
            <w:pPr>
              <w:spacing w:before="120"/>
              <w:jc w:val="center"/>
              <w:rPr>
                <w:rFonts w:eastAsia="Times New Roman"/>
                <w:b/>
                <w:bCs/>
                <w:color w:val="FFFFFF"/>
                <w:sz w:val="18"/>
                <w:lang w:eastAsia="es-MX"/>
              </w:rPr>
            </w:pPr>
            <w:r w:rsidRPr="006B071C">
              <w:rPr>
                <w:rFonts w:eastAsia="Times New Roman"/>
                <w:b/>
                <w:bCs/>
                <w:color w:val="FF0000"/>
                <w:sz w:val="18"/>
                <w:lang w:eastAsia="es-MX"/>
              </w:rPr>
              <w:t>-30.9</w:t>
            </w:r>
          </w:p>
        </w:tc>
        <w:tc>
          <w:tcPr>
            <w:tcW w:w="1017" w:type="dxa"/>
            <w:tcBorders>
              <w:top w:val="nil"/>
              <w:left w:val="nil"/>
              <w:bottom w:val="single" w:sz="4" w:space="0" w:color="FFFFFF"/>
              <w:right w:val="single" w:sz="4" w:space="0" w:color="FFFFFF"/>
            </w:tcBorders>
            <w:shd w:val="clear" w:color="000000" w:fill="41BDE7"/>
            <w:vAlign w:val="center"/>
            <w:hideMark/>
          </w:tcPr>
          <w:p w:rsidR="007F6887" w:rsidRPr="006B071C" w:rsidRDefault="007F6887" w:rsidP="00234DCF">
            <w:pPr>
              <w:spacing w:before="120"/>
              <w:jc w:val="center"/>
              <w:rPr>
                <w:rFonts w:eastAsia="Times New Roman"/>
                <w:b/>
                <w:bCs/>
                <w:color w:val="FFFFFF"/>
                <w:sz w:val="18"/>
                <w:lang w:eastAsia="es-MX"/>
              </w:rPr>
            </w:pPr>
            <w:r w:rsidRPr="006B071C">
              <w:rPr>
                <w:rFonts w:eastAsia="Times New Roman"/>
                <w:b/>
                <w:bCs/>
                <w:color w:val="FF0000"/>
                <w:sz w:val="18"/>
                <w:lang w:eastAsia="es-MX"/>
              </w:rPr>
              <w:t>-32.2</w:t>
            </w:r>
          </w:p>
        </w:tc>
        <w:tc>
          <w:tcPr>
            <w:tcW w:w="1276" w:type="dxa"/>
            <w:tcBorders>
              <w:top w:val="nil"/>
              <w:left w:val="nil"/>
              <w:bottom w:val="single" w:sz="4" w:space="0" w:color="FFFFFF"/>
              <w:right w:val="single" w:sz="4" w:space="0" w:color="FFFFFF"/>
            </w:tcBorders>
            <w:shd w:val="clear" w:color="000000" w:fill="41BDE7"/>
            <w:vAlign w:val="center"/>
            <w:hideMark/>
          </w:tcPr>
          <w:p w:rsidR="007F6887" w:rsidRPr="006B071C" w:rsidRDefault="007F6887" w:rsidP="00234DCF">
            <w:pPr>
              <w:spacing w:before="120"/>
              <w:jc w:val="center"/>
              <w:rPr>
                <w:rFonts w:eastAsia="Times New Roman"/>
                <w:b/>
                <w:bCs/>
                <w:color w:val="FFFFFF"/>
                <w:sz w:val="18"/>
                <w:lang w:eastAsia="es-MX"/>
              </w:rPr>
            </w:pPr>
            <w:r w:rsidRPr="006B071C">
              <w:rPr>
                <w:rFonts w:eastAsia="Times New Roman"/>
                <w:b/>
                <w:bCs/>
                <w:color w:val="FF0000"/>
                <w:sz w:val="18"/>
                <w:lang w:eastAsia="es-MX"/>
              </w:rPr>
              <w:t>-100.0%</w:t>
            </w:r>
          </w:p>
        </w:tc>
      </w:tr>
      <w:tr w:rsidR="007F6887" w:rsidRPr="00C428DD" w:rsidTr="00234DCF">
        <w:trPr>
          <w:trHeight w:val="20"/>
        </w:trPr>
        <w:tc>
          <w:tcPr>
            <w:tcW w:w="4237" w:type="dxa"/>
            <w:tcBorders>
              <w:top w:val="single" w:sz="4" w:space="0" w:color="1A98C0"/>
              <w:left w:val="single" w:sz="4" w:space="0" w:color="FFFFFF"/>
              <w:bottom w:val="single" w:sz="4" w:space="0" w:color="FFFFFF"/>
              <w:right w:val="single" w:sz="4" w:space="0" w:color="FFFFFF"/>
            </w:tcBorders>
            <w:shd w:val="clear" w:color="D5F0F9" w:fill="FFFFFF"/>
            <w:vAlign w:val="center"/>
            <w:hideMark/>
          </w:tcPr>
          <w:p w:rsidR="007F6887" w:rsidRPr="004D5D60" w:rsidRDefault="007F6887" w:rsidP="00234DCF">
            <w:pPr>
              <w:spacing w:before="120"/>
              <w:jc w:val="center"/>
              <w:rPr>
                <w:rFonts w:eastAsia="Times New Roman"/>
                <w:b/>
                <w:bCs/>
                <w:color w:val="000000"/>
                <w:lang w:eastAsia="es-MX"/>
              </w:rPr>
            </w:pPr>
            <w:r w:rsidRPr="004D5D60">
              <w:rPr>
                <w:rFonts w:eastAsia="Times New Roman"/>
                <w:b/>
                <w:bCs/>
                <w:color w:val="000000"/>
                <w:lang w:eastAsia="es-MX"/>
              </w:rPr>
              <w:t>Total general</w:t>
            </w:r>
          </w:p>
        </w:tc>
        <w:tc>
          <w:tcPr>
            <w:tcW w:w="1414" w:type="dxa"/>
            <w:tcBorders>
              <w:top w:val="single" w:sz="4" w:space="0" w:color="1A98C0"/>
              <w:left w:val="nil"/>
              <w:bottom w:val="single" w:sz="4" w:space="0" w:color="FFFFFF"/>
              <w:right w:val="single" w:sz="4" w:space="0" w:color="FFFFFF"/>
            </w:tcBorders>
            <w:shd w:val="clear" w:color="D5F0F9" w:fill="FFFFFF"/>
            <w:vAlign w:val="center"/>
            <w:hideMark/>
          </w:tcPr>
          <w:p w:rsidR="007F6887" w:rsidRPr="004D5D60" w:rsidRDefault="007F6887" w:rsidP="00234DCF">
            <w:pPr>
              <w:spacing w:before="120"/>
              <w:jc w:val="center"/>
              <w:rPr>
                <w:rFonts w:eastAsia="Times New Roman"/>
                <w:b/>
                <w:bCs/>
                <w:color w:val="000000"/>
                <w:lang w:eastAsia="es-MX"/>
              </w:rPr>
            </w:pPr>
            <w:r w:rsidRPr="004D5D60">
              <w:rPr>
                <w:rFonts w:eastAsia="Times New Roman"/>
                <w:b/>
                <w:bCs/>
                <w:color w:val="000000"/>
                <w:lang w:eastAsia="es-MX"/>
              </w:rPr>
              <w:t>6,891.0</w:t>
            </w:r>
          </w:p>
        </w:tc>
        <w:tc>
          <w:tcPr>
            <w:tcW w:w="1273" w:type="dxa"/>
            <w:tcBorders>
              <w:top w:val="single" w:sz="4" w:space="0" w:color="1A98C0"/>
              <w:left w:val="nil"/>
              <w:bottom w:val="single" w:sz="4" w:space="0" w:color="FFFFFF"/>
              <w:right w:val="single" w:sz="4" w:space="0" w:color="FFFFFF"/>
            </w:tcBorders>
            <w:shd w:val="clear" w:color="D5F0F9" w:fill="FFFFFF"/>
            <w:vAlign w:val="center"/>
            <w:hideMark/>
          </w:tcPr>
          <w:p w:rsidR="007F6887" w:rsidRPr="004D5D60" w:rsidRDefault="007F6887" w:rsidP="00234DCF">
            <w:pPr>
              <w:spacing w:before="120"/>
              <w:jc w:val="center"/>
              <w:rPr>
                <w:rFonts w:eastAsia="Times New Roman"/>
                <w:b/>
                <w:bCs/>
                <w:color w:val="000000"/>
                <w:lang w:eastAsia="es-MX"/>
              </w:rPr>
            </w:pPr>
            <w:r w:rsidRPr="004D5D60">
              <w:rPr>
                <w:rFonts w:eastAsia="Times New Roman"/>
                <w:b/>
                <w:bCs/>
                <w:color w:val="000000"/>
                <w:lang w:eastAsia="es-MX"/>
              </w:rPr>
              <w:t>6,761.4</w:t>
            </w:r>
          </w:p>
        </w:tc>
        <w:tc>
          <w:tcPr>
            <w:tcW w:w="1273" w:type="dxa"/>
            <w:tcBorders>
              <w:top w:val="single" w:sz="4" w:space="0" w:color="1A98C0"/>
              <w:left w:val="nil"/>
              <w:bottom w:val="single" w:sz="4" w:space="0" w:color="FFFFFF"/>
              <w:right w:val="single" w:sz="4" w:space="0" w:color="FFFFFF"/>
            </w:tcBorders>
            <w:shd w:val="clear" w:color="000000" w:fill="FFFFFF"/>
            <w:vAlign w:val="center"/>
            <w:hideMark/>
          </w:tcPr>
          <w:p w:rsidR="007F6887" w:rsidRPr="006B071C" w:rsidRDefault="007F6887" w:rsidP="00234DCF">
            <w:pPr>
              <w:spacing w:before="120"/>
              <w:jc w:val="center"/>
              <w:rPr>
                <w:rFonts w:eastAsia="Times New Roman"/>
                <w:b/>
                <w:bCs/>
                <w:color w:val="000000"/>
                <w:sz w:val="18"/>
                <w:lang w:eastAsia="es-MX"/>
              </w:rPr>
            </w:pPr>
            <w:r w:rsidRPr="006B071C">
              <w:rPr>
                <w:rFonts w:eastAsia="Times New Roman"/>
                <w:b/>
                <w:bCs/>
                <w:color w:val="FF0000"/>
                <w:sz w:val="18"/>
                <w:lang w:eastAsia="es-MX"/>
              </w:rPr>
              <w:t>-129.7</w:t>
            </w:r>
          </w:p>
        </w:tc>
        <w:tc>
          <w:tcPr>
            <w:tcW w:w="1017" w:type="dxa"/>
            <w:tcBorders>
              <w:top w:val="single" w:sz="4" w:space="0" w:color="1A98C0"/>
              <w:left w:val="nil"/>
              <w:bottom w:val="single" w:sz="4" w:space="0" w:color="FFFFFF"/>
              <w:right w:val="single" w:sz="4" w:space="0" w:color="FFFFFF"/>
            </w:tcBorders>
            <w:shd w:val="clear" w:color="000000" w:fill="FFFFFF"/>
            <w:vAlign w:val="center"/>
            <w:hideMark/>
          </w:tcPr>
          <w:p w:rsidR="007F6887" w:rsidRPr="006B071C" w:rsidRDefault="007F6887" w:rsidP="00234DCF">
            <w:pPr>
              <w:spacing w:before="120"/>
              <w:jc w:val="center"/>
              <w:rPr>
                <w:rFonts w:eastAsia="Times New Roman"/>
                <w:b/>
                <w:bCs/>
                <w:color w:val="000000"/>
                <w:sz w:val="18"/>
                <w:lang w:eastAsia="es-MX"/>
              </w:rPr>
            </w:pPr>
            <w:r w:rsidRPr="006B071C">
              <w:rPr>
                <w:rFonts w:eastAsia="Times New Roman"/>
                <w:b/>
                <w:bCs/>
                <w:color w:val="FF0000"/>
                <w:sz w:val="18"/>
                <w:lang w:eastAsia="es-MX"/>
              </w:rPr>
              <w:t>-411.5</w:t>
            </w:r>
          </w:p>
        </w:tc>
        <w:tc>
          <w:tcPr>
            <w:tcW w:w="1276" w:type="dxa"/>
            <w:tcBorders>
              <w:top w:val="single" w:sz="4" w:space="0" w:color="1A98C0"/>
              <w:left w:val="nil"/>
              <w:bottom w:val="single" w:sz="4" w:space="0" w:color="FFFFFF"/>
              <w:right w:val="single" w:sz="4" w:space="0" w:color="FFFFFF"/>
            </w:tcBorders>
            <w:shd w:val="clear" w:color="000000" w:fill="FFFFFF"/>
            <w:vAlign w:val="center"/>
            <w:hideMark/>
          </w:tcPr>
          <w:p w:rsidR="007F6887" w:rsidRPr="006B071C" w:rsidRDefault="007F6887" w:rsidP="00234DCF">
            <w:pPr>
              <w:spacing w:before="120"/>
              <w:jc w:val="center"/>
              <w:rPr>
                <w:rFonts w:eastAsia="Times New Roman"/>
                <w:b/>
                <w:bCs/>
                <w:color w:val="000000"/>
                <w:sz w:val="18"/>
                <w:lang w:eastAsia="es-MX"/>
              </w:rPr>
            </w:pPr>
            <w:r w:rsidRPr="006B071C">
              <w:rPr>
                <w:rFonts w:eastAsia="Times New Roman"/>
                <w:b/>
                <w:bCs/>
                <w:color w:val="FF0000"/>
                <w:sz w:val="18"/>
                <w:lang w:eastAsia="es-MX"/>
              </w:rPr>
              <w:t>-5.7%</w:t>
            </w:r>
          </w:p>
        </w:tc>
      </w:tr>
    </w:tbl>
    <w:p w:rsidR="007F6887" w:rsidRPr="00912F98" w:rsidRDefault="007F6887" w:rsidP="007F6887">
      <w:pPr>
        <w:spacing w:before="120"/>
        <w:rPr>
          <w:i/>
          <w:iCs/>
        </w:rPr>
      </w:pPr>
      <w:r w:rsidRPr="00912F98">
        <w:rPr>
          <w:i/>
          <w:iCs/>
        </w:rPr>
        <w:t>Considerando la inflación octubre 2019 – octubre 2020 correspondiente a 4.09% publicada por INEGI*</w:t>
      </w:r>
    </w:p>
    <w:p w:rsidR="007F6887" w:rsidRPr="00912F98" w:rsidRDefault="007F6887" w:rsidP="007F6887">
      <w:pPr>
        <w:spacing w:before="100" w:beforeAutospacing="1" w:after="100" w:afterAutospacing="1"/>
        <w:rPr>
          <w:rFonts w:cs="Arial"/>
        </w:rPr>
      </w:pPr>
      <w:r w:rsidRPr="00912F98">
        <w:rPr>
          <w:rFonts w:cs="Arial"/>
        </w:rPr>
        <w:t>En términos reales, las asignaciones a Municipios se espera permanezcan prácticamente sin cambio con respecto al autorizado en 2019, sin embargo, las Participaciones Federales a Municipios se estiman más bajas, con una reducción de -0.7%, explicada principalmente por la reducción de -12.3% real del Fondo Especial proveniente del Impuesto Especial sobre Producción y Servicios (IEPS) , así como otras reducciones en el Fondo General de Participaciones a Municipios, al Fondo de Fomento Municipal, al Fondo ISR,  así como las Participaciones  sobre Impuestos de Autos Nuevos.</w:t>
      </w:r>
    </w:p>
    <w:p w:rsidR="007F6887" w:rsidRPr="00912F98" w:rsidRDefault="007F6887" w:rsidP="007F6887">
      <w:pPr>
        <w:spacing w:before="100" w:beforeAutospacing="1" w:after="100" w:afterAutospacing="1"/>
        <w:rPr>
          <w:rFonts w:cs="Arial"/>
          <w:b/>
        </w:rPr>
      </w:pPr>
      <w:r w:rsidRPr="00912F98">
        <w:rPr>
          <w:rFonts w:cs="Arial"/>
          <w:b/>
        </w:rPr>
        <w:lastRenderedPageBreak/>
        <w:t>2.4 Riesgos relevantes para las finanzas públicas</w:t>
      </w:r>
    </w:p>
    <w:p w:rsidR="007F6887" w:rsidRPr="00912F98" w:rsidRDefault="007F6887" w:rsidP="007F6887">
      <w:pPr>
        <w:spacing w:before="100" w:beforeAutospacing="1" w:after="100" w:afterAutospacing="1"/>
        <w:rPr>
          <w:rFonts w:cs="Arial"/>
        </w:rPr>
      </w:pPr>
      <w:r w:rsidRPr="00912F98">
        <w:rPr>
          <w:rFonts w:cs="Arial"/>
        </w:rPr>
        <w:t>De conformidad con el análisis descrito en los Criterios Generales de Política Económica para la Iniciativa de Ley de Ingresos y el Proyecto de Presupuesto de Egresos de la Federación para el Ejercicio Fiscal 2021, el escenario macroeconómico de mediano plazo está sujeto a riesgos que podrían modificar las trayectorias anticipadas en la evolución de la economía, de las finanzas públicas federales y en consecuencia de las estatales.</w:t>
      </w:r>
    </w:p>
    <w:p w:rsidR="007F6887" w:rsidRPr="00912F98" w:rsidRDefault="007F6887" w:rsidP="007F6887">
      <w:pPr>
        <w:spacing w:before="100" w:beforeAutospacing="1" w:after="100" w:afterAutospacing="1"/>
        <w:rPr>
          <w:rFonts w:cs="Arial"/>
          <w:b/>
          <w:i/>
        </w:rPr>
      </w:pPr>
      <w:r w:rsidRPr="00912F98">
        <w:rPr>
          <w:rFonts w:cs="Arial"/>
          <w:b/>
          <w:i/>
        </w:rPr>
        <w:t>2.4.1 Riesgos fiscales</w:t>
      </w:r>
    </w:p>
    <w:p w:rsidR="007F6887" w:rsidRPr="00912F98" w:rsidRDefault="007F6887" w:rsidP="007F6887">
      <w:pPr>
        <w:spacing w:before="100" w:beforeAutospacing="1" w:after="100" w:afterAutospacing="1"/>
        <w:rPr>
          <w:rFonts w:cs="Arial"/>
        </w:rPr>
      </w:pPr>
      <w:r w:rsidRPr="00912F98">
        <w:rPr>
          <w:rFonts w:cs="Arial"/>
        </w:rPr>
        <w:t>El entorno macroeconómico previsto para 2021 se encuentra sujeto a riesgos que podrían modificar las estimaciones que sirvieron de base para la elaboración del Paquete Fiscal 2021. En las estimaciones se toma en cuenta la evolución de las principales variables económicas, así como la incertidumbre que prevalece tras el impacto de la pandemia ocasionada por el virus COVID-19. En este marco, es importante considerar que durante el ejercicio fiscal se pueden presentar desviaciones con respecto a lo esperado en el momento de elaborar y aprobar el Paquete Fiscal 2021, como resultado de choques macroeconómicos de distinta índole. Destacan los siguientes riesgos:</w:t>
      </w:r>
    </w:p>
    <w:p w:rsidR="007F6887" w:rsidRDefault="007F6887" w:rsidP="00535A9D">
      <w:pPr>
        <w:pStyle w:val="Prrafodelista"/>
        <w:numPr>
          <w:ilvl w:val="0"/>
          <w:numId w:val="29"/>
        </w:numPr>
        <w:spacing w:before="100" w:beforeAutospacing="1" w:after="100" w:afterAutospacing="1" w:line="240" w:lineRule="auto"/>
        <w:rPr>
          <w:rFonts w:ascii="Arial" w:hAnsi="Arial" w:cs="Arial"/>
          <w:szCs w:val="24"/>
        </w:rPr>
      </w:pPr>
      <w:r w:rsidRPr="00912F98">
        <w:rPr>
          <w:rFonts w:ascii="Arial" w:hAnsi="Arial" w:cs="Arial"/>
          <w:szCs w:val="24"/>
        </w:rPr>
        <w:t>Riesgos asociados al cambio climático, en especial potenciales desastres naturales con su respectivo impacto sobre la población y sus bienes, los servicios públicos y el medio ambiente.</w:t>
      </w:r>
    </w:p>
    <w:p w:rsidR="007F6887" w:rsidRDefault="007F6887" w:rsidP="00535A9D">
      <w:pPr>
        <w:pStyle w:val="Prrafodelista"/>
        <w:numPr>
          <w:ilvl w:val="0"/>
          <w:numId w:val="29"/>
        </w:numPr>
        <w:spacing w:before="100" w:beforeAutospacing="1" w:after="100" w:afterAutospacing="1" w:line="240" w:lineRule="auto"/>
        <w:rPr>
          <w:rFonts w:ascii="Arial" w:hAnsi="Arial" w:cs="Arial"/>
          <w:szCs w:val="24"/>
        </w:rPr>
      </w:pPr>
      <w:r w:rsidRPr="00912F98">
        <w:rPr>
          <w:rFonts w:ascii="Arial" w:hAnsi="Arial" w:cs="Arial"/>
          <w:szCs w:val="24"/>
        </w:rPr>
        <w:t>Impredecible duración y severidad de los efectos de la Pandemia COVID19 y su impacto en la oferta y demanda de bienes y servicios.</w:t>
      </w:r>
    </w:p>
    <w:p w:rsidR="007F6887" w:rsidRDefault="007F6887" w:rsidP="00535A9D">
      <w:pPr>
        <w:pStyle w:val="Prrafodelista"/>
        <w:numPr>
          <w:ilvl w:val="0"/>
          <w:numId w:val="29"/>
        </w:numPr>
        <w:spacing w:before="100" w:beforeAutospacing="1" w:after="100" w:afterAutospacing="1" w:line="240" w:lineRule="auto"/>
        <w:rPr>
          <w:rFonts w:ascii="Arial" w:hAnsi="Arial" w:cs="Arial"/>
          <w:szCs w:val="24"/>
        </w:rPr>
      </w:pPr>
      <w:r w:rsidRPr="00912F98">
        <w:rPr>
          <w:rFonts w:ascii="Arial" w:hAnsi="Arial" w:cs="Arial"/>
          <w:szCs w:val="24"/>
        </w:rPr>
        <w:t>Riesgos de requerir medidas de apoyo adicionales a las previstas para atender los brotes de la Pandemia global.</w:t>
      </w:r>
    </w:p>
    <w:p w:rsidR="007F6887" w:rsidRDefault="007F6887" w:rsidP="00535A9D">
      <w:pPr>
        <w:pStyle w:val="Prrafodelista"/>
        <w:numPr>
          <w:ilvl w:val="0"/>
          <w:numId w:val="29"/>
        </w:numPr>
        <w:spacing w:before="100" w:beforeAutospacing="1" w:after="100" w:afterAutospacing="1" w:line="240" w:lineRule="auto"/>
        <w:rPr>
          <w:rFonts w:ascii="Arial" w:hAnsi="Arial" w:cs="Arial"/>
          <w:szCs w:val="24"/>
        </w:rPr>
      </w:pPr>
      <w:r w:rsidRPr="00912F98">
        <w:rPr>
          <w:rFonts w:ascii="Arial" w:hAnsi="Arial" w:cs="Arial"/>
          <w:szCs w:val="24"/>
        </w:rPr>
        <w:t>Debilitamiento de la economía mundial.</w:t>
      </w:r>
    </w:p>
    <w:p w:rsidR="007F6887" w:rsidRDefault="007F6887" w:rsidP="00535A9D">
      <w:pPr>
        <w:pStyle w:val="Prrafodelista"/>
        <w:numPr>
          <w:ilvl w:val="0"/>
          <w:numId w:val="29"/>
        </w:numPr>
        <w:spacing w:before="100" w:beforeAutospacing="1" w:after="100" w:afterAutospacing="1" w:line="240" w:lineRule="auto"/>
        <w:rPr>
          <w:rFonts w:ascii="Arial" w:hAnsi="Arial" w:cs="Arial"/>
          <w:szCs w:val="24"/>
        </w:rPr>
      </w:pPr>
      <w:r w:rsidRPr="00912F98">
        <w:rPr>
          <w:rFonts w:ascii="Arial" w:hAnsi="Arial" w:cs="Arial"/>
          <w:szCs w:val="24"/>
        </w:rPr>
        <w:t>Elevada volatilidad en los mercados financieros internacionales.</w:t>
      </w:r>
    </w:p>
    <w:p w:rsidR="007F6887" w:rsidRPr="00912F98" w:rsidRDefault="007F6887" w:rsidP="00535A9D">
      <w:pPr>
        <w:pStyle w:val="Prrafodelista"/>
        <w:numPr>
          <w:ilvl w:val="0"/>
          <w:numId w:val="29"/>
        </w:numPr>
        <w:spacing w:before="100" w:beforeAutospacing="1" w:after="100" w:afterAutospacing="1" w:line="240" w:lineRule="auto"/>
        <w:rPr>
          <w:rFonts w:ascii="Arial" w:hAnsi="Arial" w:cs="Arial"/>
          <w:szCs w:val="24"/>
        </w:rPr>
      </w:pPr>
      <w:r w:rsidRPr="00912F98">
        <w:rPr>
          <w:rFonts w:ascii="Arial" w:hAnsi="Arial" w:cs="Arial"/>
          <w:szCs w:val="24"/>
        </w:rPr>
        <w:t>Volatilidad en la producción, distribución y venta del petróleo.</w:t>
      </w:r>
    </w:p>
    <w:p w:rsidR="007F6887" w:rsidRPr="00912F98" w:rsidRDefault="007F6887" w:rsidP="007F6887">
      <w:pPr>
        <w:spacing w:before="100" w:beforeAutospacing="1" w:after="100" w:afterAutospacing="1"/>
        <w:rPr>
          <w:rFonts w:cs="Arial"/>
        </w:rPr>
      </w:pPr>
      <w:r w:rsidRPr="00912F98">
        <w:rPr>
          <w:rFonts w:cs="Arial"/>
        </w:rPr>
        <w:t>De materializarse los riesgos macroeconómicos que se describen, podría generarse un impacto negativo en el dinamismo de la economía del Estado, lo que podría afectar las variables relacionadas con la recaudación de ingresos locales.</w:t>
      </w:r>
    </w:p>
    <w:p w:rsidR="007F6887" w:rsidRPr="00912F98" w:rsidRDefault="007F6887" w:rsidP="007F6887">
      <w:pPr>
        <w:spacing w:before="100" w:beforeAutospacing="1" w:after="100" w:afterAutospacing="1"/>
        <w:rPr>
          <w:rFonts w:cs="Arial"/>
        </w:rPr>
      </w:pPr>
      <w:r w:rsidRPr="00912F98">
        <w:rPr>
          <w:rFonts w:cs="Arial"/>
        </w:rPr>
        <w:t xml:space="preserve">Bajo este contexto, se identifican los siguientes riesgos: Riesgo por reducción de ingresos y Riesgo por incremento de los gastos. Al respecto: </w:t>
      </w:r>
    </w:p>
    <w:p w:rsidR="007F6887" w:rsidRPr="00912F98" w:rsidRDefault="007F6887" w:rsidP="007F6887">
      <w:pPr>
        <w:spacing w:before="100" w:beforeAutospacing="1" w:after="100" w:afterAutospacing="1"/>
        <w:rPr>
          <w:rFonts w:cs="Arial"/>
          <w:b/>
        </w:rPr>
      </w:pPr>
      <w:r w:rsidRPr="00912F98">
        <w:rPr>
          <w:rFonts w:cs="Arial"/>
          <w:b/>
        </w:rPr>
        <w:t>Riesgo por reducción de ingresos</w:t>
      </w:r>
    </w:p>
    <w:p w:rsidR="007F6887" w:rsidRPr="00912F98" w:rsidRDefault="007F6887" w:rsidP="007F6887">
      <w:pPr>
        <w:spacing w:before="100" w:beforeAutospacing="1" w:after="100" w:afterAutospacing="1"/>
        <w:rPr>
          <w:rFonts w:cs="Arial"/>
        </w:rPr>
      </w:pPr>
      <w:r w:rsidRPr="00912F98">
        <w:rPr>
          <w:rFonts w:cs="Arial"/>
        </w:rPr>
        <w:lastRenderedPageBreak/>
        <w:t xml:space="preserve">El riesgo se puede materializar en los siguientes escenarios: </w:t>
      </w:r>
    </w:p>
    <w:p w:rsidR="007F6887" w:rsidRDefault="007F6887" w:rsidP="00535A9D">
      <w:pPr>
        <w:pStyle w:val="Prrafodelista"/>
        <w:numPr>
          <w:ilvl w:val="0"/>
          <w:numId w:val="30"/>
        </w:numPr>
        <w:spacing w:before="100" w:beforeAutospacing="1" w:after="100" w:afterAutospacing="1" w:line="240" w:lineRule="auto"/>
        <w:rPr>
          <w:rFonts w:ascii="Arial" w:hAnsi="Arial" w:cs="Arial"/>
          <w:szCs w:val="24"/>
        </w:rPr>
      </w:pPr>
      <w:r w:rsidRPr="00912F98">
        <w:rPr>
          <w:rFonts w:ascii="Arial" w:hAnsi="Arial" w:cs="Arial"/>
          <w:szCs w:val="24"/>
        </w:rPr>
        <w:t>La reducción en la captación de recursos locales derivados de un menor crecimiento económico y una consecuente contracción en la tasa de empleo formal con su impacto en el consumo.</w:t>
      </w:r>
    </w:p>
    <w:p w:rsidR="007F6887" w:rsidRDefault="007F6887" w:rsidP="00535A9D">
      <w:pPr>
        <w:pStyle w:val="Prrafodelista"/>
        <w:numPr>
          <w:ilvl w:val="0"/>
          <w:numId w:val="30"/>
        </w:numPr>
        <w:spacing w:before="100" w:beforeAutospacing="1" w:after="100" w:afterAutospacing="1" w:line="240" w:lineRule="auto"/>
        <w:rPr>
          <w:rFonts w:ascii="Arial" w:hAnsi="Arial" w:cs="Arial"/>
          <w:szCs w:val="24"/>
        </w:rPr>
      </w:pPr>
      <w:r w:rsidRPr="00912F98">
        <w:rPr>
          <w:rFonts w:ascii="Arial" w:hAnsi="Arial" w:cs="Arial"/>
          <w:szCs w:val="24"/>
        </w:rPr>
        <w:t>La reducción en las transferencias por participaciones federales, derivada de una menor recaudación de los ingresos federales y en particular de menores transferencias de fondos petroleros para el desarrollo.</w:t>
      </w:r>
    </w:p>
    <w:p w:rsidR="007F6887" w:rsidRDefault="007F6887" w:rsidP="00535A9D">
      <w:pPr>
        <w:pStyle w:val="Prrafodelista"/>
        <w:numPr>
          <w:ilvl w:val="0"/>
          <w:numId w:val="30"/>
        </w:numPr>
        <w:spacing w:before="100" w:beforeAutospacing="1" w:after="100" w:afterAutospacing="1" w:line="240" w:lineRule="auto"/>
        <w:rPr>
          <w:rFonts w:ascii="Arial" w:hAnsi="Arial" w:cs="Arial"/>
          <w:szCs w:val="24"/>
        </w:rPr>
      </w:pPr>
      <w:r w:rsidRPr="00912F98">
        <w:rPr>
          <w:rFonts w:ascii="Arial" w:hAnsi="Arial" w:cs="Arial"/>
          <w:szCs w:val="24"/>
        </w:rPr>
        <w:t>Ajustes a las participaciones por el cálculo del coeficiente de participaciones 2021. El coeficiente definitivo aplicado para la distribución de recursos del Fondo General de Participaciones para 2021 se modifica en función de los resultados publicados en las Cuentas Públicas 2020 de los gobiernos de los Estados. Ante la coyuntura económica descrita, los impactos en la recaudación local y la actividad económica en cada Estado han sido diferentes. En este sentido, es posible que los ajustes puedan repercutir en cambios significativos en los coeficientes estatales.</w:t>
      </w:r>
    </w:p>
    <w:p w:rsidR="007F6887" w:rsidRDefault="007F6887" w:rsidP="00535A9D">
      <w:pPr>
        <w:pStyle w:val="Prrafodelista"/>
        <w:numPr>
          <w:ilvl w:val="0"/>
          <w:numId w:val="30"/>
        </w:numPr>
        <w:spacing w:before="100" w:beforeAutospacing="1" w:after="100" w:afterAutospacing="1" w:line="240" w:lineRule="auto"/>
        <w:rPr>
          <w:rFonts w:ascii="Arial" w:hAnsi="Arial" w:cs="Arial"/>
          <w:szCs w:val="24"/>
        </w:rPr>
      </w:pPr>
      <w:r w:rsidRPr="00912F98">
        <w:rPr>
          <w:rFonts w:ascii="Arial" w:hAnsi="Arial" w:cs="Arial"/>
          <w:szCs w:val="24"/>
        </w:rPr>
        <w:t>La reducción en la plataforma de exportación y en el precio internacional del petróleo, ya que, la diferencia del precio real contra el asegurado no forma parte de la recaudación federal participable, que es la base para el cálculo de las participaciones de los Estados y Municipios.</w:t>
      </w:r>
    </w:p>
    <w:p w:rsidR="007F6887" w:rsidRPr="00912F98" w:rsidRDefault="007F6887" w:rsidP="00535A9D">
      <w:pPr>
        <w:pStyle w:val="Prrafodelista"/>
        <w:numPr>
          <w:ilvl w:val="0"/>
          <w:numId w:val="30"/>
        </w:numPr>
        <w:spacing w:before="100" w:beforeAutospacing="1" w:after="100" w:afterAutospacing="1" w:line="240" w:lineRule="auto"/>
        <w:rPr>
          <w:rFonts w:ascii="Arial" w:hAnsi="Arial" w:cs="Arial"/>
          <w:szCs w:val="24"/>
        </w:rPr>
      </w:pPr>
      <w:r w:rsidRPr="00912F98">
        <w:rPr>
          <w:rFonts w:ascii="Arial" w:hAnsi="Arial" w:cs="Arial"/>
          <w:szCs w:val="24"/>
        </w:rPr>
        <w:t>La reducción en los convenios de coordinación por reasignación de recursos, derivada de un probable recorte del Gasto Federal, en caso de que el Gobierno Federal adopte medidas de reducción adicionales del gasto.</w:t>
      </w:r>
    </w:p>
    <w:p w:rsidR="007F6887" w:rsidRPr="00912F98" w:rsidRDefault="007F6887" w:rsidP="007F6887">
      <w:pPr>
        <w:spacing w:before="100" w:beforeAutospacing="1" w:after="100" w:afterAutospacing="1"/>
        <w:rPr>
          <w:rFonts w:cs="Arial"/>
          <w:b/>
        </w:rPr>
      </w:pPr>
      <w:r w:rsidRPr="00912F98">
        <w:rPr>
          <w:rFonts w:cs="Arial"/>
          <w:b/>
        </w:rPr>
        <w:t>Propuesta de acción por reducción de ingresos</w:t>
      </w:r>
    </w:p>
    <w:p w:rsidR="007F6887" w:rsidRPr="00912F98" w:rsidRDefault="007F6887" w:rsidP="007F6887">
      <w:pPr>
        <w:spacing w:before="100" w:beforeAutospacing="1" w:after="100" w:afterAutospacing="1"/>
        <w:rPr>
          <w:rFonts w:cs="Arial"/>
        </w:rPr>
      </w:pPr>
      <w:r w:rsidRPr="00912F98">
        <w:rPr>
          <w:rFonts w:cs="Arial"/>
        </w:rPr>
        <w:t>En caso de que se presentara alguno o varios de los</w:t>
      </w:r>
      <w:r>
        <w:rPr>
          <w:rFonts w:cs="Arial"/>
        </w:rPr>
        <w:t xml:space="preserve"> escenarios planteados anterior</w:t>
      </w:r>
      <w:r w:rsidRPr="00912F98">
        <w:rPr>
          <w:rFonts w:cs="Arial"/>
        </w:rPr>
        <w:t>mente, se presentan las siguientes acciones de contingencia para atenuar el impacto en las finanzas públicas:</w:t>
      </w:r>
    </w:p>
    <w:p w:rsidR="007F6887" w:rsidRPr="00912F98" w:rsidRDefault="007F6887" w:rsidP="007F6887">
      <w:pPr>
        <w:spacing w:before="100" w:beforeAutospacing="1" w:after="100" w:afterAutospacing="1"/>
        <w:rPr>
          <w:rFonts w:cs="Arial"/>
        </w:rPr>
      </w:pPr>
      <w:r w:rsidRPr="00912F98">
        <w:rPr>
          <w:rFonts w:cs="Arial"/>
        </w:rPr>
        <w:t>En caso de que las Participaciones disminuyan, se estima que se active el Fondo de Estabilización de Ingresos de las Entidades Federativas, incluyendo la posibilidad de que la Secretaría de Hacienda realice una potenciación adicional de este fondo.</w:t>
      </w:r>
    </w:p>
    <w:p w:rsidR="007F6887" w:rsidRDefault="007F6887" w:rsidP="007F6887">
      <w:pPr>
        <w:spacing w:before="100" w:beforeAutospacing="1" w:after="100" w:afterAutospacing="1"/>
        <w:rPr>
          <w:rFonts w:cs="Arial"/>
        </w:rPr>
      </w:pPr>
      <w:r w:rsidRPr="00912F98">
        <w:rPr>
          <w:rFonts w:cs="Arial"/>
        </w:rPr>
        <w:t>En cumplimiento a lo dispuesto en el artículo 15 de la Ley de Disciplina Financiera de las Entidades Federativas y los Municipios, y a efecto de mantener el balance presupuestario en equilibrio, se realizarían oportunamente los ajustes correspondientes al Presupuesto de Egresos en los rubros de gasto en el siguiente orden:</w:t>
      </w:r>
    </w:p>
    <w:p w:rsidR="007F6887" w:rsidRDefault="007F6887" w:rsidP="00535A9D">
      <w:pPr>
        <w:pStyle w:val="Prrafodelista"/>
        <w:numPr>
          <w:ilvl w:val="0"/>
          <w:numId w:val="31"/>
        </w:numPr>
        <w:spacing w:before="100" w:beforeAutospacing="1" w:after="100" w:afterAutospacing="1" w:line="240" w:lineRule="auto"/>
        <w:rPr>
          <w:rFonts w:ascii="Arial" w:hAnsi="Arial" w:cs="Arial"/>
          <w:szCs w:val="24"/>
        </w:rPr>
      </w:pPr>
      <w:r w:rsidRPr="00912F98">
        <w:rPr>
          <w:rFonts w:ascii="Arial" w:hAnsi="Arial" w:cs="Arial"/>
          <w:szCs w:val="24"/>
        </w:rPr>
        <w:lastRenderedPageBreak/>
        <w:t>Gastos de comunicación social.</w:t>
      </w:r>
    </w:p>
    <w:p w:rsidR="007F6887" w:rsidRDefault="007F6887" w:rsidP="00535A9D">
      <w:pPr>
        <w:pStyle w:val="Prrafodelista"/>
        <w:numPr>
          <w:ilvl w:val="0"/>
          <w:numId w:val="31"/>
        </w:numPr>
        <w:spacing w:before="100" w:beforeAutospacing="1" w:after="100" w:afterAutospacing="1" w:line="240" w:lineRule="auto"/>
        <w:rPr>
          <w:rFonts w:ascii="Arial" w:hAnsi="Arial" w:cs="Arial"/>
          <w:szCs w:val="24"/>
        </w:rPr>
      </w:pPr>
      <w:r w:rsidRPr="00912F98">
        <w:rPr>
          <w:rFonts w:ascii="Arial" w:hAnsi="Arial" w:cs="Arial"/>
          <w:szCs w:val="24"/>
        </w:rPr>
        <w:t>Gasto corriente que no constituya un subsidio entregado directamente a la población, en términos de lo dispuesto por el artículo 13, fracción VII de la Ley de Disciplina Financiera de las Entidades Federativas y los Municipios.</w:t>
      </w:r>
    </w:p>
    <w:p w:rsidR="007F6887" w:rsidRPr="00912F98" w:rsidRDefault="007F6887" w:rsidP="00535A9D">
      <w:pPr>
        <w:pStyle w:val="Prrafodelista"/>
        <w:numPr>
          <w:ilvl w:val="0"/>
          <w:numId w:val="31"/>
        </w:numPr>
        <w:spacing w:before="100" w:beforeAutospacing="1" w:after="100" w:afterAutospacing="1" w:line="240" w:lineRule="auto"/>
        <w:rPr>
          <w:rFonts w:ascii="Arial" w:hAnsi="Arial" w:cs="Arial"/>
          <w:szCs w:val="24"/>
        </w:rPr>
      </w:pPr>
      <w:r w:rsidRPr="00912F98">
        <w:rPr>
          <w:rFonts w:ascii="Arial" w:hAnsi="Arial" w:cs="Arial"/>
          <w:szCs w:val="24"/>
        </w:rPr>
        <w:t>Gasto en servicios personales, prioritariamente las erogaciones por concepto de percepciones extraordinarias.</w:t>
      </w:r>
    </w:p>
    <w:p w:rsidR="007F6887" w:rsidRPr="00912F98" w:rsidRDefault="007F6887" w:rsidP="007F6887">
      <w:pPr>
        <w:spacing w:before="100" w:beforeAutospacing="1" w:after="100" w:afterAutospacing="1"/>
        <w:rPr>
          <w:rFonts w:cs="Arial"/>
        </w:rPr>
      </w:pPr>
    </w:p>
    <w:p w:rsidR="007F6887" w:rsidRPr="00912F98" w:rsidRDefault="007F6887" w:rsidP="007F6887">
      <w:pPr>
        <w:spacing w:before="100" w:beforeAutospacing="1" w:after="100" w:afterAutospacing="1"/>
        <w:rPr>
          <w:rFonts w:cs="Arial"/>
        </w:rPr>
      </w:pPr>
      <w:r w:rsidRPr="00912F98">
        <w:rPr>
          <w:rFonts w:cs="Arial"/>
        </w:rPr>
        <w:t>En caso de que los ajustes anteriores no sean suficientes para mitigar la disminución de ingresos, podrán realizarse ajustes en otros conceptos de gasto, procurando no afectar los programas sociales, en especial a los que atiendan a la población más vulnerable.</w:t>
      </w:r>
    </w:p>
    <w:p w:rsidR="007F6887" w:rsidRPr="00912F98" w:rsidRDefault="007F6887" w:rsidP="007F6887">
      <w:pPr>
        <w:spacing w:before="100" w:beforeAutospacing="1" w:after="100" w:afterAutospacing="1"/>
        <w:rPr>
          <w:rFonts w:cs="Arial"/>
        </w:rPr>
      </w:pPr>
      <w:r w:rsidRPr="00912F98">
        <w:rPr>
          <w:rFonts w:cs="Arial"/>
        </w:rPr>
        <w:t>Ante cualquier escenario que implique riesgos económicos, la estrategia principal con la que cuenta Gobierno del Estado es el fortalecimiento de los ingresos propios que dependen directamente de su accionar. Asimismo, se plantea como estrategia el fortalecimiento del trabajo conjunto y la coordinación fiscal con los órdenes de gobierno federal y municipal, con la finalidad de implementar acciones que permitan incrementar los ingresos de las Haciendas Públicas.</w:t>
      </w:r>
    </w:p>
    <w:p w:rsidR="007F6887" w:rsidRPr="00912F98" w:rsidRDefault="007F6887" w:rsidP="007F6887">
      <w:pPr>
        <w:spacing w:before="100" w:beforeAutospacing="1" w:after="100" w:afterAutospacing="1"/>
        <w:rPr>
          <w:rFonts w:cs="Arial"/>
        </w:rPr>
      </w:pPr>
      <w:r w:rsidRPr="00912F98">
        <w:rPr>
          <w:rFonts w:cs="Arial"/>
        </w:rPr>
        <w:t>Este accionar, además, se basa en hacer más eficiente el quehacer fiscal del Estado, a través de brindar las condiciones óptimas para el debido cumplimiento de las obligaciones de la ciudadanía, ampliando la base de contribuyentes logrando con ello potenciar la recaudación para la atención de necesidades y la preservación de la economía de las familias yucatecas.</w:t>
      </w:r>
    </w:p>
    <w:p w:rsidR="007F6887" w:rsidRPr="00912F98" w:rsidRDefault="007F6887" w:rsidP="007F6887">
      <w:pPr>
        <w:spacing w:before="100" w:beforeAutospacing="1" w:after="100" w:afterAutospacing="1"/>
        <w:rPr>
          <w:rFonts w:cs="Arial"/>
          <w:b/>
        </w:rPr>
      </w:pPr>
      <w:r w:rsidRPr="00912F98">
        <w:rPr>
          <w:rFonts w:cs="Arial"/>
          <w:b/>
        </w:rPr>
        <w:t>Riesgos de incremento en gastos</w:t>
      </w:r>
    </w:p>
    <w:p w:rsidR="007F6887" w:rsidRPr="00912F98" w:rsidRDefault="007F6887" w:rsidP="007F6887">
      <w:pPr>
        <w:spacing w:before="100" w:beforeAutospacing="1" w:after="100" w:afterAutospacing="1"/>
        <w:rPr>
          <w:rFonts w:cs="Arial"/>
        </w:rPr>
      </w:pPr>
      <w:r w:rsidRPr="00912F98">
        <w:rPr>
          <w:rFonts w:cs="Arial"/>
        </w:rPr>
        <w:t>Por otra parte, se plantean los riesgos por el incremento en los gastos, bajo los siguientes escenarios:</w:t>
      </w:r>
    </w:p>
    <w:p w:rsidR="007F6887" w:rsidRDefault="007F6887" w:rsidP="00535A9D">
      <w:pPr>
        <w:pStyle w:val="Prrafodelista"/>
        <w:numPr>
          <w:ilvl w:val="0"/>
          <w:numId w:val="32"/>
        </w:numPr>
        <w:spacing w:before="100" w:beforeAutospacing="1" w:after="100" w:afterAutospacing="1" w:line="240" w:lineRule="auto"/>
        <w:rPr>
          <w:rFonts w:ascii="Arial" w:hAnsi="Arial" w:cs="Arial"/>
          <w:szCs w:val="24"/>
        </w:rPr>
      </w:pPr>
      <w:r w:rsidRPr="00912F98">
        <w:rPr>
          <w:rFonts w:ascii="Arial" w:hAnsi="Arial" w:cs="Arial"/>
          <w:szCs w:val="24"/>
        </w:rPr>
        <w:t>Requerimientos de recursos adicionales para la atención prioritaria de desastres naturales.</w:t>
      </w:r>
    </w:p>
    <w:p w:rsidR="007F6887" w:rsidRPr="00912F98" w:rsidRDefault="007F6887" w:rsidP="00535A9D">
      <w:pPr>
        <w:pStyle w:val="Prrafodelista"/>
        <w:numPr>
          <w:ilvl w:val="0"/>
          <w:numId w:val="32"/>
        </w:numPr>
        <w:spacing w:before="100" w:beforeAutospacing="1" w:after="100" w:afterAutospacing="1" w:line="240" w:lineRule="auto"/>
        <w:rPr>
          <w:rFonts w:ascii="Arial" w:hAnsi="Arial" w:cs="Arial"/>
          <w:szCs w:val="24"/>
        </w:rPr>
      </w:pPr>
      <w:r w:rsidRPr="00912F98">
        <w:rPr>
          <w:rFonts w:ascii="Arial" w:hAnsi="Arial" w:cs="Arial"/>
          <w:szCs w:val="24"/>
        </w:rPr>
        <w:t>Potencial degradación de la calificación crediticia de México, de los Estados o Municipios, derivada del crecimiento del nivel del riesgo país, así como el incremento de tasas y encarecimiento de la deuda.</w:t>
      </w:r>
    </w:p>
    <w:p w:rsidR="007F6887" w:rsidRPr="00912F98" w:rsidRDefault="007F6887" w:rsidP="007F6887">
      <w:pPr>
        <w:spacing w:before="100" w:beforeAutospacing="1" w:after="100" w:afterAutospacing="1"/>
        <w:rPr>
          <w:rFonts w:cs="Arial"/>
          <w:b/>
        </w:rPr>
      </w:pPr>
      <w:r w:rsidRPr="00912F98">
        <w:rPr>
          <w:rFonts w:cs="Arial"/>
          <w:b/>
        </w:rPr>
        <w:t>Acciones para enfrentar los riesgos de incremento en gastos</w:t>
      </w:r>
    </w:p>
    <w:p w:rsidR="007F6887" w:rsidRPr="00912F98" w:rsidRDefault="007F6887" w:rsidP="007F6887">
      <w:pPr>
        <w:spacing w:before="100" w:beforeAutospacing="1" w:after="100" w:afterAutospacing="1"/>
        <w:rPr>
          <w:rFonts w:cs="Arial"/>
        </w:rPr>
      </w:pPr>
      <w:r w:rsidRPr="00912F98">
        <w:rPr>
          <w:rFonts w:cs="Arial"/>
        </w:rPr>
        <w:lastRenderedPageBreak/>
        <w:t>Al respecto, las acciones que se plantean para enfrentar los riesgos de incremento en gastos son las siguientes:</w:t>
      </w:r>
    </w:p>
    <w:p w:rsidR="007F6887" w:rsidRPr="00912F98" w:rsidRDefault="007F6887" w:rsidP="007F6887">
      <w:pPr>
        <w:spacing w:before="100" w:beforeAutospacing="1" w:after="100" w:afterAutospacing="1"/>
        <w:rPr>
          <w:rFonts w:cs="Arial"/>
        </w:rPr>
      </w:pPr>
      <w:r w:rsidRPr="00912F98">
        <w:rPr>
          <w:rFonts w:cs="Arial"/>
        </w:rPr>
        <w:t>En caso de riesgos causados por fenómenos naturales se tomarán las siguientes medidas:</w:t>
      </w:r>
    </w:p>
    <w:p w:rsidR="007F6887" w:rsidRDefault="007F6887" w:rsidP="00535A9D">
      <w:pPr>
        <w:pStyle w:val="Prrafodelista"/>
        <w:numPr>
          <w:ilvl w:val="0"/>
          <w:numId w:val="33"/>
        </w:numPr>
        <w:spacing w:before="100" w:beforeAutospacing="1" w:after="100" w:afterAutospacing="1" w:line="240" w:lineRule="auto"/>
        <w:rPr>
          <w:rFonts w:ascii="Arial" w:hAnsi="Arial" w:cs="Arial"/>
          <w:szCs w:val="24"/>
        </w:rPr>
      </w:pPr>
      <w:r w:rsidRPr="00912F98">
        <w:rPr>
          <w:rFonts w:ascii="Arial" w:hAnsi="Arial" w:cs="Arial"/>
          <w:szCs w:val="24"/>
        </w:rPr>
        <w:t>Se utilizará de forma prioritaria el Fondo para la Atención de Desastres Naturales (FAED), para realizar las primeras acciones de auxilio a la población.</w:t>
      </w:r>
    </w:p>
    <w:p w:rsidR="007F6887" w:rsidRDefault="007F6887" w:rsidP="00535A9D">
      <w:pPr>
        <w:pStyle w:val="Prrafodelista"/>
        <w:numPr>
          <w:ilvl w:val="0"/>
          <w:numId w:val="33"/>
        </w:numPr>
        <w:spacing w:before="100" w:beforeAutospacing="1" w:after="100" w:afterAutospacing="1" w:line="240" w:lineRule="auto"/>
        <w:rPr>
          <w:rFonts w:ascii="Arial" w:hAnsi="Arial" w:cs="Arial"/>
          <w:szCs w:val="24"/>
        </w:rPr>
      </w:pPr>
      <w:r w:rsidRPr="00912F98">
        <w:rPr>
          <w:rFonts w:ascii="Arial" w:hAnsi="Arial" w:cs="Arial"/>
          <w:szCs w:val="24"/>
        </w:rPr>
        <w:t>Se utilizarán los seguros de cobertura para siniestros en el sector agropecuario que se han suscrito.</w:t>
      </w:r>
    </w:p>
    <w:p w:rsidR="007F6887" w:rsidRDefault="007F6887" w:rsidP="00535A9D">
      <w:pPr>
        <w:pStyle w:val="Prrafodelista"/>
        <w:numPr>
          <w:ilvl w:val="0"/>
          <w:numId w:val="33"/>
        </w:numPr>
        <w:spacing w:before="100" w:beforeAutospacing="1" w:after="100" w:afterAutospacing="1" w:line="240" w:lineRule="auto"/>
        <w:rPr>
          <w:rFonts w:ascii="Arial" w:hAnsi="Arial" w:cs="Arial"/>
          <w:szCs w:val="24"/>
        </w:rPr>
      </w:pPr>
      <w:r w:rsidRPr="00912F98">
        <w:rPr>
          <w:rFonts w:ascii="Arial" w:hAnsi="Arial" w:cs="Arial"/>
          <w:szCs w:val="24"/>
        </w:rPr>
        <w:t>Se solicitarán recursos de los fondos de cobertura y/o desastres naturales suscritos por el gobierno federal.</w:t>
      </w:r>
    </w:p>
    <w:p w:rsidR="007F6887" w:rsidRPr="00912F98" w:rsidRDefault="007F6887" w:rsidP="00535A9D">
      <w:pPr>
        <w:pStyle w:val="Prrafodelista"/>
        <w:numPr>
          <w:ilvl w:val="0"/>
          <w:numId w:val="33"/>
        </w:numPr>
        <w:spacing w:before="100" w:beforeAutospacing="1" w:after="100" w:afterAutospacing="1" w:line="240" w:lineRule="auto"/>
        <w:rPr>
          <w:rFonts w:ascii="Arial" w:hAnsi="Arial" w:cs="Arial"/>
          <w:szCs w:val="24"/>
        </w:rPr>
      </w:pPr>
      <w:r w:rsidRPr="00912F98">
        <w:rPr>
          <w:rFonts w:ascii="Arial" w:hAnsi="Arial" w:cs="Arial"/>
          <w:szCs w:val="24"/>
        </w:rPr>
        <w:t>De manera excepcional, tal como lo establece el artículo 6 de la Ley de Disciplina Financiera de la Entidades Federativas y los Municipios, se solicitará autorización al Congreso para la justificación de un balance presupuestario de recursos disponibles negativo.</w:t>
      </w:r>
    </w:p>
    <w:p w:rsidR="007F6887" w:rsidRPr="00912F98" w:rsidRDefault="007F6887" w:rsidP="007F6887">
      <w:pPr>
        <w:spacing w:before="100" w:beforeAutospacing="1" w:after="100" w:afterAutospacing="1"/>
        <w:rPr>
          <w:rFonts w:cs="Arial"/>
          <w:b/>
        </w:rPr>
      </w:pPr>
      <w:r w:rsidRPr="00912F98">
        <w:rPr>
          <w:rFonts w:cs="Arial"/>
          <w:b/>
        </w:rPr>
        <w:t>3. Gestión para Resultados de Desarrollo</w:t>
      </w:r>
    </w:p>
    <w:p w:rsidR="007F6887" w:rsidRPr="00912F98" w:rsidRDefault="007F6887" w:rsidP="007F6887">
      <w:pPr>
        <w:spacing w:before="100" w:beforeAutospacing="1" w:after="100" w:afterAutospacing="1"/>
        <w:rPr>
          <w:rFonts w:cs="Arial"/>
        </w:rPr>
      </w:pPr>
      <w:r w:rsidRPr="00912F98">
        <w:rPr>
          <w:rFonts w:cs="Arial"/>
        </w:rPr>
        <w:t>La Gestión para Resultados de Desarrollo (</w:t>
      </w:r>
      <w:proofErr w:type="spellStart"/>
      <w:r w:rsidRPr="00912F98">
        <w:rPr>
          <w:rFonts w:cs="Arial"/>
        </w:rPr>
        <w:t>GpRD</w:t>
      </w:r>
      <w:proofErr w:type="spellEnd"/>
      <w:r w:rsidRPr="00912F98">
        <w:rPr>
          <w:rFonts w:cs="Arial"/>
        </w:rPr>
        <w:t>), es un modelo de gestión pública que busca la creación de valor público, lo que debe reflejarse en resultados e impactos cuantificables, que permitan evaluar el rendimiento en todas sus dimensiones.</w:t>
      </w:r>
    </w:p>
    <w:p w:rsidR="007F6887" w:rsidRPr="00912F98" w:rsidRDefault="007F6887" w:rsidP="007F6887">
      <w:pPr>
        <w:spacing w:before="100" w:beforeAutospacing="1" w:after="100" w:afterAutospacing="1"/>
        <w:rPr>
          <w:rFonts w:cs="Arial"/>
        </w:rPr>
      </w:pPr>
      <w:r w:rsidRPr="00912F98">
        <w:rPr>
          <w:rFonts w:cs="Arial"/>
        </w:rPr>
        <w:t>El modelo de Gestión para Resultados en el Desarrollo (</w:t>
      </w:r>
      <w:proofErr w:type="spellStart"/>
      <w:r w:rsidRPr="00912F98">
        <w:rPr>
          <w:rFonts w:cs="Arial"/>
        </w:rPr>
        <w:t>GpRD</w:t>
      </w:r>
      <w:proofErr w:type="spellEnd"/>
      <w:r w:rsidRPr="00912F98">
        <w:rPr>
          <w:rFonts w:cs="Arial"/>
        </w:rPr>
        <w:t>), es el que prevalece en el mundo como solución para lograr la eficiente y eficaz gestión gubernamental y alcanzar los resultados del desarrollo deseados. Asimismo, aporta los elementos necesarios para mejorar la capacidad de gestión de la administración pública y elevar el grado de gobernabilidad del sistema político.</w:t>
      </w:r>
    </w:p>
    <w:p w:rsidR="007F6887" w:rsidRPr="00912F98" w:rsidRDefault="007F6887" w:rsidP="007F6887">
      <w:pPr>
        <w:spacing w:before="100" w:beforeAutospacing="1" w:after="100" w:afterAutospacing="1"/>
        <w:rPr>
          <w:rFonts w:cs="Arial"/>
        </w:rPr>
      </w:pPr>
      <w:r w:rsidRPr="00912F98">
        <w:rPr>
          <w:rFonts w:cs="Arial"/>
        </w:rPr>
        <w:t xml:space="preserve">Los principales resultados que la </w:t>
      </w:r>
      <w:proofErr w:type="spellStart"/>
      <w:r w:rsidRPr="00912F98">
        <w:rPr>
          <w:rFonts w:cs="Arial"/>
        </w:rPr>
        <w:t>GpRD</w:t>
      </w:r>
      <w:proofErr w:type="spellEnd"/>
      <w:r w:rsidRPr="00912F98">
        <w:rPr>
          <w:rFonts w:cs="Arial"/>
        </w:rPr>
        <w:t xml:space="preserve"> pretende obtener son: mayor bienestar para el ciudadano, aumento en la eficiencia y mejor desempeño de la gestión pública, fortalecimiento de la transparencia y rendición de cuentas, y mejora en la calidad del gasto público. Para los países desarrollados el propósito de la Gestión para Resultados en el Desarrollo ha sido mantener su nivel de desarrollo ante el embate de recurrentes crisis fiscales y financieras. Por el contrario, para los países en vías de desarrollo la finalidad es impulsar el desarrollo y mejorar la efectividad de las intervenciones con un enfoque a resultados. Por este motivo, se adicionó al nombre del modelo la expresión “del Desarrollo”, resaltando así que los resultados buscados son los que expresan el desarrollo.</w:t>
      </w:r>
    </w:p>
    <w:p w:rsidR="007F6887" w:rsidRPr="00912F98" w:rsidRDefault="007F6887" w:rsidP="007F6887">
      <w:pPr>
        <w:spacing w:before="100" w:beforeAutospacing="1" w:after="100" w:afterAutospacing="1"/>
        <w:rPr>
          <w:rFonts w:cs="Arial"/>
        </w:rPr>
      </w:pPr>
      <w:r w:rsidRPr="00912F98">
        <w:rPr>
          <w:rFonts w:cs="Arial"/>
        </w:rPr>
        <w:lastRenderedPageBreak/>
        <w:t xml:space="preserve">En México, la Secretaría de Hacienda y Crédito Público (SHCP) establece que la </w:t>
      </w:r>
      <w:proofErr w:type="spellStart"/>
      <w:r w:rsidRPr="00912F98">
        <w:rPr>
          <w:rFonts w:cs="Arial"/>
        </w:rPr>
        <w:t>GpRD</w:t>
      </w:r>
      <w:proofErr w:type="spellEnd"/>
      <w:r w:rsidRPr="00912F98">
        <w:rPr>
          <w:rFonts w:cs="Arial"/>
        </w:rPr>
        <w:t xml:space="preserve"> es un modelo de cultura organizacional, directiva y de gestión que pone énfasis en los resultados, es decir, no interesa cómo se hacen las cosas, sino que es más relevante lo que se logra y cuál es su impacto en el bienestar de la población</w:t>
      </w:r>
      <w:r>
        <w:rPr>
          <w:rStyle w:val="Refdenotaalpie"/>
          <w:rFonts w:cs="Arial"/>
        </w:rPr>
        <w:footnoteReference w:id="1"/>
      </w:r>
      <w:r w:rsidRPr="00912F98">
        <w:rPr>
          <w:rFonts w:cs="Arial"/>
        </w:rPr>
        <w:t>.</w:t>
      </w:r>
    </w:p>
    <w:p w:rsidR="007F6887" w:rsidRPr="00912F98" w:rsidRDefault="00D5198F" w:rsidP="007F6887">
      <w:pPr>
        <w:spacing w:before="100" w:beforeAutospacing="1" w:after="100" w:afterAutospacing="1"/>
        <w:rPr>
          <w:rFonts w:cs="Arial"/>
        </w:rPr>
      </w:pPr>
      <w:r>
        <w:rPr>
          <w:rFonts w:cs="Arial"/>
          <w:noProof/>
          <w:lang w:eastAsia="es-MX"/>
        </w:rPr>
        <w:pict>
          <v:group id="Grupo 4" o:spid="_x0000_s1043" style="position:absolute;left:0;text-align:left;margin-left:1pt;margin-top:9.25pt;width:432.2pt;height:155.9pt;z-index:-251616256;mso-width-relative:margin;mso-height-relative:margin" coordsize="51396,1949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">
            <v:group id="Grupo 25" o:spid="_x0000_s1044" style="position:absolute;left:24479;width:26917;height:19494" coordsize="26917,1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26" o:spid="_x0000_s1045" type="#_x0000_t75" style="position:absolute;left:5260;top:780;width:19065;height:18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">
                <v:imagedata r:id="rId20" o:title=""/>
                <o:lock v:ext="edit" aspectratio="f"/>
              </v:shape>
              <v:shape id="_x0000_s1046" type="#_x0000_t202" style="position:absolute;left:13386;top:11338;width:9576;height:5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style="mso-next-textbox:#_x0000_s1046">
                  <w:txbxContent>
                    <w:p w:rsidR="00923562" w:rsidRPr="00C428DD" w:rsidRDefault="00923562" w:rsidP="00535A9D">
                      <w:pPr>
                        <w:pStyle w:val="Prrafodelista"/>
                        <w:numPr>
                          <w:ilvl w:val="0"/>
                          <w:numId w:val="34"/>
                        </w:numPr>
                        <w:spacing w:after="0" w:line="259" w:lineRule="auto"/>
                        <w:ind w:left="142" w:hanging="142"/>
                        <w:jc w:val="left"/>
                        <w:rPr>
                          <w:rFonts w:ascii="Barlow" w:hAnsi="Barlow"/>
                          <w:color w:val="FFFFFF"/>
                          <w:sz w:val="10"/>
                        </w:rPr>
                      </w:pPr>
                      <w:r w:rsidRPr="00C428DD">
                        <w:rPr>
                          <w:rFonts w:ascii="Barlow" w:hAnsi="Barlow"/>
                          <w:color w:val="FFFFFF"/>
                          <w:sz w:val="10"/>
                        </w:rPr>
                        <w:t>Creación de valor público</w:t>
                      </w:r>
                    </w:p>
                    <w:p w:rsidR="00923562" w:rsidRPr="00C428DD" w:rsidRDefault="00923562" w:rsidP="00535A9D">
                      <w:pPr>
                        <w:pStyle w:val="Prrafodelista"/>
                        <w:numPr>
                          <w:ilvl w:val="0"/>
                          <w:numId w:val="34"/>
                        </w:numPr>
                        <w:spacing w:after="0" w:line="259" w:lineRule="auto"/>
                        <w:ind w:left="142" w:hanging="142"/>
                        <w:jc w:val="left"/>
                        <w:rPr>
                          <w:rFonts w:ascii="Barlow" w:hAnsi="Barlow"/>
                          <w:color w:val="FFFFFF"/>
                          <w:sz w:val="10"/>
                        </w:rPr>
                      </w:pPr>
                      <w:r w:rsidRPr="00C428DD">
                        <w:rPr>
                          <w:rFonts w:ascii="Barlow" w:hAnsi="Barlow"/>
                          <w:color w:val="FFFFFF"/>
                          <w:sz w:val="10"/>
                        </w:rPr>
                        <w:t>Mayores resultados</w:t>
                      </w:r>
                    </w:p>
                    <w:p w:rsidR="00923562" w:rsidRPr="00C428DD" w:rsidRDefault="00923562" w:rsidP="00535A9D">
                      <w:pPr>
                        <w:pStyle w:val="Prrafodelista"/>
                        <w:numPr>
                          <w:ilvl w:val="0"/>
                          <w:numId w:val="34"/>
                        </w:numPr>
                        <w:spacing w:after="0" w:line="259" w:lineRule="auto"/>
                        <w:ind w:left="142" w:hanging="142"/>
                        <w:jc w:val="left"/>
                        <w:rPr>
                          <w:rFonts w:ascii="Barlow" w:hAnsi="Barlow"/>
                          <w:color w:val="FFFFFF"/>
                          <w:sz w:val="10"/>
                        </w:rPr>
                      </w:pPr>
                      <w:r w:rsidRPr="00C428DD">
                        <w:rPr>
                          <w:rFonts w:ascii="Barlow" w:hAnsi="Barlow"/>
                          <w:color w:val="FFFFFF"/>
                          <w:sz w:val="10"/>
                        </w:rPr>
                        <w:t>Impacto cuantificable</w:t>
                      </w:r>
                    </w:p>
                    <w:p w:rsidR="00923562" w:rsidRPr="00C428DD" w:rsidRDefault="00923562" w:rsidP="00535A9D">
                      <w:pPr>
                        <w:pStyle w:val="Prrafodelista"/>
                        <w:numPr>
                          <w:ilvl w:val="0"/>
                          <w:numId w:val="34"/>
                        </w:numPr>
                        <w:spacing w:after="0" w:line="259" w:lineRule="auto"/>
                        <w:ind w:left="142" w:hanging="142"/>
                        <w:jc w:val="left"/>
                        <w:rPr>
                          <w:rFonts w:ascii="Barlow" w:hAnsi="Barlow"/>
                          <w:color w:val="FFFFFF"/>
                          <w:sz w:val="10"/>
                        </w:rPr>
                      </w:pPr>
                      <w:r w:rsidRPr="00C428DD">
                        <w:rPr>
                          <w:rFonts w:ascii="Barlow" w:hAnsi="Barlow"/>
                          <w:color w:val="FFFFFF"/>
                          <w:sz w:val="10"/>
                        </w:rPr>
                        <w:t>Transparencia, eficiencia y eficacia.</w:t>
                      </w:r>
                    </w:p>
                  </w:txbxContent>
                </v:textbox>
              </v:shape>
            </v:group>
            <v:shape id="Cuadro de texto 28" o:spid="_x0000_s1047" type="#_x0000_t202" style="position:absolute;top:5619;width:16452;height:99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style="mso-next-textbox:#Cuadro de texto 28">
                <w:txbxContent>
                  <w:p w:rsidR="00923562" w:rsidRPr="00C428DD" w:rsidRDefault="00923562" w:rsidP="007F6887">
                    <w:pPr>
                      <w:jc w:val="center"/>
                      <w:rPr>
                        <w:rFonts w:ascii="Barlow" w:eastAsia="Times New Roman" w:hAnsi="Barlow" w:cs="Calibri"/>
                        <w:bCs/>
                        <w:color w:val="002060"/>
                        <w:sz w:val="144"/>
                        <w:szCs w:val="72"/>
                      </w:rPr>
                    </w:pPr>
                    <w:proofErr w:type="spellStart"/>
                    <w:r w:rsidRPr="00C428DD">
                      <w:rPr>
                        <w:rFonts w:ascii="Barlow" w:eastAsia="Times New Roman" w:hAnsi="Barlow" w:cs="Calibri"/>
                        <w:b/>
                        <w:bCs/>
                        <w:color w:val="002060"/>
                        <w:sz w:val="96"/>
                        <w:szCs w:val="20"/>
                        <w:lang w:eastAsia="es-MX"/>
                      </w:rPr>
                      <w:t>GpRD</w:t>
                    </w:r>
                    <w:proofErr w:type="spellEnd"/>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55" o:spid="_x0000_s1048" type="#_x0000_t93" style="position:absolute;left:19812;top:7429;width:4953;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" adj="12462" fillcolor="#afabab" strokecolor="#afabab" strokeweight="1pt"/>
          </v:group>
        </w:pict>
      </w:r>
    </w:p>
    <w:p w:rsidR="007F6887" w:rsidRPr="00912F98" w:rsidRDefault="007F6887" w:rsidP="007F6887">
      <w:pPr>
        <w:spacing w:before="100" w:beforeAutospacing="1" w:after="100" w:afterAutospacing="1"/>
        <w:rPr>
          <w:rFonts w:cs="Arial"/>
        </w:rPr>
      </w:pPr>
    </w:p>
    <w:p w:rsidR="007F6887" w:rsidRPr="00912F98" w:rsidRDefault="007F6887" w:rsidP="007F6887">
      <w:pPr>
        <w:spacing w:before="100" w:beforeAutospacing="1" w:after="100" w:afterAutospacing="1"/>
        <w:rPr>
          <w:rFonts w:cs="Arial"/>
        </w:rPr>
      </w:pPr>
    </w:p>
    <w:p w:rsidR="007F6887" w:rsidRPr="00912F98" w:rsidRDefault="007F6887" w:rsidP="007F6887">
      <w:pPr>
        <w:spacing w:before="100" w:beforeAutospacing="1" w:after="100" w:afterAutospacing="1"/>
        <w:rPr>
          <w:rFonts w:cs="Arial"/>
        </w:rPr>
      </w:pPr>
    </w:p>
    <w:p w:rsidR="007F6887" w:rsidRPr="00912F98" w:rsidRDefault="007F6887" w:rsidP="007F6887">
      <w:pPr>
        <w:spacing w:before="100" w:beforeAutospacing="1" w:after="100" w:afterAutospacing="1"/>
        <w:rPr>
          <w:rFonts w:cs="Arial"/>
        </w:rPr>
      </w:pPr>
    </w:p>
    <w:p w:rsidR="007F6887" w:rsidRPr="00912F98" w:rsidRDefault="007F6887" w:rsidP="007F6887">
      <w:pPr>
        <w:spacing w:before="100" w:beforeAutospacing="1" w:after="100" w:afterAutospacing="1"/>
        <w:rPr>
          <w:rFonts w:cs="Arial"/>
        </w:rPr>
      </w:pPr>
    </w:p>
    <w:p w:rsidR="007F6887" w:rsidRPr="004C7CDD" w:rsidRDefault="007F6887" w:rsidP="007F6887">
      <w:pPr>
        <w:spacing w:before="100" w:beforeAutospacing="1" w:after="100" w:afterAutospacing="1"/>
        <w:rPr>
          <w:rFonts w:cs="Arial"/>
          <w:b/>
        </w:rPr>
      </w:pPr>
      <w:r w:rsidRPr="004C7CDD">
        <w:rPr>
          <w:rFonts w:cs="Arial"/>
          <w:b/>
        </w:rPr>
        <w:t xml:space="preserve">3.1 Desempeño de Yucatán en el modelo </w:t>
      </w:r>
      <w:proofErr w:type="spellStart"/>
      <w:r w:rsidRPr="004C7CDD">
        <w:rPr>
          <w:rFonts w:cs="Arial"/>
          <w:b/>
        </w:rPr>
        <w:t>GpRD.</w:t>
      </w:r>
      <w:proofErr w:type="spellEnd"/>
    </w:p>
    <w:p w:rsidR="007F6887" w:rsidRPr="004C7CDD" w:rsidRDefault="007F6887" w:rsidP="007F6887">
      <w:pPr>
        <w:spacing w:before="100" w:beforeAutospacing="1" w:after="100" w:afterAutospacing="1"/>
        <w:rPr>
          <w:rFonts w:cs="Arial"/>
        </w:rPr>
      </w:pPr>
      <w:r w:rsidRPr="004C7CDD">
        <w:rPr>
          <w:rFonts w:cs="Arial"/>
        </w:rPr>
        <w:t>La implementación del modelo de Gestión para Resultados en el Desarrollo (</w:t>
      </w:r>
      <w:proofErr w:type="spellStart"/>
      <w:r w:rsidRPr="004C7CDD">
        <w:rPr>
          <w:rFonts w:cs="Arial"/>
        </w:rPr>
        <w:t>GpRD</w:t>
      </w:r>
      <w:proofErr w:type="spellEnd"/>
      <w:r w:rsidRPr="004C7CDD">
        <w:rPr>
          <w:rFonts w:cs="Arial"/>
        </w:rPr>
        <w:t>), a lo largo de esto dos años de administración, ha permitido mantener la dirección efectiva e integrada para la creación de valor púbico, permitiendo que en 2020 se pudiera avanzar frente a la pandemia y priorizar los proyectos de mayor valor público para el 2021.</w:t>
      </w:r>
    </w:p>
    <w:p w:rsidR="007F6887" w:rsidRPr="004C7CDD" w:rsidRDefault="007F6887" w:rsidP="007F6887">
      <w:pPr>
        <w:spacing w:before="100" w:beforeAutospacing="1" w:after="100" w:afterAutospacing="1"/>
        <w:rPr>
          <w:rFonts w:cs="Arial"/>
        </w:rPr>
      </w:pPr>
      <w:r w:rsidRPr="004C7CDD">
        <w:rPr>
          <w:rFonts w:cs="Arial"/>
        </w:rPr>
        <w:t>Esto ha permitido que Yucatán pueda ir mejorando su evaluación y posicionamiento en las evaluaciones de mayor relevancia como:</w:t>
      </w:r>
    </w:p>
    <w:p w:rsidR="007F6887" w:rsidRDefault="007F6887" w:rsidP="00535A9D">
      <w:pPr>
        <w:pStyle w:val="Prrafodelista"/>
        <w:numPr>
          <w:ilvl w:val="0"/>
          <w:numId w:val="35"/>
        </w:numPr>
        <w:spacing w:before="100" w:beforeAutospacing="1" w:after="100" w:afterAutospacing="1" w:line="240" w:lineRule="auto"/>
        <w:rPr>
          <w:rFonts w:ascii="Arial" w:hAnsi="Arial" w:cs="Arial"/>
          <w:szCs w:val="24"/>
        </w:rPr>
      </w:pPr>
      <w:r w:rsidRPr="004C7CDD">
        <w:rPr>
          <w:rFonts w:ascii="Arial" w:hAnsi="Arial" w:cs="Arial"/>
          <w:szCs w:val="24"/>
        </w:rPr>
        <w:t>Yucatán avanzó del quinto al tercer lugar entre las entidades federativas con mayor avance, según el diagnóstico 2019 (el más reciente realizado por la SHCP), que evalúa el avance en la implementación del modelo de Presupuesto basado en Resultados – Sistema de Evaluación del Desempeño.</w:t>
      </w:r>
    </w:p>
    <w:p w:rsidR="007F6887" w:rsidRDefault="007F6887" w:rsidP="00535A9D">
      <w:pPr>
        <w:pStyle w:val="Prrafodelista"/>
        <w:numPr>
          <w:ilvl w:val="0"/>
          <w:numId w:val="35"/>
        </w:numPr>
        <w:spacing w:before="100" w:beforeAutospacing="1" w:after="100" w:afterAutospacing="1" w:line="240" w:lineRule="auto"/>
        <w:rPr>
          <w:rFonts w:ascii="Arial" w:hAnsi="Arial" w:cs="Arial"/>
          <w:szCs w:val="24"/>
        </w:rPr>
      </w:pPr>
      <w:r w:rsidRPr="004C7CDD">
        <w:rPr>
          <w:rFonts w:ascii="Arial" w:hAnsi="Arial" w:cs="Arial"/>
          <w:szCs w:val="24"/>
        </w:rPr>
        <w:t>Yucatán se ubica en el quinto lugar en el ranking nacional en el Diagnóstico del avance en monitoreo y evaluación en las entidades federativas 2019, realizado por el consejo Nacional de Evaluación de la Política Social (</w:t>
      </w:r>
      <w:proofErr w:type="spellStart"/>
      <w:r w:rsidRPr="004C7CDD">
        <w:rPr>
          <w:rFonts w:ascii="Arial" w:hAnsi="Arial" w:cs="Arial"/>
          <w:szCs w:val="24"/>
        </w:rPr>
        <w:t>Coneval</w:t>
      </w:r>
      <w:proofErr w:type="spellEnd"/>
      <w:r w:rsidRPr="004C7CDD">
        <w:rPr>
          <w:rFonts w:ascii="Arial" w:hAnsi="Arial" w:cs="Arial"/>
          <w:szCs w:val="24"/>
        </w:rPr>
        <w:t>). Mejora su posición respecto al diagnóstico 2017, cuando ocupó el octavo lugar.</w:t>
      </w:r>
    </w:p>
    <w:p w:rsidR="007F6887" w:rsidRDefault="007F6887" w:rsidP="00535A9D">
      <w:pPr>
        <w:pStyle w:val="Prrafodelista"/>
        <w:numPr>
          <w:ilvl w:val="0"/>
          <w:numId w:val="35"/>
        </w:numPr>
        <w:spacing w:before="100" w:beforeAutospacing="1" w:after="100" w:afterAutospacing="1" w:line="240" w:lineRule="auto"/>
        <w:rPr>
          <w:rFonts w:ascii="Arial" w:hAnsi="Arial" w:cs="Arial"/>
          <w:szCs w:val="24"/>
        </w:rPr>
      </w:pPr>
      <w:r w:rsidRPr="004C7CDD">
        <w:rPr>
          <w:rFonts w:ascii="Arial" w:hAnsi="Arial" w:cs="Arial"/>
          <w:szCs w:val="24"/>
        </w:rPr>
        <w:lastRenderedPageBreak/>
        <w:t>Los elementos mejor evaluados en el diagnóstico (100 puntos) fueron: los criterios para creación de nuevos programas, reglas de operación, difusión de información de los programas de desarrollo social e indicadores de resultados y de gestión.</w:t>
      </w:r>
    </w:p>
    <w:p w:rsidR="007F6887" w:rsidRDefault="007F6887" w:rsidP="00535A9D">
      <w:pPr>
        <w:pStyle w:val="Prrafodelista"/>
        <w:numPr>
          <w:ilvl w:val="0"/>
          <w:numId w:val="35"/>
        </w:numPr>
        <w:spacing w:before="100" w:beforeAutospacing="1" w:after="100" w:afterAutospacing="1" w:line="240" w:lineRule="auto"/>
        <w:rPr>
          <w:rFonts w:ascii="Arial" w:hAnsi="Arial" w:cs="Arial"/>
          <w:szCs w:val="24"/>
        </w:rPr>
      </w:pPr>
      <w:r w:rsidRPr="004C7CDD">
        <w:rPr>
          <w:rFonts w:ascii="Arial" w:hAnsi="Arial" w:cs="Arial"/>
          <w:szCs w:val="24"/>
        </w:rPr>
        <w:t>En 2019, en el Índice de Información Presupuestal Estatal (IIPE) publicado por el IMCO, Yucatán se ubicó en el cuarto lugar entre las entidades federativas, con 99.1% de cumplimiento. En la medición anterior, realizada en 2017, el estado se encontraba en el lugar 12.</w:t>
      </w:r>
    </w:p>
    <w:p w:rsidR="007F6887" w:rsidRDefault="007F6887" w:rsidP="00535A9D">
      <w:pPr>
        <w:pStyle w:val="Prrafodelista"/>
        <w:numPr>
          <w:ilvl w:val="0"/>
          <w:numId w:val="35"/>
        </w:numPr>
        <w:spacing w:before="100" w:beforeAutospacing="1" w:after="100" w:afterAutospacing="1" w:line="240" w:lineRule="auto"/>
        <w:rPr>
          <w:rFonts w:ascii="Arial" w:hAnsi="Arial" w:cs="Arial"/>
          <w:szCs w:val="24"/>
        </w:rPr>
      </w:pPr>
      <w:r w:rsidRPr="004C7CDD">
        <w:rPr>
          <w:rFonts w:ascii="Arial" w:hAnsi="Arial" w:cs="Arial"/>
          <w:szCs w:val="24"/>
        </w:rPr>
        <w:t>El estado tiene un nivel de cumplimiento de 100% en las secciones evaluadas por IMCO, sólo exceptuando la Ley de Ingresos, que tiene un nivel de cumplimiento de 92%.</w:t>
      </w:r>
    </w:p>
    <w:p w:rsidR="007F6887" w:rsidRPr="004C7CDD" w:rsidRDefault="007F6887" w:rsidP="00535A9D">
      <w:pPr>
        <w:pStyle w:val="Prrafodelista"/>
        <w:numPr>
          <w:ilvl w:val="0"/>
          <w:numId w:val="35"/>
        </w:numPr>
        <w:spacing w:before="100" w:beforeAutospacing="1" w:after="100" w:afterAutospacing="1" w:line="240" w:lineRule="auto"/>
        <w:rPr>
          <w:rFonts w:ascii="Arial" w:hAnsi="Arial" w:cs="Arial"/>
          <w:szCs w:val="24"/>
        </w:rPr>
      </w:pPr>
      <w:r w:rsidRPr="004C7CDD">
        <w:rPr>
          <w:rFonts w:ascii="Arial" w:hAnsi="Arial" w:cs="Arial"/>
          <w:szCs w:val="24"/>
        </w:rPr>
        <w:t xml:space="preserve">Yucatán se encuentra en la segunda posición con 95.98 puntos de cumplimiento en Índice de Transparencia y Disponibilidad de la Información Fiscal de las Entidades Federativas, elaborado por </w:t>
      </w:r>
      <w:proofErr w:type="spellStart"/>
      <w:r w:rsidRPr="004C7CDD">
        <w:rPr>
          <w:rFonts w:ascii="Arial" w:hAnsi="Arial" w:cs="Arial"/>
          <w:szCs w:val="24"/>
        </w:rPr>
        <w:t>Aregional</w:t>
      </w:r>
      <w:proofErr w:type="spellEnd"/>
      <w:r w:rsidRPr="004C7CDD">
        <w:rPr>
          <w:rFonts w:ascii="Arial" w:hAnsi="Arial" w:cs="Arial"/>
          <w:szCs w:val="24"/>
        </w:rPr>
        <w:t>. En la edición anterior presentaba un cumplimiento de 95.48 puntos, en la tercera posición.</w:t>
      </w:r>
    </w:p>
    <w:p w:rsidR="007F6887" w:rsidRPr="004C7CDD" w:rsidRDefault="007F6887" w:rsidP="007F6887">
      <w:pPr>
        <w:spacing w:before="100" w:beforeAutospacing="1" w:after="100" w:afterAutospacing="1"/>
        <w:rPr>
          <w:rFonts w:cs="Arial"/>
        </w:rPr>
      </w:pPr>
      <w:r w:rsidRPr="004C7CDD">
        <w:rPr>
          <w:rFonts w:cs="Arial"/>
        </w:rPr>
        <w:t>La implementación del modelo de Presupuesto basado en Resultados (</w:t>
      </w:r>
      <w:proofErr w:type="spellStart"/>
      <w:r w:rsidRPr="004C7CDD">
        <w:rPr>
          <w:rFonts w:cs="Arial"/>
        </w:rPr>
        <w:t>PbR</w:t>
      </w:r>
      <w:proofErr w:type="spellEnd"/>
      <w:r w:rsidRPr="004C7CDD">
        <w:rPr>
          <w:rFonts w:cs="Arial"/>
        </w:rPr>
        <w:t>) ha implicado un esfuerzo por generar e institucionalizar la implementación de herramientas y metodologías en el Estado. La generación de valor público, o lo que es lo mismo, resolver de manera efectiva los problemas públicos del estado, requiere que la visión del modelo sea integral y enfocada al desarrollo, por lo que cada fase e instrumento debe no sólo estar diseñada para el uso y aprovechamiento desde el punto de vista institucional, sino que debe prepararse para garantizar la pertinencia de las intervenciones, la coherencia interna de los instrumentos, la aplicación eficiente de los recursos, promover un gobierno abierto y participativo a la ciudadanía.</w:t>
      </w:r>
    </w:p>
    <w:p w:rsidR="007F6887" w:rsidRPr="004C7CDD" w:rsidRDefault="007F6887" w:rsidP="007F6887">
      <w:pPr>
        <w:spacing w:before="100" w:beforeAutospacing="1" w:after="100" w:afterAutospacing="1"/>
        <w:rPr>
          <w:rFonts w:cs="Arial"/>
        </w:rPr>
      </w:pPr>
      <w:r w:rsidRPr="004C7CDD">
        <w:rPr>
          <w:rFonts w:cs="Arial"/>
        </w:rPr>
        <w:t>A continuación, se presenta el desglose de los indicadores más relevantes que evalúan la posición del estado en la aplicación del modelo basado en resultados y la apertura y transparencia de la información.</w:t>
      </w:r>
    </w:p>
    <w:p w:rsidR="007F6887" w:rsidRPr="004C7CDD" w:rsidRDefault="007F6887" w:rsidP="007F6887">
      <w:pPr>
        <w:spacing w:before="100" w:beforeAutospacing="1" w:after="100" w:afterAutospacing="1"/>
        <w:rPr>
          <w:rFonts w:cs="Arial"/>
          <w:b/>
        </w:rPr>
      </w:pPr>
      <w:r w:rsidRPr="004C7CDD">
        <w:rPr>
          <w:rFonts w:cs="Arial"/>
          <w:b/>
        </w:rPr>
        <w:t>3.2 SHCP</w:t>
      </w:r>
    </w:p>
    <w:p w:rsidR="007F6887" w:rsidRPr="004C7CDD" w:rsidRDefault="007F6887" w:rsidP="007F6887">
      <w:pPr>
        <w:spacing w:before="100" w:beforeAutospacing="1" w:after="100" w:afterAutospacing="1"/>
        <w:rPr>
          <w:rFonts w:cs="Arial"/>
          <w:b/>
        </w:rPr>
      </w:pPr>
      <w:r w:rsidRPr="004C7CDD">
        <w:rPr>
          <w:rFonts w:cs="Arial"/>
          <w:b/>
        </w:rPr>
        <w:t>Presupuesto basado en Resultados (</w:t>
      </w:r>
      <w:proofErr w:type="spellStart"/>
      <w:r w:rsidRPr="004C7CDD">
        <w:rPr>
          <w:rFonts w:cs="Arial"/>
          <w:b/>
        </w:rPr>
        <w:t>PbR</w:t>
      </w:r>
      <w:proofErr w:type="spellEnd"/>
      <w:r w:rsidRPr="004C7CDD">
        <w:rPr>
          <w:rFonts w:cs="Arial"/>
          <w:b/>
        </w:rPr>
        <w:t>) y Sistema de Evaluación del Desempeño (SED)</w:t>
      </w:r>
    </w:p>
    <w:p w:rsidR="007F6887" w:rsidRPr="004C7CDD" w:rsidRDefault="007F6887" w:rsidP="007F6887">
      <w:pPr>
        <w:spacing w:before="100" w:beforeAutospacing="1" w:after="100" w:afterAutospacing="1"/>
        <w:rPr>
          <w:rFonts w:cs="Arial"/>
        </w:rPr>
      </w:pPr>
      <w:r w:rsidRPr="004C7CDD">
        <w:rPr>
          <w:rFonts w:cs="Arial"/>
        </w:rPr>
        <w:t xml:space="preserve">El Presupuesto basado en Resultados es una metodología que integra de forma sistemática las actividades relacionadas entre sí, en las que se ejercen los recursos para el logro del objetivo que les da sentido y dirección, a fin de alcanzar un resultado específico en beneficio de la población objetivo, a través de una </w:t>
      </w:r>
      <w:r w:rsidRPr="004C7CDD">
        <w:rPr>
          <w:rFonts w:cs="Arial"/>
        </w:rPr>
        <w:lastRenderedPageBreak/>
        <w:t>unidad responsable y ejecutora del gasto público con el objeto de entregar mejores bienes y servicios públicos a la población, elevar la calidad del gasto público y promover una más adecuada rendición de cuentas.</w:t>
      </w:r>
    </w:p>
    <w:p w:rsidR="007F6887" w:rsidRPr="00912F98" w:rsidRDefault="007F6887" w:rsidP="007F6887">
      <w:pPr>
        <w:spacing w:before="100" w:beforeAutospacing="1" w:after="100" w:afterAutospacing="1"/>
        <w:rPr>
          <w:rFonts w:cs="Arial"/>
        </w:rPr>
      </w:pPr>
      <w:r w:rsidRPr="004C7CDD">
        <w:rPr>
          <w:rFonts w:cs="Arial"/>
        </w:rPr>
        <w:t xml:space="preserve">Es evaluado por la Secretaría de Hacienda y Crédito Público (SHCP). En 2020 el </w:t>
      </w:r>
      <w:proofErr w:type="spellStart"/>
      <w:r w:rsidRPr="004C7CDD">
        <w:rPr>
          <w:rFonts w:cs="Arial"/>
        </w:rPr>
        <w:t>PbR</w:t>
      </w:r>
      <w:proofErr w:type="spellEnd"/>
      <w:r w:rsidRPr="004C7CDD">
        <w:rPr>
          <w:rFonts w:cs="Arial"/>
        </w:rPr>
        <w:t xml:space="preserve">-SED se evaluó a través de 88 reactivos, divididos en los criterios: Planeación, Programación, </w:t>
      </w:r>
      <w:proofErr w:type="spellStart"/>
      <w:r w:rsidRPr="004C7CDD">
        <w:rPr>
          <w:rFonts w:cs="Arial"/>
        </w:rPr>
        <w:t>Presupuestación</w:t>
      </w:r>
      <w:proofErr w:type="spellEnd"/>
      <w:r w:rsidRPr="004C7CDD">
        <w:rPr>
          <w:rFonts w:cs="Arial"/>
        </w:rPr>
        <w:t>, Ejercicio y Control, Seguimiento, Evaluación, Rendición de cuentas, Consolidación y Buenas prácticas.</w:t>
      </w:r>
    </w:p>
    <w:p w:rsidR="007F6887" w:rsidRPr="004D5D60" w:rsidRDefault="007F6887" w:rsidP="007F6887">
      <w:pPr>
        <w:spacing w:before="120"/>
        <w:rPr>
          <w:shd w:val="clear" w:color="auto" w:fill="FFFFFF"/>
        </w:rPr>
      </w:pPr>
    </w:p>
    <w:p w:rsidR="007F6887" w:rsidRPr="004D5D60" w:rsidRDefault="007F6887" w:rsidP="007F6887">
      <w:pPr>
        <w:spacing w:before="120"/>
        <w:jc w:val="center"/>
        <w:rPr>
          <w:i/>
        </w:rPr>
      </w:pPr>
      <w:r>
        <w:rPr>
          <w:noProof/>
          <w:lang w:eastAsia="es-MX"/>
        </w:rPr>
        <w:drawing>
          <wp:inline distT="0" distB="0" distL="0" distR="0">
            <wp:extent cx="3189594" cy="3240000"/>
            <wp:effectExtent l="19050" t="0" r="0" b="0"/>
            <wp:docPr id="17" name="Imagen 7234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10"/>
                    <pic:cNvPicPr>
                      <a:picLocks noChangeAspect="1" noChangeArrowheads="1"/>
                    </pic:cNvPicPr>
                  </pic:nvPicPr>
                  <pic:blipFill>
                    <a:blip r:embed="rId21" cstate="print"/>
                    <a:srcRect/>
                    <a:stretch>
                      <a:fillRect/>
                    </a:stretch>
                  </pic:blipFill>
                  <pic:spPr bwMode="auto">
                    <a:xfrm>
                      <a:off x="0" y="0"/>
                      <a:ext cx="3189594" cy="3240000"/>
                    </a:xfrm>
                    <a:prstGeom prst="rect">
                      <a:avLst/>
                    </a:prstGeom>
                    <a:noFill/>
                    <a:ln w="9525">
                      <a:noFill/>
                      <a:miter lim="800000"/>
                      <a:headEnd/>
                      <a:tailEnd/>
                    </a:ln>
                  </pic:spPr>
                </pic:pic>
              </a:graphicData>
            </a:graphic>
          </wp:inline>
        </w:drawing>
      </w:r>
    </w:p>
    <w:p w:rsidR="007F6887" w:rsidRPr="004D5D60" w:rsidRDefault="007F6887" w:rsidP="007F6887">
      <w:pPr>
        <w:spacing w:before="120"/>
        <w:jc w:val="center"/>
        <w:rPr>
          <w:i/>
        </w:rPr>
      </w:pPr>
      <w:r w:rsidRPr="004D5D60">
        <w:rPr>
          <w:i/>
        </w:rPr>
        <w:t xml:space="preserve">Fuente. SHCP. (2020). Diagnóstico </w:t>
      </w:r>
      <w:proofErr w:type="spellStart"/>
      <w:r w:rsidRPr="004D5D60">
        <w:rPr>
          <w:i/>
        </w:rPr>
        <w:t>PbR</w:t>
      </w:r>
      <w:proofErr w:type="spellEnd"/>
      <w:r w:rsidRPr="004D5D60">
        <w:rPr>
          <w:i/>
        </w:rPr>
        <w:t>-SED</w:t>
      </w:r>
    </w:p>
    <w:p w:rsidR="007F6887" w:rsidRDefault="007F6887" w:rsidP="007F6887">
      <w:pPr>
        <w:spacing w:before="120"/>
        <w:jc w:val="center"/>
        <w:rPr>
          <w:i/>
        </w:rPr>
      </w:pPr>
    </w:p>
    <w:p w:rsidR="007F6887" w:rsidRDefault="007F6887" w:rsidP="007F6887">
      <w:pPr>
        <w:spacing w:before="120"/>
        <w:jc w:val="center"/>
        <w:rPr>
          <w:i/>
        </w:rPr>
      </w:pPr>
    </w:p>
    <w:p w:rsidR="007F6887" w:rsidRPr="004D5D60" w:rsidRDefault="00D5198F" w:rsidP="007F6887">
      <w:pPr>
        <w:spacing w:before="120"/>
        <w:jc w:val="center"/>
        <w:rPr>
          <w:i/>
        </w:rPr>
      </w:pPr>
      <w:r w:rsidRPr="00D5198F">
        <w:rPr>
          <w:rFonts w:asciiTheme="minorHAnsi" w:hAnsiTheme="minorHAnsi"/>
          <w:noProof/>
          <w:lang w:eastAsia="es-MX"/>
        </w:rPr>
        <w:pict>
          <v:shape id="Cuadro de texto 34" o:spid="_x0000_s1049" type="#_x0000_t202" style="position:absolute;left:0;text-align:left;margin-left:236.8pt;margin-top:.6pt;width:151.2pt;height:35pt;z-index:2517053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" filled="f" stroked="f">
            <v:path arrowok="t"/>
            <v:textbox style="mso-next-textbox:#Cuadro de texto 34;mso-fit-shape-to-text:t">
              <w:txbxContent>
                <w:p w:rsidR="00923562" w:rsidRPr="00574A23" w:rsidRDefault="00923562" w:rsidP="007F6887">
                  <w:pPr>
                    <w:pStyle w:val="NormalWeb"/>
                    <w:spacing w:after="0"/>
                    <w:jc w:val="center"/>
                    <w:rPr>
                      <w:rFonts w:ascii="Arial" w:hAnsi="Arial" w:cs="Arial"/>
                    </w:rPr>
                  </w:pPr>
                  <w:r w:rsidRPr="00C428DD">
                    <w:rPr>
                      <w:rFonts w:ascii="Arial" w:hAnsi="Arial" w:cs="Arial"/>
                      <w:b/>
                      <w:bCs/>
                      <w:color w:val="000000"/>
                      <w:kern w:val="24"/>
                    </w:rPr>
                    <w:t>Último resultado</w:t>
                  </w:r>
                </w:p>
              </w:txbxContent>
            </v:textbox>
            <w10:wrap anchorx="margin"/>
          </v:shape>
        </w:pict>
      </w:r>
      <w:r w:rsidRPr="00D5198F">
        <w:rPr>
          <w:rFonts w:asciiTheme="minorHAnsi" w:hAnsiTheme="minorHAnsi"/>
          <w:noProof/>
          <w:lang w:eastAsia="es-MX"/>
        </w:rPr>
        <w:pict>
          <v:shape id="Cuadro de texto 3" o:spid="_x0000_s1050" type="#_x0000_t202" style="position:absolute;left:0;text-align:left;margin-left:0;margin-top:4pt;width:164.55pt;height:35pt;z-index:25170636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" filled="f" stroked="f">
            <v:path arrowok="t"/>
            <v:textbox style="mso-next-textbox:#Cuadro de texto 3;mso-fit-shape-to-text:t">
              <w:txbxContent>
                <w:p w:rsidR="00923562" w:rsidRPr="00574A23" w:rsidRDefault="00923562" w:rsidP="007F6887">
                  <w:pPr>
                    <w:pStyle w:val="NormalWeb"/>
                    <w:spacing w:after="0"/>
                    <w:jc w:val="center"/>
                    <w:rPr>
                      <w:rFonts w:ascii="Arial" w:hAnsi="Arial" w:cs="Arial"/>
                    </w:rPr>
                  </w:pPr>
                  <w:r w:rsidRPr="00C428DD">
                    <w:rPr>
                      <w:rFonts w:ascii="Arial" w:hAnsi="Arial" w:cs="Arial"/>
                      <w:b/>
                      <w:bCs/>
                      <w:color w:val="000000"/>
                      <w:kern w:val="24"/>
                    </w:rPr>
                    <w:t>Resultado anterior</w:t>
                  </w:r>
                </w:p>
              </w:txbxContent>
            </v:textbox>
            <w10:wrap anchorx="margin"/>
          </v:shape>
        </w:pict>
      </w:r>
    </w:p>
    <w:p w:rsidR="007F6887" w:rsidRPr="004D5D60" w:rsidRDefault="00D5198F" w:rsidP="007F6887">
      <w:pPr>
        <w:spacing w:before="120"/>
        <w:jc w:val="center"/>
        <w:rPr>
          <w:i/>
        </w:rPr>
      </w:pPr>
      <w:r w:rsidRPr="00D5198F">
        <w:rPr>
          <w:rFonts w:asciiTheme="minorHAnsi" w:hAnsiTheme="minorHAnsi"/>
          <w:noProof/>
          <w:lang w:eastAsia="es-MX"/>
        </w:rPr>
        <w:pict>
          <v:oval id="Elipse 39" o:spid="_x0000_s1090" style="position:absolute;left:0;text-align:left;margin-left:266.65pt;margin-top:6.75pt;width:121.3pt;height:113.25pt;z-index:251701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" fillcolor="#002060" strokecolor="#106e8c" strokeweight="1pt">
            <v:stroke joinstyle="miter"/>
            <v:path arrowok="t"/>
            <w10:wrap anchorx="margin"/>
          </v:oval>
        </w:pict>
      </w:r>
      <w:r w:rsidRPr="00D5198F">
        <w:rPr>
          <w:rFonts w:asciiTheme="minorHAnsi" w:hAnsiTheme="minorHAnsi"/>
          <w:noProof/>
          <w:lang w:eastAsia="es-MX"/>
        </w:rPr>
        <w:pict>
          <v:oval id="Elipse 41" o:spid="_x0000_s1089" style="position:absolute;left:0;text-align:left;margin-left:25.4pt;margin-top:6.75pt;width:117.7pt;height:113.2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" fillcolor="#65caea" strokecolor="#106e8c" strokeweight="1pt">
            <v:stroke joinstyle="miter"/>
            <v:path arrowok="t"/>
          </v:oval>
        </w:pict>
      </w:r>
    </w:p>
    <w:p w:rsidR="007F6887" w:rsidRPr="004D5D60" w:rsidRDefault="00D5198F" w:rsidP="007F6887">
      <w:pPr>
        <w:spacing w:before="120"/>
        <w:jc w:val="center"/>
        <w:rPr>
          <w:i/>
        </w:rPr>
      </w:pPr>
      <w:r w:rsidRPr="00D5198F">
        <w:rPr>
          <w:rFonts w:asciiTheme="minorHAnsi" w:hAnsiTheme="minorHAnsi"/>
          <w:noProof/>
          <w:lang w:eastAsia="es-MX"/>
        </w:rPr>
        <w:pict>
          <v:shape id="Cuadro de texto 43" o:spid="_x0000_s1051" type="#_x0000_t202" style="position:absolute;left:0;text-align:left;margin-left:287.4pt;margin-top:19.9pt;width:84.3pt;height:34.8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" filled="f" stroked="f">
            <v:path arrowok="t"/>
            <v:textbox style="mso-next-textbox:#Cuadro de texto 43;mso-fit-shape-to-text:t">
              <w:txbxContent>
                <w:p w:rsidR="00923562" w:rsidRPr="00587E2F" w:rsidRDefault="00923562" w:rsidP="007F6887">
                  <w:pPr>
                    <w:pStyle w:val="NormalWeb"/>
                    <w:spacing w:before="0" w:beforeAutospacing="0" w:after="0" w:afterAutospacing="0"/>
                    <w:jc w:val="center"/>
                    <w:rPr>
                      <w:rFonts w:ascii="Arial" w:hAnsi="Arial" w:cs="Arial"/>
                    </w:rPr>
                  </w:pPr>
                  <w:r w:rsidRPr="00C428DD">
                    <w:rPr>
                      <w:rFonts w:ascii="Arial" w:hAnsi="Arial" w:cs="Arial"/>
                      <w:b/>
                      <w:bCs/>
                      <w:color w:val="FFFFFF"/>
                      <w:kern w:val="24"/>
                    </w:rPr>
                    <w:t>3er lugar con 83.4</w:t>
                  </w:r>
                </w:p>
              </w:txbxContent>
            </v:textbox>
          </v:shape>
        </w:pict>
      </w:r>
    </w:p>
    <w:p w:rsidR="007F6887" w:rsidRPr="004D5D60" w:rsidRDefault="00D5198F" w:rsidP="007F6887">
      <w:pPr>
        <w:spacing w:before="120"/>
        <w:jc w:val="center"/>
        <w:rPr>
          <w:i/>
        </w:rPr>
      </w:pPr>
      <w:r w:rsidRPr="00D5198F">
        <w:rPr>
          <w:rFonts w:asciiTheme="minorHAnsi" w:hAnsiTheme="minorHAnsi"/>
          <w:noProof/>
          <w:lang w:eastAsia="es-MX"/>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46" o:spid="_x0000_s1088" type="#_x0000_t94" style="position:absolute;left:0;text-align:left;margin-left:175.95pt;margin-top:.8pt;width:61.5pt;height:51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" adj="12644" fillcolor="#1a98c0" stroked="f" strokeweight="1pt">
            <v:path arrowok="t"/>
          </v:shape>
        </w:pict>
      </w:r>
      <w:r w:rsidRPr="00D5198F">
        <w:rPr>
          <w:rFonts w:asciiTheme="minorHAnsi" w:hAnsiTheme="minorHAnsi"/>
          <w:noProof/>
          <w:lang w:eastAsia="es-MX"/>
        </w:rPr>
        <w:pict>
          <v:shape id="Cuadro de texto 2" o:spid="_x0000_s1052" type="#_x0000_t202" style="position:absolute;left:0;text-align:left;margin-left:40.55pt;margin-top:.9pt;width:84.3pt;height:34.8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" filled="f" stroked="f">
            <v:path arrowok="t"/>
            <v:textbox style="mso-next-textbox:#Cuadro de texto 2;mso-fit-shape-to-text:t">
              <w:txbxContent>
                <w:p w:rsidR="00923562" w:rsidRPr="00587E2F" w:rsidRDefault="00923562" w:rsidP="007F6887">
                  <w:pPr>
                    <w:pStyle w:val="NormalWeb"/>
                    <w:spacing w:before="0" w:beforeAutospacing="0" w:after="0" w:afterAutospacing="0"/>
                    <w:jc w:val="center"/>
                    <w:rPr>
                      <w:rFonts w:ascii="Arial" w:hAnsi="Arial" w:cs="Arial"/>
                    </w:rPr>
                  </w:pPr>
                  <w:r w:rsidRPr="00C428DD">
                    <w:rPr>
                      <w:rFonts w:ascii="Arial" w:hAnsi="Arial" w:cs="Arial"/>
                      <w:b/>
                      <w:bCs/>
                      <w:color w:val="FFFFFF"/>
                      <w:kern w:val="24"/>
                    </w:rPr>
                    <w:t>5to lugar con 93.8</w:t>
                  </w:r>
                </w:p>
              </w:txbxContent>
            </v:textbox>
          </v:shape>
        </w:pict>
      </w:r>
    </w:p>
    <w:p w:rsidR="007F6887" w:rsidRPr="004D5D60" w:rsidRDefault="007F6887" w:rsidP="007F6887">
      <w:pPr>
        <w:spacing w:before="120"/>
        <w:jc w:val="center"/>
        <w:rPr>
          <w:i/>
        </w:rPr>
      </w:pPr>
    </w:p>
    <w:p w:rsidR="007F6887" w:rsidRDefault="007F6887" w:rsidP="007F6887">
      <w:pPr>
        <w:spacing w:before="120"/>
        <w:jc w:val="center"/>
        <w:rPr>
          <w:i/>
        </w:rPr>
      </w:pPr>
    </w:p>
    <w:p w:rsidR="007F6887" w:rsidRDefault="007F6887" w:rsidP="007F6887">
      <w:pPr>
        <w:spacing w:before="120"/>
        <w:jc w:val="center"/>
        <w:rPr>
          <w:i/>
        </w:rPr>
      </w:pPr>
    </w:p>
    <w:p w:rsidR="007F6887" w:rsidRPr="004D5D60" w:rsidRDefault="007F6887" w:rsidP="007F6887">
      <w:pPr>
        <w:spacing w:before="120"/>
        <w:jc w:val="center"/>
        <w:rPr>
          <w:i/>
        </w:rPr>
      </w:pPr>
    </w:p>
    <w:p w:rsidR="007F6887" w:rsidRPr="004D5D60" w:rsidRDefault="007F6887" w:rsidP="007F6887">
      <w:pPr>
        <w:spacing w:before="120"/>
        <w:jc w:val="center"/>
        <w:rPr>
          <w:i/>
        </w:rPr>
      </w:pPr>
      <w:r w:rsidRPr="004D5D60">
        <w:rPr>
          <w:i/>
        </w:rPr>
        <w:t xml:space="preserve">Fuente. Elaboración de SIMER con datos de SHCP. (2020). Diagnóstico </w:t>
      </w:r>
      <w:proofErr w:type="spellStart"/>
      <w:r w:rsidRPr="004D5D60">
        <w:rPr>
          <w:i/>
        </w:rPr>
        <w:t>PbR</w:t>
      </w:r>
      <w:proofErr w:type="spellEnd"/>
      <w:r w:rsidRPr="004D5D60">
        <w:rPr>
          <w:i/>
        </w:rPr>
        <w:t>-SED</w:t>
      </w:r>
    </w:p>
    <w:p w:rsidR="007F6887" w:rsidRPr="00912F98" w:rsidRDefault="007F6887" w:rsidP="007F6887">
      <w:pPr>
        <w:spacing w:before="100" w:beforeAutospacing="1" w:after="100" w:afterAutospacing="1"/>
        <w:rPr>
          <w:rFonts w:cs="Arial"/>
        </w:rPr>
      </w:pPr>
    </w:p>
    <w:p w:rsidR="007F6887" w:rsidRPr="004C7CDD" w:rsidRDefault="007F6887" w:rsidP="007F6887">
      <w:pPr>
        <w:spacing w:before="100" w:beforeAutospacing="1" w:after="100" w:afterAutospacing="1"/>
        <w:rPr>
          <w:rFonts w:cs="Arial"/>
          <w:b/>
        </w:rPr>
      </w:pPr>
      <w:r>
        <w:rPr>
          <w:rFonts w:cs="Arial"/>
          <w:b/>
        </w:rPr>
        <w:t xml:space="preserve">3.3 </w:t>
      </w:r>
      <w:r w:rsidRPr="004C7CDD">
        <w:rPr>
          <w:rFonts w:cs="Arial"/>
          <w:b/>
        </w:rPr>
        <w:t>CONEVAL</w:t>
      </w:r>
    </w:p>
    <w:p w:rsidR="007F6887" w:rsidRPr="004C7CDD" w:rsidRDefault="007F6887" w:rsidP="007F6887">
      <w:pPr>
        <w:spacing w:before="100" w:beforeAutospacing="1" w:after="100" w:afterAutospacing="1"/>
        <w:rPr>
          <w:rFonts w:cs="Arial"/>
          <w:b/>
        </w:rPr>
      </w:pPr>
      <w:r w:rsidRPr="004C7CDD">
        <w:rPr>
          <w:rFonts w:cs="Arial"/>
          <w:b/>
        </w:rPr>
        <w:t>Diagnóstico del avance en monitoreo y evaluación en las entidades federativas</w:t>
      </w:r>
    </w:p>
    <w:p w:rsidR="007F6887" w:rsidRPr="004C7CDD" w:rsidRDefault="007F6887" w:rsidP="007F6887">
      <w:pPr>
        <w:spacing w:before="100" w:beforeAutospacing="1" w:after="100" w:afterAutospacing="1"/>
        <w:rPr>
          <w:rFonts w:cs="Arial"/>
        </w:rPr>
      </w:pPr>
      <w:r w:rsidRPr="004C7CDD">
        <w:rPr>
          <w:rFonts w:cs="Arial"/>
        </w:rPr>
        <w:t>El objetivo de este diagnóstico es aportar información sobre el avance que presentan las entidades federativas en la regulación e implementación de instrumentos de monitoreo y evaluación, cuyo marco de referencia son los elementos establecidos en la normativa y las buenas prácticas en la materia.</w:t>
      </w:r>
    </w:p>
    <w:p w:rsidR="007F6887" w:rsidRPr="004D5D60" w:rsidRDefault="00D5198F" w:rsidP="007F6887">
      <w:pPr>
        <w:spacing w:before="120"/>
        <w:rPr>
          <w:rFonts w:eastAsia="Times New Roman"/>
          <w:color w:val="000000"/>
          <w:lang w:eastAsia="es-MX"/>
        </w:rPr>
      </w:pPr>
      <w:r w:rsidRPr="00D5198F">
        <w:rPr>
          <w:rFonts w:asciiTheme="minorHAnsi" w:hAnsiTheme="minorHAnsi"/>
          <w:noProof/>
          <w:lang w:eastAsia="es-MX"/>
        </w:rPr>
        <w:pict>
          <v:shape id="Cuadro de texto 208" o:spid="_x0000_s1053" type="#_x0000_t202" style="position:absolute;left:0;text-align:left;margin-left:237.25pt;margin-top:-.05pt;width:151.2pt;height:35pt;z-index:2517125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" filled="f" stroked="f">
            <v:path arrowok="t"/>
            <v:textbox style="mso-next-textbox:#Cuadro de texto 208;mso-fit-shape-to-text:t">
              <w:txbxContent>
                <w:p w:rsidR="00923562" w:rsidRPr="0082522A" w:rsidRDefault="00923562" w:rsidP="007F6887">
                  <w:pPr>
                    <w:pStyle w:val="NormalWeb"/>
                    <w:spacing w:after="0"/>
                    <w:jc w:val="center"/>
                    <w:rPr>
                      <w:rFonts w:ascii="Arial" w:hAnsi="Arial" w:cs="Arial"/>
                    </w:rPr>
                  </w:pPr>
                  <w:r w:rsidRPr="00C428DD">
                    <w:rPr>
                      <w:rFonts w:ascii="Arial" w:hAnsi="Arial" w:cs="Arial"/>
                      <w:b/>
                      <w:bCs/>
                      <w:color w:val="000000"/>
                      <w:kern w:val="24"/>
                    </w:rPr>
                    <w:t>Último resultado</w:t>
                  </w:r>
                </w:p>
              </w:txbxContent>
            </v:textbox>
            <w10:wrap anchorx="margin"/>
          </v:shape>
        </w:pict>
      </w:r>
      <w:r w:rsidRPr="00D5198F">
        <w:rPr>
          <w:rFonts w:asciiTheme="minorHAnsi" w:hAnsiTheme="minorHAnsi"/>
          <w:noProof/>
          <w:lang w:eastAsia="es-MX"/>
        </w:rPr>
        <w:pict>
          <v:shape id="Cuadro de texto 209" o:spid="_x0000_s1054" type="#_x0000_t202" style="position:absolute;left:0;text-align:left;margin-left:0;margin-top:-.05pt;width:164.55pt;height:3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" filled="f" stroked="f">
            <v:path arrowok="t"/>
            <v:textbox style="mso-next-textbox:#Cuadro de texto 209;mso-fit-shape-to-text:t">
              <w:txbxContent>
                <w:p w:rsidR="00923562" w:rsidRPr="00DD2998" w:rsidRDefault="00923562" w:rsidP="007F6887">
                  <w:pPr>
                    <w:pStyle w:val="NormalWeb"/>
                    <w:spacing w:after="0"/>
                    <w:jc w:val="center"/>
                    <w:rPr>
                      <w:rFonts w:ascii="Arial" w:hAnsi="Arial" w:cs="Arial"/>
                    </w:rPr>
                  </w:pPr>
                  <w:r w:rsidRPr="00C428DD">
                    <w:rPr>
                      <w:rFonts w:ascii="Arial" w:hAnsi="Arial" w:cs="Arial"/>
                      <w:b/>
                      <w:bCs/>
                      <w:color w:val="000000"/>
                      <w:kern w:val="24"/>
                    </w:rPr>
                    <w:t>Resultado anterior</w:t>
                  </w:r>
                </w:p>
              </w:txbxContent>
            </v:textbox>
          </v:shape>
        </w:pict>
      </w:r>
    </w:p>
    <w:p w:rsidR="007F6887" w:rsidRPr="004D5D60" w:rsidRDefault="00D5198F" w:rsidP="007F6887">
      <w:pPr>
        <w:spacing w:before="120"/>
        <w:rPr>
          <w:rFonts w:eastAsia="Times New Roman"/>
          <w:color w:val="000000"/>
          <w:lang w:eastAsia="es-MX"/>
        </w:rPr>
      </w:pPr>
      <w:r w:rsidRPr="00D5198F">
        <w:rPr>
          <w:rFonts w:asciiTheme="minorHAnsi" w:hAnsiTheme="minorHAnsi"/>
          <w:noProof/>
          <w:lang w:eastAsia="es-MX"/>
        </w:rPr>
        <w:pict>
          <v:oval id="Elipse 206" o:spid="_x0000_s1087" style="position:absolute;left:0;text-align:left;margin-left:36.4pt;margin-top:18.9pt;width:117.7pt;height:113.2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" fillcolor="#65caea" strokecolor="#106e8c" strokeweight="1pt">
            <v:stroke joinstyle="miter"/>
            <v:path arrowok="t"/>
          </v:oval>
        </w:pict>
      </w:r>
      <w:r w:rsidRPr="00D5198F">
        <w:rPr>
          <w:rFonts w:asciiTheme="minorHAnsi" w:hAnsiTheme="minorHAnsi"/>
          <w:noProof/>
          <w:lang w:eastAsia="es-MX"/>
        </w:rPr>
        <w:pict>
          <v:oval id="Elipse 203" o:spid="_x0000_s1086" style="position:absolute;left:0;text-align:left;margin-left:261.5pt;margin-top:18.4pt;width:115.5pt;height:114pt;z-index:251708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" fillcolor="#002060" strokecolor="#106e8c" strokeweight="1pt">
            <v:stroke joinstyle="miter"/>
            <v:path arrowok="t"/>
            <w10:wrap anchorx="margin"/>
          </v:oval>
        </w:pict>
      </w:r>
    </w:p>
    <w:p w:rsidR="007F6887" w:rsidRPr="004D5D60" w:rsidRDefault="007F6887" w:rsidP="007F6887">
      <w:pPr>
        <w:spacing w:before="120"/>
        <w:rPr>
          <w:rFonts w:eastAsia="Times New Roman"/>
          <w:b/>
          <w:bCs/>
          <w:lang w:eastAsia="es-MX"/>
        </w:rPr>
      </w:pPr>
    </w:p>
    <w:p w:rsidR="007F6887" w:rsidRPr="004D5D60" w:rsidRDefault="00D5198F" w:rsidP="007F6887">
      <w:pPr>
        <w:spacing w:before="120"/>
        <w:jc w:val="center"/>
        <w:rPr>
          <w:i/>
        </w:rPr>
      </w:pPr>
      <w:r w:rsidRPr="00D5198F">
        <w:rPr>
          <w:rFonts w:asciiTheme="minorHAnsi" w:hAnsiTheme="minorHAnsi"/>
          <w:noProof/>
          <w:lang w:eastAsia="es-MX"/>
        </w:rPr>
        <w:pict>
          <v:shape id="Cuadro de texto 72340801" o:spid="_x0000_s1055" type="#_x0000_t202" style="position:absolute;left:0;text-align:left;margin-left:49.15pt;margin-top:19.05pt;width:85.35pt;height:34.8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" filled="f" stroked="f">
            <v:path arrowok="t"/>
            <v:textbox style="mso-next-textbox:#Cuadro de texto 72340801;mso-fit-shape-to-text:t">
              <w:txbxContent>
                <w:p w:rsidR="00923562" w:rsidRPr="00DD2998" w:rsidRDefault="00923562" w:rsidP="007F6887">
                  <w:pPr>
                    <w:pStyle w:val="NormalWeb"/>
                    <w:spacing w:before="0" w:beforeAutospacing="0" w:after="0" w:afterAutospacing="0"/>
                    <w:jc w:val="center"/>
                    <w:rPr>
                      <w:rFonts w:ascii="Arial" w:hAnsi="Arial" w:cs="Arial"/>
                    </w:rPr>
                  </w:pPr>
                  <w:r w:rsidRPr="00C428DD">
                    <w:rPr>
                      <w:rFonts w:ascii="Arial" w:hAnsi="Arial" w:cs="Arial"/>
                      <w:b/>
                      <w:bCs/>
                      <w:color w:val="FFFFFF"/>
                      <w:kern w:val="24"/>
                    </w:rPr>
                    <w:t>8vo lugar con 89.8</w:t>
                  </w:r>
                </w:p>
              </w:txbxContent>
            </v:textbox>
          </v:shape>
        </w:pict>
      </w:r>
      <w:r w:rsidRPr="00D5198F">
        <w:rPr>
          <w:rFonts w:asciiTheme="minorHAnsi" w:hAnsiTheme="minorHAnsi"/>
          <w:noProof/>
          <w:lang w:eastAsia="es-MX"/>
        </w:rPr>
        <w:pict>
          <v:shape id="Cuadro de texto 72340800" o:spid="_x0000_s1056" type="#_x0000_t202" style="position:absolute;left:0;text-align:left;margin-left:270.8pt;margin-top:11.8pt;width:101.3pt;height:42.6pt;z-index:251710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" filled="f" stroked="f">
            <v:path arrowok="t"/>
            <v:textbox style="mso-next-textbox:#Cuadro de texto 72340800;mso-fit-shape-to-text:t">
              <w:txbxContent>
                <w:p w:rsidR="00923562" w:rsidRDefault="00923562" w:rsidP="007F6887">
                  <w:pPr>
                    <w:pStyle w:val="NormalWeb"/>
                    <w:spacing w:before="0" w:beforeAutospacing="0" w:after="0" w:afterAutospacing="0"/>
                    <w:jc w:val="center"/>
                  </w:pPr>
                  <w:r w:rsidRPr="00C428DD">
                    <w:rPr>
                      <w:rFonts w:ascii="Arial" w:hAnsi="Arial" w:cs="Arial"/>
                      <w:b/>
                      <w:bCs/>
                      <w:color w:val="FFFFFF"/>
                      <w:kern w:val="24"/>
                    </w:rPr>
                    <w:t>5to lugar con 94.</w:t>
                  </w:r>
                  <w:r w:rsidRPr="00C428DD">
                    <w:rPr>
                      <w:rFonts w:ascii="Barlow" w:hAnsi="Barlow" w:cs="Arial"/>
                      <w:b/>
                      <w:bCs/>
                      <w:color w:val="FFFFFF"/>
                      <w:kern w:val="24"/>
                      <w:sz w:val="36"/>
                      <w:szCs w:val="36"/>
                    </w:rPr>
                    <w:t>4</w:t>
                  </w:r>
                </w:p>
              </w:txbxContent>
            </v:textbox>
            <w10:wrap anchorx="margin"/>
          </v:shape>
        </w:pict>
      </w:r>
      <w:r w:rsidRPr="00D5198F">
        <w:rPr>
          <w:rFonts w:asciiTheme="minorHAnsi" w:hAnsiTheme="minorHAnsi"/>
          <w:noProof/>
          <w:lang w:eastAsia="es-MX"/>
        </w:rPr>
        <w:pict>
          <v:shape id="Flecha a la derecha con muesca 210" o:spid="_x0000_s1085" type="#_x0000_t94" style="position:absolute;left:0;text-align:left;margin-left:169.2pt;margin-top:3.5pt;width:61.5pt;height:51pt;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" adj="12644" fillcolor="#1a98c0" stroked="f" strokeweight="1pt">
            <v:path arrowok="t"/>
          </v:shape>
        </w:pict>
      </w:r>
    </w:p>
    <w:p w:rsidR="007F6887" w:rsidRPr="004D5D60" w:rsidRDefault="007F6887" w:rsidP="007F6887">
      <w:pPr>
        <w:spacing w:before="120"/>
        <w:jc w:val="center"/>
        <w:rPr>
          <w:i/>
        </w:rPr>
      </w:pPr>
    </w:p>
    <w:p w:rsidR="007F6887" w:rsidRPr="004D5D60" w:rsidRDefault="007F6887" w:rsidP="007F6887">
      <w:pPr>
        <w:spacing w:before="120"/>
        <w:jc w:val="center"/>
        <w:rPr>
          <w:i/>
        </w:rPr>
      </w:pPr>
    </w:p>
    <w:p w:rsidR="007F6887" w:rsidRPr="004D5D60" w:rsidRDefault="007F6887" w:rsidP="007F6887">
      <w:pPr>
        <w:spacing w:before="120"/>
        <w:jc w:val="center"/>
        <w:rPr>
          <w:i/>
        </w:rPr>
      </w:pPr>
    </w:p>
    <w:p w:rsidR="007F6887" w:rsidRPr="004D5D60" w:rsidRDefault="007F6887" w:rsidP="007F6887">
      <w:pPr>
        <w:spacing w:before="120"/>
        <w:jc w:val="center"/>
        <w:rPr>
          <w:i/>
        </w:rPr>
      </w:pPr>
    </w:p>
    <w:p w:rsidR="007F6887" w:rsidRPr="004D5D60" w:rsidRDefault="007F6887" w:rsidP="007F6887">
      <w:pPr>
        <w:pStyle w:val="Default"/>
        <w:spacing w:before="120" w:after="120"/>
        <w:jc w:val="center"/>
        <w:rPr>
          <w:rFonts w:ascii="Arial" w:hAnsi="Arial" w:cs="Arial"/>
          <w:b/>
          <w:bCs/>
          <w:lang w:eastAsia="es-MX"/>
        </w:rPr>
      </w:pPr>
      <w:r w:rsidRPr="004D5D60">
        <w:rPr>
          <w:rFonts w:ascii="Arial" w:hAnsi="Arial" w:cs="Arial"/>
          <w:i/>
        </w:rPr>
        <w:t>Fuente: Elaboración de SIMER con datos de CONEVAL, 2019.</w:t>
      </w:r>
    </w:p>
    <w:p w:rsidR="007F6887" w:rsidRDefault="007F6887" w:rsidP="007F6887">
      <w:pPr>
        <w:spacing w:before="100" w:beforeAutospacing="1" w:after="100" w:afterAutospacing="1"/>
        <w:rPr>
          <w:rFonts w:cs="Arial"/>
        </w:rPr>
      </w:pPr>
    </w:p>
    <w:p w:rsidR="007F6887" w:rsidRPr="004C7CDD" w:rsidRDefault="007F6887" w:rsidP="007F6887">
      <w:pPr>
        <w:spacing w:before="100" w:beforeAutospacing="1" w:after="100" w:afterAutospacing="1"/>
        <w:rPr>
          <w:rFonts w:cs="Arial"/>
          <w:b/>
        </w:rPr>
      </w:pPr>
      <w:r w:rsidRPr="004C7CDD">
        <w:rPr>
          <w:rFonts w:cs="Arial"/>
          <w:b/>
        </w:rPr>
        <w:t>3.1.3</w:t>
      </w:r>
      <w:r w:rsidRPr="004C7CDD">
        <w:rPr>
          <w:rFonts w:cs="Arial"/>
          <w:b/>
        </w:rPr>
        <w:tab/>
        <w:t>IMCO</w:t>
      </w:r>
    </w:p>
    <w:p w:rsidR="007F6887" w:rsidRPr="004C7CDD" w:rsidRDefault="007F6887" w:rsidP="007F6887">
      <w:pPr>
        <w:spacing w:before="100" w:beforeAutospacing="1" w:after="100" w:afterAutospacing="1"/>
        <w:rPr>
          <w:rFonts w:cs="Arial"/>
        </w:rPr>
      </w:pPr>
      <w:r w:rsidRPr="004C7CDD">
        <w:rPr>
          <w:rFonts w:cs="Arial"/>
        </w:rPr>
        <w:t>El Instituto Mexicano para la Competitividad, es un centro de investigación en política pública y acción ciudadana, apartidista y sin fines de lucro, que propone soluciones efectivas a los desafíos más importantes de México. Han desarrollado varios índices, de los cuales tres evalúan el manejo eficiente y eficaz de los recursos públicos.</w:t>
      </w:r>
    </w:p>
    <w:p w:rsidR="007F6887" w:rsidRPr="004C7CDD" w:rsidRDefault="007F6887" w:rsidP="007F6887">
      <w:pPr>
        <w:spacing w:before="100" w:beforeAutospacing="1" w:after="100" w:afterAutospacing="1"/>
        <w:rPr>
          <w:rFonts w:cs="Arial"/>
          <w:b/>
        </w:rPr>
      </w:pPr>
      <w:r w:rsidRPr="004C7CDD">
        <w:rPr>
          <w:rFonts w:cs="Arial"/>
          <w:b/>
        </w:rPr>
        <w:t>Índice de Información Presupuestal Estatal (IIPE)</w:t>
      </w:r>
    </w:p>
    <w:p w:rsidR="007F6887" w:rsidRPr="004C7CDD" w:rsidRDefault="007F6887" w:rsidP="007F6887">
      <w:pPr>
        <w:spacing w:before="100" w:beforeAutospacing="1" w:after="100" w:afterAutospacing="1"/>
        <w:rPr>
          <w:rFonts w:cs="Arial"/>
        </w:rPr>
      </w:pPr>
      <w:r w:rsidRPr="004C7CDD">
        <w:rPr>
          <w:rFonts w:cs="Arial"/>
        </w:rPr>
        <w:lastRenderedPageBreak/>
        <w:t>Evalúa la calidad de la información presupuestal de los estados sobre la base de un catálogo de buenas prácticas y las normas de contabilidad gubernamental. En diciembre de 2012, el Congreso mexicano reformó la Ley General de Contabilidad Gubernamental, incluyendo algunas recomendaciones de las mejores prácticas identificadas por el IMCO.</w:t>
      </w:r>
    </w:p>
    <w:p w:rsidR="007F6887" w:rsidRPr="00766CF4" w:rsidRDefault="00D5198F" w:rsidP="007F6887">
      <w:pPr>
        <w:spacing w:before="120"/>
        <w:rPr>
          <w:rFonts w:eastAsia="Times New Roman"/>
          <w:color w:val="000000"/>
          <w:lang w:eastAsia="es-MX"/>
        </w:rPr>
      </w:pPr>
      <w:r w:rsidRPr="00D5198F">
        <w:rPr>
          <w:rFonts w:asciiTheme="minorHAnsi" w:hAnsiTheme="minorHAnsi"/>
          <w:noProof/>
          <w:lang w:eastAsia="es-MX"/>
        </w:rPr>
        <w:pict>
          <v:shape id="Cuadro de texto 213" o:spid="_x0000_s1057" type="#_x0000_t202" style="position:absolute;left:0;text-align:left;margin-left:237.25pt;margin-top:0;width:151.2pt;height:35pt;z-index:2517196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" filled="f" stroked="f">
            <v:path arrowok="t"/>
            <v:textbox style="mso-next-textbox:#Cuadro de texto 213;mso-fit-shape-to-text:t">
              <w:txbxContent>
                <w:p w:rsidR="00923562" w:rsidRPr="00766CF4" w:rsidRDefault="00923562" w:rsidP="007F6887">
                  <w:pPr>
                    <w:pStyle w:val="NormalWeb"/>
                    <w:spacing w:after="0"/>
                    <w:jc w:val="center"/>
                    <w:rPr>
                      <w:rFonts w:ascii="Arial" w:hAnsi="Arial" w:cs="Arial"/>
                    </w:rPr>
                  </w:pPr>
                  <w:r w:rsidRPr="00C428DD">
                    <w:rPr>
                      <w:rFonts w:ascii="Arial" w:hAnsi="Arial" w:cs="Arial"/>
                      <w:b/>
                      <w:bCs/>
                      <w:color w:val="000000"/>
                      <w:kern w:val="24"/>
                    </w:rPr>
                    <w:t>Último resultado</w:t>
                  </w:r>
                </w:p>
              </w:txbxContent>
            </v:textbox>
            <w10:wrap anchorx="margin"/>
          </v:shape>
        </w:pict>
      </w:r>
      <w:r w:rsidRPr="00D5198F">
        <w:rPr>
          <w:rFonts w:asciiTheme="minorHAnsi" w:hAnsiTheme="minorHAnsi"/>
          <w:noProof/>
          <w:lang w:eastAsia="es-MX"/>
        </w:rPr>
        <w:pict>
          <v:shape id="Cuadro de texto 214" o:spid="_x0000_s1058" type="#_x0000_t202" style="position:absolute;left:0;text-align:left;margin-left:0;margin-top:0;width:164.55pt;height:3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" filled="f" stroked="f">
            <v:path arrowok="t"/>
            <v:textbox style="mso-next-textbox:#Cuadro de texto 214;mso-fit-shape-to-text:t">
              <w:txbxContent>
                <w:p w:rsidR="00923562" w:rsidRPr="00766CF4" w:rsidRDefault="00923562" w:rsidP="007F6887">
                  <w:pPr>
                    <w:pStyle w:val="NormalWeb"/>
                    <w:spacing w:after="0"/>
                    <w:jc w:val="center"/>
                    <w:rPr>
                      <w:rFonts w:ascii="Arial" w:hAnsi="Arial" w:cs="Arial"/>
                    </w:rPr>
                  </w:pPr>
                  <w:r w:rsidRPr="00C428DD">
                    <w:rPr>
                      <w:rFonts w:ascii="Arial" w:hAnsi="Arial" w:cs="Arial"/>
                      <w:b/>
                      <w:bCs/>
                      <w:color w:val="000000"/>
                      <w:kern w:val="24"/>
                    </w:rPr>
                    <w:t>Resultado anterior</w:t>
                  </w:r>
                </w:p>
              </w:txbxContent>
            </v:textbox>
          </v:shape>
        </w:pict>
      </w:r>
    </w:p>
    <w:p w:rsidR="007F6887" w:rsidRPr="00766CF4" w:rsidRDefault="00D5198F" w:rsidP="007F6887">
      <w:pPr>
        <w:spacing w:before="120"/>
        <w:rPr>
          <w:rFonts w:eastAsia="Times New Roman"/>
          <w:color w:val="000000"/>
          <w:lang w:eastAsia="es-MX"/>
        </w:rPr>
      </w:pPr>
      <w:r w:rsidRPr="00D5198F">
        <w:rPr>
          <w:rFonts w:asciiTheme="minorHAnsi" w:hAnsiTheme="minorHAnsi"/>
          <w:noProof/>
          <w:lang w:eastAsia="es-MX"/>
        </w:rPr>
        <w:pict>
          <v:oval id="Elipse 212" o:spid="_x0000_s1084" style="position:absolute;left:0;text-align:left;margin-left:31.95pt;margin-top:19.65pt;width:108.45pt;height:102.4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" fillcolor="#65caea" strokecolor="#106e8c" strokeweight="1pt">
            <v:stroke joinstyle="miter"/>
            <v:path arrowok="t"/>
          </v:oval>
        </w:pict>
      </w:r>
      <w:r w:rsidRPr="00D5198F">
        <w:rPr>
          <w:rFonts w:asciiTheme="minorHAnsi" w:hAnsiTheme="minorHAnsi"/>
          <w:noProof/>
          <w:lang w:eastAsia="es-MX"/>
        </w:rPr>
        <w:pict>
          <v:oval id="Elipse 211" o:spid="_x0000_s1083" style="position:absolute;left:0;text-align:left;margin-left:255.4pt;margin-top:20.1pt;width:111.25pt;height:100.95pt;z-index:2517166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" fillcolor="#002060" strokecolor="#106e8c" strokeweight="1pt">
            <v:stroke joinstyle="miter"/>
            <v:path arrowok="t"/>
            <w10:wrap anchorx="margin"/>
          </v:oval>
        </w:pict>
      </w:r>
    </w:p>
    <w:p w:rsidR="007F6887" w:rsidRPr="00766CF4" w:rsidRDefault="007F6887" w:rsidP="007F6887">
      <w:pPr>
        <w:pStyle w:val="Default"/>
        <w:spacing w:before="120" w:after="120"/>
        <w:jc w:val="both"/>
        <w:rPr>
          <w:rFonts w:ascii="Arial" w:hAnsi="Arial" w:cs="Arial"/>
          <w:b/>
          <w:bCs/>
          <w:color w:val="auto"/>
          <w:lang w:eastAsia="es-MX"/>
        </w:rPr>
      </w:pPr>
    </w:p>
    <w:p w:rsidR="007F6887" w:rsidRPr="00766CF4" w:rsidRDefault="00D5198F" w:rsidP="007F6887">
      <w:pPr>
        <w:pStyle w:val="Default"/>
        <w:spacing w:before="120" w:after="120"/>
        <w:jc w:val="both"/>
        <w:rPr>
          <w:rFonts w:ascii="Arial" w:hAnsi="Arial" w:cs="Arial"/>
          <w:b/>
          <w:bCs/>
          <w:color w:val="auto"/>
          <w:lang w:eastAsia="es-MX"/>
        </w:rPr>
      </w:pPr>
      <w:r w:rsidRPr="00D5198F">
        <w:rPr>
          <w:rFonts w:ascii="Montserrat" w:eastAsia="Calibri" w:hAnsi="Montserrat" w:cs="Montserrat"/>
          <w:noProof/>
          <w:lang w:val="es-MX" w:eastAsia="es-MX"/>
        </w:rPr>
        <w:pict>
          <v:shape id="Cuadro de texto 72340802" o:spid="_x0000_s1059" type="#_x0000_t202" style="position:absolute;left:0;text-align:left;margin-left:37.95pt;margin-top:15.25pt;width:92.85pt;height:34.8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" filled="f" stroked="f">
            <v:path arrowok="t"/>
            <v:textbox style="mso-next-textbox:#Cuadro de texto 72340802;mso-fit-shape-to-text:t">
              <w:txbxContent>
                <w:p w:rsidR="00923562" w:rsidRPr="00766CF4" w:rsidRDefault="00923562" w:rsidP="007F6887">
                  <w:pPr>
                    <w:pStyle w:val="NormalWeb"/>
                    <w:spacing w:before="0" w:beforeAutospacing="0" w:after="0" w:afterAutospacing="0"/>
                    <w:jc w:val="center"/>
                    <w:rPr>
                      <w:rFonts w:ascii="Arial" w:hAnsi="Arial" w:cs="Arial"/>
                    </w:rPr>
                  </w:pPr>
                  <w:r w:rsidRPr="00C428DD">
                    <w:rPr>
                      <w:rFonts w:ascii="Arial" w:hAnsi="Arial" w:cs="Arial"/>
                      <w:b/>
                      <w:bCs/>
                      <w:color w:val="FFFFFF"/>
                      <w:kern w:val="24"/>
                    </w:rPr>
                    <w:t>12vo lugar con 90%</w:t>
                  </w:r>
                </w:p>
              </w:txbxContent>
            </v:textbox>
          </v:shape>
        </w:pict>
      </w:r>
      <w:r w:rsidRPr="00D5198F">
        <w:rPr>
          <w:rFonts w:ascii="Montserrat" w:eastAsia="Calibri" w:hAnsi="Montserrat" w:cs="Montserrat"/>
          <w:noProof/>
          <w:lang w:val="es-MX" w:eastAsia="es-MX"/>
        </w:rPr>
        <w:pict>
          <v:shape id="Cuadro de texto 72340803" o:spid="_x0000_s1060" type="#_x0000_t202" style="position:absolute;left:0;text-align:left;margin-left:269.9pt;margin-top:15pt;width:84.3pt;height:34.8pt;z-index:2517176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" filled="f" stroked="f">
            <v:path arrowok="t"/>
            <v:textbox style="mso-next-textbox:#Cuadro de texto 72340803;mso-fit-shape-to-text:t">
              <w:txbxContent>
                <w:p w:rsidR="00923562" w:rsidRPr="00766CF4" w:rsidRDefault="00923562" w:rsidP="007F6887">
                  <w:pPr>
                    <w:pStyle w:val="NormalWeb"/>
                    <w:spacing w:before="0" w:beforeAutospacing="0" w:after="0" w:afterAutospacing="0"/>
                    <w:jc w:val="center"/>
                    <w:rPr>
                      <w:rFonts w:ascii="Arial" w:hAnsi="Arial" w:cs="Arial"/>
                    </w:rPr>
                  </w:pPr>
                  <w:r w:rsidRPr="00C428DD">
                    <w:rPr>
                      <w:rFonts w:ascii="Arial" w:hAnsi="Arial" w:cs="Arial"/>
                      <w:b/>
                      <w:bCs/>
                      <w:color w:val="FFFFFF"/>
                      <w:kern w:val="24"/>
                    </w:rPr>
                    <w:t>4to lugar con 99%</w:t>
                  </w:r>
                </w:p>
              </w:txbxContent>
            </v:textbox>
            <w10:wrap anchorx="margin"/>
          </v:shape>
        </w:pict>
      </w:r>
      <w:r w:rsidRPr="00D5198F">
        <w:rPr>
          <w:rFonts w:ascii="Montserrat" w:eastAsia="Calibri" w:hAnsi="Montserrat" w:cs="Montserrat"/>
          <w:noProof/>
          <w:lang w:val="es-MX" w:eastAsia="es-MX"/>
        </w:rPr>
        <w:pict>
          <v:shape id="Flecha a la derecha con muesca 215" o:spid="_x0000_s1082" type="#_x0000_t94" style="position:absolute;left:0;text-align:left;margin-left:171.15pt;margin-top:6.6pt;width:66.4pt;height:51pt;z-index:2517217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" adj="13305" fillcolor="#1a98c0" stroked="f" strokeweight="1pt">
            <v:path arrowok="t"/>
          </v:shape>
        </w:pict>
      </w:r>
    </w:p>
    <w:p w:rsidR="007F6887" w:rsidRPr="00766CF4" w:rsidRDefault="007F6887" w:rsidP="007F6887">
      <w:pPr>
        <w:pStyle w:val="Default"/>
        <w:spacing w:before="120" w:after="120"/>
        <w:jc w:val="both"/>
        <w:rPr>
          <w:rFonts w:ascii="Arial" w:hAnsi="Arial" w:cs="Arial"/>
          <w:b/>
          <w:bCs/>
          <w:color w:val="auto"/>
          <w:lang w:eastAsia="es-MX"/>
        </w:rPr>
      </w:pPr>
    </w:p>
    <w:p w:rsidR="007F6887" w:rsidRPr="004D5D60" w:rsidRDefault="007F6887" w:rsidP="007F6887">
      <w:pPr>
        <w:pStyle w:val="Default"/>
        <w:spacing w:before="120" w:after="120"/>
        <w:jc w:val="both"/>
        <w:rPr>
          <w:rFonts w:ascii="Arial" w:hAnsi="Arial" w:cs="Arial"/>
          <w:b/>
          <w:bCs/>
          <w:color w:val="auto"/>
          <w:lang w:eastAsia="es-MX"/>
        </w:rPr>
      </w:pPr>
    </w:p>
    <w:p w:rsidR="007F6887" w:rsidRPr="004D5D60" w:rsidRDefault="007F6887" w:rsidP="007F6887">
      <w:pPr>
        <w:pStyle w:val="Default"/>
        <w:spacing w:before="120" w:after="120"/>
        <w:jc w:val="both"/>
        <w:rPr>
          <w:rFonts w:ascii="Arial" w:hAnsi="Arial" w:cs="Arial"/>
          <w:b/>
          <w:bCs/>
          <w:color w:val="auto"/>
          <w:lang w:eastAsia="es-MX"/>
        </w:rPr>
      </w:pPr>
    </w:p>
    <w:p w:rsidR="007F6887" w:rsidRPr="004D5D60" w:rsidRDefault="007F6887" w:rsidP="007F6887">
      <w:pPr>
        <w:pStyle w:val="Default"/>
        <w:spacing w:before="120" w:after="120"/>
        <w:jc w:val="both"/>
        <w:rPr>
          <w:rFonts w:ascii="Arial" w:hAnsi="Arial" w:cs="Arial"/>
          <w:b/>
          <w:bCs/>
          <w:color w:val="auto"/>
          <w:lang w:eastAsia="es-MX"/>
        </w:rPr>
      </w:pPr>
    </w:p>
    <w:p w:rsidR="007F6887" w:rsidRPr="004D5D60" w:rsidRDefault="007F6887" w:rsidP="007F6887">
      <w:pPr>
        <w:pStyle w:val="Default"/>
        <w:spacing w:before="120" w:after="120"/>
        <w:jc w:val="center"/>
        <w:rPr>
          <w:rFonts w:ascii="Arial" w:hAnsi="Arial" w:cs="Arial"/>
          <w:i/>
          <w:color w:val="auto"/>
        </w:rPr>
      </w:pPr>
      <w:r w:rsidRPr="004D5D60">
        <w:rPr>
          <w:rFonts w:ascii="Arial" w:hAnsi="Arial" w:cs="Arial"/>
          <w:i/>
          <w:color w:val="auto"/>
        </w:rPr>
        <w:t>Fuente: Elaboración de SIMER con datos del IMCO, 2019.</w:t>
      </w:r>
    </w:p>
    <w:p w:rsidR="007F6887" w:rsidRPr="004C7CDD" w:rsidRDefault="007F6887" w:rsidP="007F6887">
      <w:pPr>
        <w:spacing w:before="100" w:beforeAutospacing="1" w:after="100" w:afterAutospacing="1"/>
        <w:rPr>
          <w:rFonts w:cs="Arial"/>
          <w:b/>
        </w:rPr>
      </w:pPr>
      <w:r w:rsidRPr="004C7CDD">
        <w:rPr>
          <w:rFonts w:cs="Arial"/>
          <w:b/>
        </w:rPr>
        <w:t>Índice de información del Ejercicio del gasto (IIEG)</w:t>
      </w:r>
    </w:p>
    <w:p w:rsidR="007F6887" w:rsidRPr="004C7CDD" w:rsidRDefault="00D5198F" w:rsidP="007F6887">
      <w:pPr>
        <w:spacing w:before="100" w:beforeAutospacing="1" w:after="100" w:afterAutospacing="1"/>
        <w:rPr>
          <w:rFonts w:cs="Arial"/>
        </w:rPr>
      </w:pPr>
      <w:r w:rsidRPr="00D5198F">
        <w:rPr>
          <w:rFonts w:asciiTheme="minorHAnsi" w:hAnsiTheme="minorHAnsi"/>
          <w:noProof/>
          <w:sz w:val="22"/>
          <w:szCs w:val="22"/>
          <w:lang w:eastAsia="es-MX"/>
        </w:rPr>
        <w:pict>
          <v:shape id="Cuadro de texto 219" o:spid="_x0000_s1061" type="#_x0000_t202" style="position:absolute;left:0;text-align:left;margin-left:255.4pt;margin-top:85.2pt;width:151.2pt;height:35.6pt;z-index:2517248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" filled="f" stroked="f">
            <v:path arrowok="t"/>
            <v:textbox style="mso-next-textbox:#Cuadro de texto 219;mso-fit-shape-to-text:t">
              <w:txbxContent>
                <w:p w:rsidR="00923562" w:rsidRPr="00CB7697" w:rsidRDefault="00923562" w:rsidP="007F6887">
                  <w:pPr>
                    <w:pStyle w:val="NormalWeb"/>
                    <w:spacing w:after="0"/>
                    <w:jc w:val="center"/>
                  </w:pPr>
                  <w:r w:rsidRPr="00C428DD">
                    <w:rPr>
                      <w:rFonts w:ascii="Barlow" w:hAnsi="Barlow" w:cs="Arial"/>
                      <w:b/>
                      <w:bCs/>
                      <w:color w:val="000000"/>
                      <w:kern w:val="24"/>
                    </w:rPr>
                    <w:t>Último resultado</w:t>
                  </w:r>
                </w:p>
              </w:txbxContent>
            </v:textbox>
            <w10:wrap anchorx="margin"/>
          </v:shape>
        </w:pict>
      </w:r>
      <w:r w:rsidRPr="00D5198F">
        <w:rPr>
          <w:rFonts w:asciiTheme="minorHAnsi" w:hAnsiTheme="minorHAnsi"/>
          <w:noProof/>
          <w:sz w:val="22"/>
          <w:szCs w:val="22"/>
          <w:lang w:eastAsia="es-MX"/>
        </w:rPr>
        <w:pict>
          <v:shape id="Cuadro de texto 220" o:spid="_x0000_s1062" type="#_x0000_t202" style="position:absolute;left:0;text-align:left;margin-left:6.55pt;margin-top:85.2pt;width:164.55pt;height:35.6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" filled="f" stroked="f">
            <v:path arrowok="t"/>
            <v:textbox style="mso-next-textbox:#Cuadro de texto 220;mso-fit-shape-to-text:t">
              <w:txbxContent>
                <w:p w:rsidR="00923562" w:rsidRPr="00CB7697" w:rsidRDefault="00923562" w:rsidP="007F6887">
                  <w:pPr>
                    <w:pStyle w:val="NormalWeb"/>
                    <w:spacing w:after="0"/>
                    <w:jc w:val="center"/>
                  </w:pPr>
                  <w:r w:rsidRPr="00C428DD">
                    <w:rPr>
                      <w:rFonts w:ascii="Barlow" w:hAnsi="Barlow" w:cs="Arial"/>
                      <w:b/>
                      <w:bCs/>
                      <w:color w:val="000000"/>
                      <w:kern w:val="24"/>
                    </w:rPr>
                    <w:t>Resultado anterior</w:t>
                  </w:r>
                </w:p>
              </w:txbxContent>
            </v:textbox>
          </v:shape>
        </w:pict>
      </w:r>
      <w:r w:rsidR="007F6887" w:rsidRPr="004C7CDD">
        <w:rPr>
          <w:rFonts w:cs="Arial"/>
        </w:rPr>
        <w:t>Mide la calidad de la información sobre el ejercicio de los recursos públicos por parte de las entidades federativas del país durante el ejercicio fiscal 2018 y tiene como propósito eliminar condiciones de opacidad, verificar el cumplimiento de la normatividad existente en materia de contabilidad gubernamental y fomentar una serie de buenas prácticas que se han implementado en algunas entidades federativas.</w:t>
      </w:r>
    </w:p>
    <w:p w:rsidR="007F6887" w:rsidRPr="004D5D60" w:rsidRDefault="007F6887" w:rsidP="007F6887">
      <w:pPr>
        <w:spacing w:before="120"/>
        <w:jc w:val="center"/>
        <w:rPr>
          <w:i/>
        </w:rPr>
      </w:pPr>
    </w:p>
    <w:p w:rsidR="007F6887" w:rsidRPr="004D5D60" w:rsidRDefault="003F7BCD" w:rsidP="007F6887">
      <w:pPr>
        <w:spacing w:before="120"/>
        <w:jc w:val="center"/>
        <w:rPr>
          <w:i/>
        </w:rPr>
      </w:pPr>
      <w:r w:rsidRPr="00D5198F">
        <w:rPr>
          <w:rFonts w:asciiTheme="minorHAnsi" w:hAnsiTheme="minorHAnsi"/>
          <w:noProof/>
          <w:lang w:eastAsia="es-MX"/>
        </w:rPr>
        <w:pict>
          <v:oval id="Elipse 216" o:spid="_x0000_s1081" style="position:absolute;left:0;text-align:left;margin-left:49.7pt;margin-top:5.65pt;width:84.15pt;height:76.3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" fillcolor="#65caea" strokecolor="#106e8c" strokeweight="1pt">
            <v:stroke joinstyle="miter"/>
            <v:path arrowok="t"/>
          </v:oval>
        </w:pict>
      </w:r>
      <w:r w:rsidRPr="00D5198F">
        <w:rPr>
          <w:rFonts w:asciiTheme="minorHAnsi" w:hAnsiTheme="minorHAnsi"/>
          <w:noProof/>
          <w:lang w:eastAsia="es-MX"/>
        </w:rPr>
        <w:pict>
          <v:oval id="Elipse 218" o:spid="_x0000_s1080" style="position:absolute;left:0;text-align:left;margin-left:270.4pt;margin-top:6.55pt;width:75.4pt;height:70.85pt;z-index:2517237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" fillcolor="#002060" strokecolor="#106e8c" strokeweight="1pt">
            <v:stroke joinstyle="miter"/>
            <v:path arrowok="t"/>
            <w10:wrap anchorx="margin"/>
          </v:oval>
        </w:pict>
      </w:r>
    </w:p>
    <w:p w:rsidR="007F6887" w:rsidRPr="004D5D60" w:rsidRDefault="003F7BCD" w:rsidP="007F6887">
      <w:pPr>
        <w:spacing w:before="120"/>
        <w:jc w:val="center"/>
        <w:rPr>
          <w:i/>
        </w:rPr>
      </w:pPr>
      <w:r w:rsidRPr="00D5198F">
        <w:rPr>
          <w:rFonts w:asciiTheme="minorHAnsi" w:hAnsiTheme="minorHAnsi"/>
          <w:noProof/>
          <w:lang w:eastAsia="es-MX"/>
        </w:rPr>
        <w:pict>
          <v:shape id="Cuadro de texto 72340804" o:spid="_x0000_s1063" type="#_x0000_t202" style="position:absolute;left:0;text-align:left;margin-left:263.7pt;margin-top:.55pt;width:90.5pt;height:48.6pt;z-index:2517278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" filled="f" stroked="f">
            <v:path arrowok="t"/>
            <v:textbox style="mso-next-textbox:#Cuadro de texto 72340804;mso-fit-shape-to-text:t">
              <w:txbxContent>
                <w:p w:rsidR="00923562" w:rsidRPr="003E5228" w:rsidRDefault="00923562" w:rsidP="007F6887">
                  <w:pPr>
                    <w:pStyle w:val="NormalWeb"/>
                    <w:spacing w:before="0" w:beforeAutospacing="0" w:after="0" w:afterAutospacing="0"/>
                    <w:jc w:val="center"/>
                    <w:rPr>
                      <w:rFonts w:ascii="Arial" w:hAnsi="Arial" w:cs="Arial"/>
                    </w:rPr>
                  </w:pPr>
                  <w:r w:rsidRPr="00C428DD">
                    <w:rPr>
                      <w:rFonts w:ascii="Arial" w:hAnsi="Arial" w:cs="Arial"/>
                      <w:b/>
                      <w:bCs/>
                      <w:color w:val="FFFFFF"/>
                      <w:kern w:val="24"/>
                    </w:rPr>
                    <w:t>14vo lugar con 67 puntos</w:t>
                  </w:r>
                </w:p>
              </w:txbxContent>
            </v:textbox>
          </v:shape>
        </w:pict>
      </w:r>
      <w:r w:rsidRPr="00D5198F">
        <w:rPr>
          <w:rFonts w:asciiTheme="minorHAnsi" w:hAnsiTheme="minorHAnsi"/>
          <w:noProof/>
          <w:lang w:eastAsia="es-MX"/>
        </w:rPr>
        <w:pict>
          <v:shape id="Flecha a la derecha con muesca 221" o:spid="_x0000_s1079" type="#_x0000_t94" style="position:absolute;left:0;text-align:left;margin-left:179.7pt;margin-top:.55pt;width:61.5pt;height:51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" adj="12644" fillcolor="#1a98c0" stroked="f" strokeweight="1pt">
            <v:path arrowok="t"/>
          </v:shape>
        </w:pict>
      </w:r>
      <w:r w:rsidRPr="00D5198F">
        <w:rPr>
          <w:rFonts w:asciiTheme="minorHAnsi" w:hAnsiTheme="minorHAnsi"/>
          <w:noProof/>
          <w:lang w:eastAsia="es-MX"/>
        </w:rPr>
        <w:pict>
          <v:shape id="Cuadro de texto 72340805" o:spid="_x0000_s1064" type="#_x0000_t202" style="position:absolute;left:0;text-align:left;margin-left:46.4pt;margin-top:.55pt;width:94pt;height:36pt;z-index:2517288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" filled="f" stroked="f">
            <v:path arrowok="t"/>
            <v:textbox style="mso-next-textbox:#Cuadro de texto 72340805;mso-fit-shape-to-text:t">
              <w:txbxContent>
                <w:p w:rsidR="00923562" w:rsidRPr="00E14861" w:rsidRDefault="00923562" w:rsidP="007F6887">
                  <w:pPr>
                    <w:pStyle w:val="NormalWeb"/>
                    <w:spacing w:before="0" w:beforeAutospacing="0" w:after="0" w:afterAutospacing="0"/>
                    <w:jc w:val="center"/>
                  </w:pPr>
                  <w:r w:rsidRPr="00C428DD">
                    <w:rPr>
                      <w:rFonts w:ascii="Barlow" w:hAnsi="Barlow" w:cs="Arial"/>
                      <w:b/>
                      <w:bCs/>
                      <w:color w:val="FFFFFF"/>
                      <w:kern w:val="24"/>
                    </w:rPr>
                    <w:t>21vo lugar con 52.1 puntos</w:t>
                  </w:r>
                </w:p>
              </w:txbxContent>
            </v:textbox>
          </v:shape>
        </w:pict>
      </w:r>
    </w:p>
    <w:p w:rsidR="007F6887" w:rsidRPr="004D5D60" w:rsidRDefault="007F6887" w:rsidP="007F6887">
      <w:pPr>
        <w:spacing w:before="120"/>
        <w:jc w:val="center"/>
        <w:rPr>
          <w:i/>
        </w:rPr>
      </w:pPr>
    </w:p>
    <w:p w:rsidR="007F6887" w:rsidRPr="004D5D60" w:rsidRDefault="007F6887" w:rsidP="007F6887">
      <w:pPr>
        <w:spacing w:before="120"/>
        <w:jc w:val="center"/>
        <w:rPr>
          <w:i/>
        </w:rPr>
      </w:pPr>
    </w:p>
    <w:p w:rsidR="007F6887" w:rsidRDefault="007F6887" w:rsidP="007F6887">
      <w:pPr>
        <w:spacing w:before="120"/>
        <w:jc w:val="center"/>
        <w:rPr>
          <w:i/>
        </w:rPr>
      </w:pPr>
      <w:r w:rsidRPr="004D5D60">
        <w:rPr>
          <w:i/>
        </w:rPr>
        <w:t>Fuente: Elaboración de SIMER con datos del IMCO, 2019.</w:t>
      </w:r>
    </w:p>
    <w:p w:rsidR="007F6887" w:rsidRDefault="007F6887" w:rsidP="007F6887">
      <w:pPr>
        <w:spacing w:before="100" w:beforeAutospacing="1" w:after="100" w:afterAutospacing="1"/>
        <w:rPr>
          <w:rFonts w:cs="Arial"/>
        </w:rPr>
      </w:pPr>
    </w:p>
    <w:p w:rsidR="007F6887" w:rsidRPr="004C7CDD" w:rsidRDefault="007F6887" w:rsidP="007F6887">
      <w:pPr>
        <w:spacing w:before="100" w:beforeAutospacing="1" w:after="100" w:afterAutospacing="1"/>
        <w:rPr>
          <w:rFonts w:cs="Arial"/>
          <w:b/>
        </w:rPr>
      </w:pPr>
      <w:r w:rsidRPr="004C7CDD">
        <w:rPr>
          <w:rFonts w:cs="Arial"/>
          <w:b/>
        </w:rPr>
        <w:t>Índice de Competitividad Estatal (ICE)</w:t>
      </w:r>
    </w:p>
    <w:p w:rsidR="007F6887" w:rsidRDefault="007F6887" w:rsidP="007F6887">
      <w:pPr>
        <w:spacing w:before="100" w:beforeAutospacing="1" w:after="100" w:afterAutospacing="1"/>
        <w:rPr>
          <w:rFonts w:cs="Arial"/>
        </w:rPr>
      </w:pPr>
      <w:r w:rsidRPr="004C7CDD">
        <w:rPr>
          <w:rFonts w:cs="Arial"/>
        </w:rPr>
        <w:lastRenderedPageBreak/>
        <w:t>El Índice de Competitividad Estatal (ICE) 2020 mide la c</w:t>
      </w:r>
      <w:r>
        <w:rPr>
          <w:rFonts w:cs="Arial"/>
        </w:rPr>
        <w:t>apacidad de las entidades fede</w:t>
      </w:r>
      <w:r w:rsidRPr="004C7CDD">
        <w:rPr>
          <w:rFonts w:cs="Arial"/>
        </w:rPr>
        <w:t>rativas para generar, atraer y retener talento e inversión. Analiza el desempeño de los estados durante el periodo 2001-2018, cuyo objetivo es dar información para diseñar, priorizar y dar seguimiento a políticas públicas que promuevan la competitividad de los estados.</w:t>
      </w:r>
    </w:p>
    <w:p w:rsidR="007F6887" w:rsidRPr="004D5D60" w:rsidRDefault="00D5198F" w:rsidP="007F6887">
      <w:pPr>
        <w:spacing w:before="120"/>
        <w:rPr>
          <w:color w:val="121D56"/>
          <w:shd w:val="clear" w:color="auto" w:fill="FFFFFF"/>
        </w:rPr>
      </w:pPr>
      <w:r w:rsidRPr="00D5198F">
        <w:rPr>
          <w:rFonts w:asciiTheme="minorHAnsi" w:hAnsiTheme="minorHAnsi"/>
          <w:noProof/>
          <w:lang w:eastAsia="es-MX"/>
        </w:rPr>
        <w:pict>
          <v:shape id="Cuadro de texto 224" o:spid="_x0000_s1065" type="#_x0000_t202" style="position:absolute;left:0;text-align:left;margin-left:237.25pt;margin-top:6.1pt;width:151.2pt;height:35pt;z-index:2517340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" filled="f" stroked="f">
            <v:path arrowok="t"/>
            <v:textbox style="mso-next-textbox:#Cuadro de texto 224;mso-fit-shape-to-text:t">
              <w:txbxContent>
                <w:p w:rsidR="00923562" w:rsidRPr="00431079" w:rsidRDefault="00923562" w:rsidP="007F6887">
                  <w:pPr>
                    <w:pStyle w:val="NormalWeb"/>
                    <w:spacing w:after="0"/>
                    <w:jc w:val="center"/>
                    <w:rPr>
                      <w:rFonts w:ascii="Arial" w:hAnsi="Arial" w:cs="Arial"/>
                    </w:rPr>
                  </w:pPr>
                  <w:r w:rsidRPr="00C428DD">
                    <w:rPr>
                      <w:rFonts w:ascii="Arial" w:hAnsi="Arial" w:cs="Arial"/>
                      <w:b/>
                      <w:bCs/>
                      <w:color w:val="000000"/>
                      <w:kern w:val="24"/>
                    </w:rPr>
                    <w:t>Último resultado</w:t>
                  </w:r>
                </w:p>
              </w:txbxContent>
            </v:textbox>
            <w10:wrap anchorx="margin"/>
          </v:shape>
        </w:pict>
      </w:r>
      <w:r>
        <w:rPr>
          <w:noProof/>
          <w:color w:val="121D56"/>
          <w:lang w:eastAsia="es-MX"/>
        </w:rPr>
        <w:pict>
          <v:shape id="Cuadro de texto 225" o:spid="_x0000_s1066" type="#_x0000_t202" style="position:absolute;left:0;text-align:left;margin-left:-1.6pt;margin-top:6.1pt;width:164.55pt;height:3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" filled="f" stroked="f">
            <v:path arrowok="t"/>
            <v:textbox style="mso-next-textbox:#Cuadro de texto 225;mso-fit-shape-to-text:t">
              <w:txbxContent>
                <w:p w:rsidR="00923562" w:rsidRPr="00431079" w:rsidRDefault="00923562" w:rsidP="007F6887">
                  <w:pPr>
                    <w:pStyle w:val="NormalWeb"/>
                    <w:spacing w:after="0"/>
                    <w:jc w:val="center"/>
                    <w:rPr>
                      <w:rFonts w:ascii="Arial" w:hAnsi="Arial" w:cs="Arial"/>
                    </w:rPr>
                  </w:pPr>
                  <w:r w:rsidRPr="00C428DD">
                    <w:rPr>
                      <w:rFonts w:ascii="Arial" w:hAnsi="Arial" w:cs="Arial"/>
                      <w:b/>
                      <w:bCs/>
                      <w:color w:val="000000"/>
                      <w:kern w:val="24"/>
                    </w:rPr>
                    <w:t>Resultado anterior</w:t>
                  </w:r>
                </w:p>
              </w:txbxContent>
            </v:textbox>
          </v:shape>
        </w:pict>
      </w:r>
    </w:p>
    <w:p w:rsidR="007F6887" w:rsidRPr="004D5D60" w:rsidRDefault="00D5198F" w:rsidP="007F6887">
      <w:pPr>
        <w:spacing w:before="120"/>
        <w:rPr>
          <w:rFonts w:eastAsia="Times New Roman"/>
          <w:color w:val="000000"/>
          <w:lang w:eastAsia="es-MX"/>
        </w:rPr>
      </w:pPr>
      <w:r w:rsidRPr="00D5198F">
        <w:rPr>
          <w:rFonts w:asciiTheme="minorHAnsi" w:hAnsiTheme="minorHAnsi"/>
          <w:noProof/>
          <w:lang w:eastAsia="es-MX"/>
        </w:rPr>
        <w:pict>
          <v:oval id="Elipse 222" o:spid="_x0000_s1078" style="position:absolute;left:0;text-align:left;margin-left:27.45pt;margin-top:18.45pt;width:117.7pt;height:113.2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" fillcolor="#65caea" strokecolor="#106e8c" strokeweight="1pt">
            <v:stroke joinstyle="miter"/>
            <v:path arrowok="t"/>
          </v:oval>
        </w:pict>
      </w:r>
      <w:r w:rsidRPr="00D5198F">
        <w:rPr>
          <w:rFonts w:asciiTheme="minorHAnsi" w:hAnsiTheme="minorHAnsi"/>
          <w:noProof/>
          <w:lang w:eastAsia="es-MX"/>
        </w:rPr>
        <w:pict>
          <v:oval id="Elipse 223" o:spid="_x0000_s1077" style="position:absolute;left:0;text-align:left;margin-left:255.35pt;margin-top:18.45pt;width:115.5pt;height:114pt;z-index:2517299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" fillcolor="#002060" strokecolor="#106e8c" strokeweight="1pt">
            <v:stroke joinstyle="miter"/>
            <v:path arrowok="t"/>
            <w10:wrap anchorx="margin"/>
          </v:oval>
        </w:pict>
      </w:r>
    </w:p>
    <w:p w:rsidR="007F6887" w:rsidRPr="004D5D60" w:rsidRDefault="007F6887" w:rsidP="007F6887">
      <w:pPr>
        <w:spacing w:before="120"/>
        <w:rPr>
          <w:rFonts w:eastAsia="Times New Roman"/>
          <w:color w:val="000000"/>
          <w:lang w:eastAsia="es-MX"/>
        </w:rPr>
      </w:pPr>
    </w:p>
    <w:p w:rsidR="007F6887" w:rsidRPr="004D5D60" w:rsidRDefault="00D5198F" w:rsidP="007F6887">
      <w:pPr>
        <w:spacing w:before="120"/>
        <w:rPr>
          <w:rFonts w:eastAsia="Times New Roman"/>
          <w:color w:val="000000"/>
          <w:lang w:eastAsia="es-MX"/>
        </w:rPr>
      </w:pPr>
      <w:r w:rsidRPr="00D5198F">
        <w:rPr>
          <w:rFonts w:asciiTheme="minorHAnsi" w:hAnsiTheme="minorHAnsi"/>
          <w:noProof/>
          <w:lang w:eastAsia="es-MX"/>
        </w:rPr>
        <w:pict>
          <v:shape id="Cuadro de texto 72340807" o:spid="_x0000_s1067" type="#_x0000_t202" style="position:absolute;left:0;text-align:left;margin-left:38.95pt;margin-top:2.7pt;width:95pt;height:48.6pt;z-index:2517329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" filled="f" stroked="f">
            <v:path arrowok="t"/>
            <v:textbox style="mso-next-textbox:#Cuadro de texto 72340807;mso-fit-shape-to-text:t">
              <w:txbxContent>
                <w:p w:rsidR="00923562" w:rsidRPr="000D0B39" w:rsidRDefault="00923562" w:rsidP="007F6887">
                  <w:pPr>
                    <w:pStyle w:val="NormalWeb"/>
                    <w:spacing w:before="0" w:beforeAutospacing="0" w:after="0" w:afterAutospacing="0"/>
                    <w:jc w:val="center"/>
                    <w:rPr>
                      <w:rFonts w:ascii="Arial" w:hAnsi="Arial" w:cs="Arial"/>
                    </w:rPr>
                  </w:pPr>
                  <w:r w:rsidRPr="00C428DD">
                    <w:rPr>
                      <w:rFonts w:ascii="Arial" w:hAnsi="Arial" w:cs="Arial"/>
                      <w:b/>
                      <w:bCs/>
                      <w:color w:val="FFFFFF"/>
                      <w:kern w:val="24"/>
                    </w:rPr>
                    <w:t>14vo lugar</w:t>
                  </w:r>
                </w:p>
                <w:p w:rsidR="00923562" w:rsidRPr="000D0B39" w:rsidRDefault="00923562" w:rsidP="007F6887">
                  <w:pPr>
                    <w:pStyle w:val="NormalWeb"/>
                    <w:spacing w:before="0" w:beforeAutospacing="0" w:after="0" w:afterAutospacing="0"/>
                    <w:jc w:val="center"/>
                    <w:rPr>
                      <w:rFonts w:ascii="Arial" w:hAnsi="Arial" w:cs="Arial"/>
                    </w:rPr>
                  </w:pPr>
                  <w:r w:rsidRPr="00C428DD">
                    <w:rPr>
                      <w:rFonts w:ascii="Arial" w:hAnsi="Arial" w:cs="Arial"/>
                      <w:b/>
                      <w:bCs/>
                      <w:color w:val="FFFFFF"/>
                      <w:kern w:val="24"/>
                    </w:rPr>
                    <w:t>*cambio de metodología</w:t>
                  </w:r>
                </w:p>
              </w:txbxContent>
            </v:textbox>
          </v:shape>
        </w:pict>
      </w:r>
      <w:r w:rsidRPr="00D5198F">
        <w:rPr>
          <w:rFonts w:asciiTheme="minorHAnsi" w:hAnsiTheme="minorHAnsi"/>
          <w:noProof/>
          <w:lang w:eastAsia="es-MX"/>
        </w:rPr>
        <w:pict>
          <v:shape id="Cuadro de texto 72340806" o:spid="_x0000_s1068" type="#_x0000_t202" style="position:absolute;left:0;text-align:left;margin-left:262.3pt;margin-top:2.15pt;width:101.3pt;height:62.4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" filled="f" stroked="f">
            <v:path arrowok="t"/>
            <v:textbox style="mso-next-textbox:#Cuadro de texto 72340806;mso-fit-shape-to-text:t">
              <w:txbxContent>
                <w:p w:rsidR="00923562" w:rsidRPr="00C428DD" w:rsidRDefault="00923562" w:rsidP="007F6887">
                  <w:pPr>
                    <w:pStyle w:val="NormalWeb"/>
                    <w:spacing w:before="0" w:beforeAutospacing="0" w:after="0" w:afterAutospacing="0"/>
                    <w:jc w:val="center"/>
                    <w:rPr>
                      <w:rFonts w:ascii="Arial" w:hAnsi="Arial" w:cs="Arial"/>
                      <w:b/>
                      <w:bCs/>
                      <w:color w:val="FFFFFF"/>
                      <w:kern w:val="24"/>
                    </w:rPr>
                  </w:pPr>
                  <w:r w:rsidRPr="00C428DD">
                    <w:rPr>
                      <w:rFonts w:ascii="Arial" w:hAnsi="Arial" w:cs="Arial"/>
                      <w:b/>
                      <w:bCs/>
                      <w:color w:val="FFFFFF"/>
                      <w:kern w:val="24"/>
                    </w:rPr>
                    <w:t xml:space="preserve">1 medalla de oro en </w:t>
                  </w:r>
                </w:p>
                <w:p w:rsidR="00923562" w:rsidRPr="000D0B39" w:rsidRDefault="00923562" w:rsidP="007F6887">
                  <w:pPr>
                    <w:pStyle w:val="NormalWeb"/>
                    <w:spacing w:before="0" w:beforeAutospacing="0" w:after="0" w:afterAutospacing="0"/>
                    <w:jc w:val="center"/>
                    <w:rPr>
                      <w:rFonts w:ascii="Arial" w:hAnsi="Arial" w:cs="Arial"/>
                    </w:rPr>
                  </w:pPr>
                  <w:proofErr w:type="gramStart"/>
                  <w:r w:rsidRPr="00C428DD">
                    <w:rPr>
                      <w:rFonts w:ascii="Arial" w:hAnsi="Arial" w:cs="Arial"/>
                      <w:b/>
                      <w:bCs/>
                      <w:color w:val="FFFFFF"/>
                      <w:kern w:val="24"/>
                    </w:rPr>
                    <w:t>sistema</w:t>
                  </w:r>
                  <w:proofErr w:type="gramEnd"/>
                  <w:r w:rsidRPr="00C428DD">
                    <w:rPr>
                      <w:rFonts w:ascii="Arial" w:hAnsi="Arial" w:cs="Arial"/>
                      <w:b/>
                      <w:bCs/>
                      <w:color w:val="FFFFFF"/>
                      <w:kern w:val="24"/>
                    </w:rPr>
                    <w:t xml:space="preserve"> de derecho</w:t>
                  </w:r>
                </w:p>
              </w:txbxContent>
            </v:textbox>
          </v:shape>
        </w:pict>
      </w:r>
      <w:r w:rsidRPr="00D5198F">
        <w:rPr>
          <w:rFonts w:asciiTheme="minorHAnsi" w:hAnsiTheme="minorHAnsi"/>
          <w:noProof/>
          <w:lang w:eastAsia="es-MX"/>
        </w:rPr>
        <w:pict>
          <v:shape id="Flecha a la derecha con muesca 226" o:spid="_x0000_s1076" type="#_x0000_t94" style="position:absolute;left:0;text-align:left;margin-left:176.3pt;margin-top:13.4pt;width:61.5pt;height:51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" adj="12644" fillcolor="#1a98c0" stroked="f" strokeweight="1pt">
            <v:path arrowok="t"/>
          </v:shape>
        </w:pict>
      </w:r>
    </w:p>
    <w:p w:rsidR="007F6887" w:rsidRPr="004D5D60" w:rsidRDefault="007F6887" w:rsidP="007F6887">
      <w:pPr>
        <w:spacing w:before="120"/>
        <w:rPr>
          <w:rFonts w:eastAsia="Times New Roman"/>
          <w:color w:val="000000"/>
          <w:lang w:eastAsia="es-MX"/>
        </w:rPr>
      </w:pPr>
    </w:p>
    <w:p w:rsidR="007F6887" w:rsidRPr="004D5D60" w:rsidRDefault="007F6887" w:rsidP="007F6887">
      <w:pPr>
        <w:spacing w:before="120"/>
        <w:rPr>
          <w:rFonts w:eastAsia="Times New Roman"/>
          <w:color w:val="000000"/>
          <w:lang w:eastAsia="es-MX"/>
        </w:rPr>
      </w:pPr>
    </w:p>
    <w:p w:rsidR="007F6887" w:rsidRPr="004D5D60" w:rsidRDefault="007F6887" w:rsidP="007F6887">
      <w:pPr>
        <w:spacing w:before="120"/>
        <w:rPr>
          <w:rFonts w:eastAsia="Times New Roman"/>
          <w:color w:val="000000"/>
          <w:lang w:eastAsia="es-MX"/>
        </w:rPr>
      </w:pPr>
    </w:p>
    <w:p w:rsidR="007F6887" w:rsidRPr="004D5D60" w:rsidRDefault="007F6887" w:rsidP="007F6887">
      <w:pPr>
        <w:spacing w:before="120"/>
        <w:rPr>
          <w:rFonts w:eastAsia="Times New Roman"/>
          <w:color w:val="000000"/>
          <w:lang w:eastAsia="es-MX"/>
        </w:rPr>
      </w:pPr>
    </w:p>
    <w:p w:rsidR="007F6887" w:rsidRPr="00C428DD" w:rsidRDefault="007F6887" w:rsidP="007F6887">
      <w:pPr>
        <w:spacing w:before="120"/>
        <w:jc w:val="center"/>
        <w:rPr>
          <w:rFonts w:eastAsia="Calibri"/>
          <w:i/>
        </w:rPr>
      </w:pPr>
      <w:r w:rsidRPr="004D5D60">
        <w:rPr>
          <w:i/>
        </w:rPr>
        <w:t>Fuente: Elaboración de SIMER con datos del IMCO, 2020.</w:t>
      </w:r>
    </w:p>
    <w:p w:rsidR="007F6887" w:rsidRPr="004C7CDD" w:rsidRDefault="007F6887" w:rsidP="007F6887">
      <w:pPr>
        <w:spacing w:before="100" w:beforeAutospacing="1" w:after="100" w:afterAutospacing="1"/>
        <w:rPr>
          <w:rFonts w:cs="Arial"/>
          <w:b/>
        </w:rPr>
      </w:pPr>
      <w:r w:rsidRPr="004C7CDD">
        <w:rPr>
          <w:rFonts w:cs="Arial"/>
          <w:b/>
        </w:rPr>
        <w:t>3.1.4</w:t>
      </w:r>
      <w:r w:rsidRPr="004C7CDD">
        <w:rPr>
          <w:rFonts w:cs="Arial"/>
          <w:b/>
        </w:rPr>
        <w:tab/>
        <w:t>AREGIONAL</w:t>
      </w:r>
    </w:p>
    <w:p w:rsidR="007F6887" w:rsidRPr="004C7CDD" w:rsidRDefault="007F6887" w:rsidP="007F6887">
      <w:pPr>
        <w:spacing w:before="100" w:beforeAutospacing="1" w:after="100" w:afterAutospacing="1"/>
        <w:rPr>
          <w:rFonts w:cs="Arial"/>
        </w:rPr>
      </w:pPr>
      <w:r w:rsidRPr="004C7CDD">
        <w:rPr>
          <w:rFonts w:cs="Arial"/>
        </w:rPr>
        <w:t xml:space="preserve">La casa evaluadora </w:t>
      </w:r>
      <w:proofErr w:type="spellStart"/>
      <w:r w:rsidRPr="004C7CDD">
        <w:rPr>
          <w:rFonts w:cs="Arial"/>
        </w:rPr>
        <w:t>Aregional</w:t>
      </w:r>
      <w:proofErr w:type="spellEnd"/>
      <w:r w:rsidRPr="004C7CDD">
        <w:rPr>
          <w:rFonts w:cs="Arial"/>
        </w:rPr>
        <w:t xml:space="preserve"> mide el Índice de Transparencia y Disponibilidad de la Información Fiscal de las Entidades Federativas (ITDIF), el cual permite conocer el grado de disponibilidad de la información fiscal generada por los gobiernos estatales y la calidad de la misma, la cual servirá como insumo para evaluar no sólo su desempeño en el manejo administración y ejecución de los recursos públicos, sino también para conocer las acciones realizadas por cada gobierno en aras de transparentar el desempeño de su gestión.</w:t>
      </w:r>
    </w:p>
    <w:p w:rsidR="007F6887" w:rsidRPr="004D5D60" w:rsidRDefault="00D5198F" w:rsidP="007F6887">
      <w:pPr>
        <w:spacing w:before="120"/>
        <w:rPr>
          <w:rFonts w:eastAsia="Times New Roman"/>
          <w:b/>
          <w:bCs/>
          <w:lang w:eastAsia="es-MX"/>
        </w:rPr>
      </w:pPr>
      <w:r w:rsidRPr="00D5198F">
        <w:rPr>
          <w:rFonts w:asciiTheme="minorHAnsi" w:hAnsiTheme="minorHAnsi"/>
          <w:noProof/>
          <w:lang w:eastAsia="es-MX"/>
        </w:rPr>
        <w:pict>
          <v:shape id="Cuadro de texto 229" o:spid="_x0000_s1069" type="#_x0000_t202" style="position:absolute;left:0;text-align:left;margin-left:237.25pt;margin-top:-.05pt;width:151.2pt;height:35pt;z-index:2517411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" filled="f" stroked="f">
            <v:path arrowok="t"/>
            <v:textbox style="mso-next-textbox:#Cuadro de texto 229;mso-fit-shape-to-text:t">
              <w:txbxContent>
                <w:p w:rsidR="00923562" w:rsidRPr="008E5663" w:rsidRDefault="00923562" w:rsidP="007F6887">
                  <w:pPr>
                    <w:pStyle w:val="NormalWeb"/>
                    <w:spacing w:after="0"/>
                    <w:jc w:val="center"/>
                    <w:rPr>
                      <w:rFonts w:ascii="Arial" w:hAnsi="Arial" w:cs="Arial"/>
                    </w:rPr>
                  </w:pPr>
                  <w:r w:rsidRPr="00C428DD">
                    <w:rPr>
                      <w:rFonts w:ascii="Arial" w:hAnsi="Arial" w:cs="Arial"/>
                      <w:b/>
                      <w:bCs/>
                      <w:color w:val="000000"/>
                      <w:kern w:val="24"/>
                    </w:rPr>
                    <w:t>Último resultado</w:t>
                  </w:r>
                </w:p>
              </w:txbxContent>
            </v:textbox>
            <w10:wrap anchorx="margin"/>
          </v:shape>
        </w:pict>
      </w:r>
      <w:r w:rsidRPr="00D5198F">
        <w:rPr>
          <w:rFonts w:asciiTheme="minorHAnsi" w:hAnsiTheme="minorHAnsi"/>
          <w:noProof/>
          <w:lang w:eastAsia="es-MX"/>
        </w:rPr>
        <w:pict>
          <v:shape id="Cuadro de texto 230" o:spid="_x0000_s1070" type="#_x0000_t202" style="position:absolute;left:0;text-align:left;margin-left:0;margin-top:-.05pt;width:164.55pt;height:3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" filled="f" stroked="f">
            <v:path arrowok="t"/>
            <v:textbox style="mso-next-textbox:#Cuadro de texto 230;mso-fit-shape-to-text:t">
              <w:txbxContent>
                <w:p w:rsidR="00923562" w:rsidRPr="008E5663" w:rsidRDefault="00923562" w:rsidP="007F6887">
                  <w:pPr>
                    <w:pStyle w:val="NormalWeb"/>
                    <w:spacing w:after="0"/>
                    <w:jc w:val="center"/>
                    <w:rPr>
                      <w:rFonts w:ascii="Arial" w:hAnsi="Arial" w:cs="Arial"/>
                    </w:rPr>
                  </w:pPr>
                  <w:r w:rsidRPr="00C428DD">
                    <w:rPr>
                      <w:rFonts w:ascii="Arial" w:hAnsi="Arial" w:cs="Arial"/>
                      <w:b/>
                      <w:bCs/>
                      <w:color w:val="000000"/>
                      <w:kern w:val="24"/>
                    </w:rPr>
                    <w:t>Resultado anterior</w:t>
                  </w:r>
                </w:p>
              </w:txbxContent>
            </v:textbox>
          </v:shape>
        </w:pict>
      </w:r>
    </w:p>
    <w:p w:rsidR="007F6887" w:rsidRPr="004D5D60" w:rsidRDefault="003F7BCD" w:rsidP="007F6887">
      <w:pPr>
        <w:spacing w:before="120"/>
        <w:rPr>
          <w:rFonts w:eastAsia="Times New Roman"/>
          <w:b/>
          <w:bCs/>
          <w:lang w:eastAsia="es-MX"/>
        </w:rPr>
      </w:pPr>
      <w:r w:rsidRPr="00D5198F">
        <w:rPr>
          <w:rFonts w:asciiTheme="minorHAnsi" w:hAnsiTheme="minorHAnsi"/>
          <w:noProof/>
          <w:lang w:eastAsia="es-MX"/>
        </w:rPr>
        <w:pict>
          <v:oval id="Elipse 227" o:spid="_x0000_s1075" style="position:absolute;left:0;text-align:left;margin-left:255.35pt;margin-top:19.05pt;width:95.05pt;height:81.95pt;z-index:2517370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" fillcolor="#002060" strokecolor="#106e8c" strokeweight="1pt">
            <v:stroke joinstyle="miter"/>
            <v:path arrowok="t"/>
            <w10:wrap anchorx="margin"/>
          </v:oval>
        </w:pict>
      </w:r>
      <w:r w:rsidRPr="00D5198F">
        <w:rPr>
          <w:rFonts w:asciiTheme="minorHAnsi" w:hAnsiTheme="minorHAnsi"/>
          <w:noProof/>
          <w:lang w:eastAsia="es-MX"/>
        </w:rPr>
        <w:pict>
          <v:oval id="Elipse 228" o:spid="_x0000_s1074" style="position:absolute;left:0;text-align:left;margin-left:27.45pt;margin-top:17.05pt;width:96.6pt;height:86.05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" fillcolor="#65caea" strokecolor="#106e8c" strokeweight="1pt">
            <v:stroke joinstyle="miter"/>
            <v:path arrowok="t"/>
          </v:oval>
        </w:pict>
      </w:r>
    </w:p>
    <w:p w:rsidR="007F6887" w:rsidRPr="004D5D60" w:rsidRDefault="007F6887" w:rsidP="007F6887">
      <w:pPr>
        <w:spacing w:before="120"/>
        <w:rPr>
          <w:rFonts w:eastAsia="Times New Roman"/>
          <w:b/>
          <w:bCs/>
          <w:lang w:eastAsia="es-MX"/>
        </w:rPr>
      </w:pPr>
    </w:p>
    <w:p w:rsidR="007F6887" w:rsidRPr="004D5D60" w:rsidRDefault="003F7BCD" w:rsidP="007F6887">
      <w:pPr>
        <w:spacing w:before="120"/>
        <w:rPr>
          <w:rFonts w:eastAsia="Times New Roman"/>
          <w:b/>
          <w:bCs/>
          <w:lang w:eastAsia="es-MX"/>
        </w:rPr>
      </w:pPr>
      <w:r w:rsidRPr="00D5198F">
        <w:rPr>
          <w:rFonts w:asciiTheme="minorHAnsi" w:hAnsiTheme="minorHAnsi"/>
          <w:noProof/>
          <w:lang w:eastAsia="es-MX"/>
        </w:rPr>
        <w:pict>
          <v:shape id="Cuadro de texto 35" o:spid="_x0000_s1072" type="#_x0000_t202" style="position:absolute;left:0;text-align:left;margin-left:253.55pt;margin-top:6.6pt;width:101.3pt;height:34.8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" filled="f" stroked="f">
            <v:path arrowok="t"/>
            <v:textbox style="mso-next-textbox:#Cuadro de texto 35;mso-fit-shape-to-text:t">
              <w:txbxContent>
                <w:p w:rsidR="00923562" w:rsidRPr="008E5663" w:rsidRDefault="00923562" w:rsidP="007F6887">
                  <w:pPr>
                    <w:pStyle w:val="NormalWeb"/>
                    <w:spacing w:before="0" w:beforeAutospacing="0" w:after="0" w:afterAutospacing="0"/>
                    <w:jc w:val="center"/>
                    <w:rPr>
                      <w:rFonts w:ascii="Arial" w:hAnsi="Arial" w:cs="Arial"/>
                    </w:rPr>
                  </w:pPr>
                  <w:r w:rsidRPr="00C428DD">
                    <w:rPr>
                      <w:rFonts w:ascii="Arial" w:hAnsi="Arial" w:cs="Arial"/>
                      <w:b/>
                      <w:bCs/>
                      <w:color w:val="FFFFFF"/>
                      <w:kern w:val="24"/>
                    </w:rPr>
                    <w:t>2do lugar con 94.4</w:t>
                  </w:r>
                </w:p>
              </w:txbxContent>
            </v:textbox>
          </v:shape>
        </w:pict>
      </w:r>
      <w:r w:rsidRPr="00D5198F">
        <w:rPr>
          <w:rFonts w:asciiTheme="minorHAnsi" w:hAnsiTheme="minorHAnsi"/>
          <w:noProof/>
          <w:lang w:eastAsia="es-MX"/>
        </w:rPr>
        <w:pict>
          <v:shape id="Cuadro de texto 1" o:spid="_x0000_s1071" type="#_x0000_t202" style="position:absolute;left:0;text-align:left;margin-left:35.9pt;margin-top:5.65pt;width:85.35pt;height:34.8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" filled="f" stroked="f">
            <v:path arrowok="t"/>
            <v:textbox style="mso-next-textbox:#Cuadro de texto 1;mso-fit-shape-to-text:t">
              <w:txbxContent>
                <w:p w:rsidR="00923562" w:rsidRPr="008E5663" w:rsidRDefault="00923562" w:rsidP="007F6887">
                  <w:pPr>
                    <w:pStyle w:val="NormalWeb"/>
                    <w:spacing w:before="0" w:beforeAutospacing="0" w:after="0" w:afterAutospacing="0"/>
                    <w:jc w:val="center"/>
                    <w:rPr>
                      <w:rFonts w:ascii="Arial" w:hAnsi="Arial" w:cs="Arial"/>
                    </w:rPr>
                  </w:pPr>
                  <w:r w:rsidRPr="00C428DD">
                    <w:rPr>
                      <w:rFonts w:ascii="Arial" w:hAnsi="Arial" w:cs="Arial"/>
                      <w:b/>
                      <w:bCs/>
                      <w:color w:val="FFFFFF"/>
                      <w:kern w:val="24"/>
                    </w:rPr>
                    <w:t>3er lugar con 95.8</w:t>
                  </w:r>
                </w:p>
              </w:txbxContent>
            </v:textbox>
          </v:shape>
        </w:pict>
      </w:r>
      <w:r w:rsidRPr="00D5198F">
        <w:rPr>
          <w:rFonts w:asciiTheme="minorHAnsi" w:hAnsiTheme="minorHAnsi"/>
          <w:noProof/>
          <w:lang w:eastAsia="es-MX"/>
        </w:rPr>
        <w:pict>
          <v:shape id="Flecha a la derecha con muesca 231" o:spid="_x0000_s1073" type="#_x0000_t94" style="position:absolute;left:0;text-align:left;margin-left:162.95pt;margin-top:.75pt;width:61.5pt;height:51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" adj="12644" fillcolor="#1a98c0" stroked="f" strokeweight="1pt">
            <v:path arrowok="t"/>
          </v:shape>
        </w:pict>
      </w:r>
    </w:p>
    <w:p w:rsidR="007F6887" w:rsidRPr="004D5D60" w:rsidRDefault="007F6887" w:rsidP="007F6887">
      <w:pPr>
        <w:spacing w:before="120"/>
        <w:rPr>
          <w:rFonts w:eastAsia="Times New Roman"/>
          <w:b/>
          <w:bCs/>
          <w:lang w:eastAsia="es-MX"/>
        </w:rPr>
      </w:pPr>
    </w:p>
    <w:p w:rsidR="007F6887" w:rsidRPr="004D5D60" w:rsidRDefault="007F6887" w:rsidP="007F6887">
      <w:pPr>
        <w:spacing w:before="120"/>
        <w:rPr>
          <w:rFonts w:eastAsia="Times New Roman"/>
          <w:b/>
          <w:bCs/>
          <w:lang w:eastAsia="es-MX"/>
        </w:rPr>
      </w:pPr>
    </w:p>
    <w:p w:rsidR="007F6887" w:rsidRPr="004D5D60" w:rsidRDefault="007F6887" w:rsidP="007F6887">
      <w:pPr>
        <w:spacing w:before="120"/>
        <w:jc w:val="center"/>
        <w:rPr>
          <w:i/>
        </w:rPr>
      </w:pPr>
      <w:r w:rsidRPr="004D5D60">
        <w:rPr>
          <w:i/>
        </w:rPr>
        <w:t>Fuente: Elaboración de SIMER con datos del IMCO, 2020</w:t>
      </w:r>
    </w:p>
    <w:p w:rsidR="007F6887" w:rsidRPr="004C7CDD" w:rsidRDefault="007F6887" w:rsidP="007F6887">
      <w:pPr>
        <w:spacing w:before="100" w:beforeAutospacing="1" w:after="100" w:afterAutospacing="1"/>
        <w:rPr>
          <w:rFonts w:cs="Arial"/>
          <w:b/>
        </w:rPr>
      </w:pPr>
      <w:r w:rsidRPr="004C7CDD">
        <w:rPr>
          <w:rFonts w:cs="Arial"/>
          <w:b/>
        </w:rPr>
        <w:t xml:space="preserve">3.2 Retos para Yucatán en la </w:t>
      </w:r>
      <w:proofErr w:type="spellStart"/>
      <w:r w:rsidRPr="004C7CDD">
        <w:rPr>
          <w:rFonts w:cs="Arial"/>
          <w:b/>
        </w:rPr>
        <w:t>GpRD</w:t>
      </w:r>
      <w:proofErr w:type="spellEnd"/>
      <w:r w:rsidRPr="004C7CDD">
        <w:rPr>
          <w:rFonts w:cs="Arial"/>
          <w:b/>
        </w:rPr>
        <w:t xml:space="preserve"> 2021</w:t>
      </w:r>
    </w:p>
    <w:p w:rsidR="007F6887" w:rsidRPr="004C7CDD" w:rsidRDefault="007F6887" w:rsidP="007F6887">
      <w:pPr>
        <w:spacing w:before="100" w:beforeAutospacing="1" w:after="100" w:afterAutospacing="1"/>
        <w:rPr>
          <w:rFonts w:cs="Arial"/>
          <w:b/>
          <w:i/>
        </w:rPr>
      </w:pPr>
      <w:r w:rsidRPr="004C7CDD">
        <w:rPr>
          <w:rFonts w:cs="Arial"/>
          <w:b/>
          <w:i/>
        </w:rPr>
        <w:lastRenderedPageBreak/>
        <w:t>3.2.1.</w:t>
      </w:r>
      <w:r w:rsidRPr="004C7CDD">
        <w:rPr>
          <w:rFonts w:cs="Arial"/>
          <w:b/>
          <w:i/>
        </w:rPr>
        <w:tab/>
        <w:t>Proyecto de Presupuesto 2021 por eje del PED</w:t>
      </w:r>
    </w:p>
    <w:p w:rsidR="007F6887" w:rsidRPr="004C7CDD" w:rsidRDefault="007F6887" w:rsidP="007F6887">
      <w:pPr>
        <w:spacing w:before="100" w:beforeAutospacing="1" w:after="100" w:afterAutospacing="1"/>
        <w:rPr>
          <w:rFonts w:cs="Arial"/>
        </w:rPr>
      </w:pPr>
      <w:r w:rsidRPr="004C7CDD">
        <w:rPr>
          <w:rFonts w:cs="Arial"/>
        </w:rPr>
        <w:t>Yucatán tiene un gran reto: atender las necesidades detectadas y plasmadas en el Plan Estatal de Desarrollo y afrontar las nuevas prioridades p</w:t>
      </w:r>
      <w:r>
        <w:rPr>
          <w:rFonts w:cs="Arial"/>
        </w:rPr>
        <w:t>ara atender la pandemia del CO</w:t>
      </w:r>
      <w:r w:rsidRPr="004C7CDD">
        <w:rPr>
          <w:rFonts w:cs="Arial"/>
        </w:rPr>
        <w:t>VID-19 que permitan la reactivación económica del Estado y mantener la seguridad y salud de toda la ciudadanía.</w:t>
      </w:r>
    </w:p>
    <w:p w:rsidR="007F6887" w:rsidRPr="004C7CDD" w:rsidRDefault="007F6887" w:rsidP="007F6887">
      <w:pPr>
        <w:spacing w:before="100" w:beforeAutospacing="1" w:after="100" w:afterAutospacing="1"/>
        <w:rPr>
          <w:rFonts w:cs="Arial"/>
        </w:rPr>
      </w:pPr>
      <w:r w:rsidRPr="004C7CDD">
        <w:rPr>
          <w:rFonts w:cs="Arial"/>
        </w:rPr>
        <w:t>Para ello, más del 50% del presupuesto se ha concentrado en los ejes 03 Yucatán con calidad de vida, 07 paz, justicia y gobernabilidad, 08 gobierno abierto y con finanzas sanas y 09 ciudades y comunidades sostenibles.</w:t>
      </w:r>
    </w:p>
    <w:p w:rsidR="007F6887" w:rsidRPr="004C7CDD" w:rsidRDefault="007F6887" w:rsidP="007F6887">
      <w:pPr>
        <w:spacing w:before="100" w:beforeAutospacing="1" w:after="100" w:afterAutospacing="1"/>
        <w:rPr>
          <w:rFonts w:cs="Arial"/>
          <w:b/>
          <w:i/>
        </w:rPr>
      </w:pPr>
      <w:r w:rsidRPr="004C7CDD">
        <w:rPr>
          <w:rFonts w:cs="Arial"/>
          <w:b/>
          <w:i/>
        </w:rPr>
        <w:t>3.2.2</w:t>
      </w:r>
      <w:r w:rsidRPr="004C7CDD">
        <w:rPr>
          <w:rFonts w:cs="Arial"/>
          <w:b/>
          <w:i/>
        </w:rPr>
        <w:tab/>
        <w:t>Consolidación del Presupuesto Basado en Resultados en Yucatán</w:t>
      </w:r>
    </w:p>
    <w:p w:rsidR="007F6887" w:rsidRDefault="007F6887" w:rsidP="007F6887">
      <w:pPr>
        <w:spacing w:before="100" w:beforeAutospacing="1" w:after="100" w:afterAutospacing="1"/>
        <w:rPr>
          <w:rFonts w:cs="Arial"/>
        </w:rPr>
      </w:pPr>
      <w:r w:rsidRPr="004C7CDD">
        <w:rPr>
          <w:rFonts w:cs="Arial"/>
        </w:rPr>
        <w:t>Como parte del seguimiento del PED, se ha establecido 136 compromisos de gobierno de los cuales se resume de la siguiente manera:</w:t>
      </w:r>
    </w:p>
    <w:p w:rsidR="007F6887" w:rsidRPr="004C7CDD" w:rsidRDefault="007F6887" w:rsidP="00535A9D">
      <w:pPr>
        <w:pStyle w:val="Prrafodelista"/>
        <w:numPr>
          <w:ilvl w:val="0"/>
          <w:numId w:val="36"/>
        </w:numPr>
        <w:spacing w:before="100" w:beforeAutospacing="1" w:after="100" w:afterAutospacing="1" w:line="240" w:lineRule="auto"/>
        <w:rPr>
          <w:rFonts w:ascii="Arial" w:hAnsi="Arial" w:cs="Arial"/>
          <w:szCs w:val="24"/>
        </w:rPr>
      </w:pPr>
      <w:r w:rsidRPr="004C7CDD">
        <w:rPr>
          <w:rFonts w:ascii="Arial" w:hAnsi="Arial" w:cs="Arial"/>
          <w:szCs w:val="24"/>
        </w:rPr>
        <w:t>El promedio de avance de los 136 compromisos de gobierno es de 68%.</w:t>
      </w:r>
    </w:p>
    <w:p w:rsidR="007F6887" w:rsidRDefault="007F6887" w:rsidP="007F6887">
      <w:pPr>
        <w:spacing w:before="100" w:beforeAutospacing="1" w:after="100" w:afterAutospacing="1"/>
        <w:rPr>
          <w:rFonts w:cs="Arial"/>
        </w:rPr>
      </w:pPr>
      <w:r>
        <w:rPr>
          <w:noProof/>
          <w:lang w:eastAsia="es-MX"/>
        </w:rPr>
        <w:drawing>
          <wp:inline distT="0" distB="0" distL="0" distR="0">
            <wp:extent cx="5612130" cy="2974908"/>
            <wp:effectExtent l="19050" t="0" r="7620" b="0"/>
            <wp:docPr id="23" name="Gráfico 72340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72340827"/>
                    <pic:cNvPicPr>
                      <a:picLocks noChangeArrowheads="1"/>
                    </pic:cNvPicPr>
                  </pic:nvPicPr>
                  <pic:blipFill>
                    <a:blip r:embed="rId22" cstate="print"/>
                    <a:srcRect/>
                    <a:stretch>
                      <a:fillRect/>
                    </a:stretch>
                  </pic:blipFill>
                  <pic:spPr bwMode="auto">
                    <a:xfrm>
                      <a:off x="0" y="0"/>
                      <a:ext cx="5612130" cy="2974908"/>
                    </a:xfrm>
                    <a:prstGeom prst="rect">
                      <a:avLst/>
                    </a:prstGeom>
                    <a:noFill/>
                    <a:ln w="9525">
                      <a:noFill/>
                      <a:miter lim="800000"/>
                      <a:headEnd/>
                      <a:tailEnd/>
                    </a:ln>
                  </pic:spPr>
                </pic:pic>
              </a:graphicData>
            </a:graphic>
          </wp:inline>
        </w:drawing>
      </w:r>
    </w:p>
    <w:p w:rsidR="007F6887" w:rsidRPr="00C428DD" w:rsidRDefault="007F6887" w:rsidP="007F6887">
      <w:pPr>
        <w:spacing w:before="120"/>
        <w:jc w:val="center"/>
        <w:rPr>
          <w:rFonts w:eastAsia="Calibri"/>
          <w:i/>
        </w:rPr>
      </w:pPr>
      <w:r w:rsidRPr="004D5D60">
        <w:rPr>
          <w:i/>
        </w:rPr>
        <w:t>Fuente. Elaboración propia</w:t>
      </w:r>
    </w:p>
    <w:p w:rsidR="007F6887" w:rsidRDefault="007F6887" w:rsidP="00535A9D">
      <w:pPr>
        <w:pStyle w:val="Prrafodelista"/>
        <w:numPr>
          <w:ilvl w:val="0"/>
          <w:numId w:val="36"/>
        </w:numPr>
        <w:spacing w:before="100" w:beforeAutospacing="1" w:after="100" w:afterAutospacing="1" w:line="240" w:lineRule="auto"/>
        <w:rPr>
          <w:rFonts w:ascii="Arial" w:hAnsi="Arial" w:cs="Arial"/>
          <w:szCs w:val="24"/>
        </w:rPr>
      </w:pPr>
      <w:r w:rsidRPr="004C7CDD">
        <w:rPr>
          <w:rFonts w:ascii="Arial" w:hAnsi="Arial" w:cs="Arial"/>
          <w:szCs w:val="24"/>
        </w:rPr>
        <w:t>43 compromisos con avance de cumplimiento del 100%, lo que equivale al 32% del total de compromisos.</w:t>
      </w:r>
    </w:p>
    <w:p w:rsidR="007F6887" w:rsidRDefault="007F6887" w:rsidP="00535A9D">
      <w:pPr>
        <w:pStyle w:val="Prrafodelista"/>
        <w:numPr>
          <w:ilvl w:val="0"/>
          <w:numId w:val="36"/>
        </w:numPr>
        <w:spacing w:before="100" w:beforeAutospacing="1" w:after="100" w:afterAutospacing="1" w:line="240" w:lineRule="auto"/>
        <w:rPr>
          <w:rFonts w:ascii="Arial" w:hAnsi="Arial" w:cs="Arial"/>
          <w:szCs w:val="24"/>
        </w:rPr>
      </w:pPr>
      <w:r w:rsidRPr="004C7CDD">
        <w:rPr>
          <w:rFonts w:ascii="Arial" w:hAnsi="Arial" w:cs="Arial"/>
          <w:szCs w:val="24"/>
        </w:rPr>
        <w:lastRenderedPageBreak/>
        <w:t xml:space="preserve">80 compromisos en proceso de cumplimiento y con un porcentaje mayor al 25%, lo que equivale al 59% del total de compromisos. </w:t>
      </w:r>
    </w:p>
    <w:p w:rsidR="007F6887" w:rsidRDefault="007F6887" w:rsidP="00535A9D">
      <w:pPr>
        <w:pStyle w:val="Prrafodelista"/>
        <w:numPr>
          <w:ilvl w:val="0"/>
          <w:numId w:val="36"/>
        </w:numPr>
        <w:spacing w:before="100" w:beforeAutospacing="1" w:after="100" w:afterAutospacing="1" w:line="240" w:lineRule="auto"/>
        <w:rPr>
          <w:rFonts w:ascii="Arial" w:hAnsi="Arial" w:cs="Arial"/>
          <w:szCs w:val="24"/>
        </w:rPr>
      </w:pPr>
      <w:r w:rsidRPr="004C7CDD">
        <w:rPr>
          <w:rFonts w:ascii="Arial" w:hAnsi="Arial" w:cs="Arial"/>
          <w:szCs w:val="24"/>
        </w:rPr>
        <w:t>13 compromisos en proceso de cumplimiento y con un porcentaje menos del 25%, lo que equivale al 10% del total de compromisos.</w:t>
      </w:r>
    </w:p>
    <w:p w:rsidR="007F6887" w:rsidRDefault="007F6887" w:rsidP="007F6887">
      <w:pPr>
        <w:spacing w:before="100" w:beforeAutospacing="1" w:after="100" w:afterAutospacing="1"/>
        <w:jc w:val="center"/>
        <w:rPr>
          <w:rFonts w:cs="Arial"/>
        </w:rPr>
      </w:pPr>
      <w:r>
        <w:rPr>
          <w:noProof/>
          <w:lang w:eastAsia="es-MX"/>
        </w:rPr>
        <w:drawing>
          <wp:inline distT="0" distB="0" distL="0" distR="0">
            <wp:extent cx="4880610" cy="4678045"/>
            <wp:effectExtent l="19050" t="0" r="0" b="0"/>
            <wp:docPr id="24" name="Imagen 7234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26"/>
                    <pic:cNvPicPr>
                      <a:picLocks noChangeAspect="1" noChangeArrowheads="1"/>
                    </pic:cNvPicPr>
                  </pic:nvPicPr>
                  <pic:blipFill>
                    <a:blip r:embed="rId23" cstate="print"/>
                    <a:srcRect b="5498"/>
                    <a:stretch>
                      <a:fillRect/>
                    </a:stretch>
                  </pic:blipFill>
                  <pic:spPr bwMode="auto">
                    <a:xfrm>
                      <a:off x="0" y="0"/>
                      <a:ext cx="4880610" cy="4678045"/>
                    </a:xfrm>
                    <a:prstGeom prst="rect">
                      <a:avLst/>
                    </a:prstGeom>
                    <a:noFill/>
                    <a:ln w="9525">
                      <a:noFill/>
                      <a:miter lim="800000"/>
                      <a:headEnd/>
                      <a:tailEnd/>
                    </a:ln>
                  </pic:spPr>
                </pic:pic>
              </a:graphicData>
            </a:graphic>
          </wp:inline>
        </w:drawing>
      </w:r>
    </w:p>
    <w:p w:rsidR="007F6887" w:rsidRPr="004D5D60" w:rsidRDefault="007F6887" w:rsidP="007F6887">
      <w:pPr>
        <w:spacing w:before="120"/>
        <w:rPr>
          <w:i/>
        </w:rPr>
      </w:pPr>
      <w:r w:rsidRPr="004D5D60">
        <w:rPr>
          <w:i/>
        </w:rPr>
        <w:t>Fuente. Elaboración propia con datos capturados en la plataforma SIGO con fecha de corte al día 30 de septiembre de 2020.</w:t>
      </w:r>
    </w:p>
    <w:p w:rsidR="007F6887" w:rsidRDefault="007F6887" w:rsidP="007F6887">
      <w:pPr>
        <w:spacing w:before="100" w:beforeAutospacing="1" w:after="100" w:afterAutospacing="1"/>
        <w:rPr>
          <w:rFonts w:cs="Arial"/>
        </w:rPr>
      </w:pPr>
      <w:r w:rsidRPr="004C7CDD">
        <w:rPr>
          <w:rFonts w:cs="Arial"/>
        </w:rPr>
        <w:t>Finalmente, se alineó el Plan Estatal de Desarrollo (PED) 2018-2024 con las actividades y programas prioritarios necesarios para cumplir con los Objetivos de Desarrollo Sostenible (ODS) establecido en la Agenda 2030, tal como se muestra en las siguientes tablas:</w:t>
      </w:r>
    </w:p>
    <w:p w:rsidR="007F6887" w:rsidRDefault="007F6887" w:rsidP="007F6887">
      <w:pPr>
        <w:rPr>
          <w:rFonts w:cs="Arial"/>
        </w:rPr>
      </w:pPr>
      <w:r>
        <w:rPr>
          <w:rFonts w:cs="Arial"/>
        </w:rPr>
        <w:br w:type="page"/>
      </w:r>
    </w:p>
    <w:p w:rsidR="007F6887" w:rsidRPr="004D5D60" w:rsidRDefault="007F6887" w:rsidP="007F6887">
      <w:pPr>
        <w:spacing w:before="120"/>
        <w:rPr>
          <w:rFonts w:eastAsia="Times New Roman"/>
          <w:b/>
          <w:bCs/>
          <w:lang w:eastAsia="es-MX"/>
        </w:rPr>
      </w:pPr>
    </w:p>
    <w:p w:rsidR="007F6887" w:rsidRPr="004D5D60" w:rsidRDefault="007F6887" w:rsidP="007F6887">
      <w:pPr>
        <w:spacing w:before="120"/>
        <w:rPr>
          <w:rFonts w:eastAsia="Times New Roman"/>
          <w:b/>
          <w:bCs/>
          <w:lang w:eastAsia="es-MX"/>
        </w:rPr>
      </w:pPr>
      <w:r>
        <w:rPr>
          <w:noProof/>
          <w:lang w:eastAsia="es-MX"/>
        </w:rPr>
        <w:drawing>
          <wp:inline distT="0" distB="0" distL="0" distR="0">
            <wp:extent cx="5614035" cy="3551555"/>
            <wp:effectExtent l="19050" t="0" r="5715" b="0"/>
            <wp:docPr id="7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4" cstate="print"/>
                    <a:srcRect b="35710"/>
                    <a:stretch>
                      <a:fillRect/>
                    </a:stretch>
                  </pic:blipFill>
                  <pic:spPr bwMode="auto">
                    <a:xfrm>
                      <a:off x="0" y="0"/>
                      <a:ext cx="5614035" cy="3551555"/>
                    </a:xfrm>
                    <a:prstGeom prst="rect">
                      <a:avLst/>
                    </a:prstGeom>
                    <a:noFill/>
                    <a:ln w="9525">
                      <a:noFill/>
                      <a:miter lim="800000"/>
                      <a:headEnd/>
                      <a:tailEnd/>
                    </a:ln>
                  </pic:spPr>
                </pic:pic>
              </a:graphicData>
            </a:graphic>
          </wp:inline>
        </w:drawing>
      </w:r>
      <w:r>
        <w:rPr>
          <w:noProof/>
          <w:lang w:eastAsia="es-MX"/>
        </w:rPr>
        <w:drawing>
          <wp:inline distT="0" distB="0" distL="0" distR="0">
            <wp:extent cx="5614035" cy="1329055"/>
            <wp:effectExtent l="19050" t="0" r="5715" b="0"/>
            <wp:docPr id="70" name="Imagen 7234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25"/>
                    <pic:cNvPicPr>
                      <a:picLocks noChangeAspect="1" noChangeArrowheads="1"/>
                    </pic:cNvPicPr>
                  </pic:nvPicPr>
                  <pic:blipFill>
                    <a:blip r:embed="rId24" cstate="print"/>
                    <a:srcRect t="76845" b="-850"/>
                    <a:stretch>
                      <a:fillRect/>
                    </a:stretch>
                  </pic:blipFill>
                  <pic:spPr bwMode="auto">
                    <a:xfrm>
                      <a:off x="0" y="0"/>
                      <a:ext cx="5614035" cy="1329055"/>
                    </a:xfrm>
                    <a:prstGeom prst="rect">
                      <a:avLst/>
                    </a:prstGeom>
                    <a:noFill/>
                    <a:ln w="9525">
                      <a:noFill/>
                      <a:miter lim="800000"/>
                      <a:headEnd/>
                      <a:tailEnd/>
                    </a:ln>
                  </pic:spPr>
                </pic:pic>
              </a:graphicData>
            </a:graphic>
          </wp:inline>
        </w:drawing>
      </w:r>
      <w:r>
        <w:rPr>
          <w:noProof/>
          <w:lang w:eastAsia="es-MX"/>
        </w:rPr>
        <w:lastRenderedPageBreak/>
        <w:drawing>
          <wp:inline distT="0" distB="0" distL="0" distR="0">
            <wp:extent cx="5614035" cy="2817495"/>
            <wp:effectExtent l="19050" t="0" r="5715" b="0"/>
            <wp:docPr id="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5" cstate="print"/>
                    <a:srcRect t="-2" b="52299"/>
                    <a:stretch>
                      <a:fillRect/>
                    </a:stretch>
                  </pic:blipFill>
                  <pic:spPr bwMode="auto">
                    <a:xfrm>
                      <a:off x="0" y="0"/>
                      <a:ext cx="5614035" cy="2817495"/>
                    </a:xfrm>
                    <a:prstGeom prst="rect">
                      <a:avLst/>
                    </a:prstGeom>
                    <a:noFill/>
                    <a:ln w="9525">
                      <a:noFill/>
                      <a:miter lim="800000"/>
                      <a:headEnd/>
                      <a:tailEnd/>
                    </a:ln>
                  </pic:spPr>
                </pic:pic>
              </a:graphicData>
            </a:graphic>
          </wp:inline>
        </w:drawing>
      </w:r>
      <w:r>
        <w:rPr>
          <w:noProof/>
          <w:lang w:eastAsia="es-MX"/>
        </w:rPr>
        <w:drawing>
          <wp:inline distT="0" distB="0" distL="0" distR="0">
            <wp:extent cx="5614035" cy="2445385"/>
            <wp:effectExtent l="19050" t="0" r="5715" b="0"/>
            <wp:docPr id="67" name="Imagen 7234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24"/>
                    <pic:cNvPicPr>
                      <a:picLocks noChangeAspect="1" noChangeArrowheads="1"/>
                    </pic:cNvPicPr>
                  </pic:nvPicPr>
                  <pic:blipFill>
                    <a:blip r:embed="rId25" cstate="print"/>
                    <a:srcRect t="59625" b="-1044"/>
                    <a:stretch>
                      <a:fillRect/>
                    </a:stretch>
                  </pic:blipFill>
                  <pic:spPr bwMode="auto">
                    <a:xfrm>
                      <a:off x="0" y="0"/>
                      <a:ext cx="5614035" cy="2445385"/>
                    </a:xfrm>
                    <a:prstGeom prst="rect">
                      <a:avLst/>
                    </a:prstGeom>
                    <a:noFill/>
                    <a:ln w="9525">
                      <a:noFill/>
                      <a:miter lim="800000"/>
                      <a:headEnd/>
                      <a:tailEnd/>
                    </a:ln>
                  </pic:spPr>
                </pic:pic>
              </a:graphicData>
            </a:graphic>
          </wp:inline>
        </w:drawing>
      </w:r>
    </w:p>
    <w:p w:rsidR="007F6887" w:rsidRPr="004D5D60" w:rsidRDefault="007F6887" w:rsidP="007F6887">
      <w:pPr>
        <w:spacing w:before="120"/>
        <w:rPr>
          <w:rFonts w:eastAsia="Times New Roman"/>
          <w:b/>
          <w:bCs/>
          <w:lang w:eastAsia="es-MX"/>
        </w:rPr>
      </w:pPr>
      <w:r w:rsidRPr="004D5D60">
        <w:rPr>
          <w:rFonts w:eastAsia="Times New Roman"/>
          <w:b/>
          <w:bCs/>
          <w:lang w:eastAsia="es-MX"/>
        </w:rPr>
        <w:br w:type="page"/>
      </w:r>
    </w:p>
    <w:p w:rsidR="007F6887" w:rsidRPr="004D5D60" w:rsidRDefault="007F6887" w:rsidP="007F6887">
      <w:pPr>
        <w:spacing w:before="120"/>
        <w:rPr>
          <w:rFonts w:eastAsia="Times New Roman"/>
          <w:b/>
          <w:bCs/>
          <w:lang w:eastAsia="es-MX"/>
        </w:rPr>
      </w:pPr>
      <w:r>
        <w:rPr>
          <w:noProof/>
          <w:lang w:eastAsia="es-MX"/>
        </w:rPr>
        <w:lastRenderedPageBreak/>
        <w:drawing>
          <wp:inline distT="0" distB="0" distL="0" distR="0">
            <wp:extent cx="5614035" cy="1765300"/>
            <wp:effectExtent l="19050" t="0" r="5715" b="0"/>
            <wp:docPr id="65" name="Imagen 7234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23"/>
                    <pic:cNvPicPr>
                      <a:picLocks noChangeAspect="1" noChangeArrowheads="1"/>
                    </pic:cNvPicPr>
                  </pic:nvPicPr>
                  <pic:blipFill>
                    <a:blip r:embed="rId26" cstate="print"/>
                    <a:srcRect b="50435"/>
                    <a:stretch>
                      <a:fillRect/>
                    </a:stretch>
                  </pic:blipFill>
                  <pic:spPr bwMode="auto">
                    <a:xfrm>
                      <a:off x="0" y="0"/>
                      <a:ext cx="5614035" cy="1765300"/>
                    </a:xfrm>
                    <a:prstGeom prst="rect">
                      <a:avLst/>
                    </a:prstGeom>
                    <a:noFill/>
                    <a:ln w="9525">
                      <a:noFill/>
                      <a:miter lim="800000"/>
                      <a:headEnd/>
                      <a:tailEnd/>
                    </a:ln>
                  </pic:spPr>
                </pic:pic>
              </a:graphicData>
            </a:graphic>
          </wp:inline>
        </w:drawing>
      </w:r>
    </w:p>
    <w:p w:rsidR="007F6887" w:rsidRPr="004D5D60" w:rsidRDefault="007F6887" w:rsidP="007F6887">
      <w:pPr>
        <w:spacing w:before="120"/>
        <w:rPr>
          <w:rFonts w:eastAsia="Times New Roman"/>
          <w:b/>
          <w:bCs/>
          <w:lang w:eastAsia="es-MX"/>
        </w:rPr>
      </w:pPr>
      <w:r>
        <w:rPr>
          <w:noProof/>
          <w:lang w:eastAsia="es-MX"/>
        </w:rPr>
        <w:drawing>
          <wp:inline distT="0" distB="0" distL="0" distR="0">
            <wp:extent cx="5614035" cy="1297305"/>
            <wp:effectExtent l="19050" t="0" r="5715" b="0"/>
            <wp:docPr id="6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6" cstate="print"/>
                    <a:srcRect t="63689"/>
                    <a:stretch>
                      <a:fillRect/>
                    </a:stretch>
                  </pic:blipFill>
                  <pic:spPr bwMode="auto">
                    <a:xfrm>
                      <a:off x="0" y="0"/>
                      <a:ext cx="5614035" cy="1297305"/>
                    </a:xfrm>
                    <a:prstGeom prst="rect">
                      <a:avLst/>
                    </a:prstGeom>
                    <a:noFill/>
                    <a:ln w="9525">
                      <a:noFill/>
                      <a:miter lim="800000"/>
                      <a:headEnd/>
                      <a:tailEnd/>
                    </a:ln>
                  </pic:spPr>
                </pic:pic>
              </a:graphicData>
            </a:graphic>
          </wp:inline>
        </w:drawing>
      </w:r>
    </w:p>
    <w:p w:rsidR="007F6887" w:rsidRPr="004D5D60" w:rsidRDefault="007F6887" w:rsidP="007F6887">
      <w:pPr>
        <w:spacing w:before="120"/>
        <w:rPr>
          <w:rFonts w:eastAsia="Times New Roman"/>
          <w:b/>
          <w:bCs/>
          <w:lang w:eastAsia="es-MX"/>
        </w:rPr>
      </w:pPr>
      <w:r w:rsidRPr="004D5D60">
        <w:rPr>
          <w:rFonts w:eastAsia="Times New Roman"/>
          <w:b/>
          <w:bCs/>
          <w:lang w:eastAsia="es-MX"/>
        </w:rPr>
        <w:br w:type="page"/>
      </w:r>
      <w:r>
        <w:rPr>
          <w:noProof/>
          <w:lang w:eastAsia="es-MX"/>
        </w:rPr>
        <w:lastRenderedPageBreak/>
        <w:drawing>
          <wp:inline distT="0" distB="0" distL="0" distR="0">
            <wp:extent cx="5614035" cy="2115820"/>
            <wp:effectExtent l="19050" t="0" r="5715" b="0"/>
            <wp:docPr id="59" name="Imagen 7234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22"/>
                    <pic:cNvPicPr>
                      <a:picLocks noChangeAspect="1" noChangeArrowheads="1"/>
                    </pic:cNvPicPr>
                  </pic:nvPicPr>
                  <pic:blipFill>
                    <a:blip r:embed="rId27" cstate="print"/>
                    <a:srcRect b="57944"/>
                    <a:stretch>
                      <a:fillRect/>
                    </a:stretch>
                  </pic:blipFill>
                  <pic:spPr bwMode="auto">
                    <a:xfrm>
                      <a:off x="0" y="0"/>
                      <a:ext cx="5614035" cy="2115820"/>
                    </a:xfrm>
                    <a:prstGeom prst="rect">
                      <a:avLst/>
                    </a:prstGeom>
                    <a:noFill/>
                    <a:ln w="9525">
                      <a:noFill/>
                      <a:miter lim="800000"/>
                      <a:headEnd/>
                      <a:tailEnd/>
                    </a:ln>
                  </pic:spPr>
                </pic:pic>
              </a:graphicData>
            </a:graphic>
          </wp:inline>
        </w:drawing>
      </w:r>
    </w:p>
    <w:p w:rsidR="007F6887" w:rsidRPr="004D5D60" w:rsidRDefault="007F6887" w:rsidP="007F6887">
      <w:pPr>
        <w:spacing w:before="120"/>
        <w:rPr>
          <w:rFonts w:eastAsia="Times New Roman"/>
          <w:b/>
          <w:bCs/>
          <w:lang w:eastAsia="es-MX"/>
        </w:rPr>
      </w:pPr>
      <w:r>
        <w:rPr>
          <w:noProof/>
          <w:lang w:eastAsia="es-MX"/>
        </w:rPr>
        <w:drawing>
          <wp:inline distT="0" distB="0" distL="0" distR="0">
            <wp:extent cx="5614035" cy="2392045"/>
            <wp:effectExtent l="19050" t="0" r="5715" b="0"/>
            <wp:docPr id="5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7" cstate="print"/>
                    <a:srcRect t="52286"/>
                    <a:stretch>
                      <a:fillRect/>
                    </a:stretch>
                  </pic:blipFill>
                  <pic:spPr bwMode="auto">
                    <a:xfrm>
                      <a:off x="0" y="0"/>
                      <a:ext cx="5614035" cy="2392045"/>
                    </a:xfrm>
                    <a:prstGeom prst="rect">
                      <a:avLst/>
                    </a:prstGeom>
                    <a:noFill/>
                    <a:ln w="9525">
                      <a:noFill/>
                      <a:miter lim="800000"/>
                      <a:headEnd/>
                      <a:tailEnd/>
                    </a:ln>
                  </pic:spPr>
                </pic:pic>
              </a:graphicData>
            </a:graphic>
          </wp:inline>
        </w:drawing>
      </w:r>
    </w:p>
    <w:p w:rsidR="007F6887" w:rsidRPr="004D5D60" w:rsidRDefault="007F6887" w:rsidP="007F6887">
      <w:pPr>
        <w:spacing w:before="120"/>
        <w:rPr>
          <w:rFonts w:eastAsia="Times New Roman"/>
          <w:b/>
          <w:bCs/>
          <w:lang w:eastAsia="es-MX"/>
        </w:rPr>
      </w:pPr>
    </w:p>
    <w:p w:rsidR="007F6887" w:rsidRPr="004D5D60" w:rsidRDefault="007F6887" w:rsidP="007F6887">
      <w:pPr>
        <w:spacing w:before="120"/>
        <w:rPr>
          <w:rFonts w:eastAsia="Times New Roman"/>
          <w:b/>
          <w:bCs/>
          <w:lang w:eastAsia="es-MX"/>
        </w:rPr>
      </w:pPr>
      <w:r w:rsidRPr="004D5D60">
        <w:rPr>
          <w:rFonts w:eastAsia="Times New Roman"/>
          <w:b/>
          <w:bCs/>
          <w:lang w:eastAsia="es-MX"/>
        </w:rPr>
        <w:br w:type="page"/>
      </w:r>
    </w:p>
    <w:p w:rsidR="007F6887" w:rsidRPr="004D5D60" w:rsidRDefault="007F6887" w:rsidP="007F6887">
      <w:pPr>
        <w:spacing w:before="120"/>
        <w:rPr>
          <w:rFonts w:eastAsia="Times New Roman"/>
          <w:b/>
          <w:bCs/>
          <w:lang w:eastAsia="es-MX"/>
        </w:rPr>
      </w:pPr>
      <w:r>
        <w:rPr>
          <w:noProof/>
          <w:lang w:eastAsia="es-MX"/>
        </w:rPr>
        <w:lastRenderedPageBreak/>
        <w:drawing>
          <wp:inline distT="0" distB="0" distL="0" distR="0">
            <wp:extent cx="5614035" cy="2296795"/>
            <wp:effectExtent l="19050" t="0" r="5715" b="0"/>
            <wp:docPr id="52" name="Imagen 723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21"/>
                    <pic:cNvPicPr>
                      <a:picLocks noChangeAspect="1" noChangeArrowheads="1"/>
                    </pic:cNvPicPr>
                  </pic:nvPicPr>
                  <pic:blipFill>
                    <a:blip r:embed="rId28" cstate="print"/>
                    <a:srcRect b="41589"/>
                    <a:stretch>
                      <a:fillRect/>
                    </a:stretch>
                  </pic:blipFill>
                  <pic:spPr bwMode="auto">
                    <a:xfrm>
                      <a:off x="0" y="0"/>
                      <a:ext cx="5614035" cy="2296795"/>
                    </a:xfrm>
                    <a:prstGeom prst="rect">
                      <a:avLst/>
                    </a:prstGeom>
                    <a:noFill/>
                    <a:ln w="9525">
                      <a:noFill/>
                      <a:miter lim="800000"/>
                      <a:headEnd/>
                      <a:tailEnd/>
                    </a:ln>
                  </pic:spPr>
                </pic:pic>
              </a:graphicData>
            </a:graphic>
          </wp:inline>
        </w:drawing>
      </w:r>
    </w:p>
    <w:p w:rsidR="007F6887" w:rsidRPr="004D5D60" w:rsidRDefault="007F6887" w:rsidP="007F6887">
      <w:pPr>
        <w:spacing w:before="120"/>
        <w:rPr>
          <w:rFonts w:eastAsia="Times New Roman"/>
          <w:b/>
          <w:bCs/>
          <w:lang w:eastAsia="es-MX"/>
        </w:rPr>
      </w:pPr>
      <w:r>
        <w:rPr>
          <w:noProof/>
          <w:lang w:eastAsia="es-MX"/>
        </w:rPr>
        <w:drawing>
          <wp:inline distT="0" distB="0" distL="0" distR="0">
            <wp:extent cx="5614035" cy="1297305"/>
            <wp:effectExtent l="19050" t="0" r="5715" b="0"/>
            <wp:docPr id="51" name="Imagen 7234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08"/>
                    <pic:cNvPicPr>
                      <a:picLocks noChangeAspect="1" noChangeArrowheads="1"/>
                    </pic:cNvPicPr>
                  </pic:nvPicPr>
                  <pic:blipFill>
                    <a:blip r:embed="rId28" cstate="print"/>
                    <a:srcRect t="66893"/>
                    <a:stretch>
                      <a:fillRect/>
                    </a:stretch>
                  </pic:blipFill>
                  <pic:spPr bwMode="auto">
                    <a:xfrm>
                      <a:off x="0" y="0"/>
                      <a:ext cx="5614035" cy="1297305"/>
                    </a:xfrm>
                    <a:prstGeom prst="rect">
                      <a:avLst/>
                    </a:prstGeom>
                    <a:noFill/>
                    <a:ln w="9525">
                      <a:noFill/>
                      <a:miter lim="800000"/>
                      <a:headEnd/>
                      <a:tailEnd/>
                    </a:ln>
                  </pic:spPr>
                </pic:pic>
              </a:graphicData>
            </a:graphic>
          </wp:inline>
        </w:drawing>
      </w:r>
    </w:p>
    <w:p w:rsidR="007F6887" w:rsidRPr="004D5D60" w:rsidRDefault="007F6887" w:rsidP="007F6887">
      <w:pPr>
        <w:spacing w:before="120"/>
        <w:rPr>
          <w:rFonts w:eastAsia="Times New Roman"/>
          <w:b/>
          <w:bCs/>
          <w:lang w:eastAsia="es-MX"/>
        </w:rPr>
      </w:pPr>
    </w:p>
    <w:p w:rsidR="007F6887" w:rsidRPr="004D5D60" w:rsidRDefault="007F6887" w:rsidP="007F6887">
      <w:pPr>
        <w:spacing w:before="120"/>
        <w:rPr>
          <w:rFonts w:eastAsia="Times New Roman"/>
          <w:b/>
          <w:bCs/>
          <w:lang w:eastAsia="es-MX"/>
        </w:rPr>
      </w:pPr>
      <w:r w:rsidRPr="004D5D60">
        <w:rPr>
          <w:rFonts w:eastAsia="Times New Roman"/>
          <w:b/>
          <w:bCs/>
          <w:lang w:eastAsia="es-MX"/>
        </w:rPr>
        <w:br w:type="page"/>
      </w:r>
    </w:p>
    <w:p w:rsidR="007F6887" w:rsidRPr="004D5D60" w:rsidRDefault="007F6887" w:rsidP="007F6887">
      <w:pPr>
        <w:spacing w:before="120"/>
        <w:rPr>
          <w:rFonts w:eastAsia="Times New Roman"/>
          <w:b/>
          <w:bCs/>
          <w:lang w:eastAsia="es-MX"/>
        </w:rPr>
      </w:pPr>
    </w:p>
    <w:p w:rsidR="007F6887" w:rsidRPr="004D5D60" w:rsidRDefault="007F6887" w:rsidP="007F6887">
      <w:pPr>
        <w:spacing w:before="120"/>
        <w:rPr>
          <w:rFonts w:eastAsia="Times New Roman"/>
          <w:b/>
          <w:bCs/>
          <w:lang w:eastAsia="es-MX"/>
        </w:rPr>
      </w:pPr>
      <w:r>
        <w:rPr>
          <w:noProof/>
          <w:lang w:eastAsia="es-MX"/>
        </w:rPr>
        <w:drawing>
          <wp:inline distT="0" distB="0" distL="0" distR="0">
            <wp:extent cx="5614035" cy="1605280"/>
            <wp:effectExtent l="19050" t="0" r="5715" b="0"/>
            <wp:docPr id="50" name="Imagen 7234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20"/>
                    <pic:cNvPicPr>
                      <a:picLocks noChangeAspect="1" noChangeArrowheads="1"/>
                    </pic:cNvPicPr>
                  </pic:nvPicPr>
                  <pic:blipFill>
                    <a:blip r:embed="rId29" cstate="print"/>
                    <a:srcRect b="50385"/>
                    <a:stretch>
                      <a:fillRect/>
                    </a:stretch>
                  </pic:blipFill>
                  <pic:spPr bwMode="auto">
                    <a:xfrm>
                      <a:off x="0" y="0"/>
                      <a:ext cx="5614035" cy="1605280"/>
                    </a:xfrm>
                    <a:prstGeom prst="rect">
                      <a:avLst/>
                    </a:prstGeom>
                    <a:noFill/>
                    <a:ln w="9525">
                      <a:noFill/>
                      <a:miter lim="800000"/>
                      <a:headEnd/>
                      <a:tailEnd/>
                    </a:ln>
                  </pic:spPr>
                </pic:pic>
              </a:graphicData>
            </a:graphic>
          </wp:inline>
        </w:drawing>
      </w:r>
      <w:r>
        <w:rPr>
          <w:noProof/>
          <w:lang w:eastAsia="es-MX"/>
        </w:rPr>
        <w:drawing>
          <wp:inline distT="0" distB="0" distL="0" distR="0">
            <wp:extent cx="5614035" cy="1329055"/>
            <wp:effectExtent l="19050" t="0" r="5715" b="0"/>
            <wp:docPr id="45" name="Imagen 7234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09"/>
                    <pic:cNvPicPr>
                      <a:picLocks noChangeAspect="1" noChangeArrowheads="1"/>
                    </pic:cNvPicPr>
                  </pic:nvPicPr>
                  <pic:blipFill>
                    <a:blip r:embed="rId29" cstate="print"/>
                    <a:srcRect t="59659" b="-710"/>
                    <a:stretch>
                      <a:fillRect/>
                    </a:stretch>
                  </pic:blipFill>
                  <pic:spPr bwMode="auto">
                    <a:xfrm>
                      <a:off x="0" y="0"/>
                      <a:ext cx="5614035" cy="1329055"/>
                    </a:xfrm>
                    <a:prstGeom prst="rect">
                      <a:avLst/>
                    </a:prstGeom>
                    <a:noFill/>
                    <a:ln w="9525">
                      <a:noFill/>
                      <a:miter lim="800000"/>
                      <a:headEnd/>
                      <a:tailEnd/>
                    </a:ln>
                  </pic:spPr>
                </pic:pic>
              </a:graphicData>
            </a:graphic>
          </wp:inline>
        </w:drawing>
      </w:r>
    </w:p>
    <w:p w:rsidR="007F6887" w:rsidRPr="004D5D60" w:rsidRDefault="007F6887" w:rsidP="007F6887">
      <w:pPr>
        <w:spacing w:before="120"/>
        <w:rPr>
          <w:rFonts w:eastAsia="Times New Roman"/>
          <w:b/>
          <w:bCs/>
          <w:lang w:eastAsia="es-MX"/>
        </w:rPr>
      </w:pPr>
      <w:r w:rsidRPr="004D5D60">
        <w:rPr>
          <w:rFonts w:eastAsia="Times New Roman"/>
          <w:b/>
          <w:bCs/>
          <w:lang w:eastAsia="es-MX"/>
        </w:rPr>
        <w:br w:type="page"/>
      </w:r>
    </w:p>
    <w:p w:rsidR="007F6887" w:rsidRPr="004D5D60" w:rsidRDefault="007F6887" w:rsidP="007F6887">
      <w:pPr>
        <w:spacing w:before="120"/>
        <w:rPr>
          <w:rFonts w:eastAsia="Times New Roman"/>
          <w:b/>
          <w:bCs/>
          <w:lang w:eastAsia="es-MX"/>
        </w:rPr>
      </w:pPr>
      <w:r>
        <w:rPr>
          <w:noProof/>
          <w:lang w:eastAsia="es-MX"/>
        </w:rPr>
        <w:lastRenderedPageBreak/>
        <w:drawing>
          <wp:inline distT="0" distB="0" distL="0" distR="0">
            <wp:extent cx="5614035" cy="1765300"/>
            <wp:effectExtent l="19050" t="0" r="5715" b="0"/>
            <wp:docPr id="44" name="Imagen 7234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12"/>
                    <pic:cNvPicPr>
                      <a:picLocks noChangeAspect="1" noChangeArrowheads="1"/>
                    </pic:cNvPicPr>
                  </pic:nvPicPr>
                  <pic:blipFill>
                    <a:blip r:embed="rId30" cstate="print"/>
                    <a:srcRect b="50702"/>
                    <a:stretch>
                      <a:fillRect/>
                    </a:stretch>
                  </pic:blipFill>
                  <pic:spPr bwMode="auto">
                    <a:xfrm>
                      <a:off x="0" y="0"/>
                      <a:ext cx="5614035" cy="1765300"/>
                    </a:xfrm>
                    <a:prstGeom prst="rect">
                      <a:avLst/>
                    </a:prstGeom>
                    <a:noFill/>
                    <a:ln w="9525">
                      <a:noFill/>
                      <a:miter lim="800000"/>
                      <a:headEnd/>
                      <a:tailEnd/>
                    </a:ln>
                  </pic:spPr>
                </pic:pic>
              </a:graphicData>
            </a:graphic>
          </wp:inline>
        </w:drawing>
      </w:r>
      <w:r>
        <w:rPr>
          <w:noProof/>
          <w:lang w:eastAsia="es-MX"/>
        </w:rPr>
        <w:drawing>
          <wp:inline distT="0" distB="0" distL="0" distR="0">
            <wp:extent cx="5614035" cy="1297305"/>
            <wp:effectExtent l="19050" t="0" r="5715" b="0"/>
            <wp:docPr id="37" name="Imagen 7234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19"/>
                    <pic:cNvPicPr>
                      <a:picLocks noChangeAspect="1" noChangeArrowheads="1"/>
                    </pic:cNvPicPr>
                  </pic:nvPicPr>
                  <pic:blipFill>
                    <a:blip r:embed="rId30" cstate="print"/>
                    <a:srcRect t="63689"/>
                    <a:stretch>
                      <a:fillRect/>
                    </a:stretch>
                  </pic:blipFill>
                  <pic:spPr bwMode="auto">
                    <a:xfrm>
                      <a:off x="0" y="0"/>
                      <a:ext cx="5614035" cy="1297305"/>
                    </a:xfrm>
                    <a:prstGeom prst="rect">
                      <a:avLst/>
                    </a:prstGeom>
                    <a:noFill/>
                    <a:ln w="9525">
                      <a:noFill/>
                      <a:miter lim="800000"/>
                      <a:headEnd/>
                      <a:tailEnd/>
                    </a:ln>
                  </pic:spPr>
                </pic:pic>
              </a:graphicData>
            </a:graphic>
          </wp:inline>
        </w:drawing>
      </w:r>
    </w:p>
    <w:p w:rsidR="007F6887" w:rsidRPr="004D5D60" w:rsidRDefault="007F6887" w:rsidP="007F6887">
      <w:pPr>
        <w:spacing w:before="120"/>
        <w:rPr>
          <w:rFonts w:eastAsia="Times New Roman"/>
          <w:b/>
          <w:bCs/>
          <w:lang w:eastAsia="es-MX"/>
        </w:rPr>
      </w:pPr>
      <w:r w:rsidRPr="004D5D60">
        <w:rPr>
          <w:rFonts w:eastAsia="Times New Roman"/>
          <w:b/>
          <w:bCs/>
          <w:lang w:eastAsia="es-MX"/>
        </w:rPr>
        <w:br w:type="page"/>
      </w:r>
    </w:p>
    <w:p w:rsidR="007F6887" w:rsidRPr="004D5D60" w:rsidRDefault="007F6887" w:rsidP="007F6887">
      <w:pPr>
        <w:spacing w:before="120"/>
        <w:rPr>
          <w:rFonts w:eastAsia="Times New Roman"/>
          <w:b/>
          <w:bCs/>
          <w:lang w:eastAsia="es-MX"/>
        </w:rPr>
      </w:pPr>
    </w:p>
    <w:p w:rsidR="007F6887" w:rsidRPr="004D5D60" w:rsidRDefault="007F6887" w:rsidP="007F6887">
      <w:pPr>
        <w:spacing w:before="120"/>
        <w:rPr>
          <w:rFonts w:eastAsia="Times New Roman"/>
          <w:b/>
          <w:bCs/>
          <w:lang w:eastAsia="es-MX"/>
        </w:rPr>
      </w:pPr>
      <w:r>
        <w:rPr>
          <w:noProof/>
          <w:lang w:eastAsia="es-MX"/>
        </w:rPr>
        <w:drawing>
          <wp:inline distT="0" distB="0" distL="0" distR="0">
            <wp:extent cx="5614035" cy="2477135"/>
            <wp:effectExtent l="19050" t="0" r="5715" b="0"/>
            <wp:docPr id="38" name="Imagen 7234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13"/>
                    <pic:cNvPicPr>
                      <a:picLocks noChangeAspect="1" noChangeArrowheads="1"/>
                    </pic:cNvPicPr>
                  </pic:nvPicPr>
                  <pic:blipFill>
                    <a:blip r:embed="rId31" cstate="print"/>
                    <a:srcRect b="44427"/>
                    <a:stretch>
                      <a:fillRect/>
                    </a:stretch>
                  </pic:blipFill>
                  <pic:spPr bwMode="auto">
                    <a:xfrm>
                      <a:off x="0" y="0"/>
                      <a:ext cx="5614035" cy="2477135"/>
                    </a:xfrm>
                    <a:prstGeom prst="rect">
                      <a:avLst/>
                    </a:prstGeom>
                    <a:noFill/>
                    <a:ln w="9525">
                      <a:noFill/>
                      <a:miter lim="800000"/>
                      <a:headEnd/>
                      <a:tailEnd/>
                    </a:ln>
                  </pic:spPr>
                </pic:pic>
              </a:graphicData>
            </a:graphic>
          </wp:inline>
        </w:drawing>
      </w:r>
      <w:r>
        <w:rPr>
          <w:noProof/>
          <w:lang w:eastAsia="es-MX"/>
        </w:rPr>
        <w:drawing>
          <wp:inline distT="0" distB="0" distL="0" distR="0">
            <wp:extent cx="5614035" cy="1308100"/>
            <wp:effectExtent l="19050" t="0" r="5715" b="0"/>
            <wp:docPr id="36" name="Imagen 7234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18"/>
                    <pic:cNvPicPr>
                      <a:picLocks noChangeAspect="1" noChangeArrowheads="1"/>
                    </pic:cNvPicPr>
                  </pic:nvPicPr>
                  <pic:blipFill>
                    <a:blip r:embed="rId31" cstate="print"/>
                    <a:srcRect t="70747"/>
                    <a:stretch>
                      <a:fillRect/>
                    </a:stretch>
                  </pic:blipFill>
                  <pic:spPr bwMode="auto">
                    <a:xfrm>
                      <a:off x="0" y="0"/>
                      <a:ext cx="5614035" cy="1308100"/>
                    </a:xfrm>
                    <a:prstGeom prst="rect">
                      <a:avLst/>
                    </a:prstGeom>
                    <a:noFill/>
                    <a:ln w="9525">
                      <a:noFill/>
                      <a:miter lim="800000"/>
                      <a:headEnd/>
                      <a:tailEnd/>
                    </a:ln>
                  </pic:spPr>
                </pic:pic>
              </a:graphicData>
            </a:graphic>
          </wp:inline>
        </w:drawing>
      </w:r>
    </w:p>
    <w:p w:rsidR="007F6887" w:rsidRDefault="007F6887" w:rsidP="007F6887">
      <w:pPr>
        <w:spacing w:before="120"/>
        <w:rPr>
          <w:rFonts w:eastAsia="Times New Roman"/>
          <w:b/>
          <w:bCs/>
          <w:lang w:eastAsia="es-MX"/>
        </w:rPr>
      </w:pPr>
      <w:r w:rsidRPr="004D5D60">
        <w:rPr>
          <w:rFonts w:eastAsia="Times New Roman"/>
          <w:b/>
          <w:bCs/>
          <w:lang w:eastAsia="es-MX"/>
        </w:rPr>
        <w:br w:type="page"/>
      </w:r>
    </w:p>
    <w:p w:rsidR="007F6887" w:rsidRPr="004D5D60" w:rsidRDefault="007F6887" w:rsidP="007F6887">
      <w:pPr>
        <w:spacing w:before="120"/>
        <w:rPr>
          <w:rFonts w:eastAsia="Times New Roman"/>
          <w:b/>
          <w:bCs/>
          <w:lang w:eastAsia="es-MX"/>
        </w:rPr>
      </w:pPr>
    </w:p>
    <w:p w:rsidR="007F6887" w:rsidRPr="004D5D60" w:rsidRDefault="007F6887" w:rsidP="007F6887">
      <w:pPr>
        <w:spacing w:before="120"/>
        <w:rPr>
          <w:rFonts w:eastAsia="Times New Roman"/>
          <w:b/>
          <w:bCs/>
          <w:lang w:eastAsia="es-MX"/>
        </w:rPr>
      </w:pPr>
      <w:r>
        <w:rPr>
          <w:noProof/>
          <w:lang w:eastAsia="es-MX"/>
        </w:rPr>
        <w:drawing>
          <wp:inline distT="0" distB="0" distL="0" distR="0">
            <wp:extent cx="5614035" cy="2296795"/>
            <wp:effectExtent l="19050" t="0" r="5715" b="0"/>
            <wp:docPr id="31" name="Imagen 7234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33"/>
                    <pic:cNvPicPr>
                      <a:picLocks noChangeAspect="1" noChangeArrowheads="1"/>
                    </pic:cNvPicPr>
                  </pic:nvPicPr>
                  <pic:blipFill>
                    <a:blip r:embed="rId32" cstate="print"/>
                    <a:srcRect b="46349"/>
                    <a:stretch>
                      <a:fillRect/>
                    </a:stretch>
                  </pic:blipFill>
                  <pic:spPr bwMode="auto">
                    <a:xfrm>
                      <a:off x="0" y="0"/>
                      <a:ext cx="5614035" cy="2296795"/>
                    </a:xfrm>
                    <a:prstGeom prst="rect">
                      <a:avLst/>
                    </a:prstGeom>
                    <a:noFill/>
                    <a:ln w="9525">
                      <a:noFill/>
                      <a:miter lim="800000"/>
                      <a:headEnd/>
                      <a:tailEnd/>
                    </a:ln>
                  </pic:spPr>
                </pic:pic>
              </a:graphicData>
            </a:graphic>
          </wp:inline>
        </w:drawing>
      </w:r>
      <w:r>
        <w:rPr>
          <w:noProof/>
          <w:lang w:eastAsia="es-MX"/>
        </w:rPr>
        <w:drawing>
          <wp:inline distT="0" distB="0" distL="0" distR="0">
            <wp:extent cx="5614035" cy="1286510"/>
            <wp:effectExtent l="19050" t="0" r="5715" b="0"/>
            <wp:docPr id="30" name="Imagen 7234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340817"/>
                    <pic:cNvPicPr>
                      <a:picLocks noChangeAspect="1" noChangeArrowheads="1"/>
                    </pic:cNvPicPr>
                  </pic:nvPicPr>
                  <pic:blipFill>
                    <a:blip r:embed="rId32" cstate="print"/>
                    <a:srcRect t="69902"/>
                    <a:stretch>
                      <a:fillRect/>
                    </a:stretch>
                  </pic:blipFill>
                  <pic:spPr bwMode="auto">
                    <a:xfrm>
                      <a:off x="0" y="0"/>
                      <a:ext cx="5614035" cy="1286510"/>
                    </a:xfrm>
                    <a:prstGeom prst="rect">
                      <a:avLst/>
                    </a:prstGeom>
                    <a:noFill/>
                    <a:ln w="9525">
                      <a:noFill/>
                      <a:miter lim="800000"/>
                      <a:headEnd/>
                      <a:tailEnd/>
                    </a:ln>
                  </pic:spPr>
                </pic:pic>
              </a:graphicData>
            </a:graphic>
          </wp:inline>
        </w:drawing>
      </w:r>
    </w:p>
    <w:p w:rsidR="007F6887" w:rsidRPr="004D5D60" w:rsidRDefault="007F6887" w:rsidP="007F6887">
      <w:pPr>
        <w:spacing w:before="120"/>
        <w:rPr>
          <w:rFonts w:eastAsia="Times New Roman"/>
          <w:b/>
          <w:bCs/>
          <w:lang w:eastAsia="es-MX"/>
        </w:rPr>
      </w:pPr>
    </w:p>
    <w:p w:rsidR="007F6887" w:rsidRDefault="007F6887" w:rsidP="007F6887">
      <w:pPr>
        <w:spacing w:before="100" w:beforeAutospacing="1" w:after="100" w:afterAutospacing="1"/>
        <w:rPr>
          <w:rFonts w:cs="Arial"/>
        </w:rPr>
      </w:pPr>
      <w:r w:rsidRPr="00941AB9">
        <w:rPr>
          <w:rFonts w:cs="Arial"/>
        </w:rPr>
        <w:t>En virtud de lo anterior y en ejercicio de las facultades que me confiere el artículo 35, fracción II, y 55, fracción XIV, de la Constitución Política del Estado de Yucatán, someto a su consideración, la siguiente:</w:t>
      </w:r>
    </w:p>
    <w:p w:rsidR="00976C88" w:rsidRPr="00941AB9" w:rsidRDefault="00976C88" w:rsidP="007F6887">
      <w:pPr>
        <w:spacing w:before="100" w:beforeAutospacing="1" w:after="100" w:afterAutospacing="1"/>
        <w:rPr>
          <w:rFonts w:cs="Arial"/>
        </w:rPr>
      </w:pPr>
    </w:p>
    <w:p w:rsidR="007F6887" w:rsidRDefault="007F6887" w:rsidP="007F6887">
      <w:pPr>
        <w:spacing w:before="100" w:beforeAutospacing="1" w:after="100" w:afterAutospacing="1"/>
        <w:jc w:val="center"/>
        <w:rPr>
          <w:rFonts w:cs="Arial"/>
          <w:b/>
        </w:rPr>
      </w:pPr>
      <w:r w:rsidRPr="00941AB9">
        <w:rPr>
          <w:rFonts w:cs="Arial"/>
          <w:b/>
        </w:rPr>
        <w:t>Iniciativa para expedir el Presupuesto de Egresos del Gobierno del Estado de Yucat</w:t>
      </w:r>
      <w:r>
        <w:rPr>
          <w:rFonts w:cs="Arial"/>
          <w:b/>
        </w:rPr>
        <w:t>án para el Ejercicio Fiscal 2021</w:t>
      </w:r>
    </w:p>
    <w:p w:rsidR="00976C88" w:rsidRPr="00941AB9" w:rsidRDefault="00976C88" w:rsidP="007F6887">
      <w:pPr>
        <w:spacing w:before="100" w:beforeAutospacing="1" w:after="100" w:afterAutospacing="1"/>
        <w:jc w:val="center"/>
        <w:rPr>
          <w:rFonts w:cs="Arial"/>
          <w:b/>
        </w:rPr>
      </w:pPr>
    </w:p>
    <w:p w:rsidR="007F6887" w:rsidRDefault="007F6887" w:rsidP="007F6887">
      <w:pPr>
        <w:spacing w:before="100" w:beforeAutospacing="1" w:after="100" w:afterAutospacing="1"/>
        <w:rPr>
          <w:rFonts w:cs="Arial"/>
        </w:rPr>
      </w:pPr>
      <w:r w:rsidRPr="00941AB9">
        <w:rPr>
          <w:rFonts w:cs="Arial"/>
          <w:b/>
        </w:rPr>
        <w:t>Artículo único.</w:t>
      </w:r>
      <w:r w:rsidRPr="00941AB9">
        <w:rPr>
          <w:rFonts w:cs="Arial"/>
        </w:rPr>
        <w:t xml:space="preserve"> Se expide el Presupuesto de Egresos del Gobierno del Estado de Yucat</w:t>
      </w:r>
      <w:r>
        <w:rPr>
          <w:rFonts w:cs="Arial"/>
        </w:rPr>
        <w:t>án para el Ejercicio Fiscal 2021</w:t>
      </w:r>
      <w:r w:rsidRPr="00941AB9">
        <w:rPr>
          <w:rFonts w:cs="Arial"/>
        </w:rPr>
        <w:t>.</w:t>
      </w:r>
    </w:p>
    <w:p w:rsidR="00976C88" w:rsidRDefault="00976C88" w:rsidP="007F6887">
      <w:pPr>
        <w:spacing w:before="100" w:beforeAutospacing="1" w:after="100" w:afterAutospacing="1"/>
        <w:jc w:val="center"/>
        <w:rPr>
          <w:rFonts w:cs="Arial"/>
          <w:b/>
        </w:rPr>
      </w:pPr>
    </w:p>
    <w:p w:rsidR="00976C88" w:rsidRDefault="00976C88" w:rsidP="007F6887">
      <w:pPr>
        <w:spacing w:before="100" w:beforeAutospacing="1" w:after="100" w:afterAutospacing="1"/>
        <w:jc w:val="center"/>
        <w:rPr>
          <w:rFonts w:cs="Arial"/>
          <w:b/>
        </w:rPr>
      </w:pPr>
    </w:p>
    <w:p w:rsidR="007F6887" w:rsidRPr="004C7CDD" w:rsidRDefault="007F6887" w:rsidP="007F6887">
      <w:pPr>
        <w:spacing w:before="100" w:beforeAutospacing="1" w:after="100" w:afterAutospacing="1"/>
        <w:jc w:val="center"/>
        <w:rPr>
          <w:rFonts w:cs="Arial"/>
        </w:rPr>
      </w:pPr>
      <w:r w:rsidRPr="00941AB9">
        <w:rPr>
          <w:rFonts w:cs="Arial"/>
          <w:b/>
        </w:rPr>
        <w:lastRenderedPageBreak/>
        <w:t>Presupuesto de Egresos del Gobierno del Estado de Yucat</w:t>
      </w:r>
      <w:r>
        <w:rPr>
          <w:rFonts w:cs="Arial"/>
          <w:b/>
        </w:rPr>
        <w:t>án para el Ejercicio Fiscal 2021</w:t>
      </w:r>
    </w:p>
    <w:p w:rsidR="006628A2" w:rsidRPr="004914A7" w:rsidRDefault="00034E2C" w:rsidP="001B6FE0">
      <w:pPr>
        <w:pStyle w:val="Ttulo2"/>
        <w:suppressAutoHyphens/>
      </w:pPr>
      <w:bookmarkStart w:id="0" w:name="título-primero"/>
      <w:r w:rsidRPr="004914A7">
        <w:t>Título primero</w:t>
      </w:r>
      <w:bookmarkEnd w:id="0"/>
    </w:p>
    <w:p w:rsidR="006628A2" w:rsidRPr="004914A7" w:rsidRDefault="00034E2C" w:rsidP="001B6FE0">
      <w:pPr>
        <w:pStyle w:val="Ttulo2"/>
        <w:suppressAutoHyphens/>
      </w:pPr>
      <w:bookmarkStart w:id="1" w:name="X0f78ea44907197c160483948b838be423ef6fc2"/>
      <w:r w:rsidRPr="004914A7">
        <w:t>Asignaciones del presupuesto de egresos del estado</w:t>
      </w:r>
      <w:bookmarkEnd w:id="1"/>
    </w:p>
    <w:p w:rsidR="006628A2" w:rsidRPr="004914A7" w:rsidRDefault="006628A2" w:rsidP="001B6FE0">
      <w:pPr>
        <w:suppressAutoHyphens/>
      </w:pPr>
    </w:p>
    <w:p w:rsidR="006628A2" w:rsidRPr="004914A7" w:rsidRDefault="00034E2C" w:rsidP="001B6FE0">
      <w:pPr>
        <w:pStyle w:val="Ttulo2"/>
        <w:suppressAutoHyphens/>
      </w:pPr>
      <w:bookmarkStart w:id="2" w:name="capítulo-i"/>
      <w:r w:rsidRPr="004914A7">
        <w:t>Capítulo I</w:t>
      </w:r>
      <w:bookmarkEnd w:id="2"/>
    </w:p>
    <w:p w:rsidR="006628A2" w:rsidRPr="004914A7" w:rsidRDefault="00034E2C" w:rsidP="001B6FE0">
      <w:pPr>
        <w:pStyle w:val="Ttulo2"/>
        <w:suppressAutoHyphens/>
      </w:pPr>
      <w:bookmarkStart w:id="3" w:name="disposiciones-generales"/>
      <w:r w:rsidRPr="004914A7">
        <w:t>Disposiciones generales</w:t>
      </w:r>
      <w:bookmarkEnd w:id="3"/>
    </w:p>
    <w:p w:rsidR="006628A2" w:rsidRPr="004914A7" w:rsidRDefault="006628A2" w:rsidP="001B6FE0">
      <w:pPr>
        <w:suppressAutoHyphens/>
      </w:pPr>
    </w:p>
    <w:p w:rsidR="006628A2" w:rsidRPr="004914A7" w:rsidRDefault="00034E2C" w:rsidP="001B6FE0">
      <w:pPr>
        <w:suppressAutoHyphens/>
      </w:pPr>
      <w:r w:rsidRPr="004914A7">
        <w:rPr>
          <w:b/>
        </w:rPr>
        <w:t>Artículo 1. Objeto y marco normativo aplicable</w:t>
      </w:r>
    </w:p>
    <w:p w:rsidR="006628A2" w:rsidRPr="004914A7" w:rsidRDefault="006628A2" w:rsidP="001B6FE0">
      <w:pPr>
        <w:suppressAutoHyphens/>
      </w:pPr>
    </w:p>
    <w:p w:rsidR="006628A2" w:rsidRPr="004914A7" w:rsidRDefault="00034E2C" w:rsidP="001B6FE0">
      <w:pPr>
        <w:suppressAutoHyphens/>
      </w:pPr>
      <w:r w:rsidRPr="004914A7">
        <w:t>Este decreto tiene por objeto regular la asignación, ejercicio, control y evaluación del gasto público estatal para el ejercicio fiscal 2021, de conformidad con la Constitución Política del Estado de Yucatán, la Ley del Presupuesto y Contabilidad Gubernamental del Estado de Yucatán y su reglamento, la Ley de Coordinación Fiscal del Estado de Yucatán, la Ley de Deuda Pública del Estado de Yucatán, la Ley de Adquisiciones, Arrendamientos y Prestación de Servicios Relacionados con Bienes Muebles, la Ley de Obra Pública y Servicios Conexos del Estado de Yucatán y su reglamento, la Ley de Fiscalización de la Cuenta Pública del Estado de Yucatán, la Ley General de Contabilidad Gubernamental, la Ley de Coordinación Fiscal, la Ley de Disciplina Financiera de las Entidades Federativas y los Municipios, las disposiciones del Consejo Nacional de Armonización Contable, las disposiciones en materia de remuneración de los servidores públicos de los diferentes entes públicos y las demás disposiciones aplicables en la materia.</w:t>
      </w:r>
    </w:p>
    <w:p w:rsidR="006628A2" w:rsidRPr="004914A7" w:rsidRDefault="006628A2" w:rsidP="001B6FE0">
      <w:pPr>
        <w:suppressAutoHyphens/>
      </w:pPr>
    </w:p>
    <w:p w:rsidR="006628A2" w:rsidRPr="004914A7" w:rsidRDefault="00034E2C" w:rsidP="001B6FE0">
      <w:pPr>
        <w:suppressAutoHyphens/>
      </w:pPr>
      <w:r w:rsidRPr="004914A7">
        <w:t>En la ejecución del gasto público las dependencias y entidades deben considerar como eje articulador el Plan Estatal de Desarrollo 2018-2024, tomando en cuenta los cuatro ejes rectores y los cinco ejes transversales sobre los que se construye el referido plan estatal.</w:t>
      </w:r>
    </w:p>
    <w:p w:rsidR="006628A2" w:rsidRPr="004914A7" w:rsidRDefault="006628A2" w:rsidP="001B6FE0">
      <w:pPr>
        <w:suppressAutoHyphens/>
      </w:pPr>
    </w:p>
    <w:p w:rsidR="006628A2" w:rsidRPr="004914A7" w:rsidRDefault="00034E2C" w:rsidP="001B6FE0">
      <w:pPr>
        <w:suppressAutoHyphens/>
      </w:pPr>
      <w:r w:rsidRPr="004914A7">
        <w:rPr>
          <w:b/>
        </w:rPr>
        <w:t>Artículo 2. Interpretación de este presupuesto y expedición de normativa</w:t>
      </w:r>
    </w:p>
    <w:p w:rsidR="006628A2" w:rsidRPr="004914A7" w:rsidRDefault="006628A2" w:rsidP="001B6FE0">
      <w:pPr>
        <w:suppressAutoHyphens/>
      </w:pPr>
    </w:p>
    <w:p w:rsidR="006628A2" w:rsidRPr="004914A7" w:rsidRDefault="00034E2C" w:rsidP="001B6FE0">
      <w:pPr>
        <w:suppressAutoHyphens/>
      </w:pPr>
      <w:r w:rsidRPr="004914A7">
        <w:t>La interpretación de este decreto para efectos administrativos, y exclusivamente en el ámbito de la competencia del Poder Ejecutivo estatal, corresponde a las secretarías de Administración y Finanzas y de la Contraloría General, en el ámbito de sus atribuciones, conforme a las disposiciones y definiciones que establezca la Ley del Presupuesto y Contabilidad Gubernamental del Estado de Yucatán y demás normativa aplicable.</w:t>
      </w:r>
    </w:p>
    <w:p w:rsidR="006628A2" w:rsidRPr="004914A7" w:rsidRDefault="006628A2" w:rsidP="001B6FE0">
      <w:pPr>
        <w:suppressAutoHyphens/>
      </w:pPr>
    </w:p>
    <w:p w:rsidR="006628A2" w:rsidRPr="004914A7" w:rsidRDefault="00034E2C" w:rsidP="001B6FE0">
      <w:pPr>
        <w:suppressAutoHyphens/>
      </w:pPr>
      <w:r w:rsidRPr="004914A7">
        <w:lastRenderedPageBreak/>
        <w:t>En el caso de los poderes Legislativo y Judicial y de los organismos autónomos las facultades de interpretación estarán a cargo de las instancias administrativas competentes.</w:t>
      </w:r>
    </w:p>
    <w:p w:rsidR="006628A2" w:rsidRPr="004914A7" w:rsidRDefault="006628A2" w:rsidP="001B6FE0">
      <w:pPr>
        <w:suppressAutoHyphens/>
      </w:pPr>
    </w:p>
    <w:p w:rsidR="006628A2" w:rsidRPr="004914A7" w:rsidRDefault="00034E2C" w:rsidP="001B6FE0">
      <w:pPr>
        <w:suppressAutoHyphens/>
      </w:pPr>
      <w:r w:rsidRPr="004914A7">
        <w:t>Será responsabilidad de las secretarías de Administración y Finanzas y de la Contraloría General, en el ámbito de sus respectivas competencias, cumplir y hacer cumplir las disposiciones establecidas en este decreto, así como determinar las normas y procedimientos administrativos tendientes a armonizar, transparentar, racionalizar y controlar el gasto público estatal.</w:t>
      </w:r>
    </w:p>
    <w:p w:rsidR="006628A2" w:rsidRPr="004914A7" w:rsidRDefault="006628A2" w:rsidP="001B6FE0">
      <w:pPr>
        <w:suppressAutoHyphens/>
      </w:pPr>
    </w:p>
    <w:p w:rsidR="006628A2" w:rsidRPr="004914A7" w:rsidRDefault="00034E2C" w:rsidP="001B6FE0">
      <w:pPr>
        <w:suppressAutoHyphens/>
      </w:pPr>
      <w:r w:rsidRPr="004914A7">
        <w:rPr>
          <w:b/>
        </w:rPr>
        <w:t>Artículo 3. Definiciones</w:t>
      </w:r>
    </w:p>
    <w:p w:rsidR="006628A2" w:rsidRPr="004914A7" w:rsidRDefault="006628A2" w:rsidP="001B6FE0">
      <w:pPr>
        <w:suppressAutoHyphens/>
      </w:pPr>
    </w:p>
    <w:p w:rsidR="006628A2" w:rsidRPr="004914A7" w:rsidRDefault="00034E2C" w:rsidP="001B6FE0">
      <w:pPr>
        <w:suppressAutoHyphens/>
      </w:pPr>
      <w:r w:rsidRPr="004914A7">
        <w:t>Para efectos de este decreto, adicionalmente a las definiciones contenidas en la Ley del Presupuesto y Contabilidad Gubernamental del Estado de Yucatán y su reglamento, se entenderá por:</w:t>
      </w:r>
    </w:p>
    <w:p w:rsidR="006628A2" w:rsidRPr="004914A7" w:rsidRDefault="006628A2" w:rsidP="001B6FE0">
      <w:pPr>
        <w:suppressAutoHyphens/>
      </w:pPr>
    </w:p>
    <w:p w:rsidR="006628A2" w:rsidRPr="004914A7" w:rsidRDefault="00034E2C" w:rsidP="001B6FE0">
      <w:pPr>
        <w:suppressAutoHyphens/>
      </w:pPr>
      <w:r w:rsidRPr="004914A7">
        <w:t xml:space="preserve">      I. ADEFAS: </w:t>
      </w:r>
      <w:r w:rsidR="00FA46E1" w:rsidRPr="004914A7">
        <w:t>las a</w:t>
      </w:r>
      <w:r w:rsidRPr="004914A7">
        <w:t>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rsidR="006628A2" w:rsidRPr="004914A7" w:rsidRDefault="006628A2" w:rsidP="001B6FE0">
      <w:pPr>
        <w:suppressAutoHyphens/>
      </w:pPr>
    </w:p>
    <w:p w:rsidR="006628A2" w:rsidRPr="004914A7" w:rsidRDefault="00034E2C" w:rsidP="001B6FE0">
      <w:pPr>
        <w:suppressAutoHyphens/>
      </w:pPr>
      <w:r w:rsidRPr="004914A7">
        <w:t>      II. Administración Pública centralizada: el Despacho del Gobernador y las dependencias contempladas en el artículo 22 del Código de la Administración Pública de Yucatán.</w:t>
      </w:r>
    </w:p>
    <w:p w:rsidR="00C502A2" w:rsidRPr="004914A7" w:rsidRDefault="00C502A2" w:rsidP="001B6FE0">
      <w:pPr>
        <w:suppressAutoHyphens/>
      </w:pPr>
    </w:p>
    <w:p w:rsidR="00C502A2" w:rsidRPr="004914A7" w:rsidRDefault="00C502A2" w:rsidP="001B6FE0">
      <w:pPr>
        <w:suppressAutoHyphens/>
      </w:pPr>
      <w:r w:rsidRPr="004914A7">
        <w:t>      III. Ahorros presupuestarios: los ahorros realizados en un período determinado y en su caso, los remanentes de recursos públicos del presupuesto de egresos del estado no comprometidos al término del ejercicio fiscal.</w:t>
      </w:r>
    </w:p>
    <w:p w:rsidR="006628A2" w:rsidRPr="004914A7" w:rsidRDefault="006628A2" w:rsidP="001B6FE0">
      <w:pPr>
        <w:suppressAutoHyphens/>
      </w:pPr>
    </w:p>
    <w:p w:rsidR="006628A2" w:rsidRPr="004914A7" w:rsidRDefault="00034E2C" w:rsidP="001B6FE0">
      <w:pPr>
        <w:suppressAutoHyphens/>
      </w:pPr>
      <w:r w:rsidRPr="004914A7">
        <w:t>      I</w:t>
      </w:r>
      <w:r w:rsidR="00C502A2" w:rsidRPr="004914A7">
        <w:t>V</w:t>
      </w:r>
      <w:r w:rsidRPr="004914A7">
        <w:t>. Amortización de la deuda: la liquidación parcial o total del saldo insoluto de la deuda, mediante pago o cualquier forma por la cual se extinga la obligación principal de los pasivos contraídos por el Gobierno del estado, organismos y empresas a favor de otros agentes económicos.</w:t>
      </w:r>
    </w:p>
    <w:p w:rsidR="006628A2" w:rsidRPr="004914A7" w:rsidRDefault="006628A2" w:rsidP="001B6FE0">
      <w:pPr>
        <w:suppressAutoHyphens/>
      </w:pPr>
    </w:p>
    <w:p w:rsidR="006628A2" w:rsidRPr="004914A7" w:rsidRDefault="00034E2C" w:rsidP="001B6FE0">
      <w:pPr>
        <w:suppressAutoHyphens/>
      </w:pPr>
      <w:r w:rsidRPr="004914A7">
        <w:t xml:space="preserve">      V. Asignación presupuestal: la transferencia de los recursos públicos que realiza el Ejecutivo estatal a través de la Secretaría de Administración y Finanzas a los ejecutores de gasto, que se destina a cubrir determinado gasto o inversión </w:t>
      </w:r>
      <w:proofErr w:type="gramStart"/>
      <w:r w:rsidRPr="004914A7">
        <w:t>reflejado</w:t>
      </w:r>
      <w:proofErr w:type="gramEnd"/>
      <w:r w:rsidRPr="004914A7">
        <w:t xml:space="preserve"> en el presupuesto, para cumplir los objetivos del Plan Estatal de Desarrollo.</w:t>
      </w:r>
    </w:p>
    <w:p w:rsidR="006628A2" w:rsidRPr="004914A7" w:rsidRDefault="006628A2" w:rsidP="001B6FE0">
      <w:pPr>
        <w:suppressAutoHyphens/>
      </w:pPr>
    </w:p>
    <w:p w:rsidR="006628A2" w:rsidRPr="004914A7" w:rsidRDefault="00034E2C" w:rsidP="001B6FE0">
      <w:pPr>
        <w:suppressAutoHyphens/>
      </w:pPr>
      <w:r w:rsidRPr="004914A7">
        <w:lastRenderedPageBreak/>
        <w:t>      V</w:t>
      </w:r>
      <w:r w:rsidR="00C502A2" w:rsidRPr="004914A7">
        <w:t>I</w:t>
      </w:r>
      <w:r w:rsidRPr="004914A7">
        <w:t>. Ayudas: la asignación de recursos presupuestales en numerario o en especie otorgados por el Gobierno del estado sujetos a reglas de operación y aplicada con base en los objetivos y metas de los programas presupuestarios.</w:t>
      </w:r>
    </w:p>
    <w:p w:rsidR="006628A2" w:rsidRPr="004914A7" w:rsidRDefault="006628A2" w:rsidP="001B6FE0">
      <w:pPr>
        <w:suppressAutoHyphens/>
      </w:pPr>
    </w:p>
    <w:p w:rsidR="00A6412F" w:rsidRPr="004914A7" w:rsidRDefault="00A6412F" w:rsidP="001B6FE0">
      <w:pPr>
        <w:suppressAutoHyphens/>
      </w:pPr>
      <w:r w:rsidRPr="004914A7">
        <w:t>      VII. Balance de operación: la diferencia entre el ingreso de operación y el gasto de operación.</w:t>
      </w:r>
    </w:p>
    <w:p w:rsidR="00A6412F" w:rsidRPr="004914A7" w:rsidRDefault="00A6412F" w:rsidP="001B6FE0">
      <w:pPr>
        <w:suppressAutoHyphens/>
      </w:pPr>
    </w:p>
    <w:p w:rsidR="006628A2" w:rsidRPr="004914A7" w:rsidRDefault="00034E2C" w:rsidP="001B6FE0">
      <w:pPr>
        <w:suppressAutoHyphens/>
      </w:pPr>
      <w:r w:rsidRPr="004914A7">
        <w:t>      V</w:t>
      </w:r>
      <w:r w:rsidR="00A6412F" w:rsidRPr="004914A7">
        <w:t>I</w:t>
      </w:r>
      <w:r w:rsidRPr="004914A7">
        <w:t>I</w:t>
      </w:r>
      <w:r w:rsidR="00C502A2" w:rsidRPr="004914A7">
        <w:t>I</w:t>
      </w:r>
      <w:r w:rsidRPr="004914A7">
        <w:t>. Balance financiero: el balance primario menos el costo financiero.</w:t>
      </w:r>
    </w:p>
    <w:p w:rsidR="006628A2" w:rsidRPr="004914A7" w:rsidRDefault="006628A2" w:rsidP="001B6FE0">
      <w:pPr>
        <w:suppressAutoHyphens/>
      </w:pPr>
    </w:p>
    <w:p w:rsidR="006628A2" w:rsidRPr="004914A7" w:rsidRDefault="00034E2C" w:rsidP="001B6FE0">
      <w:pPr>
        <w:suppressAutoHyphens/>
      </w:pPr>
      <w:r w:rsidRPr="004914A7">
        <w:t>      I</w:t>
      </w:r>
      <w:r w:rsidR="00C502A2" w:rsidRPr="004914A7">
        <w:t>X</w:t>
      </w:r>
      <w:r w:rsidRPr="004914A7">
        <w:t>. Balance primario: el balance de operación más las transferencias.</w:t>
      </w:r>
    </w:p>
    <w:p w:rsidR="006628A2" w:rsidRPr="004914A7" w:rsidRDefault="006628A2" w:rsidP="001B6FE0">
      <w:pPr>
        <w:suppressAutoHyphens/>
      </w:pPr>
    </w:p>
    <w:p w:rsidR="006628A2" w:rsidRPr="004914A7" w:rsidRDefault="00034E2C" w:rsidP="001B6FE0">
      <w:pPr>
        <w:suppressAutoHyphens/>
      </w:pPr>
      <w:r w:rsidRPr="004914A7">
        <w:t xml:space="preserve">      X. Clasificación administrativa: la presentación del Presupuesto de Egresos que tiene por objeto agrupar las previsiones de gasto conforme a sus ejecutores, en sus diferentes tipos de ramos presupuestales: i) Autónomos, que incluyen a los Poderes Legislativo y Judicial, y a los entes autónomos; </w:t>
      </w:r>
      <w:proofErr w:type="spellStart"/>
      <w:r w:rsidRPr="004914A7">
        <w:t>ii</w:t>
      </w:r>
      <w:proofErr w:type="spellEnd"/>
      <w:r w:rsidRPr="004914A7">
        <w:t xml:space="preserve">) Administrativos, que comprende el gasto a las dependencias y entidades del gobierno estatal; y </w:t>
      </w:r>
      <w:proofErr w:type="spellStart"/>
      <w:r w:rsidRPr="004914A7">
        <w:t>iii</w:t>
      </w:r>
      <w:proofErr w:type="spellEnd"/>
      <w:r w:rsidRPr="004914A7">
        <w:t>) Generales, en los que se incluyen los conceptos de gasto asociado a la deuda pública, jubilaciones y pensiones, así como participaciones, aportaciones y transferencias a municipios.</w:t>
      </w:r>
    </w:p>
    <w:p w:rsidR="006628A2" w:rsidRPr="004914A7" w:rsidRDefault="006628A2" w:rsidP="001B6FE0">
      <w:pPr>
        <w:suppressAutoHyphens/>
      </w:pPr>
    </w:p>
    <w:p w:rsidR="006628A2" w:rsidRPr="004914A7" w:rsidRDefault="00034E2C" w:rsidP="001B6FE0">
      <w:pPr>
        <w:suppressAutoHyphens/>
      </w:pPr>
      <w:r w:rsidRPr="004914A7">
        <w:t>      X</w:t>
      </w:r>
      <w:r w:rsidR="00C502A2" w:rsidRPr="004914A7">
        <w:t>I</w:t>
      </w:r>
      <w:r w:rsidRPr="004914A7">
        <w:t>. Clasificación económica: la que permite ordenar a los entes públicos de acuerdo con su naturaleza económica, con el propósito general de analizar y evaluar el impacto de la política y gestión fiscal y sus componentes sobre la economía en general.</w:t>
      </w:r>
    </w:p>
    <w:p w:rsidR="006628A2" w:rsidRPr="004914A7" w:rsidRDefault="006628A2" w:rsidP="001B6FE0">
      <w:pPr>
        <w:suppressAutoHyphens/>
      </w:pPr>
    </w:p>
    <w:p w:rsidR="006628A2" w:rsidRPr="004914A7" w:rsidRDefault="00034E2C" w:rsidP="001B6FE0">
      <w:pPr>
        <w:suppressAutoHyphens/>
      </w:pPr>
      <w:r w:rsidRPr="004914A7">
        <w:t>      XI</w:t>
      </w:r>
      <w:r w:rsidR="00C502A2" w:rsidRPr="004914A7">
        <w:t>I</w:t>
      </w:r>
      <w:r w:rsidRPr="004914A7">
        <w:t xml:space="preserve">. Clasificación funcional del gasto: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w:t>
      </w:r>
      <w:r w:rsidR="00981735" w:rsidRPr="004914A7">
        <w:t xml:space="preserve">lo que permite </w:t>
      </w:r>
      <w:r w:rsidRPr="004914A7">
        <w:t>dar seguimiento a los objetivos generales de las políticas públicas y los recursos financieros que se asignan para alcanzarlos.</w:t>
      </w:r>
    </w:p>
    <w:p w:rsidR="006628A2" w:rsidRPr="004914A7" w:rsidRDefault="006628A2" w:rsidP="001B6FE0">
      <w:pPr>
        <w:suppressAutoHyphens/>
      </w:pPr>
    </w:p>
    <w:p w:rsidR="006628A2" w:rsidRPr="004914A7" w:rsidRDefault="00034E2C" w:rsidP="001B6FE0">
      <w:pPr>
        <w:suppressAutoHyphens/>
      </w:pPr>
      <w:r w:rsidRPr="004914A7">
        <w:t>      XII</w:t>
      </w:r>
      <w:r w:rsidR="00C502A2" w:rsidRPr="004914A7">
        <w:t>I</w:t>
      </w:r>
      <w:r w:rsidRPr="004914A7">
        <w:t>. Clasificación por fuentes de financiamiento: la que presentan los gastos públicos según los agregados genéricos de los recursos empleados para su financiamiento para identificar las fuentes u orígenes de los ingresos que financian los egresos y precisar la orientación específica de cada fuente, a efecto de controlar su aplicación.</w:t>
      </w:r>
    </w:p>
    <w:p w:rsidR="006628A2" w:rsidRPr="004914A7" w:rsidRDefault="006628A2" w:rsidP="001B6FE0">
      <w:pPr>
        <w:suppressAutoHyphens/>
      </w:pPr>
    </w:p>
    <w:p w:rsidR="006628A2" w:rsidRPr="004914A7" w:rsidRDefault="00034E2C" w:rsidP="001B6FE0">
      <w:pPr>
        <w:suppressAutoHyphens/>
      </w:pPr>
      <w:r w:rsidRPr="004914A7">
        <w:lastRenderedPageBreak/>
        <w:t>      XI</w:t>
      </w:r>
      <w:r w:rsidR="00C502A2" w:rsidRPr="004914A7">
        <w:t>V</w:t>
      </w:r>
      <w:r w:rsidRPr="004914A7">
        <w:t>. Clasificación por objeto del gasto: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rsidR="006628A2" w:rsidRPr="004914A7" w:rsidRDefault="006628A2" w:rsidP="001B6FE0">
      <w:pPr>
        <w:suppressAutoHyphens/>
      </w:pPr>
    </w:p>
    <w:p w:rsidR="006628A2" w:rsidRPr="004914A7" w:rsidRDefault="00034E2C" w:rsidP="001B6FE0">
      <w:pPr>
        <w:suppressAutoHyphens/>
      </w:pPr>
      <w:r w:rsidRPr="004914A7">
        <w:t>      XV. Clasificación programática: la clasificación de los programas presupuestarios de los entes públicos, que permite organizar, en forma representativa y homogénea, las asignaciones de recursos de los programas presupuestarios, proyectos, actividades y fondos.</w:t>
      </w:r>
    </w:p>
    <w:p w:rsidR="0039515A" w:rsidRPr="004914A7" w:rsidRDefault="0039515A" w:rsidP="001B6FE0">
      <w:pPr>
        <w:suppressAutoHyphens/>
      </w:pPr>
    </w:p>
    <w:p w:rsidR="0039515A" w:rsidRPr="004914A7" w:rsidRDefault="0039515A" w:rsidP="001B6FE0">
      <w:pPr>
        <w:suppressAutoHyphens/>
        <w:ind w:firstLine="567"/>
      </w:pPr>
      <w:r w:rsidRPr="004914A7">
        <w:t>XVI. Contraloría: la Secretaría de la Contraloría General.</w:t>
      </w:r>
    </w:p>
    <w:p w:rsidR="006628A2" w:rsidRPr="004914A7" w:rsidRDefault="006628A2" w:rsidP="001B6FE0">
      <w:pPr>
        <w:suppressAutoHyphens/>
      </w:pPr>
    </w:p>
    <w:p w:rsidR="006628A2" w:rsidRPr="004914A7" w:rsidRDefault="00034E2C" w:rsidP="001B6FE0">
      <w:pPr>
        <w:suppressAutoHyphens/>
      </w:pPr>
      <w:r w:rsidRPr="004914A7">
        <w:t>      XV</w:t>
      </w:r>
      <w:r w:rsidR="00C502A2" w:rsidRPr="004914A7">
        <w:t>I</w:t>
      </w:r>
      <w:r w:rsidR="0039515A" w:rsidRPr="004914A7">
        <w:t>I</w:t>
      </w:r>
      <w:r w:rsidRPr="004914A7">
        <w:t>. Decreto: el Decreto del Presupuesto de Egresos del Gobierno del Estado de Yucatán para el Ejercicio Fiscal 2021.</w:t>
      </w:r>
    </w:p>
    <w:p w:rsidR="006628A2" w:rsidRPr="004914A7" w:rsidRDefault="006628A2" w:rsidP="001B6FE0">
      <w:pPr>
        <w:suppressAutoHyphens/>
      </w:pPr>
    </w:p>
    <w:p w:rsidR="0091138C" w:rsidRPr="004914A7" w:rsidRDefault="0091138C" w:rsidP="001B6FE0">
      <w:pPr>
        <w:suppressAutoHyphens/>
      </w:pPr>
      <w:r w:rsidRPr="004914A7">
        <w:t>      XVI</w:t>
      </w:r>
      <w:r w:rsidR="0039515A" w:rsidRPr="004914A7">
        <w:t>I</w:t>
      </w:r>
      <w:r w:rsidRPr="004914A7">
        <w:t xml:space="preserve">I. Economías: </w:t>
      </w:r>
      <w:r w:rsidR="00591232" w:rsidRPr="004914A7">
        <w:t>l</w:t>
      </w:r>
      <w:r w:rsidRPr="004914A7">
        <w:t>os remanentes de recursos no devengados del presupuesto de egresos al final del ejercicio.</w:t>
      </w:r>
    </w:p>
    <w:p w:rsidR="006628A2" w:rsidRPr="004914A7" w:rsidRDefault="006628A2" w:rsidP="001B6FE0">
      <w:pPr>
        <w:suppressAutoHyphens/>
      </w:pPr>
    </w:p>
    <w:p w:rsidR="006628A2" w:rsidRPr="004914A7" w:rsidRDefault="00034E2C" w:rsidP="001B6FE0">
      <w:pPr>
        <w:suppressAutoHyphens/>
      </w:pPr>
      <w:r w:rsidRPr="004914A7">
        <w:t>      X</w:t>
      </w:r>
      <w:r w:rsidR="00540E92" w:rsidRPr="004914A7">
        <w:t>I</w:t>
      </w:r>
      <w:r w:rsidR="0039515A" w:rsidRPr="004914A7">
        <w:t>X</w:t>
      </w:r>
      <w:r w:rsidRPr="004914A7">
        <w:t>. Gasto de inversión o capital: las erogaciones que realizan las dependencias y entidades de la administración pública tendientes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rsidR="006628A2" w:rsidRPr="004914A7" w:rsidRDefault="006628A2" w:rsidP="001B6FE0">
      <w:pPr>
        <w:suppressAutoHyphens/>
      </w:pPr>
    </w:p>
    <w:p w:rsidR="006628A2" w:rsidRPr="004914A7" w:rsidRDefault="00034E2C" w:rsidP="001B6FE0">
      <w:pPr>
        <w:suppressAutoHyphens/>
      </w:pPr>
      <w:r w:rsidRPr="004914A7">
        <w:t>      </w:t>
      </w:r>
      <w:r w:rsidR="00540E92" w:rsidRPr="004914A7">
        <w:t>XX</w:t>
      </w:r>
      <w:r w:rsidRPr="004914A7">
        <w:t>. Gasto federalizado: los recursos públicos que el Gobierno federal transfiere a los estados y municipios del país para que estos afronten sus necesidades de gasto en materia de educación, salud, infraestructura e inversión social y seguridad pública, entre otros rubros.</w:t>
      </w:r>
    </w:p>
    <w:p w:rsidR="006628A2" w:rsidRPr="004914A7" w:rsidRDefault="006628A2" w:rsidP="001B6FE0">
      <w:pPr>
        <w:suppressAutoHyphens/>
      </w:pPr>
    </w:p>
    <w:p w:rsidR="006628A2" w:rsidRPr="004914A7" w:rsidRDefault="00034E2C" w:rsidP="001B6FE0">
      <w:pPr>
        <w:suppressAutoHyphens/>
      </w:pPr>
      <w:r w:rsidRPr="004914A7">
        <w:t>      XX</w:t>
      </w:r>
      <w:r w:rsidR="0039515A" w:rsidRPr="004914A7">
        <w:t>I</w:t>
      </w:r>
      <w:r w:rsidRPr="004914A7">
        <w:t>. Ingresos excedentes: los recursos que durante el ejercicio fiscal se obtienen en exceso de los aprobados en la ley de ingresos del estado de Yucatán vigente.</w:t>
      </w:r>
    </w:p>
    <w:p w:rsidR="006628A2" w:rsidRPr="004914A7" w:rsidRDefault="006628A2" w:rsidP="001B6FE0">
      <w:pPr>
        <w:suppressAutoHyphens/>
      </w:pPr>
    </w:p>
    <w:p w:rsidR="006628A2" w:rsidRPr="004914A7" w:rsidRDefault="00034E2C" w:rsidP="001B6FE0">
      <w:pPr>
        <w:suppressAutoHyphens/>
      </w:pPr>
      <w:r w:rsidRPr="004914A7">
        <w:t>      XX</w:t>
      </w:r>
      <w:r w:rsidR="00540E92" w:rsidRPr="004914A7">
        <w:t>I</w:t>
      </w:r>
      <w:r w:rsidR="0039515A" w:rsidRPr="004914A7">
        <w:t>I</w:t>
      </w:r>
      <w:r w:rsidRPr="004914A7">
        <w:t>. Ley de disciplina financiera: la Ley de Disciplina Financiera de las Entidades Federativas y los Municipios.</w:t>
      </w:r>
    </w:p>
    <w:p w:rsidR="006628A2" w:rsidRPr="004914A7" w:rsidRDefault="006628A2" w:rsidP="001B6FE0">
      <w:pPr>
        <w:suppressAutoHyphens/>
      </w:pPr>
    </w:p>
    <w:p w:rsidR="006628A2" w:rsidRPr="004914A7" w:rsidRDefault="00034E2C" w:rsidP="001B6FE0">
      <w:pPr>
        <w:suppressAutoHyphens/>
      </w:pPr>
      <w:r w:rsidRPr="004914A7">
        <w:t>      XXI</w:t>
      </w:r>
      <w:r w:rsidR="00540E92" w:rsidRPr="004914A7">
        <w:t>I</w:t>
      </w:r>
      <w:r w:rsidR="0039515A" w:rsidRPr="004914A7">
        <w:t>I</w:t>
      </w:r>
      <w:r w:rsidRPr="004914A7">
        <w:t>. Ley de ingresos: la Ley de Ingresos del Estado de Yucatán para el Ejercicio Fiscal 2021.</w:t>
      </w:r>
    </w:p>
    <w:p w:rsidR="006628A2" w:rsidRPr="004914A7" w:rsidRDefault="006628A2" w:rsidP="001B6FE0">
      <w:pPr>
        <w:suppressAutoHyphens/>
      </w:pPr>
    </w:p>
    <w:p w:rsidR="006628A2" w:rsidRPr="004914A7" w:rsidRDefault="00034E2C" w:rsidP="001B6FE0">
      <w:pPr>
        <w:suppressAutoHyphens/>
      </w:pPr>
      <w:r w:rsidRPr="004914A7">
        <w:t>      XX</w:t>
      </w:r>
      <w:r w:rsidR="00540E92" w:rsidRPr="004914A7">
        <w:t>I</w:t>
      </w:r>
      <w:r w:rsidR="0039515A" w:rsidRPr="004914A7">
        <w:t>V</w:t>
      </w:r>
      <w:r w:rsidRPr="004914A7">
        <w:t>. Matriz de indicadores para resultados: la herramienta de planeación estratégica que, en forma resumida, sencilla y armónica, establece con claridad los objetivos del programa presupuestario y su alineación con aquellos de la planeación estatal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rsidR="006628A2" w:rsidRPr="004914A7" w:rsidRDefault="006628A2" w:rsidP="001B6FE0">
      <w:pPr>
        <w:suppressAutoHyphens/>
      </w:pPr>
    </w:p>
    <w:p w:rsidR="006628A2" w:rsidRPr="004914A7" w:rsidRDefault="00034E2C" w:rsidP="001B6FE0">
      <w:pPr>
        <w:suppressAutoHyphens/>
      </w:pPr>
      <w:r w:rsidRPr="004914A7">
        <w:t>      XX</w:t>
      </w:r>
      <w:r w:rsidR="00540E92" w:rsidRPr="004914A7">
        <w:t>V</w:t>
      </w:r>
      <w:r w:rsidRPr="004914A7">
        <w:t>. Organismos autónomos: el Instituto Electoral y de Participación Ciudadana de Yucatán, el Tribunal Electoral del Estado de Yucatán, el Instituto Estatal de Transparencia, Acceso a la Información Pública y Protección de Datos Personales, la Comisión de Derechos Humanos del Estado de Yucatán, la Fiscalía Especializada en Combate a la Corrupción del Estado de Yucatán, la Universidad Autónoma de Yucatán, el Tribunal de Justicia Administrativa del Estado de Yucatán, así como cualquier otra persona de derecho público de carácter estatal con autonomía derivada de la Constitución Política del Estado de Yucatán.</w:t>
      </w:r>
    </w:p>
    <w:p w:rsidR="006628A2" w:rsidRPr="004914A7" w:rsidRDefault="006628A2" w:rsidP="001B6FE0">
      <w:pPr>
        <w:suppressAutoHyphens/>
      </w:pPr>
    </w:p>
    <w:p w:rsidR="006628A2" w:rsidRPr="004914A7" w:rsidRDefault="00034E2C" w:rsidP="001B6FE0">
      <w:pPr>
        <w:suppressAutoHyphens/>
      </w:pPr>
      <w:r w:rsidRPr="004914A7">
        <w:t>      XXV</w:t>
      </w:r>
      <w:r w:rsidR="0039515A" w:rsidRPr="004914A7">
        <w:t>I</w:t>
      </w:r>
      <w:r w:rsidRPr="004914A7">
        <w:t>. Poderes: el Poder Legislativo del estado de Yucatán y el Poder Judicial del estado de Yucatán.</w:t>
      </w:r>
    </w:p>
    <w:p w:rsidR="006628A2" w:rsidRPr="004914A7" w:rsidRDefault="006628A2" w:rsidP="001B6FE0">
      <w:pPr>
        <w:suppressAutoHyphens/>
      </w:pPr>
    </w:p>
    <w:p w:rsidR="006628A2" w:rsidRPr="004914A7" w:rsidRDefault="00034E2C" w:rsidP="001B6FE0">
      <w:pPr>
        <w:suppressAutoHyphens/>
      </w:pPr>
      <w:r w:rsidRPr="004914A7">
        <w:t>      XXV</w:t>
      </w:r>
      <w:r w:rsidR="00540E92" w:rsidRPr="004914A7">
        <w:t>I</w:t>
      </w:r>
      <w:r w:rsidR="0039515A" w:rsidRPr="004914A7">
        <w:t>I</w:t>
      </w:r>
      <w:r w:rsidRPr="004914A7">
        <w:t>. Presupuesto basado en resultados</w:t>
      </w:r>
      <w:r w:rsidR="003B5361" w:rsidRPr="004914A7">
        <w:t xml:space="preserve">: </w:t>
      </w:r>
      <w:r w:rsidR="005A1085" w:rsidRPr="004914A7">
        <w:t>la</w:t>
      </w:r>
      <w:r w:rsidRPr="004914A7">
        <w:t xml:space="preserve"> metodología que permite mejorar la calidad del gasto público y promover una adecuada rendición de cuentas, a través de consideraciones sobre los resultados y el impacto de los programas presupuestarios, integrándolas de manera sistemática en la aplicación de los recursos asignados a las políticas públicas.</w:t>
      </w:r>
    </w:p>
    <w:p w:rsidR="006628A2" w:rsidRPr="004914A7" w:rsidRDefault="006628A2" w:rsidP="001B6FE0">
      <w:pPr>
        <w:suppressAutoHyphens/>
      </w:pPr>
    </w:p>
    <w:p w:rsidR="006628A2" w:rsidRPr="004914A7" w:rsidRDefault="00034E2C" w:rsidP="001B6FE0">
      <w:pPr>
        <w:suppressAutoHyphens/>
      </w:pPr>
      <w:r w:rsidRPr="004914A7">
        <w:t>      XXV</w:t>
      </w:r>
      <w:r w:rsidR="0039515A" w:rsidRPr="004914A7">
        <w:t>I</w:t>
      </w:r>
      <w:r w:rsidR="00540E92" w:rsidRPr="004914A7">
        <w:t>I</w:t>
      </w:r>
      <w:r w:rsidRPr="004914A7">
        <w:t>I. Programa: el nivel o categoría programática que contiene un conjunto de acciones afines y coherentes a través de las cuales se pretende alcanzar objetivos y metas previamente determinadas por la planeación, para lo cual se requiere combinar recursos: humanos, tecnológicos, materiales, naturales y financieros; contienen un conjunto interdependiente de proyectos</w:t>
      </w:r>
      <w:r w:rsidR="00DE1660" w:rsidRPr="004914A7">
        <w:t>,</w:t>
      </w:r>
      <w:r w:rsidRPr="004914A7">
        <w:t xml:space="preserve"> los cuales especifican tiempo y espacio en el que se van a desarrollar y atribuye responsabilidades a una o varias unidades ejecutoras debidamente coordinadas.</w:t>
      </w:r>
    </w:p>
    <w:p w:rsidR="006628A2" w:rsidRPr="004914A7" w:rsidRDefault="006628A2" w:rsidP="001B6FE0">
      <w:pPr>
        <w:suppressAutoHyphens/>
      </w:pPr>
    </w:p>
    <w:p w:rsidR="00DE1660" w:rsidRPr="004914A7" w:rsidRDefault="00034E2C" w:rsidP="001B6FE0">
      <w:pPr>
        <w:suppressAutoHyphens/>
      </w:pPr>
      <w:r w:rsidRPr="004914A7">
        <w:t>      XXI</w:t>
      </w:r>
      <w:r w:rsidR="0039515A" w:rsidRPr="004914A7">
        <w:t>X</w:t>
      </w:r>
      <w:r w:rsidRPr="004914A7">
        <w:t xml:space="preserve">. </w:t>
      </w:r>
      <w:r w:rsidR="00DE1660" w:rsidRPr="004914A7">
        <w:t>Secretaría: la Secretaría de Administración y Finanzas del Gobierno del estado.</w:t>
      </w:r>
    </w:p>
    <w:p w:rsidR="00DE1660" w:rsidRPr="004914A7" w:rsidRDefault="00DE1660" w:rsidP="001B6FE0">
      <w:pPr>
        <w:suppressAutoHyphens/>
      </w:pPr>
    </w:p>
    <w:p w:rsidR="006628A2" w:rsidRPr="004914A7" w:rsidRDefault="0039515A" w:rsidP="001B6FE0">
      <w:pPr>
        <w:suppressAutoHyphens/>
      </w:pPr>
      <w:r w:rsidRPr="004914A7">
        <w:t>      XX</w:t>
      </w:r>
      <w:r w:rsidR="00DE1660" w:rsidRPr="004914A7">
        <w:t xml:space="preserve">X. </w:t>
      </w:r>
      <w:r w:rsidR="00034E2C" w:rsidRPr="004914A7">
        <w:t>SEPLAN: la Secretaría Técnica de Planeación y Evaluación.</w:t>
      </w:r>
    </w:p>
    <w:p w:rsidR="006628A2" w:rsidRPr="004914A7" w:rsidRDefault="006628A2" w:rsidP="001B6FE0">
      <w:pPr>
        <w:suppressAutoHyphens/>
      </w:pPr>
    </w:p>
    <w:p w:rsidR="006628A2" w:rsidRPr="004914A7" w:rsidRDefault="00034E2C" w:rsidP="001B6FE0">
      <w:pPr>
        <w:suppressAutoHyphens/>
      </w:pPr>
      <w:r w:rsidRPr="004914A7">
        <w:lastRenderedPageBreak/>
        <w:t>      XXX</w:t>
      </w:r>
      <w:r w:rsidR="0039515A" w:rsidRPr="004914A7">
        <w:t>I</w:t>
      </w:r>
      <w:r w:rsidRPr="004914A7">
        <w:t xml:space="preserve">. Unidad </w:t>
      </w:r>
      <w:r w:rsidR="00200547" w:rsidRPr="004914A7">
        <w:t>r</w:t>
      </w:r>
      <w:r w:rsidRPr="004914A7">
        <w:t xml:space="preserve">esponsable: </w:t>
      </w:r>
      <w:r w:rsidR="00904AAA" w:rsidRPr="004914A7">
        <w:t>e</w:t>
      </w:r>
      <w:r w:rsidRPr="004914A7">
        <w:t>l área administrativa de los Poderes Legislativo y Judicial, de los organismos autónomos, del Despacho del Gobernador, de las dependencias y, en su caso, de las entidades y ayuntamientos, la cual está obligada a la rendición de cuentas en relación con los recursos humanos, materiales y financieros que administran para contribuir al cumplimiento de los programas comprendidos en la estructura programática autorizada al ramo o entidad.</w:t>
      </w:r>
    </w:p>
    <w:p w:rsidR="006628A2" w:rsidRPr="004914A7" w:rsidRDefault="006628A2" w:rsidP="001B6FE0">
      <w:pPr>
        <w:suppressAutoHyphens/>
      </w:pPr>
    </w:p>
    <w:p w:rsidR="006628A2" w:rsidRPr="004914A7" w:rsidRDefault="00034E2C" w:rsidP="001B6FE0">
      <w:pPr>
        <w:suppressAutoHyphens/>
      </w:pPr>
      <w:r w:rsidRPr="004914A7">
        <w:t>Cualquier otro término no definido en el presente artículo, se deberá entender conforme al glosario establecido en la Ley General de Contabilidad Gubernamental y las demás leyes de la materia.</w:t>
      </w:r>
    </w:p>
    <w:p w:rsidR="006628A2" w:rsidRPr="004914A7" w:rsidRDefault="006628A2" w:rsidP="001B6FE0">
      <w:pPr>
        <w:suppressAutoHyphens/>
      </w:pPr>
    </w:p>
    <w:p w:rsidR="006628A2" w:rsidRPr="004914A7" w:rsidRDefault="00034E2C" w:rsidP="001B6FE0">
      <w:pPr>
        <w:suppressAutoHyphens/>
      </w:pPr>
      <w:r w:rsidRPr="004914A7">
        <w:rPr>
          <w:b/>
        </w:rPr>
        <w:t>Artículo 4. Características de la información presupuestal que se envíe al Congreso</w:t>
      </w:r>
    </w:p>
    <w:p w:rsidR="006628A2" w:rsidRPr="004914A7" w:rsidRDefault="006628A2" w:rsidP="001B6FE0">
      <w:pPr>
        <w:suppressAutoHyphens/>
      </w:pPr>
    </w:p>
    <w:p w:rsidR="006628A2" w:rsidRPr="004914A7" w:rsidRDefault="00034E2C" w:rsidP="001B6FE0">
      <w:pPr>
        <w:suppressAutoHyphens/>
      </w:pPr>
      <w:r w:rsidRPr="004914A7">
        <w:t>La información que, en términos de este decreto, se remite al Congreso del estado por conducto de su mesa directiva, se presentará en forma impresa y en formato electrónico de texto modificable con, por lo menos, el nivel mínimo de desagregación que establecen las normas del Consejo Nacional de Armonización Contable, la Ley del Presupuesto y Contabilidad Gubernamental del Estado de Yucatán y las demás disposiciones normativas aplicables.</w:t>
      </w:r>
    </w:p>
    <w:p w:rsidR="006628A2" w:rsidRPr="004914A7" w:rsidRDefault="006628A2" w:rsidP="001B6FE0">
      <w:pPr>
        <w:suppressAutoHyphens/>
      </w:pPr>
    </w:p>
    <w:p w:rsidR="006628A2" w:rsidRPr="004914A7" w:rsidRDefault="00034E2C" w:rsidP="001B6FE0">
      <w:pPr>
        <w:suppressAutoHyphens/>
      </w:pPr>
      <w:r w:rsidRPr="004914A7">
        <w:t xml:space="preserve">En caso de que la fecha límite para proporcionar </w:t>
      </w:r>
      <w:r w:rsidR="00BF7359" w:rsidRPr="004914A7">
        <w:t xml:space="preserve">la </w:t>
      </w:r>
      <w:r w:rsidRPr="004914A7">
        <w:t>información sea un día inhábil, la fecha de entrega se recorrerá al día hábil siguiente.</w:t>
      </w:r>
    </w:p>
    <w:p w:rsidR="006628A2" w:rsidRPr="004914A7" w:rsidRDefault="006628A2" w:rsidP="001B6FE0">
      <w:pPr>
        <w:suppressAutoHyphens/>
      </w:pPr>
    </w:p>
    <w:p w:rsidR="006628A2" w:rsidRPr="004914A7" w:rsidRDefault="00034E2C" w:rsidP="001B6FE0">
      <w:pPr>
        <w:suppressAutoHyphens/>
      </w:pPr>
      <w:r w:rsidRPr="004914A7">
        <w:rPr>
          <w:b/>
        </w:rPr>
        <w:t>Artículo 5. Intervención de la secretaría en convenios o acuerdos</w:t>
      </w:r>
    </w:p>
    <w:p w:rsidR="006628A2" w:rsidRPr="004914A7" w:rsidRDefault="006628A2" w:rsidP="001B6FE0">
      <w:pPr>
        <w:suppressAutoHyphens/>
      </w:pPr>
    </w:p>
    <w:p w:rsidR="006628A2" w:rsidRPr="004914A7" w:rsidRDefault="00034E2C" w:rsidP="001B6FE0">
      <w:pPr>
        <w:suppressAutoHyphens/>
      </w:pPr>
      <w:r w:rsidRPr="004914A7">
        <w:t xml:space="preserve">La secretaría intervendrá en el proceso de control del gasto de todos los convenios o acuerdos, en los que se comprometa el patrimonio económico o el erario del estado, tomando conocimiento o en su caso, según corresponda, dando su visto bueno para </w:t>
      </w:r>
      <w:r w:rsidR="00086234" w:rsidRPr="004914A7">
        <w:t xml:space="preserve">su </w:t>
      </w:r>
      <w:r w:rsidRPr="004914A7">
        <w:t>celebración. La celebración de estos convenios o acuerdos deberá apegarse a la normativa aplicable.</w:t>
      </w:r>
    </w:p>
    <w:p w:rsidR="006628A2" w:rsidRPr="004914A7" w:rsidRDefault="006628A2" w:rsidP="001B6FE0">
      <w:pPr>
        <w:suppressAutoHyphens/>
      </w:pPr>
    </w:p>
    <w:p w:rsidR="006628A2" w:rsidRPr="004914A7" w:rsidRDefault="00034E2C" w:rsidP="001B6FE0">
      <w:pPr>
        <w:suppressAutoHyphens/>
      </w:pPr>
      <w:r w:rsidRPr="004914A7">
        <w:rPr>
          <w:b/>
        </w:rPr>
        <w:t>Artículo 6. Principios para el ejercicio del presupuesto</w:t>
      </w:r>
    </w:p>
    <w:p w:rsidR="006628A2" w:rsidRPr="004914A7" w:rsidRDefault="006628A2" w:rsidP="001B6FE0">
      <w:pPr>
        <w:suppressAutoHyphens/>
      </w:pPr>
    </w:p>
    <w:p w:rsidR="006628A2" w:rsidRPr="004914A7" w:rsidRDefault="00034E2C" w:rsidP="001B6FE0">
      <w:pPr>
        <w:suppressAutoHyphens/>
      </w:pPr>
      <w:r w:rsidRPr="004914A7">
        <w:t>El ejercicio del presupuesto se apegará a los principios de eficiencia, eficacia, economía, transparencia y honradez para satisfacer los objetivos a los que están destinados, con base en lo siguiente:</w:t>
      </w:r>
    </w:p>
    <w:p w:rsidR="006628A2" w:rsidRPr="004914A7" w:rsidRDefault="006628A2" w:rsidP="001B6FE0">
      <w:pPr>
        <w:suppressAutoHyphens/>
      </w:pPr>
    </w:p>
    <w:p w:rsidR="006628A2" w:rsidRPr="004914A7" w:rsidRDefault="00034E2C" w:rsidP="001B6FE0">
      <w:pPr>
        <w:suppressAutoHyphens/>
      </w:pPr>
      <w:r w:rsidRPr="004914A7">
        <w:t>      I. Priorizar la asignación de los recursos a los programas, obras y acciones de alto impacto y beneficio social que incidan en el desarrollo económico y social.</w:t>
      </w:r>
    </w:p>
    <w:p w:rsidR="006628A2" w:rsidRPr="004914A7" w:rsidRDefault="006628A2" w:rsidP="001B6FE0">
      <w:pPr>
        <w:suppressAutoHyphens/>
      </w:pPr>
    </w:p>
    <w:p w:rsidR="006628A2" w:rsidRPr="004914A7" w:rsidRDefault="00034E2C" w:rsidP="001B6FE0">
      <w:pPr>
        <w:suppressAutoHyphens/>
      </w:pPr>
      <w:r w:rsidRPr="004914A7">
        <w:t xml:space="preserve">      II. Garantizar la elevación de los niveles de calidad de vida </w:t>
      </w:r>
      <w:r w:rsidR="00A36C0B" w:rsidRPr="004914A7">
        <w:t xml:space="preserve">de </w:t>
      </w:r>
      <w:r w:rsidRPr="004914A7">
        <w:t>la población.</w:t>
      </w:r>
    </w:p>
    <w:p w:rsidR="006628A2" w:rsidRPr="004914A7" w:rsidRDefault="006628A2" w:rsidP="001B6FE0">
      <w:pPr>
        <w:suppressAutoHyphens/>
      </w:pPr>
    </w:p>
    <w:p w:rsidR="006628A2" w:rsidRPr="004914A7" w:rsidRDefault="00034E2C" w:rsidP="001B6FE0">
      <w:pPr>
        <w:suppressAutoHyphens/>
      </w:pPr>
      <w:r w:rsidRPr="004914A7">
        <w:t>      III. Identificar a la población objetivo, procurando atender a la de menor ingreso.</w:t>
      </w:r>
    </w:p>
    <w:p w:rsidR="006628A2" w:rsidRPr="004914A7" w:rsidRDefault="006628A2" w:rsidP="001B6FE0">
      <w:pPr>
        <w:suppressAutoHyphens/>
      </w:pPr>
    </w:p>
    <w:p w:rsidR="006628A2" w:rsidRPr="004914A7" w:rsidRDefault="00034E2C" w:rsidP="001B6FE0">
      <w:pPr>
        <w:suppressAutoHyphens/>
      </w:pPr>
      <w:r w:rsidRPr="004914A7">
        <w:t>      IV. Consolidar la estructura presupuestaria que facilite la ejecución de los programas.</w:t>
      </w:r>
    </w:p>
    <w:p w:rsidR="006628A2" w:rsidRPr="004914A7" w:rsidRDefault="006628A2" w:rsidP="001B6FE0">
      <w:pPr>
        <w:suppressAutoHyphens/>
      </w:pPr>
    </w:p>
    <w:p w:rsidR="006628A2" w:rsidRPr="004914A7" w:rsidRDefault="00034E2C" w:rsidP="001B6FE0">
      <w:pPr>
        <w:suppressAutoHyphens/>
      </w:pPr>
      <w:r w:rsidRPr="004914A7">
        <w:t>      V. Consolidar el presupuesto basado en resultados.</w:t>
      </w:r>
    </w:p>
    <w:p w:rsidR="006628A2" w:rsidRPr="004914A7" w:rsidRDefault="006628A2" w:rsidP="001B6FE0">
      <w:pPr>
        <w:suppressAutoHyphens/>
      </w:pPr>
    </w:p>
    <w:p w:rsidR="006628A2" w:rsidRPr="004914A7" w:rsidRDefault="00034E2C" w:rsidP="001B6FE0">
      <w:pPr>
        <w:suppressAutoHyphens/>
      </w:pPr>
      <w:r w:rsidRPr="004914A7">
        <w:t>      VI. Impulsar el cumplimiento de los principios de no discriminación, del interés superior de</w:t>
      </w:r>
      <w:r w:rsidR="00591232" w:rsidRPr="004914A7">
        <w:t xml:space="preserve"> la niñez</w:t>
      </w:r>
      <w:r w:rsidRPr="004914A7">
        <w:t>, de la igualdad de género y de los derechos humanos previstos en los tratados internacionales, en la Constitución Política de los Estados Unidos Mexicanos, en la Constitución Política del Estado de Yucatán y en la legislación y normativa vigente.</w:t>
      </w:r>
    </w:p>
    <w:p w:rsidR="006628A2" w:rsidRPr="004914A7" w:rsidRDefault="006628A2" w:rsidP="001B6FE0">
      <w:pPr>
        <w:suppressAutoHyphens/>
      </w:pPr>
    </w:p>
    <w:p w:rsidR="006628A2" w:rsidRPr="004914A7" w:rsidRDefault="00034E2C" w:rsidP="001B6FE0">
      <w:pPr>
        <w:suppressAutoHyphens/>
      </w:pPr>
      <w:r w:rsidRPr="004914A7">
        <w:rPr>
          <w:b/>
        </w:rPr>
        <w:t>Artículo 7. Apego a la legalidad de la información presupuestal y de ingresos</w:t>
      </w:r>
    </w:p>
    <w:p w:rsidR="006628A2" w:rsidRPr="004914A7" w:rsidRDefault="006628A2" w:rsidP="001B6FE0">
      <w:pPr>
        <w:suppressAutoHyphens/>
      </w:pPr>
    </w:p>
    <w:p w:rsidR="006628A2" w:rsidRPr="004914A7" w:rsidRDefault="00034E2C" w:rsidP="001B6FE0">
      <w:pPr>
        <w:suppressAutoHyphens/>
      </w:pPr>
      <w:r w:rsidRPr="004914A7">
        <w:t>La secretaría supervisará que toda la información presupuestaria y de ingresos cumpla con lo establecido en la Ley del Presupuesto y Contabilidad Gubernamental del Estado de Yucatán, así como en la Ley General de Contabilidad Gubernamental.</w:t>
      </w:r>
    </w:p>
    <w:p w:rsidR="006628A2" w:rsidRPr="004914A7" w:rsidRDefault="006628A2" w:rsidP="001B6FE0">
      <w:pPr>
        <w:suppressAutoHyphens/>
      </w:pPr>
    </w:p>
    <w:p w:rsidR="006628A2" w:rsidRPr="004914A7" w:rsidRDefault="00034E2C" w:rsidP="001B6FE0">
      <w:pPr>
        <w:suppressAutoHyphens/>
      </w:pPr>
      <w:r w:rsidRPr="004914A7">
        <w:t>Todas las asignaciones presupuestales de este decreto y de los demás documentos en la materia, deberán cumplir con las disposiciones, requisitos y estar disponibles en términos de la Ley General de Transparencia y Acceso a la Información Pública y la Ley de Transparencia y Acceso a la Información Pública del Estado de Yucatán.</w:t>
      </w:r>
    </w:p>
    <w:p w:rsidR="006628A2" w:rsidRPr="004914A7" w:rsidRDefault="006628A2" w:rsidP="001B6FE0">
      <w:pPr>
        <w:suppressAutoHyphens/>
      </w:pPr>
    </w:p>
    <w:p w:rsidR="006628A2" w:rsidRPr="004914A7" w:rsidRDefault="00034E2C" w:rsidP="001B6FE0">
      <w:pPr>
        <w:suppressAutoHyphens/>
      </w:pPr>
      <w:r w:rsidRPr="004914A7">
        <w:t>Las dependencias y entidades deberán registrar ante la secretaría todas las operaciones que involucren compromisos financieros con recursos públicos estatales, los cuales solo podrán erogar si se encuentran autorizados en el presupuesto respectivo.</w:t>
      </w:r>
    </w:p>
    <w:p w:rsidR="006628A2" w:rsidRPr="004914A7" w:rsidRDefault="006628A2" w:rsidP="001B6FE0">
      <w:pPr>
        <w:suppressAutoHyphens/>
      </w:pPr>
    </w:p>
    <w:p w:rsidR="006628A2" w:rsidRPr="004914A7" w:rsidRDefault="00034E2C" w:rsidP="001B6FE0">
      <w:pPr>
        <w:suppressAutoHyphens/>
      </w:pPr>
      <w:r w:rsidRPr="004914A7">
        <w:rPr>
          <w:b/>
        </w:rPr>
        <w:t>Artículo 8. Calendarización para el ejercicio del presupuesto</w:t>
      </w:r>
    </w:p>
    <w:p w:rsidR="006628A2" w:rsidRPr="004914A7" w:rsidRDefault="006628A2" w:rsidP="001B6FE0">
      <w:pPr>
        <w:suppressAutoHyphens/>
      </w:pPr>
    </w:p>
    <w:p w:rsidR="006628A2" w:rsidRPr="004914A7" w:rsidRDefault="00034E2C" w:rsidP="001B6FE0">
      <w:pPr>
        <w:suppressAutoHyphens/>
      </w:pPr>
      <w:r w:rsidRPr="004914A7">
        <w:t>Los entes públicos que ejerzan recursos del gasto total deberán formular su calendario de egresos con base mensual, en los formatos que determine el Consejo Nacional de Armonización Contable y remitirlo a la secretaría durante los primeros quince días de enero.</w:t>
      </w:r>
    </w:p>
    <w:p w:rsidR="006628A2" w:rsidRPr="004914A7" w:rsidRDefault="006628A2" w:rsidP="001B6FE0">
      <w:pPr>
        <w:suppressAutoHyphens/>
      </w:pPr>
    </w:p>
    <w:p w:rsidR="006628A2" w:rsidRPr="004914A7" w:rsidRDefault="00034E2C" w:rsidP="001B6FE0">
      <w:pPr>
        <w:suppressAutoHyphens/>
      </w:pPr>
      <w:r w:rsidRPr="004914A7">
        <w:t>La secretaría publicará, a más tardar el último día de enero, en su sitio web, el calendario de presupuesto de egresos con base mensual a que se refiere el párrafo segundo del artículo 66 de la Ley General de Contabilidad Gubernamental.</w:t>
      </w:r>
    </w:p>
    <w:p w:rsidR="006628A2" w:rsidRPr="004914A7" w:rsidRDefault="006628A2" w:rsidP="001B6FE0">
      <w:pPr>
        <w:suppressAutoHyphens/>
      </w:pPr>
    </w:p>
    <w:p w:rsidR="006628A2" w:rsidRPr="004914A7" w:rsidRDefault="00034E2C" w:rsidP="001B6FE0">
      <w:pPr>
        <w:suppressAutoHyphens/>
      </w:pPr>
      <w:r w:rsidRPr="004914A7">
        <w:t xml:space="preserve">En el ejercicio del presupuesto de egresos, las dependencias y entidades se sujetarán a la calendarización que autorice o determine y les dé a conocer la </w:t>
      </w:r>
      <w:r w:rsidR="00780E9C" w:rsidRPr="004914A7">
        <w:t>s</w:t>
      </w:r>
      <w:r w:rsidRPr="004914A7">
        <w:t>ecretaría, según sea el caso, la cual será congruente con los flujos de ingresos. Asimismo, las dependencias y entidades proporcionarán a dicha secretaría, la información presupuestal y financiera que se les requiera, de conformidad con las disposiciones en vigor.</w:t>
      </w:r>
    </w:p>
    <w:p w:rsidR="006628A2" w:rsidRPr="004914A7" w:rsidRDefault="006628A2" w:rsidP="001B6FE0">
      <w:pPr>
        <w:suppressAutoHyphens/>
      </w:pPr>
    </w:p>
    <w:p w:rsidR="006628A2" w:rsidRPr="004914A7" w:rsidRDefault="00034E2C" w:rsidP="001B6FE0">
      <w:pPr>
        <w:suppressAutoHyphens/>
      </w:pPr>
      <w:r w:rsidRPr="004914A7">
        <w:rPr>
          <w:b/>
        </w:rPr>
        <w:t>Artículo 9. Obligaciones de transparencia en materia presupuestaria</w:t>
      </w:r>
    </w:p>
    <w:p w:rsidR="006628A2" w:rsidRPr="004914A7" w:rsidRDefault="006628A2" w:rsidP="001B6FE0">
      <w:pPr>
        <w:suppressAutoHyphens/>
      </w:pPr>
    </w:p>
    <w:p w:rsidR="006628A2" w:rsidRPr="004914A7" w:rsidRDefault="00034E2C" w:rsidP="001B6FE0">
      <w:pPr>
        <w:suppressAutoHyphens/>
      </w:pPr>
      <w:r w:rsidRPr="004914A7">
        <w:t xml:space="preserve">Los poderes y organismos autónomos, así como las dependencias y entidades deberán cumplir sus obligaciones de transparencia en materia presupuestaria, conforme a las previsiones de la Ley General de Transparencia y Acceso a la información Pública, </w:t>
      </w:r>
      <w:r w:rsidR="00780E9C" w:rsidRPr="004914A7">
        <w:t>l</w:t>
      </w:r>
      <w:r w:rsidRPr="004914A7">
        <w:t xml:space="preserve">a Ley de Transparencia y Acceso a la Información Pública del Estado de Yucatán, la Ley General de Contabilidad Gubernamental, la Ley del Presupuesto y Contabilidad Gubernamental del Estado de Yucatán, la </w:t>
      </w:r>
      <w:r w:rsidR="00842506" w:rsidRPr="004914A7">
        <w:t>l</w:t>
      </w:r>
      <w:r w:rsidRPr="004914A7">
        <w:t>ey de disciplina financiera, los lineamientos del Consejo Nacional de Armonización Contable y las demás disposiciones legales y normativas aplicables en la materia.</w:t>
      </w:r>
    </w:p>
    <w:p w:rsidR="006628A2" w:rsidRPr="004914A7" w:rsidRDefault="006628A2" w:rsidP="001B6FE0">
      <w:pPr>
        <w:suppressAutoHyphens/>
      </w:pPr>
    </w:p>
    <w:p w:rsidR="006628A2" w:rsidRPr="004914A7" w:rsidRDefault="00034E2C" w:rsidP="001B6FE0">
      <w:pPr>
        <w:pStyle w:val="Ttulo2"/>
        <w:suppressAutoHyphens/>
      </w:pPr>
      <w:bookmarkStart w:id="4" w:name="capítulo-ii"/>
      <w:r w:rsidRPr="004914A7">
        <w:t>Capítulo II</w:t>
      </w:r>
      <w:bookmarkEnd w:id="4"/>
    </w:p>
    <w:p w:rsidR="006628A2" w:rsidRPr="004914A7" w:rsidRDefault="00034E2C" w:rsidP="001B6FE0">
      <w:pPr>
        <w:pStyle w:val="Ttulo2"/>
        <w:suppressAutoHyphens/>
      </w:pPr>
      <w:bookmarkStart w:id="5" w:name="asignaciones-presupuestales"/>
      <w:r w:rsidRPr="004914A7">
        <w:t>Asignaciones presupuestales</w:t>
      </w:r>
      <w:bookmarkEnd w:id="5"/>
    </w:p>
    <w:p w:rsidR="006628A2" w:rsidRPr="004914A7" w:rsidRDefault="006628A2" w:rsidP="001B6FE0">
      <w:pPr>
        <w:suppressAutoHyphens/>
      </w:pPr>
    </w:p>
    <w:p w:rsidR="006628A2" w:rsidRPr="004914A7" w:rsidRDefault="00034E2C" w:rsidP="001B6FE0">
      <w:pPr>
        <w:suppressAutoHyphens/>
      </w:pPr>
      <w:r w:rsidRPr="004914A7">
        <w:rPr>
          <w:b/>
        </w:rPr>
        <w:t xml:space="preserve">Artículo 10. Gasto total </w:t>
      </w:r>
    </w:p>
    <w:p w:rsidR="006628A2" w:rsidRPr="004914A7" w:rsidRDefault="006628A2" w:rsidP="001B6FE0">
      <w:pPr>
        <w:suppressAutoHyphens/>
      </w:pPr>
    </w:p>
    <w:p w:rsidR="006628A2" w:rsidRPr="004914A7" w:rsidRDefault="00034E2C" w:rsidP="001B6FE0">
      <w:pPr>
        <w:suppressAutoHyphens/>
      </w:pPr>
      <w:r w:rsidRPr="004914A7">
        <w:t>El gasto total previsto en este presupuesto es de $41</w:t>
      </w:r>
      <w:proofErr w:type="gramStart"/>
      <w:r w:rsidRPr="004914A7">
        <w:t>,136,103,198.00</w:t>
      </w:r>
      <w:proofErr w:type="gramEnd"/>
      <w:r w:rsidRPr="004914A7">
        <w:t>, y corresponde al total de los ingresos aprobados en la ley de ingresos.</w:t>
      </w:r>
    </w:p>
    <w:p w:rsidR="006628A2" w:rsidRPr="004914A7" w:rsidRDefault="006628A2" w:rsidP="001B6FE0">
      <w:pPr>
        <w:suppressAutoHyphens/>
      </w:pPr>
    </w:p>
    <w:p w:rsidR="006628A2" w:rsidRPr="004914A7" w:rsidRDefault="00034E2C" w:rsidP="001B6FE0">
      <w:pPr>
        <w:suppressAutoHyphens/>
      </w:pPr>
      <w:r w:rsidRPr="004914A7">
        <w:t>Las erogaciones de los ramos autónomos, administrativos y generales se distribuyen conforme a lo previsto en el anexo 1 del presente decreto.</w:t>
      </w:r>
    </w:p>
    <w:p w:rsidR="006628A2" w:rsidRPr="004914A7" w:rsidRDefault="006628A2" w:rsidP="001B6FE0">
      <w:pPr>
        <w:suppressAutoHyphens/>
      </w:pPr>
    </w:p>
    <w:p w:rsidR="006628A2" w:rsidRPr="004914A7" w:rsidRDefault="00034E2C" w:rsidP="001B6FE0">
      <w:pPr>
        <w:suppressAutoHyphens/>
      </w:pPr>
      <w:r w:rsidRPr="004914A7">
        <w:t xml:space="preserve">Las asignaciones presupuestales del gasto total por </w:t>
      </w:r>
      <w:r w:rsidR="004D73E2" w:rsidRPr="004914A7">
        <w:t>r</w:t>
      </w:r>
      <w:r w:rsidRPr="004914A7">
        <w:t>amo se distribuyen como sigue:</w:t>
      </w:r>
    </w:p>
    <w:p w:rsidR="006628A2" w:rsidRPr="004914A7" w:rsidRDefault="006628A2" w:rsidP="001B6FE0">
      <w:pPr>
        <w:suppressAutoHyphens/>
      </w:pPr>
    </w:p>
    <w:p w:rsidR="006628A2" w:rsidRPr="004914A7" w:rsidRDefault="00034E2C" w:rsidP="001B6FE0">
      <w:pPr>
        <w:suppressAutoHyphens/>
      </w:pPr>
      <w:r w:rsidRPr="004914A7">
        <w:t>      I. Para los ramos autónomos:</w:t>
      </w:r>
    </w:p>
    <w:p w:rsidR="006628A2" w:rsidRPr="004914A7" w:rsidRDefault="006628A2" w:rsidP="001B6FE0">
      <w:pPr>
        <w:suppressAutoHyphens/>
      </w:pPr>
    </w:p>
    <w:p w:rsidR="006628A2" w:rsidRPr="004914A7" w:rsidRDefault="00034E2C" w:rsidP="001B6FE0">
      <w:pPr>
        <w:suppressAutoHyphens/>
      </w:pPr>
      <w:r w:rsidRPr="004914A7">
        <w:t>              a) Para el Poder Legislativo, la cantidad de $220</w:t>
      </w:r>
      <w:proofErr w:type="gramStart"/>
      <w:r w:rsidRPr="004914A7">
        <w:t>,004,107.00</w:t>
      </w:r>
      <w:proofErr w:type="gramEnd"/>
      <w:r w:rsidRPr="004914A7">
        <w:t xml:space="preserve"> que comprende los recursos asignados al Congreso del estado, a la Auditoría Superior </w:t>
      </w:r>
      <w:r w:rsidRPr="004914A7">
        <w:lastRenderedPageBreak/>
        <w:t>del Estado, la Dirección General de Administración y Finanzas, el Instituto de Investigaci</w:t>
      </w:r>
      <w:r w:rsidR="00B61088" w:rsidRPr="004914A7">
        <w:t>ones</w:t>
      </w:r>
      <w:r w:rsidRPr="004914A7">
        <w:t xml:space="preserve"> Legislativa</w:t>
      </w:r>
      <w:r w:rsidR="00B61088" w:rsidRPr="004914A7">
        <w:t>s</w:t>
      </w:r>
      <w:r w:rsidRPr="004914A7">
        <w:t xml:space="preserve">, la Junta de Gobierno y Coordinación Política, </w:t>
      </w:r>
      <w:r w:rsidR="00C4458C" w:rsidRPr="004914A7">
        <w:t xml:space="preserve">la </w:t>
      </w:r>
      <w:r w:rsidRPr="004914A7">
        <w:t>Secretar</w:t>
      </w:r>
      <w:r w:rsidR="00F20C4C" w:rsidRPr="004914A7">
        <w:t>ía</w:t>
      </w:r>
      <w:r w:rsidRPr="004914A7">
        <w:t xml:space="preserve"> General del Poder Legislativo y a la Unidad de Vigilancia y Evaluación de la Auditoría Superior del Estado de Yucatán.</w:t>
      </w:r>
    </w:p>
    <w:p w:rsidR="006628A2" w:rsidRPr="004914A7" w:rsidRDefault="006628A2" w:rsidP="001B6FE0">
      <w:pPr>
        <w:suppressAutoHyphens/>
      </w:pPr>
    </w:p>
    <w:p w:rsidR="006628A2" w:rsidRPr="004914A7" w:rsidRDefault="00034E2C" w:rsidP="001B6FE0">
      <w:pPr>
        <w:suppressAutoHyphens/>
      </w:pPr>
      <w:r w:rsidRPr="004914A7">
        <w:t>              b) Para el Poder Judicial, la cantidad de $611</w:t>
      </w:r>
      <w:proofErr w:type="gramStart"/>
      <w:r w:rsidRPr="004914A7">
        <w:t>,036,980.00</w:t>
      </w:r>
      <w:proofErr w:type="gramEnd"/>
      <w:r w:rsidRPr="004914A7">
        <w:t xml:space="preserve"> que comprende el presupuesto del Tribunal Superior de Justicia</w:t>
      </w:r>
      <w:r w:rsidR="00850092" w:rsidRPr="004914A7">
        <w:t xml:space="preserve"> del Estado</w:t>
      </w:r>
      <w:r w:rsidRPr="004914A7">
        <w:t xml:space="preserve">, del Consejo de la Judicatura del Estado de Yucatán y el Tribunal de los </w:t>
      </w:r>
      <w:r w:rsidR="00850092" w:rsidRPr="004914A7">
        <w:t>T</w:t>
      </w:r>
      <w:r w:rsidRPr="004914A7">
        <w:t xml:space="preserve">rabajadores al </w:t>
      </w:r>
      <w:r w:rsidR="00850092" w:rsidRPr="004914A7">
        <w:t>S</w:t>
      </w:r>
      <w:r w:rsidRPr="004914A7">
        <w:t>ervicio del Estado y Municipios.</w:t>
      </w:r>
    </w:p>
    <w:p w:rsidR="006628A2" w:rsidRPr="004914A7" w:rsidRDefault="006628A2" w:rsidP="001B6FE0">
      <w:pPr>
        <w:suppressAutoHyphens/>
      </w:pPr>
    </w:p>
    <w:p w:rsidR="006628A2" w:rsidRPr="004914A7" w:rsidRDefault="00034E2C" w:rsidP="001B6FE0">
      <w:pPr>
        <w:suppressAutoHyphens/>
      </w:pPr>
      <w:r w:rsidRPr="004914A7">
        <w:t>             c) Para los organismos autónomos, la cantidad de $2</w:t>
      </w:r>
      <w:proofErr w:type="gramStart"/>
      <w:r w:rsidRPr="004914A7">
        <w:t>,879,609,892.00</w:t>
      </w:r>
      <w:proofErr w:type="gramEnd"/>
      <w:r w:rsidRPr="004914A7">
        <w:t xml:space="preserve"> que comprende los seis organismos autónomos establecidos en la Constitución Política del Estado de Yucatán y la Universidad Autónoma de Yucatán.</w:t>
      </w:r>
    </w:p>
    <w:p w:rsidR="006628A2" w:rsidRPr="004914A7" w:rsidRDefault="006628A2" w:rsidP="001B6FE0">
      <w:pPr>
        <w:suppressAutoHyphens/>
      </w:pPr>
    </w:p>
    <w:p w:rsidR="006628A2" w:rsidRPr="004914A7" w:rsidRDefault="00034E2C" w:rsidP="001B6FE0">
      <w:pPr>
        <w:suppressAutoHyphens/>
      </w:pPr>
      <w:r w:rsidRPr="004914A7">
        <w:t>      II. Para los ramos administrativos, correspondientes al Poder Ejecutivo la cantidad de $28</w:t>
      </w:r>
      <w:proofErr w:type="gramStart"/>
      <w:r w:rsidRPr="004914A7">
        <w:t>,519,743,585.00</w:t>
      </w:r>
      <w:proofErr w:type="gramEnd"/>
      <w:r w:rsidRPr="004914A7">
        <w:t xml:space="preserve"> y su distribución se presenta en los anexos del 2.1.1</w:t>
      </w:r>
      <w:r w:rsidR="00C659BD" w:rsidRPr="004914A7">
        <w:t>.</w:t>
      </w:r>
      <w:r w:rsidRPr="004914A7">
        <w:t xml:space="preserve"> </w:t>
      </w:r>
      <w:proofErr w:type="gramStart"/>
      <w:r w:rsidRPr="004914A7">
        <w:t>al</w:t>
      </w:r>
      <w:proofErr w:type="gramEnd"/>
      <w:r w:rsidRPr="004914A7">
        <w:t xml:space="preserve"> 2.1.4</w:t>
      </w:r>
      <w:r w:rsidR="00C659BD" w:rsidRPr="004914A7">
        <w:t>.</w:t>
      </w:r>
      <w:r w:rsidRPr="004914A7">
        <w:t xml:space="preserve"> </w:t>
      </w:r>
      <w:proofErr w:type="gramStart"/>
      <w:r w:rsidRPr="004914A7">
        <w:t>señalados</w:t>
      </w:r>
      <w:proofErr w:type="gramEnd"/>
      <w:r w:rsidRPr="004914A7">
        <w:t xml:space="preserve"> en el artículo 1</w:t>
      </w:r>
      <w:r w:rsidR="00C659BD" w:rsidRPr="004914A7">
        <w:t>2</w:t>
      </w:r>
      <w:r w:rsidRPr="004914A7">
        <w:t xml:space="preserve"> de este decreto.</w:t>
      </w:r>
    </w:p>
    <w:p w:rsidR="006628A2" w:rsidRPr="004914A7" w:rsidRDefault="006628A2" w:rsidP="001B6FE0">
      <w:pPr>
        <w:suppressAutoHyphens/>
      </w:pPr>
    </w:p>
    <w:p w:rsidR="006628A2" w:rsidRPr="004914A7" w:rsidRDefault="00034E2C" w:rsidP="001B6FE0">
      <w:pPr>
        <w:suppressAutoHyphens/>
      </w:pPr>
      <w:r w:rsidRPr="004914A7">
        <w:t>      III. Para los ramos generales, la cantidad de $8</w:t>
      </w:r>
      <w:proofErr w:type="gramStart"/>
      <w:r w:rsidRPr="004914A7">
        <w:t>,905,708,634.00</w:t>
      </w:r>
      <w:proofErr w:type="gramEnd"/>
      <w:r w:rsidRPr="004914A7">
        <w:t xml:space="preserve"> que comprende las participaciones, aportaciones y transferencias a municipios, los conceptos de gasto asociados a la deuda pública, y jubilaciones y pensiones:</w:t>
      </w:r>
    </w:p>
    <w:p w:rsidR="006628A2" w:rsidRPr="004914A7" w:rsidRDefault="006628A2" w:rsidP="001B6FE0">
      <w:pPr>
        <w:suppressAutoHyphens/>
      </w:pPr>
    </w:p>
    <w:p w:rsidR="006628A2" w:rsidRPr="004914A7" w:rsidRDefault="00034E2C" w:rsidP="001B6FE0">
      <w:pPr>
        <w:suppressAutoHyphens/>
      </w:pPr>
      <w:r w:rsidRPr="004914A7">
        <w:t>             a) Para los municipios del estado, la cantidad de $6</w:t>
      </w:r>
      <w:proofErr w:type="gramStart"/>
      <w:r w:rsidRPr="004914A7">
        <w:t>,761,373,228.00</w:t>
      </w:r>
      <w:proofErr w:type="gramEnd"/>
      <w:r w:rsidRPr="004914A7">
        <w:t>, integrada de la siguiente manera:</w:t>
      </w:r>
    </w:p>
    <w:p w:rsidR="006628A2" w:rsidRPr="004914A7" w:rsidRDefault="006628A2" w:rsidP="001B6FE0">
      <w:pPr>
        <w:suppressAutoHyphens/>
      </w:pPr>
    </w:p>
    <w:p w:rsidR="006628A2" w:rsidRPr="004914A7" w:rsidRDefault="00034E2C" w:rsidP="001B6FE0">
      <w:pPr>
        <w:suppressAutoHyphens/>
      </w:pPr>
      <w:r w:rsidRPr="004914A7">
        <w:t xml:space="preserve">                 1. Las participaciones de la Federación y del estado a sus municipios importan la cantidad de </w:t>
      </w:r>
      <w:r w:rsidR="00BA617D" w:rsidRPr="004914A7">
        <w:t>$3</w:t>
      </w:r>
      <w:proofErr w:type="gramStart"/>
      <w:r w:rsidR="00BA617D" w:rsidRPr="004914A7">
        <w:t>,658,066,849.00</w:t>
      </w:r>
      <w:proofErr w:type="gramEnd"/>
      <w:r w:rsidR="00BA617D" w:rsidRPr="004914A7">
        <w:t xml:space="preserve"> de los cuales $3,625,738,082.00 corresponden a participaciones federales y </w:t>
      </w:r>
      <w:r w:rsidRPr="004914A7">
        <w:t>$3</w:t>
      </w:r>
      <w:r w:rsidR="00BA617D" w:rsidRPr="004914A7">
        <w:t>2,328,767.00 corresponden a impuestos estatales. La distribución de participaciones a municipios</w:t>
      </w:r>
      <w:r w:rsidRPr="004914A7">
        <w:t xml:space="preserve"> se desglosa en el anexo 4.1 de este decreto.</w:t>
      </w:r>
    </w:p>
    <w:p w:rsidR="006628A2" w:rsidRPr="004914A7" w:rsidRDefault="006628A2" w:rsidP="001B6FE0">
      <w:pPr>
        <w:suppressAutoHyphens/>
      </w:pPr>
    </w:p>
    <w:p w:rsidR="006628A2" w:rsidRPr="004914A7" w:rsidRDefault="00034E2C" w:rsidP="001B6FE0">
      <w:pPr>
        <w:suppressAutoHyphens/>
      </w:pPr>
      <w:r w:rsidRPr="004914A7">
        <w:t>                     2. Las aportaciones estimadas para los municipios del estado importan la cantidad de $3</w:t>
      </w:r>
      <w:proofErr w:type="gramStart"/>
      <w:r w:rsidRPr="004914A7">
        <w:t>,103,306,379.00</w:t>
      </w:r>
      <w:proofErr w:type="gramEnd"/>
      <w:r w:rsidRPr="004914A7">
        <w:t xml:space="preserve"> y se distribuirán de acuerdo con lo previsto en la Ley de Coordinación Fiscal y se detallan en al anexo 4.2.</w:t>
      </w:r>
    </w:p>
    <w:p w:rsidR="00AB0DAB" w:rsidRPr="004914A7" w:rsidRDefault="00034E2C" w:rsidP="001B6FE0">
      <w:pPr>
        <w:suppressAutoHyphens/>
      </w:pPr>
      <w:r w:rsidRPr="004914A7">
        <w:t>              </w:t>
      </w:r>
    </w:p>
    <w:p w:rsidR="00AB0DAB" w:rsidRPr="004914A7" w:rsidRDefault="00AB0DAB" w:rsidP="001B6FE0">
      <w:pPr>
        <w:suppressAutoHyphens/>
        <w:ind w:firstLine="851"/>
      </w:pPr>
      <w:r w:rsidRPr="004914A7">
        <w:t>b) El saldo neto de la deuda pública del Gobierno del Estado de Yucatán contratada con la banca de desarrollo y la banca privada es de $7</w:t>
      </w:r>
      <w:proofErr w:type="gramStart"/>
      <w:r w:rsidRPr="004914A7">
        <w:t>,400,969,675.70</w:t>
      </w:r>
      <w:proofErr w:type="gramEnd"/>
      <w:r w:rsidRPr="004914A7">
        <w:t>, con fecha de corte al 15 de noviembre de 2020, cuyo detalle se presenta en el anexo 5.1.</w:t>
      </w:r>
    </w:p>
    <w:p w:rsidR="00AB0DAB" w:rsidRPr="004914A7" w:rsidRDefault="00AB0DAB" w:rsidP="001B6FE0">
      <w:pPr>
        <w:suppressAutoHyphens/>
      </w:pPr>
    </w:p>
    <w:p w:rsidR="00AB0DAB" w:rsidRPr="004914A7" w:rsidRDefault="00AB0DAB" w:rsidP="001B6FE0">
      <w:pPr>
        <w:suppressAutoHyphens/>
      </w:pPr>
      <w:r w:rsidRPr="004914A7">
        <w:lastRenderedPageBreak/>
        <w:t xml:space="preserve">Para el ejercicio fiscal 2021, se establece una asignación presupuestal de $1,065,106,321.00 para el pago de la deuda pública y obligaciones a corto plazo, la cual incluye, $506,445,461.00 destinados a la amortización de la deuda y obligaciones, $498,036,614.00 al pago de intereses, $3,837,080.00 a los gastos de la deuda y $56,787,166.00 al costo de coberturas por variación de tasas de interés. Esta información se encuentra en los anexos 5.2. </w:t>
      </w:r>
      <w:proofErr w:type="gramStart"/>
      <w:r w:rsidRPr="004914A7">
        <w:t>y</w:t>
      </w:r>
      <w:proofErr w:type="gramEnd"/>
      <w:r w:rsidRPr="004914A7">
        <w:t xml:space="preserve"> 5.3 de este decreto.</w:t>
      </w:r>
    </w:p>
    <w:p w:rsidR="00AB0DAB" w:rsidRPr="004914A7" w:rsidRDefault="00AB0DAB" w:rsidP="001B6FE0">
      <w:pPr>
        <w:suppressAutoHyphens/>
      </w:pPr>
    </w:p>
    <w:p w:rsidR="00AB0DAB" w:rsidRPr="004914A7" w:rsidRDefault="00AB0DAB" w:rsidP="001B6FE0">
      <w:pPr>
        <w:suppressAutoHyphens/>
      </w:pPr>
      <w:r w:rsidRPr="004914A7">
        <w:t xml:space="preserve">La información sobre el programa financiero de la deuda pública para el ejercicio fiscal 2021 por objeto de gasto, se presenta en el anexo 5.2. </w:t>
      </w:r>
      <w:proofErr w:type="gramStart"/>
      <w:r w:rsidRPr="004914A7">
        <w:t>de</w:t>
      </w:r>
      <w:proofErr w:type="gramEnd"/>
      <w:r w:rsidRPr="004914A7">
        <w:t xml:space="preserve"> este decreto.</w:t>
      </w:r>
    </w:p>
    <w:p w:rsidR="00AB0DAB" w:rsidRPr="004914A7" w:rsidRDefault="00AB0DAB" w:rsidP="001B6FE0">
      <w:pPr>
        <w:suppressAutoHyphens/>
      </w:pPr>
    </w:p>
    <w:p w:rsidR="006628A2" w:rsidRPr="004914A7" w:rsidRDefault="004914A7" w:rsidP="001B6FE0">
      <w:pPr>
        <w:suppressAutoHyphens/>
      </w:pPr>
      <w:r>
        <w:t>P</w:t>
      </w:r>
      <w:r w:rsidR="00AB0DAB" w:rsidRPr="004914A7">
        <w:t>ara este ejercicio fiscal 2021 se establece una asignación presupuestaria para el concepto de ADEFAS por un monto de $150</w:t>
      </w:r>
      <w:proofErr w:type="gramStart"/>
      <w:r w:rsidR="00AB0DAB" w:rsidRPr="004914A7">
        <w:t>,000,000.00</w:t>
      </w:r>
      <w:proofErr w:type="gramEnd"/>
      <w:r w:rsidR="00AB0DAB" w:rsidRPr="004914A7">
        <w:t xml:space="preserve">, cifra que podrá incrementarse hasta por el porcentaje </w:t>
      </w:r>
      <w:r w:rsidR="00BA241C" w:rsidRPr="004914A7">
        <w:t xml:space="preserve">establecido </w:t>
      </w:r>
      <w:r w:rsidR="00AB0DAB" w:rsidRPr="004914A7">
        <w:t xml:space="preserve">conforme al artículo 12 de la Ley de Disciplina </w:t>
      </w:r>
      <w:r w:rsidR="00867154" w:rsidRPr="004914A7">
        <w:t>Financiera.</w:t>
      </w:r>
    </w:p>
    <w:p w:rsidR="006628A2" w:rsidRPr="004914A7" w:rsidRDefault="006628A2" w:rsidP="001B6FE0">
      <w:pPr>
        <w:suppressAutoHyphens/>
      </w:pPr>
    </w:p>
    <w:p w:rsidR="006628A2" w:rsidRPr="004914A7" w:rsidRDefault="00034E2C" w:rsidP="001B6FE0">
      <w:pPr>
        <w:suppressAutoHyphens/>
      </w:pPr>
      <w:r w:rsidRPr="004914A7">
        <w:t>              c) El gasto correspondiente a las jubilaciones y pensiones es por la cantidad de $808</w:t>
      </w:r>
      <w:proofErr w:type="gramStart"/>
      <w:r w:rsidRPr="004914A7">
        <w:t>,284,237.00</w:t>
      </w:r>
      <w:proofErr w:type="gramEnd"/>
      <w:r w:rsidRPr="004914A7">
        <w:t>, la cual se detalla en los siguientes anexos:</w:t>
      </w:r>
    </w:p>
    <w:p w:rsidR="006628A2" w:rsidRPr="004914A7" w:rsidRDefault="006628A2" w:rsidP="001B6FE0">
      <w:pPr>
        <w:suppressAutoHyphens/>
      </w:pPr>
    </w:p>
    <w:p w:rsidR="006628A2" w:rsidRPr="004914A7" w:rsidRDefault="00034E2C" w:rsidP="001B6FE0">
      <w:pPr>
        <w:suppressAutoHyphens/>
      </w:pPr>
      <w:r w:rsidRPr="004914A7">
        <w:t xml:space="preserve">                     1. Anexo 6.1. Pensiones y jubilaciones por partida </w:t>
      </w:r>
      <w:r w:rsidR="009E738E" w:rsidRPr="004914A7">
        <w:t>e importe</w:t>
      </w:r>
      <w:r w:rsidRPr="004914A7">
        <w:t>.</w:t>
      </w:r>
    </w:p>
    <w:p w:rsidR="006628A2" w:rsidRPr="004914A7" w:rsidRDefault="006628A2" w:rsidP="001B6FE0">
      <w:pPr>
        <w:suppressAutoHyphens/>
      </w:pPr>
    </w:p>
    <w:p w:rsidR="006628A2" w:rsidRPr="004914A7" w:rsidRDefault="00034E2C" w:rsidP="001B6FE0">
      <w:pPr>
        <w:suppressAutoHyphens/>
      </w:pPr>
      <w:r w:rsidRPr="004914A7">
        <w:t>                      2. Anexo 6.2. Erogaciones Previstas para Jubilaciones.</w:t>
      </w:r>
    </w:p>
    <w:p w:rsidR="006628A2" w:rsidRPr="004914A7" w:rsidRDefault="006628A2" w:rsidP="001B6FE0">
      <w:pPr>
        <w:suppressAutoHyphens/>
      </w:pPr>
    </w:p>
    <w:p w:rsidR="006628A2" w:rsidRPr="004914A7" w:rsidRDefault="00034E2C" w:rsidP="001B6FE0">
      <w:pPr>
        <w:suppressAutoHyphens/>
      </w:pPr>
      <w:r w:rsidRPr="004914A7">
        <w:t>                      3. Anexo 6.3. Erogaciones Previstas para Pensiones.</w:t>
      </w:r>
    </w:p>
    <w:p w:rsidR="006628A2" w:rsidRPr="004914A7" w:rsidRDefault="006628A2" w:rsidP="001B6FE0">
      <w:pPr>
        <w:suppressAutoHyphens/>
      </w:pPr>
    </w:p>
    <w:p w:rsidR="006628A2" w:rsidRPr="004914A7" w:rsidRDefault="00034E2C" w:rsidP="001B6FE0">
      <w:pPr>
        <w:suppressAutoHyphens/>
      </w:pPr>
      <w:r w:rsidRPr="004914A7">
        <w:rPr>
          <w:b/>
        </w:rPr>
        <w:t>Artículo 11. Distribución y clasificación del gasto total del Poder Ejecutivo</w:t>
      </w:r>
    </w:p>
    <w:p w:rsidR="006628A2" w:rsidRPr="004914A7" w:rsidRDefault="006628A2" w:rsidP="001B6FE0">
      <w:pPr>
        <w:suppressAutoHyphens/>
      </w:pPr>
    </w:p>
    <w:p w:rsidR="006628A2" w:rsidRPr="004914A7" w:rsidRDefault="00034E2C" w:rsidP="001B6FE0">
      <w:pPr>
        <w:suppressAutoHyphens/>
      </w:pPr>
      <w:r w:rsidRPr="004914A7">
        <w:t>Los recursos del presupuesto de egresos asignados al Poder Ejecutivo se presentan conforme a las clasificaciones: administrativa, por fuente de financiamiento, funcional, programática, por tipo de gasto y monto y, por objeto del gasto, en los formatos establecidos para tal efecto por el Consejo Nacional de Armonización Contable y con base en lo establecido en el artículo 20 de la Ley del Presupuesto y Contabilidad Gubernamental del Estado de Yucatán.</w:t>
      </w:r>
    </w:p>
    <w:p w:rsidR="006628A2" w:rsidRPr="004914A7" w:rsidRDefault="006628A2" w:rsidP="001B6FE0">
      <w:pPr>
        <w:suppressAutoHyphens/>
      </w:pPr>
    </w:p>
    <w:p w:rsidR="006628A2" w:rsidRPr="004914A7" w:rsidRDefault="00034E2C" w:rsidP="001B6FE0">
      <w:pPr>
        <w:suppressAutoHyphens/>
      </w:pPr>
      <w:r w:rsidRPr="004914A7">
        <w:t xml:space="preserve">La clasificación administrativa está contenida en el anexo 2.1. </w:t>
      </w:r>
      <w:proofErr w:type="gramStart"/>
      <w:r w:rsidRPr="004914A7">
        <w:t>de</w:t>
      </w:r>
      <w:proofErr w:type="gramEnd"/>
      <w:r w:rsidRPr="004914A7">
        <w:t xml:space="preserve"> este decreto, y contiene de manera desglosada la siguiente información:</w:t>
      </w:r>
    </w:p>
    <w:p w:rsidR="006628A2" w:rsidRPr="004914A7" w:rsidRDefault="006628A2" w:rsidP="001B6FE0">
      <w:pPr>
        <w:suppressAutoHyphens/>
      </w:pPr>
    </w:p>
    <w:p w:rsidR="006628A2" w:rsidRPr="004914A7" w:rsidRDefault="00034E2C" w:rsidP="001B6FE0">
      <w:pPr>
        <w:suppressAutoHyphens/>
      </w:pPr>
      <w:r w:rsidRPr="004914A7">
        <w:t xml:space="preserve">      I. El presupuesto correspondiente a las dependencias del Poder Ejecutivo </w:t>
      </w:r>
      <w:r w:rsidR="005F2A71" w:rsidRPr="004914A7">
        <w:t xml:space="preserve">incluyendo sus Ramos Generales </w:t>
      </w:r>
      <w:r w:rsidRPr="004914A7">
        <w:t>es por la cantidad de $26</w:t>
      </w:r>
      <w:proofErr w:type="gramStart"/>
      <w:r w:rsidRPr="004914A7">
        <w:t>,010,589,356.00</w:t>
      </w:r>
      <w:proofErr w:type="gramEnd"/>
      <w:r w:rsidRPr="004914A7">
        <w:t xml:space="preserve"> para el ejercicio fiscal 2021.</w:t>
      </w:r>
    </w:p>
    <w:p w:rsidR="006628A2" w:rsidRPr="004914A7" w:rsidRDefault="006628A2" w:rsidP="001B6FE0">
      <w:pPr>
        <w:suppressAutoHyphens/>
      </w:pPr>
    </w:p>
    <w:p w:rsidR="006628A2" w:rsidRPr="004914A7" w:rsidRDefault="00034E2C" w:rsidP="001B6FE0">
      <w:pPr>
        <w:suppressAutoHyphens/>
      </w:pPr>
      <w:r w:rsidRPr="004914A7">
        <w:lastRenderedPageBreak/>
        <w:t>      II. El presupuesto que ejercerán las entidades paraestatales y fideicomisos no empresariales y no financieros es por la cantidad de $9</w:t>
      </w:r>
      <w:proofErr w:type="gramStart"/>
      <w:r w:rsidRPr="004914A7">
        <w:t>,427,237,125.00</w:t>
      </w:r>
      <w:proofErr w:type="gramEnd"/>
      <w:r w:rsidRPr="004914A7">
        <w:t>.</w:t>
      </w:r>
    </w:p>
    <w:p w:rsidR="006628A2" w:rsidRPr="004914A7" w:rsidRDefault="006628A2" w:rsidP="001B6FE0">
      <w:pPr>
        <w:suppressAutoHyphens/>
      </w:pPr>
    </w:p>
    <w:p w:rsidR="006628A2" w:rsidRPr="004914A7" w:rsidRDefault="00034E2C" w:rsidP="001B6FE0">
      <w:pPr>
        <w:suppressAutoHyphens/>
      </w:pPr>
      <w:r w:rsidRPr="004914A7">
        <w:t>      III. El presupuesto que ejercerán las entidades paraestatales empresariales no financieras con participación estatal mayoritaria es por la cantidad de $32</w:t>
      </w:r>
      <w:proofErr w:type="gramStart"/>
      <w:r w:rsidRPr="004914A7">
        <w:t>,549,835.00</w:t>
      </w:r>
      <w:proofErr w:type="gramEnd"/>
      <w:r w:rsidRPr="004914A7">
        <w:t>.</w:t>
      </w:r>
    </w:p>
    <w:p w:rsidR="006628A2" w:rsidRPr="004914A7" w:rsidRDefault="006628A2" w:rsidP="001B6FE0">
      <w:pPr>
        <w:suppressAutoHyphens/>
      </w:pPr>
    </w:p>
    <w:p w:rsidR="006628A2" w:rsidRPr="004914A7" w:rsidRDefault="00034E2C" w:rsidP="001B6FE0">
      <w:pPr>
        <w:suppressAutoHyphens/>
      </w:pPr>
      <w:r w:rsidRPr="004914A7">
        <w:t>      IV. El presupuesto que ejercerán las instituciones públicas de seguridad social del Gobierno del estado es por la cantidad de $1</w:t>
      </w:r>
      <w:proofErr w:type="gramStart"/>
      <w:r w:rsidRPr="004914A7">
        <w:t>,955,075,903.00</w:t>
      </w:r>
      <w:proofErr w:type="gramEnd"/>
      <w:r w:rsidRPr="004914A7">
        <w:t>.</w:t>
      </w:r>
    </w:p>
    <w:p w:rsidR="006628A2" w:rsidRPr="004914A7" w:rsidRDefault="006628A2" w:rsidP="001B6FE0">
      <w:pPr>
        <w:suppressAutoHyphens/>
      </w:pPr>
    </w:p>
    <w:p w:rsidR="006628A2" w:rsidRPr="004914A7" w:rsidRDefault="00034E2C" w:rsidP="001B6FE0">
      <w:pPr>
        <w:suppressAutoHyphens/>
      </w:pPr>
      <w:r w:rsidRPr="004914A7">
        <w:t>Por lo que corresponde a las demás clasificaciones se presenta lo siguiente:</w:t>
      </w:r>
    </w:p>
    <w:p w:rsidR="006628A2" w:rsidRPr="004914A7" w:rsidRDefault="006628A2" w:rsidP="001B6FE0">
      <w:pPr>
        <w:suppressAutoHyphens/>
      </w:pPr>
    </w:p>
    <w:p w:rsidR="006628A2" w:rsidRPr="004914A7" w:rsidRDefault="00034E2C" w:rsidP="001B6FE0">
      <w:pPr>
        <w:suppressAutoHyphens/>
      </w:pPr>
      <w:r w:rsidRPr="004914A7">
        <w:t xml:space="preserve">      I. La clasificación por fuente de financiamiento </w:t>
      </w:r>
      <w:r w:rsidR="007D0222" w:rsidRPr="004914A7">
        <w:t xml:space="preserve">e importe </w:t>
      </w:r>
      <w:r w:rsidRPr="004914A7">
        <w:t xml:space="preserve">se desglosa en el anexo 2.2. </w:t>
      </w:r>
      <w:proofErr w:type="gramStart"/>
      <w:r w:rsidRPr="004914A7">
        <w:t>de</w:t>
      </w:r>
      <w:proofErr w:type="gramEnd"/>
      <w:r w:rsidRPr="004914A7">
        <w:t xml:space="preserve"> este decreto.</w:t>
      </w:r>
    </w:p>
    <w:p w:rsidR="006628A2" w:rsidRPr="004914A7" w:rsidRDefault="006628A2" w:rsidP="001B6FE0">
      <w:pPr>
        <w:suppressAutoHyphens/>
      </w:pPr>
    </w:p>
    <w:p w:rsidR="006628A2" w:rsidRPr="004914A7" w:rsidRDefault="00034E2C" w:rsidP="001B6FE0">
      <w:pPr>
        <w:suppressAutoHyphens/>
      </w:pPr>
      <w:r w:rsidRPr="004914A7">
        <w:t xml:space="preserve">      II. La clasificación funcional se distribuye conforme al anexo 2.3. </w:t>
      </w:r>
      <w:proofErr w:type="gramStart"/>
      <w:r w:rsidRPr="004914A7">
        <w:t>de</w:t>
      </w:r>
      <w:proofErr w:type="gramEnd"/>
      <w:r w:rsidRPr="004914A7">
        <w:t xml:space="preserve"> este decreto.</w:t>
      </w:r>
    </w:p>
    <w:p w:rsidR="006628A2" w:rsidRPr="004914A7" w:rsidRDefault="006628A2" w:rsidP="001B6FE0">
      <w:pPr>
        <w:suppressAutoHyphens/>
      </w:pPr>
    </w:p>
    <w:p w:rsidR="006628A2" w:rsidRPr="004914A7" w:rsidRDefault="00034E2C" w:rsidP="001B6FE0">
      <w:pPr>
        <w:suppressAutoHyphens/>
      </w:pPr>
      <w:r w:rsidRPr="004914A7">
        <w:t xml:space="preserve">      III. La clasificación programática de acuerdo con el tipo </w:t>
      </w:r>
      <w:r w:rsidR="00097AE7" w:rsidRPr="004914A7">
        <w:t>e importe</w:t>
      </w:r>
      <w:r w:rsidRPr="004914A7">
        <w:t xml:space="preserve"> de los programas presupuestarios de los entes públicos se desglosan conforme al anexo 2.4. </w:t>
      </w:r>
      <w:proofErr w:type="gramStart"/>
      <w:r w:rsidRPr="004914A7">
        <w:t>de</w:t>
      </w:r>
      <w:proofErr w:type="gramEnd"/>
      <w:r w:rsidRPr="004914A7">
        <w:t xml:space="preserve"> este decreto.</w:t>
      </w:r>
    </w:p>
    <w:p w:rsidR="006628A2" w:rsidRPr="004914A7" w:rsidRDefault="006628A2" w:rsidP="001B6FE0">
      <w:pPr>
        <w:suppressAutoHyphens/>
      </w:pPr>
    </w:p>
    <w:p w:rsidR="006628A2" w:rsidRPr="004914A7" w:rsidRDefault="00034E2C" w:rsidP="001B6FE0">
      <w:pPr>
        <w:suppressAutoHyphens/>
      </w:pPr>
      <w:r w:rsidRPr="004914A7">
        <w:t xml:space="preserve">      IV. La clasificación por tipo de gasto </w:t>
      </w:r>
      <w:r w:rsidR="00097AE7" w:rsidRPr="004914A7">
        <w:t xml:space="preserve">e importe </w:t>
      </w:r>
      <w:r w:rsidRPr="004914A7">
        <w:t xml:space="preserve">se distribuye conforme al anexo 2.5. </w:t>
      </w:r>
      <w:proofErr w:type="gramStart"/>
      <w:r w:rsidRPr="004914A7">
        <w:t>de</w:t>
      </w:r>
      <w:proofErr w:type="gramEnd"/>
      <w:r w:rsidRPr="004914A7">
        <w:t xml:space="preserve"> este decreto.</w:t>
      </w:r>
    </w:p>
    <w:p w:rsidR="006628A2" w:rsidRPr="004914A7" w:rsidRDefault="006628A2" w:rsidP="001B6FE0">
      <w:pPr>
        <w:suppressAutoHyphens/>
      </w:pPr>
    </w:p>
    <w:p w:rsidR="006628A2" w:rsidRPr="004914A7" w:rsidRDefault="00034E2C" w:rsidP="001B6FE0">
      <w:pPr>
        <w:suppressAutoHyphens/>
      </w:pPr>
      <w:r w:rsidRPr="004914A7">
        <w:t xml:space="preserve">      V. La </w:t>
      </w:r>
      <w:r w:rsidR="00214D24" w:rsidRPr="004914A7">
        <w:t>c</w:t>
      </w:r>
      <w:r w:rsidRPr="004914A7">
        <w:t xml:space="preserve">lasificación por objeto del gasto por </w:t>
      </w:r>
      <w:r w:rsidR="00214D24" w:rsidRPr="004914A7">
        <w:t>c</w:t>
      </w:r>
      <w:r w:rsidRPr="004914A7">
        <w:t xml:space="preserve">apítulo, </w:t>
      </w:r>
      <w:r w:rsidR="00214D24" w:rsidRPr="004914A7">
        <w:t>c</w:t>
      </w:r>
      <w:r w:rsidRPr="004914A7">
        <w:t xml:space="preserve">oncepto, </w:t>
      </w:r>
      <w:r w:rsidR="00214D24" w:rsidRPr="004914A7">
        <w:t>p</w:t>
      </w:r>
      <w:r w:rsidRPr="004914A7">
        <w:t xml:space="preserve">artida </w:t>
      </w:r>
      <w:r w:rsidR="00214D24" w:rsidRPr="004914A7">
        <w:t>g</w:t>
      </w:r>
      <w:r w:rsidRPr="004914A7">
        <w:t xml:space="preserve">enérica e </w:t>
      </w:r>
      <w:r w:rsidR="00214D24" w:rsidRPr="004914A7">
        <w:t>i</w:t>
      </w:r>
      <w:r w:rsidRPr="004914A7">
        <w:t xml:space="preserve">mporte, conforme al anexo 2.6. </w:t>
      </w:r>
      <w:proofErr w:type="gramStart"/>
      <w:r w:rsidRPr="004914A7">
        <w:t>de</w:t>
      </w:r>
      <w:proofErr w:type="gramEnd"/>
      <w:r w:rsidRPr="004914A7">
        <w:t xml:space="preserve"> este decreto.</w:t>
      </w:r>
    </w:p>
    <w:p w:rsidR="006628A2" w:rsidRPr="004914A7" w:rsidRDefault="006628A2" w:rsidP="001B6FE0">
      <w:pPr>
        <w:suppressAutoHyphens/>
      </w:pPr>
    </w:p>
    <w:p w:rsidR="006628A2" w:rsidRPr="004914A7" w:rsidRDefault="00034E2C" w:rsidP="001B6FE0">
      <w:pPr>
        <w:suppressAutoHyphens/>
      </w:pPr>
      <w:r w:rsidRPr="004914A7">
        <w:rPr>
          <w:b/>
        </w:rPr>
        <w:t>Artículo 12. Anexos del presupuesto de egresos</w:t>
      </w:r>
    </w:p>
    <w:p w:rsidR="006628A2" w:rsidRPr="004914A7" w:rsidRDefault="006628A2" w:rsidP="001B6FE0">
      <w:pPr>
        <w:suppressAutoHyphens/>
      </w:pPr>
    </w:p>
    <w:p w:rsidR="006628A2" w:rsidRPr="004914A7" w:rsidRDefault="00034E2C" w:rsidP="001B6FE0">
      <w:pPr>
        <w:suppressAutoHyphens/>
      </w:pPr>
      <w:r w:rsidRPr="004914A7">
        <w:t>La distribución del gasto desde las diferentes clasificaciones y enfoques se presenta en los anexos de este decreto y en los tomos del presupuesto de egresos. Los anexos contenidos en este decreto son los siguientes:</w:t>
      </w:r>
    </w:p>
    <w:p w:rsidR="006628A2" w:rsidRPr="004914A7" w:rsidRDefault="006628A2" w:rsidP="001B6FE0">
      <w:pPr>
        <w:suppressAutoHyphens/>
      </w:pPr>
    </w:p>
    <w:p w:rsidR="006628A2" w:rsidRPr="004914A7" w:rsidRDefault="00034E2C" w:rsidP="001B6FE0">
      <w:pPr>
        <w:suppressAutoHyphens/>
      </w:pPr>
      <w:r w:rsidRPr="004914A7">
        <w:t xml:space="preserve">      I. Anexo 1. Gasto Total, clasificado por </w:t>
      </w:r>
      <w:r w:rsidR="00214D24" w:rsidRPr="004914A7">
        <w:t>R</w:t>
      </w:r>
      <w:r w:rsidRPr="004914A7">
        <w:t xml:space="preserve">amos </w:t>
      </w:r>
      <w:r w:rsidR="00214D24" w:rsidRPr="004914A7">
        <w:t>A</w:t>
      </w:r>
      <w:r w:rsidRPr="004914A7">
        <w:t xml:space="preserve">utónomos, </w:t>
      </w:r>
      <w:r w:rsidR="00214D24" w:rsidRPr="004914A7">
        <w:t>A</w:t>
      </w:r>
      <w:r w:rsidRPr="004914A7">
        <w:t xml:space="preserve">dministrativos y </w:t>
      </w:r>
      <w:r w:rsidR="00214D24" w:rsidRPr="004914A7">
        <w:t>G</w:t>
      </w:r>
      <w:r w:rsidRPr="004914A7">
        <w:t>enerales.</w:t>
      </w:r>
    </w:p>
    <w:p w:rsidR="006628A2" w:rsidRPr="004914A7" w:rsidRDefault="006628A2" w:rsidP="001B6FE0">
      <w:pPr>
        <w:suppressAutoHyphens/>
      </w:pPr>
    </w:p>
    <w:p w:rsidR="006628A2" w:rsidRPr="004914A7" w:rsidRDefault="00034E2C" w:rsidP="001B6FE0">
      <w:pPr>
        <w:suppressAutoHyphens/>
      </w:pPr>
      <w:r w:rsidRPr="004914A7">
        <w:t>      II. Anexo 2. Clasificaciones del Gasto.</w:t>
      </w:r>
    </w:p>
    <w:p w:rsidR="006628A2" w:rsidRPr="004914A7" w:rsidRDefault="006628A2" w:rsidP="001B6FE0">
      <w:pPr>
        <w:suppressAutoHyphens/>
      </w:pPr>
    </w:p>
    <w:p w:rsidR="006628A2" w:rsidRPr="004914A7" w:rsidRDefault="00034E2C" w:rsidP="001B6FE0">
      <w:pPr>
        <w:suppressAutoHyphens/>
      </w:pPr>
      <w:r w:rsidRPr="004914A7">
        <w:t>              a) Anexo 2.1. Clasificación Administrativa.</w:t>
      </w:r>
    </w:p>
    <w:p w:rsidR="006628A2" w:rsidRPr="004914A7" w:rsidRDefault="006628A2" w:rsidP="001B6FE0">
      <w:pPr>
        <w:suppressAutoHyphens/>
      </w:pPr>
    </w:p>
    <w:p w:rsidR="006628A2" w:rsidRPr="004914A7" w:rsidRDefault="00034E2C" w:rsidP="001B6FE0">
      <w:pPr>
        <w:suppressAutoHyphens/>
      </w:pPr>
      <w:r w:rsidRPr="004914A7">
        <w:lastRenderedPageBreak/>
        <w:t>                      1. Anexo 2.1.1. Poder Ejecutivo.</w:t>
      </w:r>
    </w:p>
    <w:p w:rsidR="006628A2" w:rsidRPr="004914A7" w:rsidRDefault="006628A2" w:rsidP="001B6FE0">
      <w:pPr>
        <w:suppressAutoHyphens/>
      </w:pPr>
    </w:p>
    <w:p w:rsidR="009952D7" w:rsidRPr="004914A7" w:rsidRDefault="00034E2C" w:rsidP="001B6FE0">
      <w:pPr>
        <w:suppressAutoHyphens/>
        <w:ind w:left="1418" w:hanging="1418"/>
      </w:pPr>
      <w:r w:rsidRPr="004914A7">
        <w:t>                     </w:t>
      </w:r>
      <w:r w:rsidR="00245F6B" w:rsidRPr="004914A7">
        <w:t>  </w:t>
      </w:r>
      <w:r w:rsidRPr="004914A7">
        <w:t>2. Anexo 2.1.2. Entidades Paraestatales y Fideicomisos no Empresariales y no Financieros.</w:t>
      </w:r>
    </w:p>
    <w:p w:rsidR="006628A2" w:rsidRPr="004914A7" w:rsidRDefault="006628A2" w:rsidP="001B6FE0">
      <w:pPr>
        <w:suppressAutoHyphens/>
      </w:pPr>
    </w:p>
    <w:p w:rsidR="009952D7" w:rsidRPr="004914A7" w:rsidRDefault="00034E2C" w:rsidP="001B6FE0">
      <w:pPr>
        <w:suppressAutoHyphens/>
        <w:ind w:left="1418" w:hanging="1418"/>
      </w:pPr>
      <w:r w:rsidRPr="004914A7">
        <w:t>                     </w:t>
      </w:r>
      <w:r w:rsidR="00245F6B" w:rsidRPr="004914A7">
        <w:t>  </w:t>
      </w:r>
      <w:r w:rsidRPr="004914A7">
        <w:t>3. Anexo 2.1.3. Entidades Paraestatales Empresariales no Financieras con Participación Estatal Mayoritaria.</w:t>
      </w:r>
    </w:p>
    <w:p w:rsidR="006628A2" w:rsidRPr="004914A7" w:rsidRDefault="006628A2" w:rsidP="001B6FE0">
      <w:pPr>
        <w:suppressAutoHyphens/>
      </w:pPr>
    </w:p>
    <w:p w:rsidR="006628A2" w:rsidRPr="004914A7" w:rsidRDefault="00034E2C" w:rsidP="001B6FE0">
      <w:pPr>
        <w:suppressAutoHyphens/>
      </w:pPr>
      <w:r w:rsidRPr="004914A7">
        <w:t>                      4. Anexo 2.1.4. Instituciones Públicas de Seguridad Social.</w:t>
      </w:r>
    </w:p>
    <w:p w:rsidR="006628A2" w:rsidRPr="004914A7" w:rsidRDefault="006628A2" w:rsidP="001B6FE0">
      <w:pPr>
        <w:suppressAutoHyphens/>
      </w:pPr>
    </w:p>
    <w:p w:rsidR="006628A2" w:rsidRPr="004914A7" w:rsidRDefault="00034E2C" w:rsidP="001B6FE0">
      <w:pPr>
        <w:suppressAutoHyphens/>
      </w:pPr>
      <w:r w:rsidRPr="004914A7">
        <w:t xml:space="preserve">              b) Anexo 2.2. Clasificación por Fuente de Financiamiento </w:t>
      </w:r>
      <w:r w:rsidR="003A25A2" w:rsidRPr="004914A7">
        <w:t xml:space="preserve">e </w:t>
      </w:r>
      <w:r w:rsidR="00867154" w:rsidRPr="004914A7">
        <w:t>importe.</w:t>
      </w:r>
    </w:p>
    <w:p w:rsidR="006628A2" w:rsidRPr="004914A7" w:rsidRDefault="006628A2" w:rsidP="001B6FE0">
      <w:pPr>
        <w:suppressAutoHyphens/>
      </w:pPr>
    </w:p>
    <w:p w:rsidR="009952D7" w:rsidRPr="004914A7" w:rsidRDefault="00034E2C" w:rsidP="001B6FE0">
      <w:pPr>
        <w:suppressAutoHyphens/>
        <w:ind w:left="567" w:hanging="567"/>
      </w:pPr>
      <w:r w:rsidRPr="004914A7">
        <w:t>             </w:t>
      </w:r>
      <w:r w:rsidR="00245F6B" w:rsidRPr="004914A7">
        <w:t> </w:t>
      </w:r>
      <w:r w:rsidRPr="004914A7">
        <w:t xml:space="preserve">c) Anexo 2.3. Clasificación Funcional por </w:t>
      </w:r>
      <w:r w:rsidR="00245F6B" w:rsidRPr="004914A7">
        <w:t>F</w:t>
      </w:r>
      <w:r w:rsidRPr="004914A7">
        <w:t xml:space="preserve">inalidad, </w:t>
      </w:r>
      <w:r w:rsidR="00245F6B" w:rsidRPr="004914A7">
        <w:t>F</w:t>
      </w:r>
      <w:r w:rsidRPr="004914A7">
        <w:t xml:space="preserve">unción, </w:t>
      </w:r>
      <w:proofErr w:type="spellStart"/>
      <w:r w:rsidR="00245F6B" w:rsidRPr="004914A7">
        <w:t>S</w:t>
      </w:r>
      <w:r w:rsidRPr="004914A7">
        <w:t>ubfunción</w:t>
      </w:r>
      <w:proofErr w:type="spellEnd"/>
      <w:r w:rsidRPr="004914A7">
        <w:t xml:space="preserve">, y </w:t>
      </w:r>
      <w:r w:rsidR="00245F6B" w:rsidRPr="004914A7">
        <w:t>M</w:t>
      </w:r>
      <w:r w:rsidRPr="004914A7">
        <w:t>onto.</w:t>
      </w:r>
    </w:p>
    <w:p w:rsidR="006628A2" w:rsidRPr="004914A7" w:rsidRDefault="006628A2" w:rsidP="001B6FE0">
      <w:pPr>
        <w:suppressAutoHyphens/>
      </w:pPr>
    </w:p>
    <w:p w:rsidR="006628A2" w:rsidRPr="004914A7" w:rsidRDefault="00034E2C" w:rsidP="001B6FE0">
      <w:pPr>
        <w:suppressAutoHyphens/>
      </w:pPr>
      <w:r w:rsidRPr="004914A7">
        <w:t>             </w:t>
      </w:r>
      <w:r w:rsidR="00245F6B" w:rsidRPr="004914A7">
        <w:t> </w:t>
      </w:r>
      <w:r w:rsidRPr="004914A7">
        <w:t xml:space="preserve">d) Anexo 2.4. Clasificación Programática por </w:t>
      </w:r>
      <w:r w:rsidR="00245F6B" w:rsidRPr="004914A7">
        <w:t>T</w:t>
      </w:r>
      <w:r w:rsidRPr="004914A7">
        <w:t xml:space="preserve">ipo de </w:t>
      </w:r>
      <w:r w:rsidR="00245F6B" w:rsidRPr="004914A7">
        <w:t>P</w:t>
      </w:r>
      <w:r w:rsidRPr="004914A7">
        <w:t xml:space="preserve">rograma </w:t>
      </w:r>
      <w:r w:rsidR="003A25A2" w:rsidRPr="004914A7">
        <w:t xml:space="preserve">e </w:t>
      </w:r>
      <w:r w:rsidR="00867154" w:rsidRPr="004914A7">
        <w:t>importe.</w:t>
      </w:r>
    </w:p>
    <w:p w:rsidR="006628A2" w:rsidRPr="004914A7" w:rsidRDefault="006628A2" w:rsidP="001B6FE0">
      <w:pPr>
        <w:suppressAutoHyphens/>
      </w:pPr>
    </w:p>
    <w:p w:rsidR="006628A2" w:rsidRPr="004914A7" w:rsidRDefault="00034E2C" w:rsidP="001B6FE0">
      <w:pPr>
        <w:suppressAutoHyphens/>
      </w:pPr>
      <w:r w:rsidRPr="004914A7">
        <w:t>            </w:t>
      </w:r>
      <w:r w:rsidR="009145B1">
        <w:t xml:space="preserve">   </w:t>
      </w:r>
      <w:r w:rsidRPr="004914A7">
        <w:t xml:space="preserve">e) Anexo 2.5. Clasificación por Tipo de Gasto </w:t>
      </w:r>
      <w:r w:rsidR="003A25A2" w:rsidRPr="004914A7">
        <w:t xml:space="preserve">e importe. </w:t>
      </w:r>
      <w:proofErr w:type="gramStart"/>
      <w:r w:rsidRPr="004914A7">
        <w:t>y</w:t>
      </w:r>
      <w:proofErr w:type="gramEnd"/>
      <w:r w:rsidRPr="004914A7">
        <w:t xml:space="preserve"> </w:t>
      </w:r>
      <w:r w:rsidR="00245F6B" w:rsidRPr="004914A7">
        <w:t>M</w:t>
      </w:r>
      <w:r w:rsidRPr="004914A7">
        <w:t>onto.</w:t>
      </w:r>
    </w:p>
    <w:p w:rsidR="006628A2" w:rsidRPr="004914A7" w:rsidRDefault="006628A2" w:rsidP="001B6FE0">
      <w:pPr>
        <w:suppressAutoHyphens/>
      </w:pPr>
    </w:p>
    <w:p w:rsidR="009952D7" w:rsidRPr="004914A7" w:rsidRDefault="00034E2C" w:rsidP="001B6FE0">
      <w:pPr>
        <w:suppressAutoHyphens/>
        <w:ind w:left="567" w:hanging="567"/>
      </w:pPr>
      <w:r w:rsidRPr="004914A7">
        <w:t>              </w:t>
      </w:r>
      <w:r w:rsidR="00245F6B" w:rsidRPr="004914A7">
        <w:t>  </w:t>
      </w:r>
      <w:r w:rsidRPr="004914A7">
        <w:t>f) Anexo 2.6. Clasificación por Objeto del Gasto por Capítulo, Concepto, Partida Genérica e Importe.</w:t>
      </w:r>
    </w:p>
    <w:p w:rsidR="006628A2" w:rsidRPr="004914A7" w:rsidRDefault="006628A2" w:rsidP="001B6FE0">
      <w:pPr>
        <w:suppressAutoHyphens/>
      </w:pPr>
    </w:p>
    <w:p w:rsidR="006628A2" w:rsidRPr="004914A7" w:rsidRDefault="00034E2C" w:rsidP="001B6FE0">
      <w:pPr>
        <w:suppressAutoHyphens/>
      </w:pPr>
      <w:r w:rsidRPr="004914A7">
        <w:t xml:space="preserve">      III. Anexo 3. Integración del Gasto de </w:t>
      </w:r>
      <w:r w:rsidR="00245F6B" w:rsidRPr="004914A7">
        <w:t>E</w:t>
      </w:r>
      <w:r w:rsidRPr="004914A7">
        <w:t xml:space="preserve">ducación por </w:t>
      </w:r>
      <w:r w:rsidR="00245F6B" w:rsidRPr="004914A7">
        <w:t>T</w:t>
      </w:r>
      <w:r w:rsidRPr="004914A7">
        <w:t xml:space="preserve">ipo de </w:t>
      </w:r>
      <w:r w:rsidR="00245F6B" w:rsidRPr="004914A7">
        <w:t>R</w:t>
      </w:r>
      <w:r w:rsidRPr="004914A7">
        <w:t>ecurso.</w:t>
      </w:r>
    </w:p>
    <w:p w:rsidR="006628A2" w:rsidRPr="004914A7" w:rsidRDefault="006628A2" w:rsidP="001B6FE0">
      <w:pPr>
        <w:suppressAutoHyphens/>
      </w:pPr>
    </w:p>
    <w:p w:rsidR="006628A2" w:rsidRPr="004914A7" w:rsidRDefault="00034E2C" w:rsidP="001B6FE0">
      <w:pPr>
        <w:suppressAutoHyphens/>
      </w:pPr>
      <w:r w:rsidRPr="004914A7">
        <w:t>      IV. Anexo 4. Participaciones y Aportaciones a Municipios.</w:t>
      </w:r>
    </w:p>
    <w:p w:rsidR="006628A2" w:rsidRPr="004914A7" w:rsidRDefault="006628A2" w:rsidP="001B6FE0">
      <w:pPr>
        <w:suppressAutoHyphens/>
      </w:pPr>
    </w:p>
    <w:p w:rsidR="006628A2" w:rsidRPr="004914A7" w:rsidRDefault="00034E2C" w:rsidP="001B6FE0">
      <w:pPr>
        <w:suppressAutoHyphens/>
      </w:pPr>
      <w:r w:rsidRPr="004914A7">
        <w:t>              a) Anexo 4.1. Participaciones Federales y Estatales a Municipios.</w:t>
      </w:r>
    </w:p>
    <w:p w:rsidR="006628A2" w:rsidRPr="004914A7" w:rsidRDefault="006628A2" w:rsidP="001B6FE0">
      <w:pPr>
        <w:suppressAutoHyphens/>
      </w:pPr>
    </w:p>
    <w:p w:rsidR="006628A2" w:rsidRPr="004914A7" w:rsidRDefault="00034E2C" w:rsidP="001B6FE0">
      <w:pPr>
        <w:suppressAutoHyphens/>
      </w:pPr>
      <w:r w:rsidRPr="004914A7">
        <w:t>              b) Anexo 4.2. Aportaciones a Municipios.</w:t>
      </w:r>
    </w:p>
    <w:p w:rsidR="006628A2" w:rsidRPr="004914A7" w:rsidRDefault="006628A2" w:rsidP="001B6FE0">
      <w:pPr>
        <w:suppressAutoHyphens/>
      </w:pPr>
    </w:p>
    <w:p w:rsidR="006628A2" w:rsidRPr="004914A7" w:rsidRDefault="00034E2C" w:rsidP="001B6FE0">
      <w:pPr>
        <w:suppressAutoHyphens/>
      </w:pPr>
      <w:r w:rsidRPr="004914A7">
        <w:t>      V. Anexo 5. Deuda Pública.</w:t>
      </w:r>
    </w:p>
    <w:p w:rsidR="006628A2" w:rsidRPr="004914A7" w:rsidRDefault="006628A2" w:rsidP="001B6FE0">
      <w:pPr>
        <w:suppressAutoHyphens/>
      </w:pPr>
    </w:p>
    <w:p w:rsidR="006628A2" w:rsidRPr="004914A7" w:rsidRDefault="00034E2C" w:rsidP="001B6FE0">
      <w:pPr>
        <w:suppressAutoHyphens/>
      </w:pPr>
      <w:r w:rsidRPr="004914A7">
        <w:t>              a) Anexo 5.1. Información sobre la Deuda Pública.</w:t>
      </w:r>
    </w:p>
    <w:p w:rsidR="006628A2" w:rsidRPr="004914A7" w:rsidRDefault="006628A2" w:rsidP="001B6FE0">
      <w:pPr>
        <w:suppressAutoHyphens/>
      </w:pPr>
    </w:p>
    <w:p w:rsidR="006628A2" w:rsidRPr="004914A7" w:rsidRDefault="00034E2C" w:rsidP="001B6FE0">
      <w:pPr>
        <w:suppressAutoHyphens/>
      </w:pPr>
      <w:r w:rsidRPr="004914A7">
        <w:t>              b) Anexo 5.2. Programa Financiero de la Deuda Pública 2021.</w:t>
      </w:r>
    </w:p>
    <w:p w:rsidR="006628A2" w:rsidRPr="004914A7" w:rsidRDefault="006628A2" w:rsidP="001B6FE0">
      <w:pPr>
        <w:suppressAutoHyphens/>
      </w:pPr>
    </w:p>
    <w:p w:rsidR="006628A2" w:rsidRPr="004914A7" w:rsidRDefault="00034E2C" w:rsidP="001B6FE0">
      <w:pPr>
        <w:suppressAutoHyphens/>
      </w:pPr>
      <w:r w:rsidRPr="004914A7">
        <w:t>              c) Anexo 5.3. Presupuesto de la Deuda Pública 2021.</w:t>
      </w:r>
    </w:p>
    <w:p w:rsidR="006628A2" w:rsidRPr="004914A7" w:rsidRDefault="006628A2" w:rsidP="001B6FE0">
      <w:pPr>
        <w:suppressAutoHyphens/>
      </w:pPr>
    </w:p>
    <w:p w:rsidR="006628A2" w:rsidRPr="004914A7" w:rsidRDefault="00034E2C" w:rsidP="001B6FE0">
      <w:pPr>
        <w:suppressAutoHyphens/>
      </w:pPr>
      <w:r w:rsidRPr="004914A7">
        <w:t xml:space="preserve">      VI. Anexo 6. </w:t>
      </w:r>
      <w:r w:rsidR="003A25A2" w:rsidRPr="004914A7">
        <w:t>Jubilaciones y Pensiones</w:t>
      </w:r>
      <w:r w:rsidRPr="004914A7">
        <w:t>.</w:t>
      </w:r>
    </w:p>
    <w:p w:rsidR="006628A2" w:rsidRPr="004914A7" w:rsidRDefault="006628A2" w:rsidP="001B6FE0">
      <w:pPr>
        <w:suppressAutoHyphens/>
      </w:pPr>
    </w:p>
    <w:p w:rsidR="006628A2" w:rsidRPr="004914A7" w:rsidRDefault="00034E2C" w:rsidP="001B6FE0">
      <w:pPr>
        <w:suppressAutoHyphens/>
      </w:pPr>
      <w:r w:rsidRPr="004914A7">
        <w:t>              a) Anexo 6.1. Jubilaciones</w:t>
      </w:r>
      <w:r w:rsidR="00A160CF" w:rsidRPr="004914A7">
        <w:t xml:space="preserve"> y Pensiones</w:t>
      </w:r>
      <w:r w:rsidRPr="004914A7">
        <w:t xml:space="preserve"> por </w:t>
      </w:r>
      <w:r w:rsidR="00245F6B" w:rsidRPr="004914A7">
        <w:t>P</w:t>
      </w:r>
      <w:r w:rsidRPr="004914A7">
        <w:t xml:space="preserve">artida </w:t>
      </w:r>
      <w:r w:rsidR="003A25A2" w:rsidRPr="004914A7">
        <w:t>e importe</w:t>
      </w:r>
      <w:r w:rsidRPr="004914A7">
        <w:t>.</w:t>
      </w:r>
    </w:p>
    <w:p w:rsidR="006628A2" w:rsidRPr="004914A7" w:rsidRDefault="006628A2" w:rsidP="001B6FE0">
      <w:pPr>
        <w:suppressAutoHyphens/>
      </w:pPr>
    </w:p>
    <w:p w:rsidR="006628A2" w:rsidRPr="004914A7" w:rsidRDefault="00034E2C" w:rsidP="001B6FE0">
      <w:pPr>
        <w:suppressAutoHyphens/>
      </w:pPr>
      <w:r w:rsidRPr="004914A7">
        <w:t>              b) Anexo 6.2. Erogaciones Previstas para Jubilaciones.</w:t>
      </w:r>
    </w:p>
    <w:p w:rsidR="006628A2" w:rsidRPr="004914A7" w:rsidRDefault="006628A2" w:rsidP="001B6FE0">
      <w:pPr>
        <w:suppressAutoHyphens/>
      </w:pPr>
    </w:p>
    <w:p w:rsidR="006628A2" w:rsidRPr="004914A7" w:rsidRDefault="00034E2C" w:rsidP="001B6FE0">
      <w:pPr>
        <w:suppressAutoHyphens/>
      </w:pPr>
      <w:r w:rsidRPr="004914A7">
        <w:t>              c) Anexo 6.3. Erogaciones Previstas para Pensiones.</w:t>
      </w:r>
    </w:p>
    <w:p w:rsidR="006628A2" w:rsidRPr="004914A7" w:rsidRDefault="006628A2" w:rsidP="001B6FE0">
      <w:pPr>
        <w:suppressAutoHyphens/>
      </w:pPr>
    </w:p>
    <w:p w:rsidR="006628A2" w:rsidRPr="004914A7" w:rsidRDefault="00034E2C" w:rsidP="001B6FE0">
      <w:pPr>
        <w:suppressAutoHyphens/>
      </w:pPr>
      <w:r w:rsidRPr="004914A7">
        <w:t>      VII. Anexo 7. Programas Presupuestarios.</w:t>
      </w:r>
    </w:p>
    <w:p w:rsidR="006628A2" w:rsidRPr="004914A7" w:rsidRDefault="006628A2" w:rsidP="001B6FE0">
      <w:pPr>
        <w:suppressAutoHyphens/>
      </w:pPr>
    </w:p>
    <w:p w:rsidR="006628A2" w:rsidRPr="004914A7" w:rsidRDefault="00034E2C" w:rsidP="001B6FE0">
      <w:pPr>
        <w:suppressAutoHyphens/>
      </w:pPr>
      <w:r w:rsidRPr="004914A7">
        <w:t>              a) Anexo 7.1. Principales Programas Presupuestarios.</w:t>
      </w:r>
    </w:p>
    <w:p w:rsidR="006628A2" w:rsidRPr="004914A7" w:rsidRDefault="006628A2" w:rsidP="001B6FE0">
      <w:pPr>
        <w:suppressAutoHyphens/>
      </w:pPr>
    </w:p>
    <w:p w:rsidR="006628A2" w:rsidRPr="004914A7" w:rsidRDefault="00034E2C" w:rsidP="001B6FE0">
      <w:pPr>
        <w:suppressAutoHyphens/>
      </w:pPr>
      <w:r w:rsidRPr="004914A7">
        <w:t>              b) Anexo 7.2. Programas por Fuente de Financiamiento.</w:t>
      </w:r>
    </w:p>
    <w:p w:rsidR="006628A2" w:rsidRPr="004914A7" w:rsidRDefault="006628A2" w:rsidP="001B6FE0">
      <w:pPr>
        <w:suppressAutoHyphens/>
      </w:pPr>
    </w:p>
    <w:p w:rsidR="006628A2" w:rsidRPr="004914A7" w:rsidRDefault="00034E2C" w:rsidP="001B6FE0">
      <w:pPr>
        <w:suppressAutoHyphens/>
      </w:pPr>
      <w:r w:rsidRPr="004914A7">
        <w:t>              c) Anexo 7.3. Programas Presupuestarios por Objeto del Gasto.</w:t>
      </w:r>
    </w:p>
    <w:p w:rsidR="006628A2" w:rsidRPr="004914A7" w:rsidRDefault="006628A2" w:rsidP="001B6FE0">
      <w:pPr>
        <w:suppressAutoHyphens/>
      </w:pPr>
    </w:p>
    <w:p w:rsidR="006628A2" w:rsidRPr="004914A7" w:rsidRDefault="00034E2C" w:rsidP="001B6FE0">
      <w:pPr>
        <w:suppressAutoHyphens/>
      </w:pPr>
      <w:r w:rsidRPr="004914A7">
        <w:t>              d) Anexo 7.4. Destino de los Recursos del Ramo 33.</w:t>
      </w:r>
    </w:p>
    <w:p w:rsidR="006628A2" w:rsidRPr="004914A7" w:rsidRDefault="006628A2" w:rsidP="001B6FE0">
      <w:pPr>
        <w:suppressAutoHyphens/>
      </w:pPr>
    </w:p>
    <w:p w:rsidR="006628A2" w:rsidRPr="004914A7" w:rsidRDefault="00034E2C" w:rsidP="001B6FE0">
      <w:pPr>
        <w:suppressAutoHyphens/>
      </w:pPr>
      <w:r w:rsidRPr="004914A7">
        <w:t>              e) Anexo 7.5. Programas con Recursos Concurrentes.</w:t>
      </w:r>
    </w:p>
    <w:p w:rsidR="006628A2" w:rsidRPr="004914A7" w:rsidRDefault="006628A2" w:rsidP="001B6FE0">
      <w:pPr>
        <w:suppressAutoHyphens/>
      </w:pPr>
    </w:p>
    <w:p w:rsidR="006628A2" w:rsidRPr="004914A7" w:rsidRDefault="00034E2C" w:rsidP="001B6FE0">
      <w:pPr>
        <w:suppressAutoHyphens/>
      </w:pPr>
      <w:r w:rsidRPr="004914A7">
        <w:t xml:space="preserve">              f) Anexo 7.6. Programas </w:t>
      </w:r>
      <w:r w:rsidR="00245F6B" w:rsidRPr="004914A7">
        <w:t>S</w:t>
      </w:r>
      <w:r w:rsidRPr="004914A7">
        <w:t xml:space="preserve">ujetos a </w:t>
      </w:r>
      <w:r w:rsidR="00245F6B" w:rsidRPr="004914A7">
        <w:t>R</w:t>
      </w:r>
      <w:r w:rsidRPr="004914A7">
        <w:t xml:space="preserve">eglas de </w:t>
      </w:r>
      <w:r w:rsidR="00245F6B" w:rsidRPr="004914A7">
        <w:t>O</w:t>
      </w:r>
      <w:r w:rsidRPr="004914A7">
        <w:t>peración.</w:t>
      </w:r>
    </w:p>
    <w:p w:rsidR="006628A2" w:rsidRPr="004914A7" w:rsidRDefault="006628A2" w:rsidP="001B6FE0">
      <w:pPr>
        <w:suppressAutoHyphens/>
      </w:pPr>
    </w:p>
    <w:p w:rsidR="006628A2" w:rsidRPr="004914A7" w:rsidRDefault="00034E2C" w:rsidP="001B6FE0">
      <w:pPr>
        <w:suppressAutoHyphens/>
      </w:pPr>
      <w:r w:rsidRPr="004914A7">
        <w:t>      VIII. Anexo 8. Resumen de Plazas.</w:t>
      </w:r>
    </w:p>
    <w:p w:rsidR="006628A2" w:rsidRPr="004914A7" w:rsidRDefault="006628A2" w:rsidP="001B6FE0">
      <w:pPr>
        <w:suppressAutoHyphens/>
      </w:pPr>
    </w:p>
    <w:p w:rsidR="006628A2" w:rsidRPr="004914A7" w:rsidRDefault="00034E2C" w:rsidP="001B6FE0">
      <w:pPr>
        <w:suppressAutoHyphens/>
      </w:pPr>
      <w:r w:rsidRPr="004914A7">
        <w:t xml:space="preserve">      IX. Anexo 9. Previsiones </w:t>
      </w:r>
      <w:r w:rsidR="00245F6B" w:rsidRPr="004914A7">
        <w:t>S</w:t>
      </w:r>
      <w:r w:rsidRPr="004914A7">
        <w:t xml:space="preserve">alariales y </w:t>
      </w:r>
      <w:r w:rsidR="00245F6B" w:rsidRPr="004914A7">
        <w:t>E</w:t>
      </w:r>
      <w:r w:rsidRPr="004914A7">
        <w:t>conómicas.</w:t>
      </w:r>
    </w:p>
    <w:p w:rsidR="006628A2" w:rsidRPr="004914A7" w:rsidRDefault="006628A2" w:rsidP="001B6FE0">
      <w:pPr>
        <w:suppressAutoHyphens/>
      </w:pPr>
    </w:p>
    <w:p w:rsidR="006628A2" w:rsidRPr="004914A7" w:rsidRDefault="00034E2C" w:rsidP="001B6FE0">
      <w:pPr>
        <w:suppressAutoHyphens/>
      </w:pPr>
      <w:r w:rsidRPr="004914A7">
        <w:t xml:space="preserve">              a) Anexo 9.1 Previsiones </w:t>
      </w:r>
      <w:r w:rsidR="00245F6B" w:rsidRPr="004914A7">
        <w:t>E</w:t>
      </w:r>
      <w:r w:rsidRPr="004914A7">
        <w:t xml:space="preserve">conómicas para </w:t>
      </w:r>
      <w:r w:rsidR="00245F6B" w:rsidRPr="004914A7">
        <w:t>D</w:t>
      </w:r>
      <w:r w:rsidRPr="004914A7">
        <w:t xml:space="preserve">esastres </w:t>
      </w:r>
      <w:r w:rsidR="00245F6B" w:rsidRPr="004914A7">
        <w:t>N</w:t>
      </w:r>
      <w:r w:rsidRPr="004914A7">
        <w:t>aturales.</w:t>
      </w:r>
    </w:p>
    <w:p w:rsidR="006628A2" w:rsidRPr="004914A7" w:rsidRDefault="006628A2" w:rsidP="001B6FE0">
      <w:pPr>
        <w:suppressAutoHyphens/>
      </w:pPr>
    </w:p>
    <w:p w:rsidR="006628A2" w:rsidRPr="004914A7" w:rsidRDefault="00034E2C" w:rsidP="001B6FE0">
      <w:pPr>
        <w:suppressAutoHyphens/>
      </w:pPr>
      <w:r w:rsidRPr="004914A7">
        <w:t>      X. Anexo 10. Montos Máximos de Adquisiciones y Adjudicaciones.</w:t>
      </w:r>
    </w:p>
    <w:p w:rsidR="006628A2" w:rsidRPr="004914A7" w:rsidRDefault="006628A2" w:rsidP="001B6FE0">
      <w:pPr>
        <w:suppressAutoHyphens/>
      </w:pPr>
    </w:p>
    <w:p w:rsidR="009952D7" w:rsidRPr="004914A7" w:rsidRDefault="00034E2C" w:rsidP="001B6FE0">
      <w:pPr>
        <w:suppressAutoHyphens/>
        <w:ind w:left="567" w:hanging="425"/>
      </w:pPr>
      <w:r w:rsidRPr="004914A7">
        <w:t>              a) Anexo 10.1. Montos Máximos de Adquisiciones, Arrendamientos y Servicios relacionados con Bienes Muebles.</w:t>
      </w:r>
    </w:p>
    <w:p w:rsidR="006628A2" w:rsidRPr="004914A7" w:rsidRDefault="006628A2" w:rsidP="001B6FE0">
      <w:pPr>
        <w:suppressAutoHyphens/>
      </w:pPr>
    </w:p>
    <w:p w:rsidR="006628A2" w:rsidRPr="004914A7" w:rsidRDefault="00034E2C" w:rsidP="001B6FE0">
      <w:pPr>
        <w:suppressAutoHyphens/>
      </w:pPr>
      <w:r w:rsidRPr="004914A7">
        <w:t>              b) Anexo 10.2. Montos Máximos para la Adjudicación de Obras Públicas.</w:t>
      </w:r>
    </w:p>
    <w:p w:rsidR="006628A2" w:rsidRPr="004914A7" w:rsidRDefault="006628A2" w:rsidP="001B6FE0">
      <w:pPr>
        <w:suppressAutoHyphens/>
      </w:pPr>
    </w:p>
    <w:p w:rsidR="006628A2" w:rsidRPr="004914A7" w:rsidRDefault="00034E2C" w:rsidP="001B6FE0">
      <w:pPr>
        <w:suppressAutoHyphens/>
      </w:pPr>
      <w:r w:rsidRPr="004914A7">
        <w:t>      XI. Anexo 11. Transferencias, Asignaciones, Subsidios, Donativos y otras Ayudas.</w:t>
      </w:r>
    </w:p>
    <w:p w:rsidR="006628A2" w:rsidRPr="004914A7" w:rsidRDefault="006628A2" w:rsidP="001B6FE0">
      <w:pPr>
        <w:suppressAutoHyphens/>
      </w:pPr>
    </w:p>
    <w:p w:rsidR="009952D7" w:rsidRPr="004914A7" w:rsidRDefault="00034E2C" w:rsidP="001B6FE0">
      <w:pPr>
        <w:suppressAutoHyphens/>
        <w:ind w:left="567" w:hanging="141"/>
      </w:pPr>
      <w:r w:rsidRPr="004914A7">
        <w:t xml:space="preserve">       a) Anexo 11.1. Presupuesto </w:t>
      </w:r>
      <w:r w:rsidR="00245F6B" w:rsidRPr="004914A7">
        <w:t>A</w:t>
      </w:r>
      <w:r w:rsidRPr="004914A7">
        <w:t>signado a Donativos, Subsidios y Subvenciones.</w:t>
      </w:r>
    </w:p>
    <w:p w:rsidR="006628A2" w:rsidRPr="004914A7" w:rsidRDefault="006628A2" w:rsidP="001B6FE0">
      <w:pPr>
        <w:suppressAutoHyphens/>
      </w:pPr>
    </w:p>
    <w:p w:rsidR="006628A2" w:rsidRPr="004914A7" w:rsidRDefault="00034E2C" w:rsidP="001B6FE0">
      <w:pPr>
        <w:suppressAutoHyphens/>
      </w:pPr>
      <w:r w:rsidRPr="004914A7">
        <w:t>              b) Anexo 11.2. Subsidios a la Producción.</w:t>
      </w:r>
    </w:p>
    <w:p w:rsidR="006628A2" w:rsidRPr="004914A7" w:rsidRDefault="006628A2" w:rsidP="001B6FE0">
      <w:pPr>
        <w:suppressAutoHyphens/>
      </w:pPr>
    </w:p>
    <w:p w:rsidR="006628A2" w:rsidRPr="004914A7" w:rsidRDefault="00034E2C" w:rsidP="001B6FE0">
      <w:pPr>
        <w:suppressAutoHyphens/>
      </w:pPr>
      <w:r w:rsidRPr="004914A7">
        <w:t>              c) Anexo 11.3. Presupuesto Asignado para Ayudas Sociales.</w:t>
      </w:r>
    </w:p>
    <w:p w:rsidR="006628A2" w:rsidRPr="004914A7" w:rsidRDefault="006628A2" w:rsidP="001B6FE0">
      <w:pPr>
        <w:suppressAutoHyphens/>
      </w:pPr>
    </w:p>
    <w:p w:rsidR="006628A2" w:rsidRPr="004914A7" w:rsidRDefault="00034E2C" w:rsidP="001B6FE0">
      <w:pPr>
        <w:suppressAutoHyphens/>
      </w:pPr>
      <w:r w:rsidRPr="004914A7">
        <w:t>              d) Anexo 11.4. Financiamientos a Partidos Políticos.</w:t>
      </w:r>
    </w:p>
    <w:p w:rsidR="006628A2" w:rsidRPr="004914A7" w:rsidRDefault="006628A2" w:rsidP="001B6FE0">
      <w:pPr>
        <w:suppressAutoHyphens/>
      </w:pPr>
    </w:p>
    <w:p w:rsidR="009952D7" w:rsidRPr="004914A7" w:rsidRDefault="00034E2C" w:rsidP="001B6FE0">
      <w:pPr>
        <w:suppressAutoHyphens/>
        <w:ind w:left="567" w:hanging="141"/>
      </w:pPr>
      <w:r w:rsidRPr="004914A7">
        <w:t xml:space="preserve">        e) Anexo 11.5. Destino del Financiamiento </w:t>
      </w:r>
      <w:r w:rsidR="00245F6B" w:rsidRPr="004914A7">
        <w:t>A</w:t>
      </w:r>
      <w:r w:rsidRPr="004914A7">
        <w:t>dicional a los Partidos Políticos.</w:t>
      </w:r>
    </w:p>
    <w:p w:rsidR="006628A2" w:rsidRPr="004914A7" w:rsidRDefault="006628A2" w:rsidP="001B6FE0">
      <w:pPr>
        <w:suppressAutoHyphens/>
      </w:pPr>
    </w:p>
    <w:p w:rsidR="001D28ED" w:rsidRPr="004914A7" w:rsidRDefault="001D28ED" w:rsidP="001B6FE0">
      <w:pPr>
        <w:suppressAutoHyphens/>
      </w:pPr>
      <w:r w:rsidRPr="004914A7">
        <w:t xml:space="preserve">              f) </w:t>
      </w:r>
      <w:r w:rsidRPr="004914A7">
        <w:rPr>
          <w:rFonts w:cs="Arial"/>
        </w:rPr>
        <w:t>11.6. Financiamiento Público a Partidos Políticos para Obtención del Voto.</w:t>
      </w:r>
    </w:p>
    <w:p w:rsidR="001D28ED" w:rsidRPr="004914A7" w:rsidRDefault="001D28ED" w:rsidP="001B6FE0">
      <w:pPr>
        <w:suppressAutoHyphens/>
      </w:pPr>
    </w:p>
    <w:p w:rsidR="009952D7" w:rsidRPr="004914A7" w:rsidRDefault="00034E2C" w:rsidP="001B6FE0">
      <w:pPr>
        <w:suppressAutoHyphens/>
        <w:ind w:left="567" w:hanging="141"/>
      </w:pPr>
      <w:r w:rsidRPr="004914A7">
        <w:t>              </w:t>
      </w:r>
      <w:r w:rsidR="001D28ED" w:rsidRPr="004914A7">
        <w:t>g</w:t>
      </w:r>
      <w:r w:rsidRPr="004914A7">
        <w:t>) Anexo 11.</w:t>
      </w:r>
      <w:r w:rsidR="001D28ED" w:rsidRPr="004914A7">
        <w:t>7</w:t>
      </w:r>
      <w:r w:rsidRPr="004914A7">
        <w:t>. Calendario de entrega de Prerrogativas a Partidos Políticos.</w:t>
      </w:r>
    </w:p>
    <w:p w:rsidR="006628A2" w:rsidRPr="004914A7" w:rsidRDefault="006628A2" w:rsidP="001B6FE0">
      <w:pPr>
        <w:suppressAutoHyphens/>
      </w:pPr>
    </w:p>
    <w:p w:rsidR="005966E4" w:rsidRDefault="00034E2C" w:rsidP="001B6FE0">
      <w:pPr>
        <w:suppressAutoHyphens/>
      </w:pPr>
      <w:r w:rsidRPr="004914A7">
        <w:t>              </w:t>
      </w:r>
      <w:r w:rsidR="001D28ED" w:rsidRPr="004914A7">
        <w:t>h</w:t>
      </w:r>
      <w:r w:rsidRPr="004914A7">
        <w:t>) Anexo 11.</w:t>
      </w:r>
      <w:r w:rsidR="001D28ED" w:rsidRPr="004914A7">
        <w:t>8</w:t>
      </w:r>
      <w:r w:rsidRPr="004914A7">
        <w:t>. Montos Asignados a Fideicomisos Públicos.</w:t>
      </w:r>
    </w:p>
    <w:p w:rsidR="009145B1" w:rsidRPr="004914A7" w:rsidRDefault="009145B1" w:rsidP="001B6FE0">
      <w:pPr>
        <w:suppressAutoHyphens/>
      </w:pPr>
    </w:p>
    <w:p w:rsidR="006628A2" w:rsidRPr="004914A7" w:rsidRDefault="00034E2C" w:rsidP="001B6FE0">
      <w:pPr>
        <w:suppressAutoHyphens/>
      </w:pPr>
      <w:r w:rsidRPr="004914A7">
        <w:t xml:space="preserve">      XII. Anexo 12. Transferencias </w:t>
      </w:r>
      <w:r w:rsidR="003A25A2" w:rsidRPr="004914A7">
        <w:t>a</w:t>
      </w:r>
      <w:r w:rsidRPr="004914A7">
        <w:t>l Instituto de Salud para el Bienestar.</w:t>
      </w:r>
    </w:p>
    <w:p w:rsidR="006628A2" w:rsidRPr="004914A7" w:rsidRDefault="006628A2" w:rsidP="001B6FE0">
      <w:pPr>
        <w:suppressAutoHyphens/>
      </w:pPr>
    </w:p>
    <w:p w:rsidR="006628A2" w:rsidRPr="004914A7" w:rsidRDefault="00034E2C" w:rsidP="001B6FE0">
      <w:pPr>
        <w:suppressAutoHyphens/>
      </w:pPr>
      <w:r w:rsidRPr="004914A7">
        <w:t xml:space="preserve">      XIII. Anexo 13. Presupuesto </w:t>
      </w:r>
      <w:r w:rsidR="00245F6B" w:rsidRPr="004914A7">
        <w:t>A</w:t>
      </w:r>
      <w:r w:rsidRPr="004914A7">
        <w:t xml:space="preserve">signado a </w:t>
      </w:r>
      <w:r w:rsidR="00245F6B" w:rsidRPr="004914A7">
        <w:t>G</w:t>
      </w:r>
      <w:r w:rsidRPr="004914A7">
        <w:t>astos de Comunicación Social.</w:t>
      </w:r>
    </w:p>
    <w:p w:rsidR="006628A2" w:rsidRPr="004914A7" w:rsidRDefault="006628A2" w:rsidP="001B6FE0">
      <w:pPr>
        <w:suppressAutoHyphens/>
      </w:pPr>
    </w:p>
    <w:p w:rsidR="006628A2" w:rsidRPr="004914A7" w:rsidRDefault="00034E2C" w:rsidP="001B6FE0">
      <w:pPr>
        <w:suppressAutoHyphens/>
      </w:pPr>
      <w:r w:rsidRPr="004914A7">
        <w:t xml:space="preserve">      XIV. Anexo 14. Gastos </w:t>
      </w:r>
      <w:r w:rsidR="00245F6B" w:rsidRPr="004914A7">
        <w:t>O</w:t>
      </w:r>
      <w:r w:rsidRPr="004914A7">
        <w:t xml:space="preserve">bligatorios, </w:t>
      </w:r>
      <w:r w:rsidR="00245F6B" w:rsidRPr="004914A7">
        <w:t>E</w:t>
      </w:r>
      <w:r w:rsidRPr="004914A7">
        <w:t xml:space="preserve">rogaciones y </w:t>
      </w:r>
      <w:r w:rsidR="00245F6B" w:rsidRPr="004914A7">
        <w:t>C</w:t>
      </w:r>
      <w:r w:rsidRPr="004914A7">
        <w:t xml:space="preserve">ompromisos </w:t>
      </w:r>
      <w:r w:rsidR="00245F6B" w:rsidRPr="004914A7">
        <w:t>P</w:t>
      </w:r>
      <w:r w:rsidRPr="004914A7">
        <w:t>lurianuales.</w:t>
      </w:r>
    </w:p>
    <w:p w:rsidR="006628A2" w:rsidRPr="004914A7" w:rsidRDefault="006628A2" w:rsidP="001B6FE0">
      <w:pPr>
        <w:suppressAutoHyphens/>
      </w:pPr>
    </w:p>
    <w:p w:rsidR="006628A2" w:rsidRPr="004914A7" w:rsidRDefault="00034E2C" w:rsidP="001B6FE0">
      <w:pPr>
        <w:suppressAutoHyphens/>
      </w:pPr>
      <w:r w:rsidRPr="004914A7">
        <w:t>      XV. Anexo 15. Programas y Proyectos de Inversión en Cartera.</w:t>
      </w:r>
    </w:p>
    <w:p w:rsidR="006628A2" w:rsidRPr="004914A7" w:rsidRDefault="006628A2" w:rsidP="001B6FE0">
      <w:pPr>
        <w:suppressAutoHyphens/>
      </w:pPr>
    </w:p>
    <w:p w:rsidR="006628A2" w:rsidRPr="004914A7" w:rsidRDefault="00034E2C" w:rsidP="001B6FE0">
      <w:pPr>
        <w:suppressAutoHyphens/>
      </w:pPr>
      <w:r w:rsidRPr="004914A7">
        <w:t>      XVI. Anexo 16. Formatos de la Ley de Disciplina Financiera.</w:t>
      </w:r>
    </w:p>
    <w:p w:rsidR="006628A2" w:rsidRPr="004914A7" w:rsidRDefault="006628A2" w:rsidP="001B6FE0">
      <w:pPr>
        <w:suppressAutoHyphens/>
      </w:pPr>
    </w:p>
    <w:p w:rsidR="006628A2" w:rsidRPr="004914A7" w:rsidRDefault="00034E2C" w:rsidP="001B6FE0">
      <w:pPr>
        <w:suppressAutoHyphens/>
      </w:pPr>
      <w:r w:rsidRPr="004914A7">
        <w:t>              a) Anexo 16.1. Balance Presupuestario.</w:t>
      </w:r>
    </w:p>
    <w:p w:rsidR="006628A2" w:rsidRPr="004914A7" w:rsidRDefault="006628A2" w:rsidP="001B6FE0">
      <w:pPr>
        <w:suppressAutoHyphens/>
      </w:pPr>
    </w:p>
    <w:p w:rsidR="006628A2" w:rsidRPr="004914A7" w:rsidRDefault="00034E2C" w:rsidP="001B6FE0">
      <w:pPr>
        <w:suppressAutoHyphens/>
      </w:pPr>
      <w:r w:rsidRPr="004914A7">
        <w:t>              b) Anexo 16.2. Proyección de Egresos.</w:t>
      </w:r>
    </w:p>
    <w:p w:rsidR="006628A2" w:rsidRPr="004914A7" w:rsidRDefault="006628A2" w:rsidP="001B6FE0">
      <w:pPr>
        <w:suppressAutoHyphens/>
      </w:pPr>
    </w:p>
    <w:p w:rsidR="006628A2" w:rsidRPr="004914A7" w:rsidRDefault="00034E2C" w:rsidP="001B6FE0">
      <w:pPr>
        <w:suppressAutoHyphens/>
      </w:pPr>
      <w:r w:rsidRPr="004914A7">
        <w:t>              c) Anexo 16.3. Resultado de Egresos.</w:t>
      </w:r>
    </w:p>
    <w:p w:rsidR="006628A2" w:rsidRPr="004914A7" w:rsidRDefault="006628A2" w:rsidP="001B6FE0">
      <w:pPr>
        <w:suppressAutoHyphens/>
      </w:pPr>
    </w:p>
    <w:p w:rsidR="006628A2" w:rsidRPr="004914A7" w:rsidRDefault="00034E2C" w:rsidP="001B6FE0">
      <w:pPr>
        <w:suppressAutoHyphens/>
      </w:pPr>
      <w:r w:rsidRPr="004914A7">
        <w:t>              d) Anexo 16.4. Clasificador por Objeto del Gasto, a nivel Capítulo.</w:t>
      </w:r>
    </w:p>
    <w:p w:rsidR="006628A2" w:rsidRPr="004914A7" w:rsidRDefault="006628A2" w:rsidP="001B6FE0">
      <w:pPr>
        <w:suppressAutoHyphens/>
      </w:pPr>
    </w:p>
    <w:p w:rsidR="006628A2" w:rsidRPr="004914A7" w:rsidRDefault="00034E2C" w:rsidP="001B6FE0">
      <w:pPr>
        <w:suppressAutoHyphens/>
      </w:pPr>
      <w:r w:rsidRPr="004914A7">
        <w:t>              e) Anexo 16.5. Clasificador por Objeto del Gasto, a nivel Capítulo y Concepto.</w:t>
      </w:r>
    </w:p>
    <w:p w:rsidR="006628A2" w:rsidRPr="004914A7" w:rsidRDefault="006628A2" w:rsidP="001B6FE0">
      <w:pPr>
        <w:suppressAutoHyphens/>
      </w:pPr>
    </w:p>
    <w:p w:rsidR="006628A2" w:rsidRPr="004914A7" w:rsidRDefault="00034E2C" w:rsidP="001B6FE0">
      <w:pPr>
        <w:suppressAutoHyphens/>
      </w:pPr>
      <w:r w:rsidRPr="004914A7">
        <w:t>              f) Anexo 16.6. Clasificación Administrativa.</w:t>
      </w:r>
    </w:p>
    <w:p w:rsidR="006628A2" w:rsidRPr="004914A7" w:rsidRDefault="006628A2" w:rsidP="001B6FE0">
      <w:pPr>
        <w:suppressAutoHyphens/>
      </w:pPr>
    </w:p>
    <w:p w:rsidR="006628A2" w:rsidRPr="004914A7" w:rsidRDefault="00034E2C" w:rsidP="001B6FE0">
      <w:pPr>
        <w:suppressAutoHyphens/>
      </w:pPr>
      <w:r w:rsidRPr="004914A7">
        <w:t xml:space="preserve">              g) Anexo 16.7. Clasificación </w:t>
      </w:r>
      <w:r w:rsidR="00245F6B" w:rsidRPr="004914A7">
        <w:t>F</w:t>
      </w:r>
      <w:r w:rsidRPr="004914A7">
        <w:t xml:space="preserve">uncional por </w:t>
      </w:r>
      <w:r w:rsidR="00245F6B" w:rsidRPr="004914A7">
        <w:t>F</w:t>
      </w:r>
      <w:r w:rsidRPr="004914A7">
        <w:t xml:space="preserve">inalidad, </w:t>
      </w:r>
      <w:r w:rsidR="00245F6B" w:rsidRPr="004914A7">
        <w:t>E</w:t>
      </w:r>
      <w:r w:rsidRPr="004914A7">
        <w:t xml:space="preserve">je, </w:t>
      </w:r>
      <w:r w:rsidR="00245F6B" w:rsidRPr="004914A7">
        <w:t>F</w:t>
      </w:r>
      <w:r w:rsidRPr="004914A7">
        <w:t xml:space="preserve">unción, </w:t>
      </w:r>
      <w:proofErr w:type="spellStart"/>
      <w:r w:rsidR="00245F6B" w:rsidRPr="004914A7">
        <w:t>S</w:t>
      </w:r>
      <w:r w:rsidRPr="004914A7">
        <w:t>ubfunción</w:t>
      </w:r>
      <w:proofErr w:type="spellEnd"/>
      <w:r w:rsidRPr="004914A7">
        <w:t xml:space="preserve"> e </w:t>
      </w:r>
      <w:r w:rsidR="00245F6B" w:rsidRPr="004914A7">
        <w:t>I</w:t>
      </w:r>
      <w:r w:rsidRPr="004914A7">
        <w:t>mporte.</w:t>
      </w:r>
    </w:p>
    <w:p w:rsidR="006628A2" w:rsidRPr="004914A7" w:rsidRDefault="006628A2" w:rsidP="001B6FE0">
      <w:pPr>
        <w:suppressAutoHyphens/>
      </w:pPr>
    </w:p>
    <w:p w:rsidR="006628A2" w:rsidRPr="004914A7" w:rsidRDefault="00034E2C" w:rsidP="001B6FE0">
      <w:pPr>
        <w:suppressAutoHyphens/>
      </w:pPr>
      <w:r w:rsidRPr="004914A7">
        <w:t>              h) Anexo 16.8. Informe Analítico de la Deuda Pública y Otros Pasivos.</w:t>
      </w:r>
    </w:p>
    <w:p w:rsidR="006628A2" w:rsidRPr="004914A7" w:rsidRDefault="006628A2" w:rsidP="001B6FE0">
      <w:pPr>
        <w:suppressAutoHyphens/>
      </w:pPr>
    </w:p>
    <w:p w:rsidR="006628A2" w:rsidRPr="004914A7" w:rsidRDefault="00034E2C" w:rsidP="001B6FE0">
      <w:pPr>
        <w:suppressAutoHyphens/>
      </w:pPr>
      <w:r w:rsidRPr="004914A7">
        <w:t>              i) Anexo 16.9. Informe Analítico de Obligaciones Diferentes de Financiamientos.</w:t>
      </w:r>
    </w:p>
    <w:p w:rsidR="006628A2" w:rsidRPr="004914A7" w:rsidRDefault="006628A2" w:rsidP="001B6FE0">
      <w:pPr>
        <w:suppressAutoHyphens/>
      </w:pPr>
    </w:p>
    <w:p w:rsidR="006628A2" w:rsidRPr="004914A7" w:rsidRDefault="00034E2C" w:rsidP="001B6FE0">
      <w:pPr>
        <w:suppressAutoHyphens/>
      </w:pPr>
      <w:r w:rsidRPr="004914A7">
        <w:t>              j) Anexo 16.10. Informe sobre Estudios Actuariales.</w:t>
      </w:r>
    </w:p>
    <w:p w:rsidR="006628A2" w:rsidRPr="004914A7" w:rsidRDefault="006628A2" w:rsidP="001B6FE0">
      <w:pPr>
        <w:suppressAutoHyphens/>
      </w:pPr>
    </w:p>
    <w:p w:rsidR="006628A2" w:rsidRPr="004914A7" w:rsidRDefault="00034E2C" w:rsidP="001B6FE0">
      <w:pPr>
        <w:suppressAutoHyphens/>
      </w:pPr>
      <w:r w:rsidRPr="004914A7">
        <w:t xml:space="preserve">      XVII. Anexo 17. Cuentas </w:t>
      </w:r>
      <w:r w:rsidR="00245F6B" w:rsidRPr="004914A7">
        <w:t>B</w:t>
      </w:r>
      <w:r w:rsidRPr="004914A7">
        <w:t xml:space="preserve">ancarias </w:t>
      </w:r>
      <w:r w:rsidR="00245F6B" w:rsidRPr="004914A7">
        <w:t>P</w:t>
      </w:r>
      <w:r w:rsidRPr="004914A7">
        <w:t>roductivas</w:t>
      </w:r>
    </w:p>
    <w:p w:rsidR="006628A2" w:rsidRPr="004914A7" w:rsidRDefault="006628A2" w:rsidP="001B6FE0">
      <w:pPr>
        <w:suppressAutoHyphens/>
      </w:pPr>
    </w:p>
    <w:p w:rsidR="006628A2" w:rsidRPr="004914A7" w:rsidRDefault="00034E2C" w:rsidP="001B6FE0">
      <w:pPr>
        <w:suppressAutoHyphens/>
      </w:pPr>
      <w:r w:rsidRPr="004914A7">
        <w:t>      XVIII. Anexo 18. Anexos Transversales.</w:t>
      </w:r>
    </w:p>
    <w:p w:rsidR="006628A2" w:rsidRPr="004914A7" w:rsidRDefault="006628A2" w:rsidP="001B6FE0">
      <w:pPr>
        <w:suppressAutoHyphens/>
      </w:pPr>
    </w:p>
    <w:p w:rsidR="009952D7" w:rsidRPr="004914A7" w:rsidRDefault="00034E2C" w:rsidP="001B6FE0">
      <w:pPr>
        <w:suppressAutoHyphens/>
        <w:ind w:left="567" w:hanging="141"/>
      </w:pPr>
      <w:r w:rsidRPr="004914A7">
        <w:t>       a) Anexo 18.1. Anexo Presupuestario Transversal de Inversión para la Infancia Temprana.</w:t>
      </w:r>
    </w:p>
    <w:p w:rsidR="006628A2" w:rsidRPr="004914A7" w:rsidRDefault="006628A2" w:rsidP="001B6FE0">
      <w:pPr>
        <w:suppressAutoHyphens/>
      </w:pPr>
    </w:p>
    <w:p w:rsidR="006628A2" w:rsidRPr="004914A7" w:rsidRDefault="00034E2C" w:rsidP="001B6FE0">
      <w:pPr>
        <w:suppressAutoHyphens/>
        <w:ind w:left="567" w:hanging="567"/>
      </w:pPr>
      <w:r w:rsidRPr="004914A7">
        <w:t>              b) Anexo 18.2. Anexo Presupuestario Transversal de Inversión para Niñas, Niños y Adolescentes.</w:t>
      </w:r>
    </w:p>
    <w:p w:rsidR="006628A2" w:rsidRPr="004914A7" w:rsidRDefault="006628A2" w:rsidP="001B6FE0">
      <w:pPr>
        <w:suppressAutoHyphens/>
        <w:ind w:left="567" w:hanging="567"/>
      </w:pPr>
    </w:p>
    <w:p w:rsidR="006628A2" w:rsidRPr="004914A7" w:rsidRDefault="00034E2C" w:rsidP="001B6FE0">
      <w:pPr>
        <w:suppressAutoHyphens/>
        <w:ind w:left="567" w:hanging="567"/>
      </w:pPr>
      <w:r w:rsidRPr="004914A7">
        <w:t>              c) Anexo 18.3. Anexo Presupuestario Transversal de Inversión para los Jóvenes.</w:t>
      </w:r>
    </w:p>
    <w:p w:rsidR="006628A2" w:rsidRPr="004914A7" w:rsidRDefault="006628A2" w:rsidP="001B6FE0">
      <w:pPr>
        <w:suppressAutoHyphens/>
        <w:ind w:left="567" w:hanging="567"/>
      </w:pPr>
    </w:p>
    <w:p w:rsidR="006628A2" w:rsidRPr="004914A7" w:rsidRDefault="00034E2C" w:rsidP="001B6FE0">
      <w:pPr>
        <w:suppressAutoHyphens/>
        <w:ind w:left="567" w:hanging="567"/>
      </w:pPr>
      <w:r w:rsidRPr="004914A7">
        <w:t>              d) Anexo 18.4. Anexo de Asignaciones Presupuestales para Implementar las Medidas de Mitigación y Adaptación para el Cambio Climático.</w:t>
      </w:r>
    </w:p>
    <w:p w:rsidR="006628A2" w:rsidRPr="004914A7" w:rsidRDefault="006628A2" w:rsidP="001B6FE0">
      <w:pPr>
        <w:suppressAutoHyphens/>
        <w:ind w:left="567" w:hanging="567"/>
      </w:pPr>
    </w:p>
    <w:p w:rsidR="006628A2" w:rsidRPr="004914A7" w:rsidRDefault="00034E2C" w:rsidP="001B6FE0">
      <w:pPr>
        <w:suppressAutoHyphens/>
        <w:ind w:left="567" w:hanging="567"/>
      </w:pPr>
      <w:r w:rsidRPr="004914A7">
        <w:t>              e) Anexo 18.5. Anexo de Asignaciones Presupuestales para la Igualdad entre Mujeres y Hombres</w:t>
      </w:r>
      <w:r w:rsidR="00245F6B" w:rsidRPr="004914A7">
        <w:t>.</w:t>
      </w:r>
    </w:p>
    <w:p w:rsidR="006628A2" w:rsidRPr="004914A7" w:rsidRDefault="006628A2" w:rsidP="001B6FE0">
      <w:pPr>
        <w:suppressAutoHyphens/>
        <w:ind w:left="567" w:hanging="567"/>
      </w:pPr>
    </w:p>
    <w:p w:rsidR="006628A2" w:rsidRPr="004914A7" w:rsidRDefault="00034E2C" w:rsidP="001B6FE0">
      <w:pPr>
        <w:suppressAutoHyphens/>
        <w:ind w:left="567" w:hanging="567"/>
      </w:pPr>
      <w:r w:rsidRPr="004914A7">
        <w:t>              f) Anexo 18.6. Anexo de Asignaciones Presupuestales para el Sistema de Justicia Penal Acusatorio.</w:t>
      </w:r>
    </w:p>
    <w:p w:rsidR="006628A2" w:rsidRPr="004914A7" w:rsidRDefault="006628A2" w:rsidP="001B6FE0">
      <w:pPr>
        <w:suppressAutoHyphens/>
      </w:pPr>
    </w:p>
    <w:p w:rsidR="006628A2" w:rsidRPr="004914A7" w:rsidRDefault="00034E2C" w:rsidP="001B6FE0">
      <w:pPr>
        <w:suppressAutoHyphens/>
      </w:pPr>
      <w:r w:rsidRPr="004914A7">
        <w:t>      XIX. Anexo 19. Anexos Informativos.</w:t>
      </w:r>
    </w:p>
    <w:p w:rsidR="006628A2" w:rsidRPr="004914A7" w:rsidRDefault="006628A2" w:rsidP="001B6FE0">
      <w:pPr>
        <w:suppressAutoHyphens/>
      </w:pPr>
    </w:p>
    <w:p w:rsidR="006628A2" w:rsidRPr="004914A7" w:rsidRDefault="00034E2C" w:rsidP="001B6FE0">
      <w:pPr>
        <w:suppressAutoHyphens/>
      </w:pPr>
      <w:r w:rsidRPr="004914A7">
        <w:t xml:space="preserve">              a) Anexo 19.1. Metodología para la </w:t>
      </w:r>
      <w:r w:rsidR="00245F6B" w:rsidRPr="004914A7">
        <w:t>P</w:t>
      </w:r>
      <w:r w:rsidRPr="004914A7">
        <w:t xml:space="preserve">royección de </w:t>
      </w:r>
      <w:r w:rsidR="00245F6B" w:rsidRPr="004914A7">
        <w:t>I</w:t>
      </w:r>
      <w:r w:rsidRPr="004914A7">
        <w:t xml:space="preserve">ngresos y </w:t>
      </w:r>
      <w:r w:rsidR="00245F6B" w:rsidRPr="004914A7">
        <w:t>E</w:t>
      </w:r>
      <w:r w:rsidRPr="004914A7">
        <w:t>gresos.</w:t>
      </w:r>
    </w:p>
    <w:p w:rsidR="006628A2" w:rsidRPr="004914A7" w:rsidRDefault="006628A2" w:rsidP="001B6FE0">
      <w:pPr>
        <w:suppressAutoHyphens/>
      </w:pPr>
    </w:p>
    <w:p w:rsidR="006628A2" w:rsidRPr="004914A7" w:rsidRDefault="00034E2C" w:rsidP="001B6FE0">
      <w:pPr>
        <w:suppressAutoHyphens/>
        <w:ind w:left="567" w:hanging="567"/>
      </w:pPr>
      <w:r w:rsidRPr="004914A7">
        <w:t xml:space="preserve">              b) Anexo 19.2. Metodología para </w:t>
      </w:r>
      <w:r w:rsidR="00245F6B" w:rsidRPr="004914A7">
        <w:t>C</w:t>
      </w:r>
      <w:r w:rsidRPr="004914A7">
        <w:t xml:space="preserve">alcular el </w:t>
      </w:r>
      <w:r w:rsidR="00245F6B" w:rsidRPr="004914A7">
        <w:t>M</w:t>
      </w:r>
      <w:r w:rsidRPr="004914A7">
        <w:t xml:space="preserve">onto </w:t>
      </w:r>
      <w:r w:rsidR="00245F6B" w:rsidRPr="004914A7">
        <w:t>C</w:t>
      </w:r>
      <w:r w:rsidRPr="004914A7">
        <w:t xml:space="preserve">orrespondiente al </w:t>
      </w:r>
      <w:r w:rsidR="00245F6B" w:rsidRPr="004914A7">
        <w:t>F</w:t>
      </w:r>
      <w:r w:rsidRPr="004914A7">
        <w:t xml:space="preserve">ondo de </w:t>
      </w:r>
      <w:r w:rsidR="00245F6B" w:rsidRPr="004914A7">
        <w:t>D</w:t>
      </w:r>
      <w:r w:rsidRPr="004914A7">
        <w:t xml:space="preserve">esastres </w:t>
      </w:r>
      <w:r w:rsidR="00245F6B" w:rsidRPr="004914A7">
        <w:t>N</w:t>
      </w:r>
      <w:r w:rsidRPr="004914A7">
        <w:t xml:space="preserve">aturales </w:t>
      </w:r>
      <w:r w:rsidR="00245F6B" w:rsidRPr="004914A7">
        <w:t>E</w:t>
      </w:r>
      <w:r w:rsidRPr="004914A7">
        <w:t>statal.</w:t>
      </w:r>
    </w:p>
    <w:p w:rsidR="006628A2" w:rsidRPr="004914A7" w:rsidRDefault="006628A2" w:rsidP="001B6FE0">
      <w:pPr>
        <w:suppressAutoHyphens/>
        <w:ind w:left="567" w:hanging="567"/>
      </w:pPr>
    </w:p>
    <w:p w:rsidR="006628A2" w:rsidRPr="004914A7" w:rsidRDefault="00034E2C" w:rsidP="001B6FE0">
      <w:pPr>
        <w:suppressAutoHyphens/>
        <w:ind w:left="567" w:hanging="567"/>
      </w:pPr>
      <w:r w:rsidRPr="004914A7">
        <w:t xml:space="preserve">              c) Anexo 19.3. Metodología </w:t>
      </w:r>
      <w:r w:rsidR="00245F6B" w:rsidRPr="004914A7">
        <w:t>A</w:t>
      </w:r>
      <w:r w:rsidRPr="004914A7">
        <w:t xml:space="preserve">plicada para </w:t>
      </w:r>
      <w:r w:rsidR="00245F6B" w:rsidRPr="004914A7">
        <w:t>C</w:t>
      </w:r>
      <w:r w:rsidRPr="004914A7">
        <w:t xml:space="preserve">alcular las </w:t>
      </w:r>
      <w:r w:rsidR="00245F6B" w:rsidRPr="004914A7">
        <w:t>T</w:t>
      </w:r>
      <w:r w:rsidRPr="004914A7">
        <w:t xml:space="preserve">ransferencias a </w:t>
      </w:r>
      <w:r w:rsidR="00245F6B" w:rsidRPr="004914A7">
        <w:t>P</w:t>
      </w:r>
      <w:r w:rsidRPr="004914A7">
        <w:t xml:space="preserve">artidos </w:t>
      </w:r>
      <w:r w:rsidR="00245F6B" w:rsidRPr="004914A7">
        <w:t>P</w:t>
      </w:r>
      <w:r w:rsidRPr="004914A7">
        <w:t>olíticos.</w:t>
      </w:r>
    </w:p>
    <w:p w:rsidR="006628A2" w:rsidRPr="004914A7" w:rsidRDefault="006628A2" w:rsidP="001B6FE0">
      <w:pPr>
        <w:suppressAutoHyphens/>
      </w:pPr>
    </w:p>
    <w:p w:rsidR="006628A2" w:rsidRPr="004914A7" w:rsidRDefault="00034E2C" w:rsidP="001B6FE0">
      <w:pPr>
        <w:suppressAutoHyphens/>
      </w:pPr>
      <w:r w:rsidRPr="004914A7">
        <w:rPr>
          <w:b/>
        </w:rPr>
        <w:t>Artículo 13. Tomos del presupuesto de egresos</w:t>
      </w:r>
    </w:p>
    <w:p w:rsidR="006628A2" w:rsidRPr="004914A7" w:rsidRDefault="006628A2" w:rsidP="001B6FE0">
      <w:pPr>
        <w:suppressAutoHyphens/>
      </w:pPr>
    </w:p>
    <w:p w:rsidR="006628A2" w:rsidRPr="004914A7" w:rsidRDefault="00034E2C" w:rsidP="001B6FE0">
      <w:pPr>
        <w:suppressAutoHyphens/>
      </w:pPr>
      <w:r w:rsidRPr="004914A7">
        <w:lastRenderedPageBreak/>
        <w:t xml:space="preserve">Los tomos incluidos en </w:t>
      </w:r>
      <w:r w:rsidR="00396332" w:rsidRPr="004914A7">
        <w:t>este p</w:t>
      </w:r>
      <w:r w:rsidRPr="004914A7">
        <w:t xml:space="preserve">resupuesto de </w:t>
      </w:r>
      <w:r w:rsidR="00396332" w:rsidRPr="004914A7">
        <w:t>e</w:t>
      </w:r>
      <w:r w:rsidRPr="004914A7">
        <w:t xml:space="preserve">gresos 2021, se presentan y contienen la información establecida en las fracciones II y III del artículo 54 de la Ley del Presupuesto y Contabilidad Gubernamental del Estado de Yucatán y la fracción IV del artículo 45 del Reglamento de la Ley del Presupuesto y Contabilidad Gubernamental del Estado de Yucatán. Al respecto, los tomos </w:t>
      </w:r>
      <w:proofErr w:type="gramStart"/>
      <w:r w:rsidRPr="004914A7">
        <w:t>parte</w:t>
      </w:r>
      <w:proofErr w:type="gramEnd"/>
      <w:r w:rsidRPr="004914A7">
        <w:t xml:space="preserve"> del presente </w:t>
      </w:r>
      <w:r w:rsidR="00F542FA" w:rsidRPr="004914A7">
        <w:t>p</w:t>
      </w:r>
      <w:r w:rsidRPr="004914A7">
        <w:t>resupuesto son los siguientes:</w:t>
      </w:r>
    </w:p>
    <w:p w:rsidR="006628A2" w:rsidRPr="004914A7" w:rsidRDefault="006628A2" w:rsidP="001B6FE0">
      <w:pPr>
        <w:suppressAutoHyphens/>
      </w:pPr>
    </w:p>
    <w:p w:rsidR="006628A2" w:rsidRPr="004914A7" w:rsidRDefault="00034E2C" w:rsidP="001B6FE0">
      <w:pPr>
        <w:suppressAutoHyphens/>
      </w:pPr>
      <w:r w:rsidRPr="004914A7">
        <w:t>      I. Tomo I: Presupuesto Consolidado del Gobierno del Estado de Yucatán, el cual contiene: las clasificaciones administrativas del gasto, por objeto del gasto, funcional y por clasificación económica de todos los ejecutores de gasto del Gobierno del Estado de Yucatán.</w:t>
      </w:r>
    </w:p>
    <w:p w:rsidR="006628A2" w:rsidRPr="004914A7" w:rsidRDefault="006628A2" w:rsidP="001B6FE0">
      <w:pPr>
        <w:suppressAutoHyphens/>
      </w:pPr>
    </w:p>
    <w:p w:rsidR="006628A2" w:rsidRPr="004914A7" w:rsidRDefault="00034E2C" w:rsidP="001B6FE0">
      <w:pPr>
        <w:suppressAutoHyphens/>
      </w:pPr>
      <w:r w:rsidRPr="004914A7">
        <w:t>      II. Tomo II: Presupuesto del Poder Ejecutivo del Estado de Yucatán, el cual contiene: las clasificaciones administrativas del gasto, por objeto del gasto, funcional y por tipo de gasto, el analítico de plazas, el tabulador de sueldos y salarios, así como los sueldos de los servidores públicos de los mandos medios y superiores de la Administración Pública centralizada.</w:t>
      </w:r>
    </w:p>
    <w:p w:rsidR="006628A2" w:rsidRPr="004914A7" w:rsidRDefault="006628A2" w:rsidP="001B6FE0">
      <w:pPr>
        <w:suppressAutoHyphens/>
      </w:pPr>
    </w:p>
    <w:p w:rsidR="006628A2" w:rsidRPr="004914A7" w:rsidRDefault="00034E2C" w:rsidP="001B6FE0">
      <w:pPr>
        <w:suppressAutoHyphens/>
      </w:pPr>
      <w:r w:rsidRPr="004914A7">
        <w:t>      III. Tomo III: Presupuesto de los Ramos Autónomos del Estado de Yucatán, conformado por las clasificaciones administrativas del gasto, por objeto del gasto, funcional y por tipo de gasto, el analítico de plazas, el tabulador de sueldos y salarios, los sueldos de los servidores públicos de los mandos medios y superiores y las proyecciones de flujo de efectivo de todos los organismos autónomos del estado de Yucatán.</w:t>
      </w:r>
    </w:p>
    <w:p w:rsidR="006628A2" w:rsidRPr="004914A7" w:rsidRDefault="006628A2" w:rsidP="001B6FE0">
      <w:pPr>
        <w:suppressAutoHyphens/>
      </w:pPr>
    </w:p>
    <w:p w:rsidR="006628A2" w:rsidRPr="004914A7" w:rsidRDefault="00034E2C" w:rsidP="001B6FE0">
      <w:pPr>
        <w:suppressAutoHyphens/>
      </w:pPr>
      <w:r w:rsidRPr="004914A7">
        <w:t>      IV. Tomo IV: Presupuesto de las Entidades Paraestatales del Estado de Yucatán, el cual se compone de las clasificaciones administrativas del gasto, por objeto del gasto, funcional y por tipo de gasto, el analítico de plazas, el tabulador de sueldos y salarios, los sueldos de los servidores públicos de los mandos medios y superiores y las proyecciones de flujo de efectivo de todas las entidades paraestatales de la Administración Pública del estado de Yucatán.</w:t>
      </w:r>
    </w:p>
    <w:p w:rsidR="006628A2" w:rsidRPr="004914A7" w:rsidRDefault="006628A2" w:rsidP="001B6FE0">
      <w:pPr>
        <w:suppressAutoHyphens/>
      </w:pPr>
    </w:p>
    <w:p w:rsidR="006628A2" w:rsidRPr="004914A7" w:rsidRDefault="00034E2C" w:rsidP="001B6FE0">
      <w:pPr>
        <w:suppressAutoHyphens/>
      </w:pPr>
      <w:r w:rsidRPr="004914A7">
        <w:t>      V. Tomo V: Presupuesto Basado en Resultados 2021, Programas Presupuestarios, el cual contiene: todos los programas presupuestarios con sus matrices de indicadores, según el caso, en que intervienen los entes públicos que integran el Gobierno del estado de Yucatán. En su parte inicial contiene un catálogo donde se puede identificar en qué programa presupuestario intervienen, como coordinador o corresponsable, cada uno de los entes públicos.</w:t>
      </w:r>
    </w:p>
    <w:p w:rsidR="006628A2" w:rsidRPr="004914A7" w:rsidRDefault="006628A2" w:rsidP="001B6FE0">
      <w:pPr>
        <w:suppressAutoHyphens/>
      </w:pPr>
    </w:p>
    <w:p w:rsidR="006628A2" w:rsidRPr="004914A7" w:rsidRDefault="00034E2C" w:rsidP="001B6FE0">
      <w:pPr>
        <w:suppressAutoHyphens/>
      </w:pPr>
      <w:r w:rsidRPr="004914A7">
        <w:t>El contenido en estos tomos comprende:</w:t>
      </w:r>
    </w:p>
    <w:p w:rsidR="006628A2" w:rsidRPr="004914A7" w:rsidRDefault="006628A2" w:rsidP="001B6FE0">
      <w:pPr>
        <w:suppressAutoHyphens/>
      </w:pPr>
    </w:p>
    <w:p w:rsidR="006628A2" w:rsidRPr="004914A7" w:rsidRDefault="00034E2C" w:rsidP="001B6FE0">
      <w:pPr>
        <w:suppressAutoHyphens/>
      </w:pPr>
      <w:r w:rsidRPr="004914A7">
        <w:lastRenderedPageBreak/>
        <w:t>      I. Las remuneraciones de los servidores públicos, con un desglose de las percepciones ordinarias y extraordinarias, e incluye las erogaciones por concepto de obligaciones de carácter fiscal y de seguridad social inherentes a dichas remuneraciones.</w:t>
      </w:r>
    </w:p>
    <w:p w:rsidR="006628A2" w:rsidRPr="004914A7" w:rsidRDefault="006628A2" w:rsidP="001B6FE0">
      <w:pPr>
        <w:suppressAutoHyphens/>
      </w:pPr>
    </w:p>
    <w:p w:rsidR="006628A2" w:rsidRPr="004914A7" w:rsidRDefault="00034E2C" w:rsidP="001B6FE0">
      <w:pPr>
        <w:suppressAutoHyphens/>
      </w:pPr>
      <w:r w:rsidRPr="004914A7">
        <w:t>      II. Las previsiones salariales y económicas para cubrir los incrementos salariales, la creación de plazas y otras medidas económicas de índole laboral. Dichas previsiones están incluidas en el capítulo 1000, Servicios Personales, del presupuesto.</w:t>
      </w:r>
    </w:p>
    <w:p w:rsidR="006628A2" w:rsidRPr="004914A7" w:rsidRDefault="006628A2" w:rsidP="001B6FE0">
      <w:pPr>
        <w:suppressAutoHyphens/>
      </w:pPr>
    </w:p>
    <w:p w:rsidR="006628A2" w:rsidRPr="004914A7" w:rsidRDefault="00034E2C" w:rsidP="001B6FE0">
      <w:pPr>
        <w:suppressAutoHyphens/>
      </w:pPr>
      <w:r w:rsidRPr="004914A7">
        <w:rPr>
          <w:b/>
        </w:rPr>
        <w:t>Artículo 14. Gasto previsto para partidos políticos</w:t>
      </w:r>
    </w:p>
    <w:p w:rsidR="006628A2" w:rsidRPr="004914A7" w:rsidRDefault="006628A2" w:rsidP="001B6FE0">
      <w:pPr>
        <w:suppressAutoHyphens/>
      </w:pPr>
    </w:p>
    <w:p w:rsidR="006628A2" w:rsidRPr="004914A7" w:rsidRDefault="00034E2C" w:rsidP="001B6FE0">
      <w:pPr>
        <w:suppressAutoHyphens/>
      </w:pPr>
      <w:r w:rsidRPr="004914A7">
        <w:t xml:space="preserve">El gasto previsto para el financiamiento de los partidos políticos importa la cantidad de </w:t>
      </w:r>
      <w:r w:rsidR="0026171B" w:rsidRPr="004914A7">
        <w:t>$</w:t>
      </w:r>
      <w:r w:rsidR="005936C6" w:rsidRPr="004914A7">
        <w:t>153</w:t>
      </w:r>
      <w:proofErr w:type="gramStart"/>
      <w:r w:rsidR="005936C6" w:rsidRPr="004914A7">
        <w:t>,233,254.36</w:t>
      </w:r>
      <w:proofErr w:type="gramEnd"/>
      <w:r w:rsidRPr="004914A7">
        <w:t>, de conformidad con la distribución señalada en los anexos 11.4</w:t>
      </w:r>
      <w:r w:rsidR="00C83BDF" w:rsidRPr="004914A7">
        <w:t>.</w:t>
      </w:r>
      <w:r w:rsidRPr="004914A7">
        <w:t xml:space="preserve"> </w:t>
      </w:r>
      <w:proofErr w:type="gramStart"/>
      <w:r w:rsidRPr="004914A7">
        <w:t>al</w:t>
      </w:r>
      <w:proofErr w:type="gramEnd"/>
      <w:r w:rsidRPr="004914A7">
        <w:t xml:space="preserve"> 11.6</w:t>
      </w:r>
      <w:r w:rsidR="00C83BDF" w:rsidRPr="004914A7">
        <w:t>.</w:t>
      </w:r>
      <w:r w:rsidRPr="004914A7">
        <w:t xml:space="preserve"> </w:t>
      </w:r>
      <w:proofErr w:type="gramStart"/>
      <w:r w:rsidRPr="004914A7">
        <w:t>de</w:t>
      </w:r>
      <w:proofErr w:type="gramEnd"/>
      <w:r w:rsidRPr="004914A7">
        <w:t xml:space="preserve"> este decreto.</w:t>
      </w:r>
    </w:p>
    <w:p w:rsidR="006628A2" w:rsidRPr="004914A7" w:rsidRDefault="006628A2" w:rsidP="001B6FE0">
      <w:pPr>
        <w:suppressAutoHyphens/>
      </w:pPr>
    </w:p>
    <w:p w:rsidR="006628A2" w:rsidRPr="004914A7" w:rsidRDefault="00034E2C" w:rsidP="001B6FE0">
      <w:pPr>
        <w:suppressAutoHyphens/>
      </w:pPr>
      <w:r w:rsidRPr="004914A7">
        <w:t>La metodología para determinar la cantidad correspondiente para los partidos políticos se encuentra en el anexo informativo 19.</w:t>
      </w:r>
      <w:r w:rsidR="004A5B46" w:rsidRPr="004914A7">
        <w:t>3</w:t>
      </w:r>
      <w:r w:rsidRPr="004914A7">
        <w:t>.</w:t>
      </w:r>
    </w:p>
    <w:p w:rsidR="006628A2" w:rsidRPr="004914A7" w:rsidRDefault="006628A2" w:rsidP="001B6FE0">
      <w:pPr>
        <w:suppressAutoHyphens/>
      </w:pPr>
    </w:p>
    <w:p w:rsidR="006628A2" w:rsidRPr="004914A7" w:rsidRDefault="00034E2C" w:rsidP="001B6FE0">
      <w:pPr>
        <w:pStyle w:val="Ttulo2"/>
        <w:suppressAutoHyphens/>
      </w:pPr>
      <w:bookmarkStart w:id="6" w:name="capítulo-iii"/>
      <w:r w:rsidRPr="004914A7">
        <w:t>Capítulo III</w:t>
      </w:r>
      <w:bookmarkEnd w:id="6"/>
    </w:p>
    <w:p w:rsidR="006628A2" w:rsidRPr="004914A7" w:rsidRDefault="00034E2C" w:rsidP="001B6FE0">
      <w:pPr>
        <w:pStyle w:val="Ttulo2"/>
        <w:suppressAutoHyphens/>
      </w:pPr>
      <w:bookmarkStart w:id="7" w:name="concurrencia-de-recursos"/>
      <w:r w:rsidRPr="004914A7">
        <w:t>Concurrencia de recursos</w:t>
      </w:r>
      <w:bookmarkEnd w:id="7"/>
    </w:p>
    <w:p w:rsidR="006628A2" w:rsidRPr="004914A7" w:rsidRDefault="006628A2" w:rsidP="001B6FE0">
      <w:pPr>
        <w:suppressAutoHyphens/>
      </w:pPr>
    </w:p>
    <w:p w:rsidR="006628A2" w:rsidRPr="004914A7" w:rsidRDefault="00034E2C" w:rsidP="001B6FE0">
      <w:pPr>
        <w:suppressAutoHyphens/>
      </w:pPr>
      <w:r w:rsidRPr="004914A7">
        <w:rPr>
          <w:b/>
        </w:rPr>
        <w:t>Artículo 15. Fuentes de financiamiento</w:t>
      </w:r>
    </w:p>
    <w:p w:rsidR="006628A2" w:rsidRPr="004914A7" w:rsidRDefault="006628A2" w:rsidP="001B6FE0">
      <w:pPr>
        <w:suppressAutoHyphens/>
      </w:pPr>
    </w:p>
    <w:p w:rsidR="006628A2" w:rsidRPr="003F7BCD" w:rsidRDefault="00034E2C" w:rsidP="001B6FE0">
      <w:pPr>
        <w:suppressAutoHyphens/>
      </w:pPr>
      <w:r w:rsidRPr="003F7BCD">
        <w:t>El Presupuesto de Egresos del Gobierno del Estado de Yucatán para el Ejercicio Fiscal 2021 se conforma por la cantidad de $3,054,399,805.00 de ingreso propio de las entidades, $3,500,654,806.00 de recursos fiscales, $</w:t>
      </w:r>
      <w:r w:rsidR="00213EE8" w:rsidRPr="003F7BCD">
        <w:rPr>
          <w:rFonts w:eastAsia="Arial" w:cs="Arial"/>
        </w:rPr>
        <w:t>15,474,586,006</w:t>
      </w:r>
      <w:r w:rsidRPr="003F7BCD">
        <w:t>.00 proveniente de gasto federalizado no etiquetado y $</w:t>
      </w:r>
      <w:r w:rsidR="00213EE8" w:rsidRPr="003F7BCD">
        <w:rPr>
          <w:rFonts w:eastAsia="Arial" w:cs="Arial"/>
        </w:rPr>
        <w:t xml:space="preserve"> 19,106,462,581</w:t>
      </w:r>
      <w:r w:rsidRPr="003F7BCD">
        <w:t xml:space="preserve"> de gasto federalizado etiquetado, tal como lo señalan los criterios de clasificación definidos por el Consejo Nacional de Armonización Contable. Durante el ejercicio de 2021 conforme a la </w:t>
      </w:r>
      <w:r w:rsidR="00F16749" w:rsidRPr="003F7BCD">
        <w:t>l</w:t>
      </w:r>
      <w:r w:rsidRPr="003F7BCD">
        <w:t xml:space="preserve">ey de </w:t>
      </w:r>
      <w:r w:rsidR="00F16749" w:rsidRPr="003F7BCD">
        <w:t>i</w:t>
      </w:r>
      <w:r w:rsidRPr="003F7BCD">
        <w:t>ngresos, no se prevén ingresos por financiamiento de largo plazo.</w:t>
      </w:r>
    </w:p>
    <w:p w:rsidR="006628A2" w:rsidRPr="004914A7" w:rsidRDefault="006628A2" w:rsidP="001B6FE0">
      <w:pPr>
        <w:suppressAutoHyphens/>
      </w:pPr>
    </w:p>
    <w:p w:rsidR="006628A2" w:rsidRPr="004914A7" w:rsidRDefault="00034E2C" w:rsidP="001B6FE0">
      <w:pPr>
        <w:suppressAutoHyphens/>
      </w:pPr>
      <w:r w:rsidRPr="004914A7">
        <w:rPr>
          <w:b/>
        </w:rPr>
        <w:t>Artículo 16. Programas con recursos concurrentes</w:t>
      </w:r>
    </w:p>
    <w:p w:rsidR="006628A2" w:rsidRPr="004914A7" w:rsidRDefault="006628A2" w:rsidP="001B6FE0">
      <w:pPr>
        <w:suppressAutoHyphens/>
      </w:pPr>
    </w:p>
    <w:p w:rsidR="006628A2" w:rsidRPr="004914A7" w:rsidRDefault="00034E2C" w:rsidP="001B6FE0">
      <w:pPr>
        <w:suppressAutoHyphens/>
      </w:pPr>
      <w:r w:rsidRPr="004914A7">
        <w:t>Los programas con recursos concurrentes provenientes de transferencias federales y estatales ascienden a $6</w:t>
      </w:r>
      <w:proofErr w:type="gramStart"/>
      <w:r w:rsidRPr="004914A7">
        <w:t>,427,909,569.00</w:t>
      </w:r>
      <w:proofErr w:type="gramEnd"/>
      <w:r w:rsidRPr="004914A7">
        <w:t xml:space="preserve"> que se distribuyen conforme al anexo 7.5 de este decreto.</w:t>
      </w:r>
    </w:p>
    <w:p w:rsidR="006628A2" w:rsidRPr="004914A7" w:rsidRDefault="006628A2" w:rsidP="001B6FE0">
      <w:pPr>
        <w:suppressAutoHyphens/>
      </w:pPr>
    </w:p>
    <w:p w:rsidR="006628A2" w:rsidRPr="004914A7" w:rsidRDefault="00034E2C" w:rsidP="001B6FE0">
      <w:pPr>
        <w:pStyle w:val="Ttulo2"/>
        <w:suppressAutoHyphens/>
      </w:pPr>
      <w:bookmarkStart w:id="8" w:name="capítulo-iv"/>
      <w:r w:rsidRPr="004914A7">
        <w:lastRenderedPageBreak/>
        <w:t>Capítulo IV</w:t>
      </w:r>
      <w:bookmarkEnd w:id="8"/>
    </w:p>
    <w:p w:rsidR="006628A2" w:rsidRPr="004914A7" w:rsidRDefault="00034E2C" w:rsidP="001B6FE0">
      <w:pPr>
        <w:pStyle w:val="Ttulo2"/>
        <w:suppressAutoHyphens/>
      </w:pPr>
      <w:bookmarkStart w:id="9" w:name="X0bd220f69170142948abe3f5559c245da8eebd4"/>
      <w:r w:rsidRPr="004914A7">
        <w:t>Instituciones sin fines de lucro y fideicomisos públicos</w:t>
      </w:r>
      <w:bookmarkEnd w:id="9"/>
    </w:p>
    <w:p w:rsidR="006628A2" w:rsidRPr="004914A7" w:rsidRDefault="006628A2" w:rsidP="001B6FE0">
      <w:pPr>
        <w:suppressAutoHyphens/>
      </w:pPr>
    </w:p>
    <w:p w:rsidR="006628A2" w:rsidRPr="004914A7" w:rsidRDefault="00034E2C" w:rsidP="001B6FE0">
      <w:pPr>
        <w:suppressAutoHyphens/>
      </w:pPr>
      <w:r w:rsidRPr="004914A7">
        <w:rPr>
          <w:b/>
        </w:rPr>
        <w:t>Artículo 17. Instituciones sin fines de lucro</w:t>
      </w:r>
    </w:p>
    <w:p w:rsidR="006628A2" w:rsidRPr="004914A7" w:rsidRDefault="006628A2" w:rsidP="001B6FE0">
      <w:pPr>
        <w:suppressAutoHyphens/>
      </w:pPr>
    </w:p>
    <w:p w:rsidR="006628A2" w:rsidRPr="004914A7" w:rsidRDefault="00034E2C" w:rsidP="001B6FE0">
      <w:pPr>
        <w:suppressAutoHyphens/>
      </w:pPr>
      <w:r w:rsidRPr="004914A7">
        <w:t xml:space="preserve">Los subsidios a actividades productivas o de inversión, ayudas sociales a personas y donativos a instituciones sin fines de lucro u organismos de la sociedad civil se detallan en los anexos 11.1. </w:t>
      </w:r>
      <w:proofErr w:type="gramStart"/>
      <w:r w:rsidRPr="004914A7">
        <w:t>al</w:t>
      </w:r>
      <w:proofErr w:type="gramEnd"/>
      <w:r w:rsidRPr="004914A7">
        <w:t xml:space="preserve"> 11.3.</w:t>
      </w:r>
    </w:p>
    <w:p w:rsidR="006628A2" w:rsidRDefault="006628A2" w:rsidP="001B6FE0">
      <w:pPr>
        <w:suppressAutoHyphens/>
      </w:pPr>
    </w:p>
    <w:p w:rsidR="00976C88" w:rsidRDefault="00976C88" w:rsidP="001B6FE0">
      <w:pPr>
        <w:suppressAutoHyphens/>
      </w:pPr>
    </w:p>
    <w:p w:rsidR="00976C88" w:rsidRPr="004914A7" w:rsidRDefault="00976C88" w:rsidP="001B6FE0">
      <w:pPr>
        <w:suppressAutoHyphens/>
      </w:pPr>
    </w:p>
    <w:p w:rsidR="006628A2" w:rsidRPr="004914A7" w:rsidRDefault="00034E2C" w:rsidP="001B6FE0">
      <w:pPr>
        <w:suppressAutoHyphens/>
      </w:pPr>
      <w:r w:rsidRPr="004914A7">
        <w:rPr>
          <w:b/>
        </w:rPr>
        <w:t>Artículo 18. Transferencias a fideicomisos públicos</w:t>
      </w:r>
    </w:p>
    <w:p w:rsidR="006628A2" w:rsidRPr="004914A7" w:rsidRDefault="006628A2" w:rsidP="001B6FE0">
      <w:pPr>
        <w:suppressAutoHyphens/>
      </w:pPr>
    </w:p>
    <w:p w:rsidR="006628A2" w:rsidRPr="004914A7" w:rsidRDefault="00034E2C" w:rsidP="001B6FE0">
      <w:pPr>
        <w:suppressAutoHyphens/>
      </w:pPr>
      <w:r w:rsidRPr="004914A7">
        <w:t>Las transferencias internas otorgadas a fondos y fideicomisos públicos sin estructura orgánica se distribuyen conforme a lo establecido en el anexo 11.</w:t>
      </w:r>
      <w:r w:rsidR="006A4797" w:rsidRPr="004914A7">
        <w:t>8</w:t>
      </w:r>
      <w:r w:rsidRPr="004914A7">
        <w:t xml:space="preserve">. </w:t>
      </w:r>
      <w:proofErr w:type="gramStart"/>
      <w:r w:rsidRPr="004914A7">
        <w:t>de</w:t>
      </w:r>
      <w:proofErr w:type="gramEnd"/>
      <w:r w:rsidRPr="004914A7">
        <w:t xml:space="preserve"> este decreto.</w:t>
      </w:r>
    </w:p>
    <w:p w:rsidR="006628A2" w:rsidRPr="004914A7" w:rsidRDefault="006628A2" w:rsidP="001B6FE0">
      <w:pPr>
        <w:suppressAutoHyphens/>
      </w:pPr>
    </w:p>
    <w:p w:rsidR="006628A2" w:rsidRPr="004914A7" w:rsidRDefault="00034E2C" w:rsidP="001B6FE0">
      <w:pPr>
        <w:suppressAutoHyphens/>
      </w:pPr>
      <w:r w:rsidRPr="004914A7">
        <w:rPr>
          <w:b/>
        </w:rPr>
        <w:t xml:space="preserve">Artículo 19. Constitución de </w:t>
      </w:r>
      <w:r w:rsidR="00A30F7E" w:rsidRPr="004914A7">
        <w:rPr>
          <w:b/>
        </w:rPr>
        <w:t>f</w:t>
      </w:r>
      <w:r w:rsidRPr="004914A7">
        <w:rPr>
          <w:b/>
        </w:rPr>
        <w:t>ideicomisos</w:t>
      </w:r>
    </w:p>
    <w:p w:rsidR="006628A2" w:rsidRPr="004914A7" w:rsidRDefault="006628A2" w:rsidP="001B6FE0">
      <w:pPr>
        <w:suppressAutoHyphens/>
      </w:pPr>
    </w:p>
    <w:p w:rsidR="006628A2" w:rsidRPr="004914A7" w:rsidRDefault="00034E2C" w:rsidP="001B6FE0">
      <w:pPr>
        <w:suppressAutoHyphens/>
      </w:pPr>
      <w:r w:rsidRPr="004914A7">
        <w:t>Las transferencias para la constitución u operación de los fideicomisos públicos con o sin estructura deberán estar presupuestad</w:t>
      </w:r>
      <w:r w:rsidR="00A30F7E" w:rsidRPr="004914A7">
        <w:t>a</w:t>
      </w:r>
      <w:r w:rsidRPr="004914A7">
        <w:t>s expresamente.</w:t>
      </w:r>
    </w:p>
    <w:p w:rsidR="006628A2" w:rsidRPr="004914A7" w:rsidRDefault="006628A2" w:rsidP="001B6FE0">
      <w:pPr>
        <w:suppressAutoHyphens/>
      </w:pPr>
    </w:p>
    <w:p w:rsidR="006628A2" w:rsidRPr="004914A7" w:rsidRDefault="00034E2C" w:rsidP="001B6FE0">
      <w:pPr>
        <w:suppressAutoHyphens/>
      </w:pPr>
      <w:r w:rsidRPr="004914A7">
        <w:t xml:space="preserve">La constitución y operación financiera de los fideicomisos se sujetará a lo dispuesto por el Código de la Administración Pública de Yucatán y su reglamento; así como </w:t>
      </w:r>
      <w:r w:rsidR="00D30B02" w:rsidRPr="004914A7">
        <w:t xml:space="preserve">a </w:t>
      </w:r>
      <w:r w:rsidRPr="004914A7">
        <w:t>la Ley del Presupuesto y Contabilidad Gubernamental del Estado de Yucatán y demás normativa aplicable.</w:t>
      </w:r>
    </w:p>
    <w:p w:rsidR="006628A2" w:rsidRPr="004914A7" w:rsidRDefault="006628A2" w:rsidP="001B6FE0">
      <w:pPr>
        <w:suppressAutoHyphens/>
      </w:pPr>
    </w:p>
    <w:p w:rsidR="006628A2" w:rsidRPr="004914A7" w:rsidRDefault="00034E2C" w:rsidP="001B6FE0">
      <w:pPr>
        <w:suppressAutoHyphens/>
      </w:pPr>
      <w:r w:rsidRPr="004914A7">
        <w:rPr>
          <w:b/>
        </w:rPr>
        <w:t>Artículo 20. Incremento en el patrimonio de fideicomisos</w:t>
      </w:r>
    </w:p>
    <w:p w:rsidR="006628A2" w:rsidRPr="004914A7" w:rsidRDefault="006628A2" w:rsidP="001B6FE0">
      <w:pPr>
        <w:suppressAutoHyphens/>
      </w:pPr>
    </w:p>
    <w:p w:rsidR="006628A2" w:rsidRPr="004914A7" w:rsidRDefault="00034E2C" w:rsidP="001B6FE0">
      <w:pPr>
        <w:suppressAutoHyphens/>
      </w:pPr>
      <w:r w:rsidRPr="004914A7">
        <w:t>Solo se podrá constituir o incrementar el patrimonio de fideicomisos con recursos públicos y participar en el capital social de las empresas, con autorización del Poder Ejecutivo del estado, emitida por la secretaría en los términos de las disposiciones aplicables.</w:t>
      </w:r>
    </w:p>
    <w:p w:rsidR="006628A2" w:rsidRPr="004914A7" w:rsidRDefault="006628A2" w:rsidP="001B6FE0">
      <w:pPr>
        <w:suppressAutoHyphens/>
      </w:pPr>
    </w:p>
    <w:p w:rsidR="006628A2" w:rsidRPr="004914A7" w:rsidRDefault="00034E2C" w:rsidP="001B6FE0">
      <w:pPr>
        <w:suppressAutoHyphens/>
      </w:pPr>
      <w:r w:rsidRPr="004914A7">
        <w:rPr>
          <w:b/>
        </w:rPr>
        <w:t>Artículo 21. Transferencia de recursos federales a fideicomisos</w:t>
      </w:r>
    </w:p>
    <w:p w:rsidR="006628A2" w:rsidRPr="004914A7" w:rsidRDefault="006628A2" w:rsidP="001B6FE0">
      <w:pPr>
        <w:suppressAutoHyphens/>
      </w:pPr>
    </w:p>
    <w:p w:rsidR="006628A2" w:rsidRPr="004914A7" w:rsidRDefault="00034E2C" w:rsidP="001B6FE0">
      <w:pPr>
        <w:suppressAutoHyphens/>
      </w:pPr>
      <w:r w:rsidRPr="004914A7">
        <w:t xml:space="preserve">Tratándose de recursos federales cuyo destino sea su transmisión al patrimonio </w:t>
      </w:r>
      <w:proofErr w:type="spellStart"/>
      <w:r w:rsidRPr="004914A7">
        <w:t>fideicomitido</w:t>
      </w:r>
      <w:proofErr w:type="spellEnd"/>
      <w:r w:rsidRPr="004914A7">
        <w:t xml:space="preserve">, el procedimiento respectivo se realizará por conducto de la </w:t>
      </w:r>
      <w:r w:rsidR="007338E6" w:rsidRPr="004914A7">
        <w:t xml:space="preserve">dependencia </w:t>
      </w:r>
      <w:r w:rsidRPr="004914A7">
        <w:t>coordinadora del sector o, en su defecto, a través del fideicomitente.</w:t>
      </w:r>
    </w:p>
    <w:p w:rsidR="006628A2" w:rsidRPr="004914A7" w:rsidRDefault="006628A2" w:rsidP="001B6FE0">
      <w:pPr>
        <w:suppressAutoHyphens/>
      </w:pPr>
    </w:p>
    <w:p w:rsidR="006628A2" w:rsidRPr="004914A7" w:rsidRDefault="00034E2C" w:rsidP="001B6FE0">
      <w:pPr>
        <w:suppressAutoHyphens/>
      </w:pPr>
      <w:r w:rsidRPr="004914A7">
        <w:rPr>
          <w:b/>
        </w:rPr>
        <w:t>Artículo 22. Informes de saldos trimestrales de fideicomisos</w:t>
      </w:r>
    </w:p>
    <w:p w:rsidR="006628A2" w:rsidRPr="004914A7" w:rsidRDefault="006628A2" w:rsidP="001B6FE0">
      <w:pPr>
        <w:suppressAutoHyphens/>
      </w:pPr>
    </w:p>
    <w:p w:rsidR="006628A2" w:rsidRPr="004914A7" w:rsidRDefault="00034E2C" w:rsidP="001B6FE0">
      <w:pPr>
        <w:suppressAutoHyphens/>
      </w:pPr>
      <w:r w:rsidRPr="004914A7">
        <w:t xml:space="preserve">En aquellos fideicomisos en los que se involucren recursos públicos estatales, se deberá identificar de manera clara los recursos correspondientes al </w:t>
      </w:r>
      <w:r w:rsidR="00B60537" w:rsidRPr="004914A7">
        <w:t>e</w:t>
      </w:r>
      <w:r w:rsidRPr="004914A7">
        <w:t>stado, esto con el objeto de diferenciarlos del resto de las demás aportaciones.</w:t>
      </w:r>
    </w:p>
    <w:p w:rsidR="006628A2" w:rsidRPr="004914A7" w:rsidRDefault="006628A2" w:rsidP="001B6FE0">
      <w:pPr>
        <w:suppressAutoHyphens/>
      </w:pPr>
    </w:p>
    <w:p w:rsidR="006628A2" w:rsidRPr="004914A7" w:rsidRDefault="00034E2C" w:rsidP="001B6FE0">
      <w:pPr>
        <w:suppressAutoHyphens/>
      </w:pPr>
      <w:r w:rsidRPr="004914A7">
        <w:t>La dependencia, entidad o ente público encargado de su administración, deberá informar trimestralmente a la secretaría, dentro de los veinte días siguientes a cada trimestre, el saldo de la subcuenta o partida a que se refiere el párrafo anterior. Adicionalmente, la secretaría podrá solicitarles con la periodicidad que determine y bajo el plazo que establezca, la información jurídica, patrimonial o financiera que requiera, en los términos y condiciones de las disposiciones aplicables.</w:t>
      </w:r>
    </w:p>
    <w:p w:rsidR="006628A2" w:rsidRPr="004914A7" w:rsidRDefault="006628A2" w:rsidP="001B6FE0">
      <w:pPr>
        <w:suppressAutoHyphens/>
      </w:pPr>
    </w:p>
    <w:p w:rsidR="006628A2" w:rsidRPr="004914A7" w:rsidRDefault="00034E2C" w:rsidP="001B6FE0">
      <w:pPr>
        <w:suppressAutoHyphens/>
      </w:pPr>
      <w:r w:rsidRPr="004914A7">
        <w:t>En caso de que exista compromiso del municipio, o de los particulares con el Gobierno estatal para otorgar sumas de recursos al patrimonio del fideicomiso y aquellos incumplan con la aportación de dichos recursos, con las reglas de operación del fideicomiso o del programa correspondiente, el Gobierno estatal, por conducto de la dependencia o entidad que administre la operación del fideicomiso, podrá suspender las aportaciones subsecuentes.</w:t>
      </w:r>
    </w:p>
    <w:p w:rsidR="006628A2" w:rsidRPr="004914A7" w:rsidRDefault="006628A2" w:rsidP="001B6FE0">
      <w:pPr>
        <w:suppressAutoHyphens/>
      </w:pPr>
    </w:p>
    <w:p w:rsidR="006628A2" w:rsidRPr="004914A7" w:rsidRDefault="00034E2C" w:rsidP="001B6FE0">
      <w:pPr>
        <w:pStyle w:val="Ttulo2"/>
        <w:suppressAutoHyphens/>
      </w:pPr>
      <w:bookmarkStart w:id="10" w:name="capítulo-v"/>
      <w:r w:rsidRPr="004914A7">
        <w:t>Capítulo V</w:t>
      </w:r>
      <w:bookmarkEnd w:id="10"/>
    </w:p>
    <w:p w:rsidR="006628A2" w:rsidRPr="004914A7" w:rsidRDefault="00034E2C" w:rsidP="001B6FE0">
      <w:pPr>
        <w:pStyle w:val="Ttulo2"/>
        <w:suppressAutoHyphens/>
      </w:pPr>
      <w:bookmarkStart w:id="11" w:name="X5fe74c8e33800cec4560c17a4551f9694643687"/>
      <w:r w:rsidRPr="004914A7">
        <w:t>Gastos plurianuales, programas y proyectos de inversión</w:t>
      </w:r>
      <w:bookmarkEnd w:id="11"/>
    </w:p>
    <w:p w:rsidR="006628A2" w:rsidRPr="004914A7" w:rsidRDefault="006628A2" w:rsidP="001B6FE0">
      <w:pPr>
        <w:suppressAutoHyphens/>
      </w:pPr>
    </w:p>
    <w:p w:rsidR="006628A2" w:rsidRPr="004914A7" w:rsidRDefault="00034E2C" w:rsidP="001B6FE0">
      <w:pPr>
        <w:suppressAutoHyphens/>
      </w:pPr>
      <w:r w:rsidRPr="004914A7">
        <w:rPr>
          <w:b/>
        </w:rPr>
        <w:t>Artículo 23. Mecanismos plurianuales de gasto</w:t>
      </w:r>
    </w:p>
    <w:p w:rsidR="006628A2" w:rsidRPr="004914A7" w:rsidRDefault="006628A2" w:rsidP="001B6FE0">
      <w:pPr>
        <w:suppressAutoHyphens/>
      </w:pPr>
    </w:p>
    <w:p w:rsidR="006628A2" w:rsidRPr="004914A7" w:rsidRDefault="00034E2C" w:rsidP="001B6FE0">
      <w:pPr>
        <w:suppressAutoHyphens/>
      </w:pPr>
      <w:r w:rsidRPr="004914A7">
        <w:t xml:space="preserve">Los mecanismos plurianuales de gasto son los que permiten al </w:t>
      </w:r>
      <w:r w:rsidR="00A62232" w:rsidRPr="004914A7">
        <w:t>e</w:t>
      </w:r>
      <w:r w:rsidRPr="004914A7">
        <w:t>stado diseñar, ejecutar y evaluar una política presupuestal de mediano y largo plazo. Entre los mecanismos plurianuales de gasto que se presentan para el ejercicio 2021 se encuentran las asignaciones para proyectos para la prestación de servicios y contrataciones de bienes, servicios o arrendamientos plurianuales.</w:t>
      </w:r>
    </w:p>
    <w:p w:rsidR="006628A2" w:rsidRPr="004914A7" w:rsidRDefault="006628A2" w:rsidP="001B6FE0">
      <w:pPr>
        <w:suppressAutoHyphens/>
      </w:pPr>
    </w:p>
    <w:p w:rsidR="006628A2" w:rsidRPr="004914A7" w:rsidRDefault="00034E2C" w:rsidP="001B6FE0">
      <w:pPr>
        <w:suppressAutoHyphens/>
      </w:pPr>
      <w:r w:rsidRPr="004914A7">
        <w:t xml:space="preserve">El anexo 14 del presente </w:t>
      </w:r>
      <w:r w:rsidR="00A62232" w:rsidRPr="004914A7">
        <w:t>d</w:t>
      </w:r>
      <w:r w:rsidRPr="004914A7">
        <w:t xml:space="preserve">ecreto contiene la estimación de gasto por los próximos tres años y los gastos efectivos de los últimos dos años correspondientes a las obligaciones generadas a partir de proyectos para la prestación de servicios, arrendamientos de largo plazo y las contrataciones vigentes al ejercicio </w:t>
      </w:r>
      <w:r w:rsidR="00A62232" w:rsidRPr="004914A7">
        <w:t xml:space="preserve">fiscal </w:t>
      </w:r>
      <w:r w:rsidRPr="004914A7">
        <w:t>2021 que impliquen la erogación de recursos durante más de un ejercicio fiscal.</w:t>
      </w:r>
    </w:p>
    <w:p w:rsidR="006628A2" w:rsidRPr="004914A7" w:rsidRDefault="006628A2" w:rsidP="001B6FE0">
      <w:pPr>
        <w:suppressAutoHyphens/>
      </w:pPr>
    </w:p>
    <w:p w:rsidR="006628A2" w:rsidRPr="004914A7" w:rsidRDefault="00034E2C" w:rsidP="001B6FE0">
      <w:pPr>
        <w:suppressAutoHyphens/>
      </w:pPr>
      <w:r w:rsidRPr="004914A7">
        <w:rPr>
          <w:b/>
        </w:rPr>
        <w:t xml:space="preserve">Artículo 24. Programas y proyectos de inversión en </w:t>
      </w:r>
      <w:r w:rsidR="00822C63" w:rsidRPr="004914A7">
        <w:rPr>
          <w:b/>
        </w:rPr>
        <w:t>c</w:t>
      </w:r>
      <w:r w:rsidRPr="004914A7">
        <w:rPr>
          <w:b/>
        </w:rPr>
        <w:t>artera</w:t>
      </w:r>
    </w:p>
    <w:p w:rsidR="006628A2" w:rsidRPr="004914A7" w:rsidRDefault="006628A2" w:rsidP="001B6FE0">
      <w:pPr>
        <w:suppressAutoHyphens/>
      </w:pPr>
    </w:p>
    <w:p w:rsidR="006628A2" w:rsidRPr="004914A7" w:rsidRDefault="00034E2C" w:rsidP="001B6FE0">
      <w:pPr>
        <w:suppressAutoHyphens/>
      </w:pPr>
      <w:r w:rsidRPr="004914A7">
        <w:t xml:space="preserve">La asignación presupuestaria para los programas y proyectos de inversión en </w:t>
      </w:r>
      <w:r w:rsidR="00822C63" w:rsidRPr="004914A7">
        <w:t>c</w:t>
      </w:r>
      <w:r w:rsidRPr="004914A7">
        <w:t>artera para las dependencias es por la cantidad de $112,523,319.00</w:t>
      </w:r>
      <w:r w:rsidR="005F2A71" w:rsidRPr="004914A7">
        <w:t>,</w:t>
      </w:r>
      <w:r w:rsidRPr="004914A7">
        <w:t xml:space="preserve"> para las </w:t>
      </w:r>
      <w:r w:rsidRPr="004914A7">
        <w:lastRenderedPageBreak/>
        <w:t>entidades por la cantidad de $</w:t>
      </w:r>
      <w:r w:rsidR="005F2A71" w:rsidRPr="004914A7">
        <w:t>549,317,624.00 y para los organismos autónomos por la cantidad de $32,309,092.00</w:t>
      </w:r>
      <w:r w:rsidRPr="004914A7">
        <w:t>. El total en este rubro es por un monto de $</w:t>
      </w:r>
      <w:r w:rsidR="005F2A71" w:rsidRPr="004914A7">
        <w:t>694</w:t>
      </w:r>
      <w:proofErr w:type="gramStart"/>
      <w:r w:rsidR="005F2A71" w:rsidRPr="004914A7">
        <w:t>,150,035.00</w:t>
      </w:r>
      <w:proofErr w:type="gramEnd"/>
      <w:r w:rsidRPr="004914A7">
        <w:t>, detallado en el anexo 15 de este decreto.</w:t>
      </w:r>
    </w:p>
    <w:p w:rsidR="006628A2" w:rsidRPr="004914A7" w:rsidRDefault="006628A2" w:rsidP="001B6FE0">
      <w:pPr>
        <w:suppressAutoHyphens/>
      </w:pPr>
    </w:p>
    <w:p w:rsidR="006628A2" w:rsidRPr="004914A7" w:rsidRDefault="00034E2C" w:rsidP="001B6FE0">
      <w:pPr>
        <w:suppressAutoHyphens/>
      </w:pPr>
      <w:r w:rsidRPr="004914A7">
        <w:rPr>
          <w:b/>
        </w:rPr>
        <w:t>Artículo 25. Inversiones financieras</w:t>
      </w:r>
    </w:p>
    <w:p w:rsidR="006628A2" w:rsidRPr="004914A7" w:rsidRDefault="006628A2" w:rsidP="001B6FE0">
      <w:pPr>
        <w:suppressAutoHyphens/>
      </w:pPr>
    </w:p>
    <w:p w:rsidR="006628A2" w:rsidRPr="004914A7" w:rsidRDefault="00034E2C" w:rsidP="001B6FE0">
      <w:pPr>
        <w:suppressAutoHyphens/>
      </w:pPr>
      <w:r w:rsidRPr="004914A7">
        <w:t xml:space="preserve">El monto de erogaciones que realiza la </w:t>
      </w:r>
      <w:r w:rsidR="00822C63" w:rsidRPr="004914A7">
        <w:t>A</w:t>
      </w:r>
      <w:r w:rsidRPr="004914A7">
        <w:t xml:space="preserve">dministración </w:t>
      </w:r>
      <w:r w:rsidR="00822C63" w:rsidRPr="004914A7">
        <w:t>P</w:t>
      </w:r>
      <w:r w:rsidRPr="004914A7">
        <w:t>ública en la adquisición de acciones, bonos y otros títulos y valores; así como en préstamos otorgados a diversos agentes económicos, esto es e</w:t>
      </w:r>
      <w:r w:rsidR="006162E4" w:rsidRPr="004914A7">
        <w:t>n</w:t>
      </w:r>
      <w:r w:rsidRPr="004914A7">
        <w:t xml:space="preserve"> egreso para inversiones financieras</w:t>
      </w:r>
      <w:r w:rsidR="006162E4" w:rsidRPr="004914A7">
        <w:t>,</w:t>
      </w:r>
      <w:r w:rsidRPr="004914A7">
        <w:t xml:space="preserve"> es de $8</w:t>
      </w:r>
      <w:proofErr w:type="gramStart"/>
      <w:r w:rsidRPr="004914A7">
        <w:t>,300,100.00</w:t>
      </w:r>
      <w:proofErr w:type="gramEnd"/>
      <w:r w:rsidRPr="004914A7">
        <w:t>.</w:t>
      </w:r>
    </w:p>
    <w:p w:rsidR="006628A2" w:rsidRPr="004914A7" w:rsidRDefault="006628A2" w:rsidP="001B6FE0">
      <w:pPr>
        <w:suppressAutoHyphens/>
      </w:pPr>
    </w:p>
    <w:p w:rsidR="006628A2" w:rsidRPr="004914A7" w:rsidRDefault="00034E2C" w:rsidP="001B6FE0">
      <w:pPr>
        <w:pStyle w:val="Ttulo2"/>
        <w:suppressAutoHyphens/>
      </w:pPr>
      <w:bookmarkStart w:id="12" w:name="capítulo-vi"/>
      <w:r w:rsidRPr="004914A7">
        <w:t>Capítulo VI</w:t>
      </w:r>
      <w:bookmarkEnd w:id="12"/>
    </w:p>
    <w:p w:rsidR="006628A2" w:rsidRPr="004914A7" w:rsidRDefault="00034E2C" w:rsidP="001B6FE0">
      <w:pPr>
        <w:pStyle w:val="Ttulo2"/>
        <w:suppressAutoHyphens/>
      </w:pPr>
      <w:bookmarkStart w:id="13" w:name="disciplina-financiera"/>
      <w:r w:rsidRPr="004914A7">
        <w:t>Disciplina financiera</w:t>
      </w:r>
      <w:bookmarkEnd w:id="13"/>
    </w:p>
    <w:p w:rsidR="006628A2" w:rsidRPr="004914A7" w:rsidRDefault="006628A2" w:rsidP="001B6FE0">
      <w:pPr>
        <w:suppressAutoHyphens/>
      </w:pPr>
    </w:p>
    <w:p w:rsidR="006628A2" w:rsidRPr="004914A7" w:rsidRDefault="00034E2C" w:rsidP="001B6FE0">
      <w:pPr>
        <w:suppressAutoHyphens/>
      </w:pPr>
      <w:r w:rsidRPr="004914A7">
        <w:rPr>
          <w:b/>
        </w:rPr>
        <w:t>Artículo 26. Atención a desastres naturales</w:t>
      </w:r>
    </w:p>
    <w:p w:rsidR="006628A2" w:rsidRPr="004914A7" w:rsidRDefault="006628A2" w:rsidP="001B6FE0">
      <w:pPr>
        <w:suppressAutoHyphens/>
      </w:pPr>
    </w:p>
    <w:p w:rsidR="006628A2" w:rsidRPr="004914A7" w:rsidRDefault="00034E2C" w:rsidP="001B6FE0">
      <w:pPr>
        <w:suppressAutoHyphens/>
      </w:pPr>
      <w:r w:rsidRPr="004914A7">
        <w:t xml:space="preserve">Conforme al artículo 9 de la ley de disciplina financiera, los recursos para atender a la población afectada y los daños causados a la infraestructura pública estatal ocasionados por la ocurrencia de desastres naturales, así como para llevar a cabo acciones para prevenir y mitigar su impacto en las finanzas estatales, se destina al Fideicomiso del Fondo para la </w:t>
      </w:r>
      <w:r w:rsidR="00CE20C3" w:rsidRPr="004914A7">
        <w:t>A</w:t>
      </w:r>
      <w:r w:rsidRPr="004914A7">
        <w:t xml:space="preserve">tención de </w:t>
      </w:r>
      <w:r w:rsidR="00CE20C3" w:rsidRPr="004914A7">
        <w:t>E</w:t>
      </w:r>
      <w:r w:rsidRPr="004914A7">
        <w:t xml:space="preserve">mergencias y </w:t>
      </w:r>
      <w:r w:rsidR="00CE20C3" w:rsidRPr="004914A7">
        <w:t>D</w:t>
      </w:r>
      <w:r w:rsidRPr="004914A7">
        <w:t>esastres del Estado de Yucatán, o el instrumento jurídico que corresponda por la cantidad presentada en el anexo 9 de este decreto.</w:t>
      </w:r>
    </w:p>
    <w:p w:rsidR="006628A2" w:rsidRPr="004914A7" w:rsidRDefault="006628A2" w:rsidP="001B6FE0">
      <w:pPr>
        <w:suppressAutoHyphens/>
      </w:pPr>
    </w:p>
    <w:p w:rsidR="006628A2" w:rsidRPr="004914A7" w:rsidRDefault="00034E2C" w:rsidP="001B6FE0">
      <w:pPr>
        <w:suppressAutoHyphens/>
      </w:pPr>
      <w:r w:rsidRPr="004914A7">
        <w:t>Para el cálculo del monto establecido en el citado anexo se aplicó la metodología establecida en la propia ley de disciplina financiera y cuyo desglose se encuentra en el anexo informativo 19.</w:t>
      </w:r>
      <w:r w:rsidR="00ED2055" w:rsidRPr="004914A7">
        <w:t>2</w:t>
      </w:r>
      <w:r w:rsidRPr="004914A7">
        <w:t>.</w:t>
      </w:r>
    </w:p>
    <w:p w:rsidR="006628A2" w:rsidRPr="004914A7" w:rsidRDefault="006628A2" w:rsidP="001B6FE0">
      <w:pPr>
        <w:suppressAutoHyphens/>
      </w:pPr>
    </w:p>
    <w:p w:rsidR="006628A2" w:rsidRPr="004914A7" w:rsidRDefault="00034E2C" w:rsidP="001B6FE0">
      <w:pPr>
        <w:suppressAutoHyphens/>
      </w:pPr>
      <w:r w:rsidRPr="004914A7">
        <w:rPr>
          <w:b/>
        </w:rPr>
        <w:t>Artículo 27. Información de disciplina financiera</w:t>
      </w:r>
    </w:p>
    <w:p w:rsidR="006628A2" w:rsidRPr="004914A7" w:rsidRDefault="006628A2" w:rsidP="001B6FE0">
      <w:pPr>
        <w:suppressAutoHyphens/>
      </w:pPr>
    </w:p>
    <w:p w:rsidR="006628A2" w:rsidRPr="004914A7" w:rsidRDefault="00034E2C" w:rsidP="001B6FE0">
      <w:pPr>
        <w:suppressAutoHyphens/>
      </w:pPr>
      <w:r w:rsidRPr="004914A7">
        <w:t xml:space="preserve">Los anexos del 16.1. </w:t>
      </w:r>
      <w:proofErr w:type="gramStart"/>
      <w:r w:rsidRPr="004914A7">
        <w:t>al</w:t>
      </w:r>
      <w:proofErr w:type="gramEnd"/>
      <w:r w:rsidRPr="004914A7">
        <w:t xml:space="preserve"> 16.10. </w:t>
      </w:r>
      <w:proofErr w:type="gramStart"/>
      <w:r w:rsidRPr="004914A7">
        <w:t>contienen</w:t>
      </w:r>
      <w:proofErr w:type="gramEnd"/>
      <w:r w:rsidRPr="004914A7">
        <w:t xml:space="preserve"> los formatos establecidos en la ley de disciplina financiera correspondientes al presupuesto del ejercicio fiscal 2021.</w:t>
      </w:r>
    </w:p>
    <w:p w:rsidR="006628A2" w:rsidRPr="004914A7" w:rsidRDefault="006628A2" w:rsidP="001B6FE0">
      <w:pPr>
        <w:suppressAutoHyphens/>
      </w:pPr>
    </w:p>
    <w:p w:rsidR="006628A2" w:rsidRPr="004914A7" w:rsidRDefault="00034E2C" w:rsidP="001B6FE0">
      <w:pPr>
        <w:pStyle w:val="Ttulo2"/>
        <w:suppressAutoHyphens/>
      </w:pPr>
      <w:bookmarkStart w:id="14" w:name="título-segundo"/>
      <w:r w:rsidRPr="004914A7">
        <w:t>Título segundo</w:t>
      </w:r>
      <w:bookmarkEnd w:id="14"/>
    </w:p>
    <w:p w:rsidR="006628A2" w:rsidRPr="004914A7" w:rsidRDefault="00034E2C" w:rsidP="001B6FE0">
      <w:pPr>
        <w:pStyle w:val="Ttulo2"/>
        <w:suppressAutoHyphens/>
      </w:pPr>
      <w:bookmarkStart w:id="15" w:name="recursos-federales"/>
      <w:r w:rsidRPr="004914A7">
        <w:t>Recursos federales</w:t>
      </w:r>
      <w:bookmarkEnd w:id="15"/>
    </w:p>
    <w:p w:rsidR="006628A2" w:rsidRPr="004914A7" w:rsidRDefault="006628A2" w:rsidP="001B6FE0">
      <w:pPr>
        <w:suppressAutoHyphens/>
      </w:pPr>
    </w:p>
    <w:p w:rsidR="006628A2" w:rsidRPr="004914A7" w:rsidRDefault="00034E2C" w:rsidP="001B6FE0">
      <w:pPr>
        <w:pStyle w:val="Ttulo2"/>
        <w:suppressAutoHyphens/>
      </w:pPr>
      <w:bookmarkStart w:id="16" w:name="capítulo-único"/>
      <w:r w:rsidRPr="004914A7">
        <w:t>Capítulo único</w:t>
      </w:r>
      <w:bookmarkEnd w:id="16"/>
    </w:p>
    <w:p w:rsidR="006628A2" w:rsidRPr="004914A7" w:rsidRDefault="00034E2C" w:rsidP="001B6FE0">
      <w:pPr>
        <w:pStyle w:val="Ttulo2"/>
        <w:suppressAutoHyphens/>
      </w:pPr>
      <w:bookmarkStart w:id="17" w:name="Xe740dd11f1ca682006668ae17852a95dc2b9986"/>
      <w:r w:rsidRPr="004914A7">
        <w:t>Aportaciones y otros recursos federales transferidos al estado de Yucatán y sus municipios</w:t>
      </w:r>
      <w:bookmarkEnd w:id="17"/>
    </w:p>
    <w:p w:rsidR="006628A2" w:rsidRPr="004914A7" w:rsidRDefault="006628A2" w:rsidP="001B6FE0">
      <w:pPr>
        <w:suppressAutoHyphens/>
      </w:pPr>
    </w:p>
    <w:p w:rsidR="006628A2" w:rsidRPr="004914A7" w:rsidRDefault="00034E2C" w:rsidP="001B6FE0">
      <w:pPr>
        <w:suppressAutoHyphens/>
      </w:pPr>
      <w:r w:rsidRPr="004914A7">
        <w:rPr>
          <w:b/>
        </w:rPr>
        <w:t>Artículo 28. Recursos propios y recursos federales</w:t>
      </w:r>
    </w:p>
    <w:p w:rsidR="006628A2" w:rsidRPr="004914A7" w:rsidRDefault="006628A2" w:rsidP="001B6FE0">
      <w:pPr>
        <w:suppressAutoHyphens/>
      </w:pPr>
    </w:p>
    <w:p w:rsidR="006628A2" w:rsidRPr="004914A7" w:rsidRDefault="00034E2C" w:rsidP="001B6FE0">
      <w:pPr>
        <w:suppressAutoHyphens/>
      </w:pPr>
      <w:r w:rsidRPr="004914A7">
        <w:t>Las ministraciones de recursos federales que reciba el estado de Yucatán se realizarán de conformidad con las disposiciones aplicables y los calendarios de gasto correspondientes.</w:t>
      </w:r>
    </w:p>
    <w:p w:rsidR="006628A2" w:rsidRPr="004914A7" w:rsidRDefault="006628A2" w:rsidP="001B6FE0">
      <w:pPr>
        <w:suppressAutoHyphens/>
      </w:pPr>
    </w:p>
    <w:p w:rsidR="006628A2" w:rsidRPr="004914A7" w:rsidRDefault="00034E2C" w:rsidP="001B6FE0">
      <w:pPr>
        <w:suppressAutoHyphens/>
      </w:pPr>
      <w:r w:rsidRPr="004914A7">
        <w:t>En el caso de los programas que prevean la aportación de recursos federales para ser ejercidos de manera concurrente con recursos estatales, el Gobierno del estado deberá realizar las aportaciones de recursos que le correspondan en las cuentas específicas correspondientes, de conformidad con lo establecido en cada programa o convenio, según corresponda. Los recursos federales deberán ser ministrados de acuerdo con el calendario establecido para cada caso.</w:t>
      </w:r>
    </w:p>
    <w:p w:rsidR="006628A2" w:rsidRPr="004914A7" w:rsidRDefault="006628A2" w:rsidP="001B6FE0">
      <w:pPr>
        <w:suppressAutoHyphens/>
      </w:pPr>
    </w:p>
    <w:p w:rsidR="006628A2" w:rsidRPr="004914A7" w:rsidRDefault="00034E2C" w:rsidP="001B6FE0">
      <w:pPr>
        <w:suppressAutoHyphens/>
      </w:pPr>
      <w:r w:rsidRPr="004914A7">
        <w:rPr>
          <w:b/>
        </w:rPr>
        <w:t>Artículo 29. Erogaciones de los fondos de aportaciones federales</w:t>
      </w:r>
    </w:p>
    <w:p w:rsidR="006628A2" w:rsidRPr="004914A7" w:rsidRDefault="006628A2" w:rsidP="001B6FE0">
      <w:pPr>
        <w:suppressAutoHyphens/>
      </w:pPr>
    </w:p>
    <w:p w:rsidR="006628A2" w:rsidRPr="004914A7" w:rsidRDefault="00034E2C" w:rsidP="001B6FE0">
      <w:pPr>
        <w:suppressAutoHyphens/>
      </w:pPr>
      <w:r w:rsidRPr="004914A7">
        <w:t>Las erogaciones de los fondos de aportaciones federales del Ramo 33 del Presupuesto de Egresos de la Federación para el Ejercicio Fiscal 2021 y los demás recursos federales transferidos al estado, estarán sujetos a las disposiciones jurídicas y normativas emitidas por los Gobiernos federal y estatal.</w:t>
      </w:r>
    </w:p>
    <w:p w:rsidR="006628A2" w:rsidRPr="004914A7" w:rsidRDefault="006628A2" w:rsidP="001B6FE0">
      <w:pPr>
        <w:suppressAutoHyphens/>
      </w:pPr>
    </w:p>
    <w:p w:rsidR="006628A2" w:rsidRPr="004914A7" w:rsidRDefault="00034E2C" w:rsidP="001B6FE0">
      <w:pPr>
        <w:suppressAutoHyphens/>
      </w:pPr>
      <w:r w:rsidRPr="004914A7">
        <w:rPr>
          <w:b/>
        </w:rPr>
        <w:t>Artículo 30. Administración y control de los fondos de aportaciones federales</w:t>
      </w:r>
    </w:p>
    <w:p w:rsidR="006628A2" w:rsidRPr="004914A7" w:rsidRDefault="006628A2" w:rsidP="001B6FE0">
      <w:pPr>
        <w:suppressAutoHyphens/>
      </w:pPr>
    </w:p>
    <w:p w:rsidR="006628A2" w:rsidRPr="004914A7" w:rsidRDefault="00034E2C" w:rsidP="001B6FE0">
      <w:pPr>
        <w:suppressAutoHyphens/>
      </w:pPr>
      <w:r w:rsidRPr="004914A7">
        <w:t>La administración y control de los recursos previstos en este capítulo es responsabilidad del ente público ejecutor del gasto, conforme a la legislación aplicable a cada fondo de aportación a lo establecido en cada convenio, según corresponda. Con</w:t>
      </w:r>
      <w:r w:rsidR="0022471C" w:rsidRPr="004914A7">
        <w:t xml:space="preserve"> el</w:t>
      </w:r>
      <w:r w:rsidRPr="004914A7">
        <w:t xml:space="preserve"> objeto de lograr un ejercicio más eficiente y eficaz, las erogaciones se ejercerán a través de programas y proyectos, con objetivos, metas y unidades presupuestales responsables de su ejecución, de conformidad con lo establecido en la normativa federal y estatal en la materia.</w:t>
      </w:r>
    </w:p>
    <w:p w:rsidR="006628A2" w:rsidRPr="004914A7" w:rsidRDefault="006628A2" w:rsidP="001B6FE0">
      <w:pPr>
        <w:suppressAutoHyphens/>
      </w:pPr>
    </w:p>
    <w:p w:rsidR="006628A2" w:rsidRPr="004914A7" w:rsidRDefault="00034E2C" w:rsidP="001B6FE0">
      <w:pPr>
        <w:suppressAutoHyphens/>
      </w:pPr>
      <w:r w:rsidRPr="004914A7">
        <w:t xml:space="preserve">Dichos entes públicos deberán considerar los criterios de evaluación cuantitativos y cualitativos de los recursos asignados, por la </w:t>
      </w:r>
      <w:r w:rsidR="00186FC8" w:rsidRPr="004914A7">
        <w:t xml:space="preserve">que </w:t>
      </w:r>
      <w:r w:rsidRPr="004914A7">
        <w:t>deberán incluir indicadores de desempeño y fortalecer la transparencia de los pagos que se realicen en materia de servicios personales.</w:t>
      </w:r>
    </w:p>
    <w:p w:rsidR="006628A2" w:rsidRPr="004914A7" w:rsidRDefault="006628A2" w:rsidP="001B6FE0">
      <w:pPr>
        <w:suppressAutoHyphens/>
      </w:pPr>
    </w:p>
    <w:p w:rsidR="006628A2" w:rsidRPr="004914A7" w:rsidRDefault="00034E2C" w:rsidP="001B6FE0">
      <w:pPr>
        <w:suppressAutoHyphens/>
      </w:pPr>
      <w:r w:rsidRPr="004914A7">
        <w:rPr>
          <w:b/>
        </w:rPr>
        <w:t>Artículo 31. Ingreso y ministración de recursos federales</w:t>
      </w:r>
    </w:p>
    <w:p w:rsidR="006628A2" w:rsidRPr="004914A7" w:rsidRDefault="006628A2" w:rsidP="001B6FE0">
      <w:pPr>
        <w:suppressAutoHyphens/>
      </w:pPr>
    </w:p>
    <w:p w:rsidR="006628A2" w:rsidRPr="004914A7" w:rsidRDefault="00034E2C" w:rsidP="001B6FE0">
      <w:pPr>
        <w:suppressAutoHyphens/>
      </w:pPr>
      <w:r w:rsidRPr="004914A7">
        <w:t xml:space="preserve">La Tesorería General del Estado es la unidad administrativa que deberá recibir las transferencias de recursos federales del estado y de los municipios salvo en el caso de ministraciones relacionadas con obligaciones del estado o municipios que estén garantizadas con la afectación de sus participaciones o aportaciones </w:t>
      </w:r>
      <w:r w:rsidRPr="004914A7">
        <w:lastRenderedPageBreak/>
        <w:t>federales, en términos de lo dispuesto en los artículos 9, 50 y 51 de la Ley de Coordinación Fiscal y los casos previstos en las disposiciones legales aplicables.</w:t>
      </w:r>
    </w:p>
    <w:p w:rsidR="006628A2" w:rsidRPr="004914A7" w:rsidRDefault="006628A2" w:rsidP="001B6FE0">
      <w:pPr>
        <w:suppressAutoHyphens/>
      </w:pPr>
    </w:p>
    <w:p w:rsidR="006628A2" w:rsidRPr="004914A7" w:rsidRDefault="00034E2C" w:rsidP="001B6FE0">
      <w:pPr>
        <w:suppressAutoHyphens/>
      </w:pPr>
      <w:r w:rsidRPr="004914A7">
        <w:rPr>
          <w:b/>
        </w:rPr>
        <w:t>Artículo 32. Normativa aplicable</w:t>
      </w:r>
    </w:p>
    <w:p w:rsidR="006628A2" w:rsidRPr="004914A7" w:rsidRDefault="006628A2" w:rsidP="001B6FE0">
      <w:pPr>
        <w:suppressAutoHyphens/>
      </w:pPr>
    </w:p>
    <w:p w:rsidR="006628A2" w:rsidRPr="004914A7" w:rsidRDefault="00034E2C" w:rsidP="001B6FE0">
      <w:pPr>
        <w:suppressAutoHyphens/>
      </w:pPr>
      <w:r w:rsidRPr="004914A7">
        <w:t>Los entes públicos en el ejercicio de los recursos que les sean transferidos a través del Ramo 33 del Presupuesto de Egresos de la Federación para el Ejercicio Fiscal 2021 o por convenios o subsidios federales se sujetarán a las disposiciones en materia de información, rendición de cuentas, transparencia y evaluación establecidas en los artículos 134 de la Constitución Política de los Estados Unidos Mexicanos; 48 y 49, fracción V, de la Ley de Coordinación Fiscal; 85 y 110 de la Ley Federal de Presupuesto y Responsabilidad Hacendaria; la Ley General de Contabilidad Gubernamental; las disposiciones específicas que el Presupuesto de Egresos de la Federación para el Ejercicio Fiscal 2021 contenga y las demás disposiciones legales y normativas aplicables en la materia.</w:t>
      </w:r>
    </w:p>
    <w:p w:rsidR="006628A2" w:rsidRPr="004914A7" w:rsidRDefault="006628A2" w:rsidP="001B6FE0">
      <w:pPr>
        <w:suppressAutoHyphens/>
      </w:pPr>
    </w:p>
    <w:p w:rsidR="006628A2" w:rsidRPr="004914A7" w:rsidRDefault="00034E2C" w:rsidP="001B6FE0">
      <w:pPr>
        <w:suppressAutoHyphens/>
      </w:pPr>
      <w:r w:rsidRPr="004914A7">
        <w:rPr>
          <w:b/>
        </w:rPr>
        <w:t>Artículo 33. Remisión de información sobre el ejercicio y destino de los recursos</w:t>
      </w:r>
    </w:p>
    <w:p w:rsidR="006628A2" w:rsidRPr="004914A7" w:rsidRDefault="006628A2" w:rsidP="001B6FE0">
      <w:pPr>
        <w:suppressAutoHyphens/>
      </w:pPr>
    </w:p>
    <w:p w:rsidR="006628A2" w:rsidRPr="004914A7" w:rsidRDefault="00034E2C" w:rsidP="001B6FE0">
      <w:pPr>
        <w:suppressAutoHyphens/>
      </w:pPr>
      <w:r w:rsidRPr="004914A7">
        <w:t>Los entes públicos encargados del ejercicio y aplicación de los recursos establecidos en este capítulo son directamente responsables de enviar en tiempo y forma a la Secretaría de Hacienda y Crédito Público, a través del sistema informático que esta dependencia ponga a su disposición, la información sobre el ejercicio y destino de los recursos federales, distintos a las participaciones que reciban.</w:t>
      </w:r>
    </w:p>
    <w:p w:rsidR="006628A2" w:rsidRPr="004914A7" w:rsidRDefault="006628A2" w:rsidP="001B6FE0">
      <w:pPr>
        <w:suppressAutoHyphens/>
      </w:pPr>
    </w:p>
    <w:p w:rsidR="006628A2" w:rsidRPr="004914A7" w:rsidRDefault="00034E2C" w:rsidP="001B6FE0">
      <w:pPr>
        <w:suppressAutoHyphens/>
      </w:pPr>
      <w:r w:rsidRPr="004914A7">
        <w:t>Igualmente, deberán dar cumplimiento a lo establecido en los lineamientos para informar sobre el origen, aplicación y resultados de los recursos transferidos por el Gobierno federal, derivados de aportaciones, subsidios y convenios de coordinación.</w:t>
      </w:r>
    </w:p>
    <w:p w:rsidR="006628A2" w:rsidRPr="004914A7" w:rsidRDefault="006628A2" w:rsidP="001B6FE0">
      <w:pPr>
        <w:suppressAutoHyphens/>
      </w:pPr>
    </w:p>
    <w:p w:rsidR="006628A2" w:rsidRPr="004914A7" w:rsidRDefault="00034E2C" w:rsidP="001B6FE0">
      <w:pPr>
        <w:suppressAutoHyphens/>
      </w:pPr>
      <w:r w:rsidRPr="004914A7">
        <w:rPr>
          <w:b/>
        </w:rPr>
        <w:t>Artículo 34. Reglas aplicables para el ejercicio concurrente</w:t>
      </w:r>
    </w:p>
    <w:p w:rsidR="006628A2" w:rsidRPr="004914A7" w:rsidRDefault="006628A2" w:rsidP="001B6FE0">
      <w:pPr>
        <w:suppressAutoHyphens/>
      </w:pPr>
    </w:p>
    <w:p w:rsidR="006628A2" w:rsidRPr="004914A7" w:rsidRDefault="00034E2C" w:rsidP="001B6FE0">
      <w:pPr>
        <w:suppressAutoHyphens/>
      </w:pPr>
      <w:r w:rsidRPr="004914A7">
        <w:t>En el caso de los programas que prevean la aportación de recursos por parte del estado para ser ejercidos de manera concurrente con recursos federales, los entes públicos responsables de su ejecución se sujetarán a la normativa aplicable que</w:t>
      </w:r>
      <w:r w:rsidR="003450C6" w:rsidRPr="004914A7">
        <w:t>,</w:t>
      </w:r>
      <w:r w:rsidRPr="004914A7">
        <w:t xml:space="preserve"> en su caso</w:t>
      </w:r>
      <w:r w:rsidR="003450C6" w:rsidRPr="004914A7">
        <w:t>,</w:t>
      </w:r>
      <w:r w:rsidRPr="004914A7">
        <w:t xml:space="preserve"> se establezca para cada programa o convenio correspondiente.</w:t>
      </w:r>
    </w:p>
    <w:p w:rsidR="006628A2" w:rsidRPr="004914A7" w:rsidRDefault="006628A2" w:rsidP="001B6FE0">
      <w:pPr>
        <w:suppressAutoHyphens/>
      </w:pPr>
    </w:p>
    <w:p w:rsidR="006628A2" w:rsidRPr="004914A7" w:rsidRDefault="00034E2C" w:rsidP="001B6FE0">
      <w:pPr>
        <w:suppressAutoHyphens/>
      </w:pPr>
      <w:r w:rsidRPr="004914A7">
        <w:rPr>
          <w:b/>
        </w:rPr>
        <w:t>Artículo 35. Autorización de adecuaciones</w:t>
      </w:r>
    </w:p>
    <w:p w:rsidR="006628A2" w:rsidRPr="004914A7" w:rsidRDefault="006628A2" w:rsidP="001B6FE0">
      <w:pPr>
        <w:suppressAutoHyphens/>
      </w:pPr>
    </w:p>
    <w:p w:rsidR="006628A2" w:rsidRPr="004914A7" w:rsidRDefault="00034E2C" w:rsidP="001B6FE0">
      <w:pPr>
        <w:suppressAutoHyphens/>
      </w:pPr>
      <w:r w:rsidRPr="004914A7">
        <w:lastRenderedPageBreak/>
        <w:t>Se autoriza al titular del Poder Ejecutivo del estado para hacer las adecuaciones a este presupuesto que resulten necesarias para satisfacer los requisitos que establezca el Presupuesto de Egresos de la Federación para el Ejercicio Fiscal 2021, cuando sea conveniente para el desarrollo del estado.</w:t>
      </w:r>
    </w:p>
    <w:p w:rsidR="006628A2" w:rsidRPr="004914A7" w:rsidRDefault="006628A2" w:rsidP="001B6FE0">
      <w:pPr>
        <w:suppressAutoHyphens/>
      </w:pPr>
    </w:p>
    <w:p w:rsidR="006628A2" w:rsidRPr="004914A7" w:rsidRDefault="00034E2C" w:rsidP="001B6FE0">
      <w:pPr>
        <w:pStyle w:val="Ttulo2"/>
        <w:suppressAutoHyphens/>
      </w:pPr>
      <w:bookmarkStart w:id="18" w:name="título-tercero"/>
      <w:r w:rsidRPr="004914A7">
        <w:t>Título tercero</w:t>
      </w:r>
      <w:bookmarkEnd w:id="18"/>
    </w:p>
    <w:p w:rsidR="006628A2" w:rsidRPr="004914A7" w:rsidRDefault="00034E2C" w:rsidP="001B6FE0">
      <w:pPr>
        <w:pStyle w:val="Ttulo2"/>
        <w:suppressAutoHyphens/>
      </w:pPr>
      <w:bookmarkStart w:id="19" w:name="Xabd683b050867a50befdb7fe34fe160eed45254"/>
      <w:r w:rsidRPr="004914A7">
        <w:t>Disciplina presupuestal en el ejercicio del gasto público</w:t>
      </w:r>
      <w:bookmarkEnd w:id="19"/>
    </w:p>
    <w:p w:rsidR="006628A2" w:rsidRPr="004914A7" w:rsidRDefault="006628A2" w:rsidP="001B6FE0">
      <w:pPr>
        <w:suppressAutoHyphens/>
      </w:pPr>
    </w:p>
    <w:p w:rsidR="006628A2" w:rsidRPr="004914A7" w:rsidRDefault="00034E2C" w:rsidP="001B6FE0">
      <w:pPr>
        <w:pStyle w:val="Ttulo2"/>
        <w:suppressAutoHyphens/>
      </w:pPr>
      <w:bookmarkStart w:id="20" w:name="capítulo-i-1"/>
      <w:r w:rsidRPr="004914A7">
        <w:t>Capítulo I</w:t>
      </w:r>
      <w:bookmarkEnd w:id="20"/>
    </w:p>
    <w:p w:rsidR="006628A2" w:rsidRPr="004914A7" w:rsidRDefault="00034E2C" w:rsidP="001B6FE0">
      <w:pPr>
        <w:pStyle w:val="Ttulo2"/>
        <w:suppressAutoHyphens/>
      </w:pPr>
      <w:bookmarkStart w:id="21" w:name="Xf8aef72e7a37dbf7a3a66eeeb84c78424ff869f"/>
      <w:r w:rsidRPr="004914A7">
        <w:t>Acciones para generar balance presupuestario</w:t>
      </w:r>
      <w:bookmarkEnd w:id="21"/>
    </w:p>
    <w:p w:rsidR="006628A2" w:rsidRDefault="006628A2" w:rsidP="001B6FE0">
      <w:pPr>
        <w:suppressAutoHyphens/>
      </w:pPr>
    </w:p>
    <w:p w:rsidR="00976C88" w:rsidRDefault="00976C88" w:rsidP="001B6FE0">
      <w:pPr>
        <w:suppressAutoHyphens/>
      </w:pPr>
    </w:p>
    <w:p w:rsidR="00976C88" w:rsidRDefault="00976C88" w:rsidP="001B6FE0">
      <w:pPr>
        <w:suppressAutoHyphens/>
      </w:pPr>
    </w:p>
    <w:p w:rsidR="00976C88" w:rsidRPr="004914A7" w:rsidRDefault="00976C88" w:rsidP="001B6FE0">
      <w:pPr>
        <w:suppressAutoHyphens/>
      </w:pPr>
    </w:p>
    <w:p w:rsidR="006628A2" w:rsidRPr="004914A7" w:rsidRDefault="00034E2C" w:rsidP="001B6FE0">
      <w:pPr>
        <w:suppressAutoHyphens/>
      </w:pPr>
      <w:r w:rsidRPr="004914A7">
        <w:rPr>
          <w:b/>
        </w:rPr>
        <w:t>Artículo 36. Racionalidad y austeridad</w:t>
      </w:r>
    </w:p>
    <w:p w:rsidR="006628A2" w:rsidRPr="004914A7" w:rsidRDefault="006628A2" w:rsidP="001B6FE0">
      <w:pPr>
        <w:suppressAutoHyphens/>
      </w:pPr>
    </w:p>
    <w:p w:rsidR="006628A2" w:rsidRPr="004914A7" w:rsidRDefault="00034E2C" w:rsidP="001B6FE0">
      <w:pPr>
        <w:suppressAutoHyphens/>
      </w:pPr>
      <w:r w:rsidRPr="004914A7">
        <w:t>Las dependencias y entidades en el ejercicio de sus respectivos presupuestos deberán dar cumplimiento a las previsiones del capítulo IV del título tercero de la Ley del Presupuesto y Contabilidad Gubernamental del Estado de Yucatán.</w:t>
      </w:r>
    </w:p>
    <w:p w:rsidR="006628A2" w:rsidRPr="004914A7" w:rsidRDefault="006628A2" w:rsidP="001B6FE0">
      <w:pPr>
        <w:suppressAutoHyphens/>
      </w:pPr>
    </w:p>
    <w:p w:rsidR="006628A2" w:rsidRPr="004914A7" w:rsidRDefault="00034E2C" w:rsidP="001B6FE0">
      <w:pPr>
        <w:suppressAutoHyphens/>
      </w:pPr>
      <w:r w:rsidRPr="004914A7">
        <w:rPr>
          <w:b/>
        </w:rPr>
        <w:t>Artículo 37. Medidas para la reducción del gasto</w:t>
      </w:r>
    </w:p>
    <w:p w:rsidR="006628A2" w:rsidRPr="004914A7" w:rsidRDefault="006628A2" w:rsidP="001B6FE0">
      <w:pPr>
        <w:suppressAutoHyphens/>
      </w:pPr>
    </w:p>
    <w:p w:rsidR="006628A2" w:rsidRPr="004914A7" w:rsidRDefault="00034E2C" w:rsidP="001B6FE0">
      <w:pPr>
        <w:suppressAutoHyphens/>
      </w:pPr>
      <w:r w:rsidRPr="004914A7">
        <w:t xml:space="preserve">Los poderes, así como los organismos autónomos, deberán implementar medidas equivalentes a las aplicables en las dependencias y entidades para la reducción del gasto destinado a las actividades administrativas y de apoyo, así como del presupuesto </w:t>
      </w:r>
      <w:proofErr w:type="spellStart"/>
      <w:r w:rsidRPr="004914A7">
        <w:t>regularizable</w:t>
      </w:r>
      <w:proofErr w:type="spellEnd"/>
      <w:r w:rsidRPr="004914A7">
        <w:t xml:space="preserve"> de servicios personales. Para el caso de las entidades, sus titulares, en el ámbito de sus competencias, implementarán las acciones correspondientes para el debido cumplimiento de lo dispuesto en este capítulo, siempre y cuando estas no afecten el ejercicio de sus funciones ni sus atribuciones legales.</w:t>
      </w:r>
    </w:p>
    <w:p w:rsidR="006628A2" w:rsidRPr="004914A7" w:rsidRDefault="006628A2" w:rsidP="001B6FE0">
      <w:pPr>
        <w:suppressAutoHyphens/>
      </w:pPr>
    </w:p>
    <w:p w:rsidR="006628A2" w:rsidRPr="004914A7" w:rsidRDefault="00034E2C" w:rsidP="001B6FE0">
      <w:pPr>
        <w:suppressAutoHyphens/>
      </w:pPr>
      <w:r w:rsidRPr="004914A7">
        <w:t xml:space="preserve">Los ahorros presupuestales generados por la aplicación de las disposiciones contenidas en este capítulo deberán destinarse en primer lugar a corregir desviaciones del </w:t>
      </w:r>
      <w:r w:rsidR="00215BFB" w:rsidRPr="004914A7">
        <w:t>b</w:t>
      </w:r>
      <w:r w:rsidRPr="004914A7">
        <w:t xml:space="preserve">alance presupuestario de recursos disponibles negativo, y en segundo lugar a los programas prioritarios de la </w:t>
      </w:r>
      <w:r w:rsidR="00215BFB" w:rsidRPr="004914A7">
        <w:t>e</w:t>
      </w:r>
      <w:r w:rsidRPr="004914A7">
        <w:t xml:space="preserve">ntidad </w:t>
      </w:r>
      <w:r w:rsidR="00215BFB" w:rsidRPr="004914A7">
        <w:t>f</w:t>
      </w:r>
      <w:r w:rsidRPr="004914A7">
        <w:t>ederativa.</w:t>
      </w:r>
    </w:p>
    <w:p w:rsidR="006628A2" w:rsidRPr="004914A7" w:rsidRDefault="006628A2" w:rsidP="001B6FE0">
      <w:pPr>
        <w:suppressAutoHyphens/>
      </w:pPr>
    </w:p>
    <w:p w:rsidR="006628A2" w:rsidRPr="004914A7" w:rsidRDefault="00034E2C" w:rsidP="001B6FE0">
      <w:pPr>
        <w:suppressAutoHyphens/>
      </w:pPr>
      <w:r w:rsidRPr="004914A7">
        <w:rPr>
          <w:b/>
        </w:rPr>
        <w:t>Artículo 38. Destino de economías</w:t>
      </w:r>
    </w:p>
    <w:p w:rsidR="006628A2" w:rsidRPr="004914A7" w:rsidRDefault="006628A2" w:rsidP="001B6FE0">
      <w:pPr>
        <w:suppressAutoHyphens/>
      </w:pPr>
    </w:p>
    <w:p w:rsidR="006628A2" w:rsidRPr="004914A7" w:rsidRDefault="00034E2C" w:rsidP="001B6FE0">
      <w:pPr>
        <w:suppressAutoHyphens/>
      </w:pPr>
      <w:r w:rsidRPr="004914A7">
        <w:t xml:space="preserve">Los economías o remanentes, esto es, los recursos que no hayan sido devengados, incluyendo los rendimientos, al 31 de diciembre de 2020, que las dependencias y entidades generen por la aplicación de las disposiciones </w:t>
      </w:r>
      <w:r w:rsidRPr="004914A7">
        <w:lastRenderedPageBreak/>
        <w:t xml:space="preserve">contenidas en este capítulo o que por cualquier otro motivo generen durante el ejercicio, salvo aquellas economías en materia de pensiones y seguridad social y las que se generen por la venta de bienes y servicios de las entidades, serán reintegradas a la hacienda pública dentro de los </w:t>
      </w:r>
      <w:r w:rsidR="00215BFB" w:rsidRPr="004914A7">
        <w:t xml:space="preserve">quince </w:t>
      </w:r>
      <w:r w:rsidRPr="004914A7">
        <w:t>días naturales siguientes al cierre del ejercicio.</w:t>
      </w:r>
    </w:p>
    <w:p w:rsidR="006628A2" w:rsidRPr="004914A7" w:rsidRDefault="006628A2" w:rsidP="001B6FE0">
      <w:pPr>
        <w:suppressAutoHyphens/>
      </w:pPr>
    </w:p>
    <w:p w:rsidR="006628A2" w:rsidRPr="004914A7" w:rsidRDefault="00034E2C" w:rsidP="001B6FE0">
      <w:pPr>
        <w:suppressAutoHyphens/>
      </w:pPr>
      <w:r w:rsidRPr="004914A7">
        <w:rPr>
          <w:b/>
        </w:rPr>
        <w:t>Artículo 39. Determinación de reducciones, diferimiento o cancelaciones</w:t>
      </w:r>
    </w:p>
    <w:p w:rsidR="006628A2" w:rsidRPr="004914A7" w:rsidRDefault="006628A2" w:rsidP="001B6FE0">
      <w:pPr>
        <w:suppressAutoHyphens/>
      </w:pPr>
    </w:p>
    <w:p w:rsidR="006628A2" w:rsidRPr="004914A7" w:rsidRDefault="00034E2C" w:rsidP="001B6FE0">
      <w:pPr>
        <w:suppressAutoHyphens/>
      </w:pPr>
      <w:r w:rsidRPr="004914A7">
        <w:t>El Poder Ejecutivo del estado, por conducto de la secretaría, también podrá determinar las reducciones, diferimientos o cancelaciones de programas y conceptos de gasto de las dependencias y entidades, con el fin de atender las prioridades establecidas por el titular del Poder Ejecutivo.</w:t>
      </w:r>
    </w:p>
    <w:p w:rsidR="006628A2" w:rsidRPr="004914A7" w:rsidRDefault="006628A2" w:rsidP="001B6FE0">
      <w:pPr>
        <w:suppressAutoHyphens/>
      </w:pPr>
    </w:p>
    <w:p w:rsidR="00976C88" w:rsidRDefault="00976C88" w:rsidP="001B6FE0">
      <w:pPr>
        <w:suppressAutoHyphens/>
        <w:rPr>
          <w:b/>
        </w:rPr>
      </w:pPr>
    </w:p>
    <w:p w:rsidR="00976C88" w:rsidRDefault="00976C88" w:rsidP="001B6FE0">
      <w:pPr>
        <w:suppressAutoHyphens/>
        <w:rPr>
          <w:b/>
        </w:rPr>
      </w:pPr>
    </w:p>
    <w:p w:rsidR="006628A2" w:rsidRPr="004914A7" w:rsidRDefault="00034E2C" w:rsidP="001B6FE0">
      <w:pPr>
        <w:suppressAutoHyphens/>
      </w:pPr>
      <w:r w:rsidRPr="004914A7">
        <w:rPr>
          <w:b/>
        </w:rPr>
        <w:t xml:space="preserve">Artículo 40. Techo de </w:t>
      </w:r>
      <w:r w:rsidR="00215BFB" w:rsidRPr="004914A7">
        <w:rPr>
          <w:b/>
        </w:rPr>
        <w:t>f</w:t>
      </w:r>
      <w:r w:rsidRPr="004914A7">
        <w:rPr>
          <w:b/>
        </w:rPr>
        <w:t xml:space="preserve">inanciamiento </w:t>
      </w:r>
      <w:r w:rsidR="00215BFB" w:rsidRPr="004914A7">
        <w:rPr>
          <w:b/>
        </w:rPr>
        <w:t>n</w:t>
      </w:r>
      <w:r w:rsidRPr="004914A7">
        <w:rPr>
          <w:b/>
        </w:rPr>
        <w:t>eto</w:t>
      </w:r>
    </w:p>
    <w:p w:rsidR="006628A2" w:rsidRPr="004914A7" w:rsidRDefault="006628A2" w:rsidP="001B6FE0">
      <w:pPr>
        <w:suppressAutoHyphens/>
      </w:pPr>
    </w:p>
    <w:p w:rsidR="006628A2" w:rsidRPr="004914A7" w:rsidRDefault="00034E2C" w:rsidP="001B6FE0">
      <w:pPr>
        <w:suppressAutoHyphens/>
      </w:pPr>
      <w:r w:rsidRPr="004914A7">
        <w:t xml:space="preserve">Si durante el ejercicio fiscal 2021, se actualiza alguno de los supuestos previstos por el artículo 7 de la </w:t>
      </w:r>
      <w:r w:rsidR="00215BFB" w:rsidRPr="004914A7">
        <w:t>l</w:t>
      </w:r>
      <w:r w:rsidRPr="004914A7">
        <w:t xml:space="preserve">ey de </w:t>
      </w:r>
      <w:r w:rsidR="00215BFB" w:rsidRPr="004914A7">
        <w:t>d</w:t>
      </w:r>
      <w:r w:rsidRPr="004914A7">
        <w:t xml:space="preserve">isciplina </w:t>
      </w:r>
      <w:r w:rsidR="00215BFB" w:rsidRPr="004914A7">
        <w:t>f</w:t>
      </w:r>
      <w:r w:rsidRPr="004914A7">
        <w:t xml:space="preserve">inanciera, con base en el cual se proyecte incurrir al cierre del ejercicio en un </w:t>
      </w:r>
      <w:r w:rsidR="00215BFB" w:rsidRPr="004914A7">
        <w:t>b</w:t>
      </w:r>
      <w:r w:rsidRPr="004914A7">
        <w:t xml:space="preserve">alance presupuestario de recursos disponibles negativo se autoriza al Poder Ejecutivo del </w:t>
      </w:r>
      <w:r w:rsidR="00215BFB" w:rsidRPr="004914A7">
        <w:t>e</w:t>
      </w:r>
      <w:r w:rsidRPr="004914A7">
        <w:t xml:space="preserve">stado conforme al artículo 46, segundo párrafo de la misma </w:t>
      </w:r>
      <w:r w:rsidR="00BA3B20" w:rsidRPr="004914A7">
        <w:t xml:space="preserve">ley </w:t>
      </w:r>
      <w:r w:rsidR="00215BFB" w:rsidRPr="004914A7">
        <w:t xml:space="preserve">para ampliar el techo de financiamiento neto hasta por el monto de financiamiento neto necesario para solventar las causas que generaron el balance presupuestario </w:t>
      </w:r>
      <w:r w:rsidRPr="004914A7">
        <w:t>de recursos disponible negativo.</w:t>
      </w:r>
    </w:p>
    <w:p w:rsidR="006628A2" w:rsidRPr="004914A7" w:rsidRDefault="006628A2" w:rsidP="001B6FE0">
      <w:pPr>
        <w:suppressAutoHyphens/>
      </w:pPr>
    </w:p>
    <w:p w:rsidR="006628A2" w:rsidRPr="004914A7" w:rsidRDefault="00034E2C" w:rsidP="001B6FE0">
      <w:pPr>
        <w:pStyle w:val="Ttulo2"/>
        <w:suppressAutoHyphens/>
      </w:pPr>
      <w:bookmarkStart w:id="22" w:name="capítulo-ii-1"/>
      <w:r w:rsidRPr="004914A7">
        <w:t>Capítulo II</w:t>
      </w:r>
      <w:bookmarkEnd w:id="22"/>
    </w:p>
    <w:p w:rsidR="006628A2" w:rsidRPr="004914A7" w:rsidRDefault="00034E2C" w:rsidP="001B6FE0">
      <w:pPr>
        <w:pStyle w:val="Ttulo2"/>
        <w:suppressAutoHyphens/>
      </w:pPr>
      <w:bookmarkStart w:id="23" w:name="Xc6ec9d217a4f84474df3e3556079850e49325e4"/>
      <w:r w:rsidRPr="004914A7">
        <w:t>Eficiencia, eficacia, economía, transparencia y honradez en el ejercicio del gasto</w:t>
      </w:r>
      <w:bookmarkEnd w:id="23"/>
    </w:p>
    <w:p w:rsidR="006628A2" w:rsidRPr="004914A7" w:rsidRDefault="006628A2" w:rsidP="001B6FE0">
      <w:pPr>
        <w:suppressAutoHyphens/>
      </w:pPr>
    </w:p>
    <w:p w:rsidR="006628A2" w:rsidRPr="004914A7" w:rsidRDefault="00034E2C" w:rsidP="001B6FE0">
      <w:pPr>
        <w:suppressAutoHyphens/>
      </w:pPr>
      <w:r w:rsidRPr="004914A7">
        <w:rPr>
          <w:b/>
        </w:rPr>
        <w:t>Artículo 41. Viáticos y gastos de traslado</w:t>
      </w:r>
    </w:p>
    <w:p w:rsidR="006628A2" w:rsidRPr="004914A7" w:rsidRDefault="006628A2" w:rsidP="001B6FE0">
      <w:pPr>
        <w:suppressAutoHyphens/>
      </w:pPr>
    </w:p>
    <w:p w:rsidR="006628A2" w:rsidRPr="004914A7" w:rsidRDefault="00034E2C" w:rsidP="001B6FE0">
      <w:pPr>
        <w:suppressAutoHyphens/>
      </w:pPr>
      <w:r w:rsidRPr="004914A7">
        <w:t>Los viáticos y gastos de traslado para el personal adscrito a las dependencias deberán ser autorizados por sus titulares, previa valoración y conveniencia de la comisión que motiva la necesidad de traslado o asistencia del o los servidores públicos, debiéndose ajustar al tabulador aprobado por la secretaría.</w:t>
      </w:r>
    </w:p>
    <w:p w:rsidR="006628A2" w:rsidRPr="004914A7" w:rsidRDefault="006628A2" w:rsidP="001B6FE0">
      <w:pPr>
        <w:suppressAutoHyphens/>
      </w:pPr>
    </w:p>
    <w:p w:rsidR="006628A2" w:rsidRPr="004914A7" w:rsidRDefault="00034E2C" w:rsidP="001B6FE0">
      <w:pPr>
        <w:suppressAutoHyphens/>
      </w:pPr>
      <w:r w:rsidRPr="004914A7">
        <w:rPr>
          <w:b/>
        </w:rPr>
        <w:t>Artículo 42. Principio de anualidad del presupuesto para fideicomisos</w:t>
      </w:r>
    </w:p>
    <w:p w:rsidR="006628A2" w:rsidRPr="004914A7" w:rsidRDefault="006628A2" w:rsidP="001B6FE0">
      <w:pPr>
        <w:suppressAutoHyphens/>
      </w:pPr>
    </w:p>
    <w:p w:rsidR="006628A2" w:rsidRPr="004914A7" w:rsidRDefault="00034E2C" w:rsidP="001B6FE0">
      <w:pPr>
        <w:suppressAutoHyphens/>
      </w:pPr>
      <w:r w:rsidRPr="004914A7">
        <w:t>Se prohíbe la celebración de fideicomisos, mandatos o contratos análogos, que tengan como propósito eludir la anualidad de este presupuesto.</w:t>
      </w:r>
    </w:p>
    <w:p w:rsidR="006628A2" w:rsidRPr="004914A7" w:rsidRDefault="006628A2" w:rsidP="001B6FE0">
      <w:pPr>
        <w:suppressAutoHyphens/>
      </w:pPr>
    </w:p>
    <w:p w:rsidR="006628A2" w:rsidRPr="004914A7" w:rsidRDefault="00034E2C" w:rsidP="001B6FE0">
      <w:pPr>
        <w:suppressAutoHyphens/>
      </w:pPr>
      <w:r w:rsidRPr="004914A7">
        <w:rPr>
          <w:b/>
        </w:rPr>
        <w:lastRenderedPageBreak/>
        <w:t>Artículo 43. Aplicación de superávit</w:t>
      </w:r>
    </w:p>
    <w:p w:rsidR="006628A2" w:rsidRPr="004914A7" w:rsidRDefault="006628A2" w:rsidP="001B6FE0">
      <w:pPr>
        <w:suppressAutoHyphens/>
      </w:pPr>
    </w:p>
    <w:p w:rsidR="006628A2" w:rsidRPr="004914A7" w:rsidRDefault="00034E2C" w:rsidP="001B6FE0">
      <w:pPr>
        <w:suppressAutoHyphens/>
      </w:pPr>
      <w:r w:rsidRPr="004914A7">
        <w:t>Cuando durante el ejercicio fiscal se presenten recursos económicos excedentes derivados de un superávit presupuestal de los ingresos recaudados respecto de los ingresos estimados se estará a lo siguiente:</w:t>
      </w:r>
    </w:p>
    <w:p w:rsidR="006628A2" w:rsidRPr="004914A7" w:rsidRDefault="006628A2" w:rsidP="001B6FE0">
      <w:pPr>
        <w:suppressAutoHyphens/>
      </w:pPr>
    </w:p>
    <w:p w:rsidR="006628A2" w:rsidRPr="004914A7" w:rsidRDefault="00034E2C" w:rsidP="001B6FE0">
      <w:pPr>
        <w:suppressAutoHyphens/>
      </w:pPr>
      <w:r w:rsidRPr="004914A7">
        <w:t>   a) Tratándose de recursos excedentes de origen federal, el destino en que habrán de emplearse será́ el previsto en la legislación federal aplicable.</w:t>
      </w:r>
    </w:p>
    <w:p w:rsidR="006628A2" w:rsidRPr="004914A7" w:rsidRDefault="006628A2" w:rsidP="001B6FE0">
      <w:pPr>
        <w:suppressAutoHyphens/>
      </w:pPr>
    </w:p>
    <w:p w:rsidR="006628A2" w:rsidRPr="004914A7" w:rsidRDefault="00034E2C" w:rsidP="001B6FE0">
      <w:pPr>
        <w:suppressAutoHyphens/>
      </w:pPr>
      <w:r w:rsidRPr="004914A7">
        <w:t>   b) Si el superávit proviene de ingresos excedentes de recursos estatales, se estará a lo dispuesto en la Ley de Disciplina Financiera.</w:t>
      </w:r>
    </w:p>
    <w:p w:rsidR="006628A2" w:rsidRPr="004914A7" w:rsidRDefault="006628A2" w:rsidP="001B6FE0">
      <w:pPr>
        <w:suppressAutoHyphens/>
      </w:pPr>
    </w:p>
    <w:p w:rsidR="006628A2" w:rsidRPr="004914A7" w:rsidRDefault="00034E2C" w:rsidP="001B6FE0">
      <w:pPr>
        <w:suppressAutoHyphens/>
      </w:pPr>
      <w:r w:rsidRPr="004914A7">
        <w:t xml:space="preserve">   c) Cuando se trate de economías o remanentes de recursos estatales, deberán reintegrarse a la Tesorería General del Estado dentro del término de </w:t>
      </w:r>
      <w:r w:rsidR="004673F7" w:rsidRPr="004914A7">
        <w:t xml:space="preserve">quince </w:t>
      </w:r>
      <w:r w:rsidRPr="004914A7">
        <w:t>días naturales del ejercicio siguiente a que se haya generado y en términos del artículo 92 de la Ley del Presupuesto y Contabilidad Gubernamental del Estado de Yucatán.</w:t>
      </w:r>
    </w:p>
    <w:p w:rsidR="006628A2" w:rsidRPr="004914A7" w:rsidRDefault="006628A2" w:rsidP="001B6FE0">
      <w:pPr>
        <w:suppressAutoHyphens/>
      </w:pPr>
    </w:p>
    <w:p w:rsidR="006628A2" w:rsidRPr="004914A7" w:rsidRDefault="00034E2C" w:rsidP="001B6FE0">
      <w:pPr>
        <w:suppressAutoHyphens/>
      </w:pPr>
      <w:r w:rsidRPr="004914A7">
        <w:t xml:space="preserve">   d) En el caso de ahorros presupuestarios de recursos estatales se estará a lo dispuesto en el artículo 45 de este </w:t>
      </w:r>
      <w:r w:rsidR="004673F7" w:rsidRPr="004914A7">
        <w:t>d</w:t>
      </w:r>
      <w:r w:rsidRPr="004914A7">
        <w:t>ecreto.</w:t>
      </w:r>
    </w:p>
    <w:p w:rsidR="006628A2" w:rsidRPr="004914A7" w:rsidRDefault="006628A2" w:rsidP="001B6FE0">
      <w:pPr>
        <w:suppressAutoHyphens/>
      </w:pPr>
    </w:p>
    <w:p w:rsidR="006628A2" w:rsidRPr="004914A7" w:rsidRDefault="00034E2C" w:rsidP="001B6FE0">
      <w:pPr>
        <w:suppressAutoHyphens/>
      </w:pPr>
      <w:r w:rsidRPr="004914A7">
        <w:rPr>
          <w:b/>
        </w:rPr>
        <w:t>Artículo 44. Racionalización del gasto por menores ingresos</w:t>
      </w:r>
    </w:p>
    <w:p w:rsidR="006628A2" w:rsidRPr="004914A7" w:rsidRDefault="006628A2" w:rsidP="001B6FE0">
      <w:pPr>
        <w:suppressAutoHyphens/>
      </w:pPr>
    </w:p>
    <w:p w:rsidR="006628A2" w:rsidRPr="004914A7" w:rsidRDefault="00034E2C" w:rsidP="001B6FE0">
      <w:pPr>
        <w:suppressAutoHyphens/>
      </w:pPr>
      <w:r w:rsidRPr="004914A7">
        <w:t>En caso de que durante el ejercicio fiscal exista un déficit en el ingreso recaudado previsto en la ley de ingresos, se estará a lo dispuesto en los artículos 15 de la ley de disciplina financiera y 29 de la Ley del Presupuesto y Contabilidad Gubernamental del Estado de Yucatán.</w:t>
      </w:r>
    </w:p>
    <w:p w:rsidR="006628A2" w:rsidRPr="004914A7" w:rsidRDefault="006628A2" w:rsidP="001B6FE0">
      <w:pPr>
        <w:suppressAutoHyphens/>
      </w:pPr>
    </w:p>
    <w:p w:rsidR="006628A2" w:rsidRPr="004914A7" w:rsidRDefault="00034E2C" w:rsidP="001B6FE0">
      <w:pPr>
        <w:suppressAutoHyphens/>
      </w:pPr>
      <w:r w:rsidRPr="004914A7">
        <w:t>Lo anterior, salvo que se trate de las hipótesis de excepción previstas por el artículo 7 de</w:t>
      </w:r>
      <w:r w:rsidR="004673F7" w:rsidRPr="004914A7">
        <w:t xml:space="preserve"> la ley de disciplina financiera</w:t>
      </w:r>
      <w:r w:rsidRPr="004914A7">
        <w:t xml:space="preserve">, que motiven incurrir en un </w:t>
      </w:r>
      <w:r w:rsidR="004673F7" w:rsidRPr="004914A7">
        <w:t xml:space="preserve">balance </w:t>
      </w:r>
      <w:r w:rsidRPr="004914A7">
        <w:t xml:space="preserve">presupuestario de recursos disponibles negativo o en cuyo caso se autoriza, conforme al artículo 46, segundo párrafo de la misma ley, el monto de </w:t>
      </w:r>
      <w:r w:rsidR="004673F7" w:rsidRPr="004914A7">
        <w:t xml:space="preserve">financiamiento neto </w:t>
      </w:r>
      <w:r w:rsidRPr="004914A7">
        <w:t>necesario para solventar las causas que generaron dicho desbalance.</w:t>
      </w:r>
    </w:p>
    <w:p w:rsidR="006628A2" w:rsidRPr="004914A7" w:rsidRDefault="006628A2" w:rsidP="001B6FE0">
      <w:pPr>
        <w:suppressAutoHyphens/>
      </w:pPr>
    </w:p>
    <w:p w:rsidR="006628A2" w:rsidRPr="004914A7" w:rsidRDefault="00034E2C" w:rsidP="001B6FE0">
      <w:pPr>
        <w:suppressAutoHyphens/>
      </w:pPr>
      <w:r w:rsidRPr="004914A7">
        <w:t>En su caso, los poderes y los organismos autónomos deberán emitir sus propias normas de disciplina presupuestaria.</w:t>
      </w:r>
    </w:p>
    <w:p w:rsidR="006628A2" w:rsidRPr="004914A7" w:rsidRDefault="006628A2" w:rsidP="001B6FE0">
      <w:pPr>
        <w:suppressAutoHyphens/>
      </w:pPr>
    </w:p>
    <w:p w:rsidR="006628A2" w:rsidRPr="004914A7" w:rsidRDefault="00034E2C" w:rsidP="001B6FE0">
      <w:pPr>
        <w:suppressAutoHyphens/>
      </w:pPr>
      <w:r w:rsidRPr="004914A7">
        <w:rPr>
          <w:b/>
        </w:rPr>
        <w:t>Artículo 45. Aplicación de ahorros presupuestarios</w:t>
      </w:r>
    </w:p>
    <w:p w:rsidR="006628A2" w:rsidRPr="004914A7" w:rsidRDefault="006628A2" w:rsidP="001B6FE0">
      <w:pPr>
        <w:suppressAutoHyphens/>
      </w:pPr>
    </w:p>
    <w:p w:rsidR="006628A2" w:rsidRPr="004914A7" w:rsidRDefault="00034E2C" w:rsidP="001B6FE0">
      <w:pPr>
        <w:suppressAutoHyphens/>
      </w:pPr>
      <w:r w:rsidRPr="004914A7">
        <w:lastRenderedPageBreak/>
        <w:t xml:space="preserve">Los ahorros presupuestarios que se obtengan podrán </w:t>
      </w:r>
      <w:r w:rsidR="003A25A2" w:rsidRPr="004914A7">
        <w:t>aplicarse conforme a lo establecido en e</w:t>
      </w:r>
      <w:r w:rsidR="00A160CF" w:rsidRPr="004914A7">
        <w:t xml:space="preserve">l Ley de Disciplina Financiera y </w:t>
      </w:r>
      <w:r w:rsidR="003A25A2" w:rsidRPr="004914A7">
        <w:t xml:space="preserve">la </w:t>
      </w:r>
      <w:r w:rsidR="009C2950" w:rsidRPr="004914A7">
        <w:t xml:space="preserve">Ley del Presupuesto y Contabilidad Gubernamental del Estado de </w:t>
      </w:r>
      <w:r w:rsidR="00867154" w:rsidRPr="004914A7">
        <w:t>Yucatán.</w:t>
      </w:r>
    </w:p>
    <w:p w:rsidR="006628A2" w:rsidRPr="004914A7" w:rsidRDefault="006628A2" w:rsidP="001B6FE0">
      <w:pPr>
        <w:suppressAutoHyphens/>
      </w:pPr>
    </w:p>
    <w:p w:rsidR="006628A2" w:rsidRPr="004914A7" w:rsidRDefault="00034E2C" w:rsidP="001B6FE0">
      <w:pPr>
        <w:suppressAutoHyphens/>
      </w:pPr>
      <w:r w:rsidRPr="004914A7">
        <w:t>La secretaría podrá emitir durante el ejercicio fiscal, disposiciones sobre la operación, evaluación y ejercicio del gasto de las economías presupuestarias del ejercicio fiscal.</w:t>
      </w:r>
    </w:p>
    <w:p w:rsidR="006628A2" w:rsidRPr="004914A7" w:rsidRDefault="006628A2" w:rsidP="001B6FE0">
      <w:pPr>
        <w:suppressAutoHyphens/>
      </w:pPr>
    </w:p>
    <w:p w:rsidR="006628A2" w:rsidRPr="004914A7" w:rsidRDefault="00034E2C" w:rsidP="001B6FE0">
      <w:pPr>
        <w:suppressAutoHyphens/>
      </w:pPr>
      <w:r w:rsidRPr="004914A7">
        <w:rPr>
          <w:b/>
        </w:rPr>
        <w:t>Artículo 46. Cargas financieras</w:t>
      </w:r>
    </w:p>
    <w:p w:rsidR="006628A2" w:rsidRPr="004914A7" w:rsidRDefault="006628A2" w:rsidP="001B6FE0">
      <w:pPr>
        <w:suppressAutoHyphens/>
      </w:pPr>
    </w:p>
    <w:p w:rsidR="006628A2" w:rsidRPr="004914A7" w:rsidRDefault="00034E2C" w:rsidP="001B6FE0">
      <w:pPr>
        <w:suppressAutoHyphens/>
      </w:pPr>
      <w:r w:rsidRPr="004914A7">
        <w:t xml:space="preserve">Las dependencias y entidades sin exceder sus presupuestos autorizados responderán de las cargas financieras que se causen por no cubrir oportunamente los adeudos no fiscales contraídos entre sí. Asimismo, conforme a los lineamientos que expida la </w:t>
      </w:r>
      <w:r w:rsidR="00B76D63" w:rsidRPr="004914A7">
        <w:t>s</w:t>
      </w:r>
      <w:r w:rsidRPr="004914A7">
        <w:t>ecretaría</w:t>
      </w:r>
      <w:r w:rsidR="00B76D63" w:rsidRPr="004914A7">
        <w:t>,</w:t>
      </w:r>
      <w:r w:rsidRPr="004914A7">
        <w:t xml:space="preserve"> las dependencias y entidades podrán depurar las cuentas contables por adeudos no fiscales contraídos entre sí.</w:t>
      </w:r>
    </w:p>
    <w:p w:rsidR="006628A2" w:rsidRPr="004914A7" w:rsidRDefault="006628A2" w:rsidP="001B6FE0">
      <w:pPr>
        <w:suppressAutoHyphens/>
      </w:pPr>
    </w:p>
    <w:p w:rsidR="006628A2" w:rsidRPr="004914A7" w:rsidRDefault="00034E2C" w:rsidP="001B6FE0">
      <w:pPr>
        <w:suppressAutoHyphens/>
      </w:pPr>
      <w:r w:rsidRPr="004914A7">
        <w:rPr>
          <w:b/>
        </w:rPr>
        <w:t>Artículo 47. Compensaciones presupuestales</w:t>
      </w:r>
    </w:p>
    <w:p w:rsidR="006628A2" w:rsidRPr="004914A7" w:rsidRDefault="006628A2" w:rsidP="001B6FE0">
      <w:pPr>
        <w:suppressAutoHyphens/>
      </w:pPr>
    </w:p>
    <w:p w:rsidR="006628A2" w:rsidRPr="004914A7" w:rsidRDefault="00034E2C" w:rsidP="001B6FE0">
      <w:pPr>
        <w:suppressAutoHyphens/>
      </w:pPr>
      <w:r w:rsidRPr="004914A7">
        <w:t xml:space="preserve">La </w:t>
      </w:r>
      <w:r w:rsidR="00447039" w:rsidRPr="004914A7">
        <w:t>s</w:t>
      </w:r>
      <w:r w:rsidRPr="004914A7">
        <w:t>ecretaría, analizando los objetivos y la situación de las finanzas públicas, podrá autorizar compensaciones presupuesta</w:t>
      </w:r>
      <w:r w:rsidR="00447039" w:rsidRPr="004914A7">
        <w:t>les</w:t>
      </w:r>
      <w:r w:rsidRPr="004914A7">
        <w:t xml:space="preserve"> entre dependencias y entidades, indistintamente unas con otras, correspondientes a sus ingresos y egresos, cuando cubran obligaciones entre sí, derivadas de variaciones entre la </w:t>
      </w:r>
      <w:r w:rsidR="00447039" w:rsidRPr="004914A7">
        <w:t>ley de ingresos y el presup</w:t>
      </w:r>
      <w:r w:rsidRPr="004914A7">
        <w:t>uesto de egresos del ejercicio.</w:t>
      </w:r>
    </w:p>
    <w:p w:rsidR="006628A2" w:rsidRPr="004914A7" w:rsidRDefault="006628A2" w:rsidP="001B6FE0">
      <w:pPr>
        <w:suppressAutoHyphens/>
      </w:pPr>
    </w:p>
    <w:p w:rsidR="006628A2" w:rsidRPr="004914A7" w:rsidRDefault="00034E2C" w:rsidP="001B6FE0">
      <w:pPr>
        <w:suppressAutoHyphens/>
      </w:pPr>
      <w:r w:rsidRPr="004914A7">
        <w:t xml:space="preserve">El importe del pago con cargo al presupuesto del deudor deberá tener su correspondiente ingreso registrado en la </w:t>
      </w:r>
      <w:r w:rsidR="00CC28DB" w:rsidRPr="004914A7">
        <w:t>ley de ingresos</w:t>
      </w:r>
      <w:r w:rsidRPr="004914A7">
        <w:t xml:space="preserve"> o</w:t>
      </w:r>
      <w:r w:rsidR="007E735C" w:rsidRPr="004914A7">
        <w:t>,</w:t>
      </w:r>
      <w:r w:rsidRPr="004914A7">
        <w:t xml:space="preserve"> en su caso, podrá cubrir el importe con ingresos adicionales de la entidad. También se podrá dar el otorgamiento de subsidios en los precios de los bienes o servicios por parte de la entidad acreedora.</w:t>
      </w:r>
    </w:p>
    <w:p w:rsidR="006628A2" w:rsidRPr="004914A7" w:rsidRDefault="006628A2" w:rsidP="001B6FE0">
      <w:pPr>
        <w:suppressAutoHyphens/>
      </w:pPr>
    </w:p>
    <w:p w:rsidR="006628A2" w:rsidRPr="004914A7" w:rsidRDefault="00034E2C" w:rsidP="001B6FE0">
      <w:pPr>
        <w:suppressAutoHyphens/>
      </w:pPr>
      <w:r w:rsidRPr="004914A7">
        <w:rPr>
          <w:b/>
        </w:rPr>
        <w:t>Artículo 48. Sujeción a montos autorizados</w:t>
      </w:r>
    </w:p>
    <w:p w:rsidR="006628A2" w:rsidRPr="004914A7" w:rsidRDefault="006628A2" w:rsidP="001B6FE0">
      <w:pPr>
        <w:suppressAutoHyphens/>
      </w:pPr>
    </w:p>
    <w:p w:rsidR="006628A2" w:rsidRPr="004914A7" w:rsidRDefault="00034E2C" w:rsidP="001B6FE0">
      <w:pPr>
        <w:suppressAutoHyphens/>
      </w:pPr>
      <w:r w:rsidRPr="004914A7">
        <w:t>Los poderes, los organismos autónomos, así́ como las dependencias y entidades deberán sujetarse a los montos autorizados en este presupuesto, y en su caso, a las adecuaciones presupuestales autorizadas en los términos de este decreto y de la Ley del Presupuesto y Contabilidad Gubernamental del Estado de Yucatán y su reglamento; por consiguiente, no deberán adquirir compromisos distintos a los estipulados en el presupuesto aprobado o modificado, según sea el caso.</w:t>
      </w:r>
    </w:p>
    <w:p w:rsidR="006628A2" w:rsidRPr="004914A7" w:rsidRDefault="006628A2" w:rsidP="001B6FE0">
      <w:pPr>
        <w:suppressAutoHyphens/>
      </w:pPr>
    </w:p>
    <w:p w:rsidR="006628A2" w:rsidRPr="004914A7" w:rsidRDefault="00034E2C" w:rsidP="001B6FE0">
      <w:pPr>
        <w:pStyle w:val="Ttulo2"/>
        <w:suppressAutoHyphens/>
      </w:pPr>
      <w:bookmarkStart w:id="24" w:name="título-cuarto"/>
      <w:r w:rsidRPr="004914A7">
        <w:lastRenderedPageBreak/>
        <w:t>Título cuarto</w:t>
      </w:r>
      <w:bookmarkEnd w:id="24"/>
    </w:p>
    <w:p w:rsidR="006628A2" w:rsidRPr="004914A7" w:rsidRDefault="007E735C" w:rsidP="001B6FE0">
      <w:pPr>
        <w:pStyle w:val="Ttulo2"/>
        <w:suppressAutoHyphens/>
      </w:pPr>
      <w:bookmarkStart w:id="25" w:name="del-ejercicio-del-gasto"/>
      <w:r w:rsidRPr="004914A7">
        <w:t>E</w:t>
      </w:r>
      <w:r w:rsidR="00034E2C" w:rsidRPr="004914A7">
        <w:t>jercicio del gasto</w:t>
      </w:r>
      <w:bookmarkEnd w:id="25"/>
    </w:p>
    <w:p w:rsidR="006628A2" w:rsidRPr="004914A7" w:rsidRDefault="006628A2" w:rsidP="001B6FE0">
      <w:pPr>
        <w:suppressAutoHyphens/>
      </w:pPr>
    </w:p>
    <w:p w:rsidR="006628A2" w:rsidRPr="004914A7" w:rsidRDefault="00034E2C" w:rsidP="001B6FE0">
      <w:pPr>
        <w:pStyle w:val="Ttulo2"/>
        <w:suppressAutoHyphens/>
      </w:pPr>
      <w:bookmarkStart w:id="26" w:name="capítulo-i-2"/>
      <w:r w:rsidRPr="004914A7">
        <w:t>Capítulo I</w:t>
      </w:r>
      <w:bookmarkEnd w:id="26"/>
    </w:p>
    <w:p w:rsidR="006628A2" w:rsidRPr="004914A7" w:rsidRDefault="00034E2C" w:rsidP="001B6FE0">
      <w:pPr>
        <w:pStyle w:val="Ttulo2"/>
        <w:suppressAutoHyphens/>
      </w:pPr>
      <w:bookmarkStart w:id="27" w:name="disposiciones-preliminares"/>
      <w:r w:rsidRPr="004914A7">
        <w:t>Disposiciones preliminares</w:t>
      </w:r>
      <w:bookmarkEnd w:id="27"/>
    </w:p>
    <w:p w:rsidR="006628A2" w:rsidRPr="004914A7" w:rsidRDefault="006628A2" w:rsidP="001B6FE0">
      <w:pPr>
        <w:suppressAutoHyphens/>
      </w:pPr>
    </w:p>
    <w:p w:rsidR="006628A2" w:rsidRPr="004914A7" w:rsidRDefault="00034E2C" w:rsidP="001B6FE0">
      <w:pPr>
        <w:suppressAutoHyphens/>
      </w:pPr>
      <w:r w:rsidRPr="004914A7">
        <w:rPr>
          <w:b/>
        </w:rPr>
        <w:t>Artículo 49. Erogaciones</w:t>
      </w:r>
    </w:p>
    <w:p w:rsidR="006628A2" w:rsidRPr="004914A7" w:rsidRDefault="006628A2" w:rsidP="001B6FE0">
      <w:pPr>
        <w:suppressAutoHyphens/>
      </w:pPr>
    </w:p>
    <w:p w:rsidR="006628A2" w:rsidRPr="004914A7" w:rsidRDefault="00034E2C" w:rsidP="001B6FE0">
      <w:pPr>
        <w:suppressAutoHyphens/>
      </w:pPr>
      <w:r w:rsidRPr="004914A7">
        <w:t>Será causa de responsabilidad por parte de los titulares de las dependencias y entidades de la Administración Pública estatal, el realizar erogaciones que no se encuentren registradas y devengadas al 31 de diciembre de 2021, así como contraer compromisos de gasto fuera de los presupuestos aprobados.</w:t>
      </w:r>
    </w:p>
    <w:p w:rsidR="006628A2" w:rsidRPr="004914A7" w:rsidRDefault="006628A2" w:rsidP="001B6FE0">
      <w:pPr>
        <w:suppressAutoHyphens/>
      </w:pPr>
    </w:p>
    <w:p w:rsidR="006628A2" w:rsidRPr="004914A7" w:rsidRDefault="00034E2C" w:rsidP="001B6FE0">
      <w:pPr>
        <w:suppressAutoHyphens/>
      </w:pPr>
      <w:r w:rsidRPr="004914A7">
        <w:t>Las dependencias y entidades solo podrán efectuar operaciones y contraer compromisos cuando tengan suficiencia presupuestal. La secretaría no reconocerá adeudos ni pagos por cantidades reclamadas o erogaciones efectuadas en contravención a esta disposición. Los servidores públicos que incurran en este tipo de desviaciones se harán acreedores a las responsabilidades y sanciones en los términos de la legislación aplicable en la materia.</w:t>
      </w:r>
    </w:p>
    <w:p w:rsidR="006628A2" w:rsidRPr="004914A7" w:rsidRDefault="006628A2" w:rsidP="001B6FE0">
      <w:pPr>
        <w:suppressAutoHyphens/>
      </w:pPr>
    </w:p>
    <w:p w:rsidR="006628A2" w:rsidRPr="004914A7" w:rsidRDefault="00034E2C" w:rsidP="001B6FE0">
      <w:pPr>
        <w:suppressAutoHyphens/>
      </w:pPr>
      <w:r w:rsidRPr="004914A7">
        <w:rPr>
          <w:b/>
        </w:rPr>
        <w:t>Artículo 50. Autonomía de gestión</w:t>
      </w:r>
    </w:p>
    <w:p w:rsidR="006628A2" w:rsidRPr="004914A7" w:rsidRDefault="006628A2" w:rsidP="001B6FE0">
      <w:pPr>
        <w:suppressAutoHyphens/>
      </w:pPr>
    </w:p>
    <w:p w:rsidR="006628A2" w:rsidRPr="004914A7" w:rsidRDefault="00034E2C" w:rsidP="001B6FE0">
      <w:pPr>
        <w:suppressAutoHyphens/>
      </w:pPr>
      <w:r w:rsidRPr="004914A7">
        <w:t>Los poderes, los organismos autónomos y las entidades paraestatales ejercerán sus presupuestos con la autonomía de gestión que les confieran las leyes vigentes y con base en los calendarios que les sean comunicados por la secretaría, los cuales estarán en función de la capacidad financiera del estado de Yucatán.</w:t>
      </w:r>
    </w:p>
    <w:p w:rsidR="006628A2" w:rsidRPr="004914A7" w:rsidRDefault="006628A2" w:rsidP="001B6FE0">
      <w:pPr>
        <w:suppressAutoHyphens/>
      </w:pPr>
    </w:p>
    <w:p w:rsidR="006628A2" w:rsidRPr="004914A7" w:rsidRDefault="00034E2C" w:rsidP="001B6FE0">
      <w:pPr>
        <w:suppressAutoHyphens/>
      </w:pPr>
      <w:r w:rsidRPr="004914A7">
        <w:rPr>
          <w:b/>
        </w:rPr>
        <w:t>Artículo 51. Principio de anualidad</w:t>
      </w:r>
    </w:p>
    <w:p w:rsidR="006628A2" w:rsidRPr="004914A7" w:rsidRDefault="006628A2" w:rsidP="001B6FE0">
      <w:pPr>
        <w:suppressAutoHyphens/>
      </w:pPr>
    </w:p>
    <w:p w:rsidR="006628A2" w:rsidRPr="004914A7" w:rsidRDefault="00034E2C" w:rsidP="001B6FE0">
      <w:pPr>
        <w:suppressAutoHyphens/>
      </w:pPr>
      <w:r w:rsidRPr="004914A7">
        <w:t>De acuerdo con el principio de anualidad, el presupuesto inicia el 1 de enero y termina el 31 de diciembre del ejercicio fiscal correspondiente, por lo que los saldos presupuestales disponibles en las dependencias, entidades y cualquier otro ejecutor de gasto, no son acumulables para el siguiente ejercicio fiscal.</w:t>
      </w:r>
    </w:p>
    <w:p w:rsidR="006628A2" w:rsidRPr="004914A7" w:rsidRDefault="006628A2" w:rsidP="001B6FE0">
      <w:pPr>
        <w:suppressAutoHyphens/>
      </w:pPr>
    </w:p>
    <w:p w:rsidR="006628A2" w:rsidRPr="004914A7" w:rsidRDefault="00034E2C" w:rsidP="001B6FE0">
      <w:pPr>
        <w:suppressAutoHyphens/>
      </w:pPr>
      <w:r w:rsidRPr="004914A7">
        <w:t>Conforme</w:t>
      </w:r>
      <w:r w:rsidR="00F17C31" w:rsidRPr="004914A7">
        <w:t xml:space="preserve"> a</w:t>
      </w:r>
      <w:r w:rsidRPr="004914A7">
        <w:t xml:space="preserve"> lo anterior, las dependencias y entidades a efecto de aplicar su presupuesto de manera completa y eficiente podrán generar compromisos hasta el último día del ejercicio, siempre que cuente</w:t>
      </w:r>
      <w:r w:rsidR="004E31C3" w:rsidRPr="004914A7">
        <w:t>n</w:t>
      </w:r>
      <w:r w:rsidRPr="004914A7">
        <w:t xml:space="preserve"> con el presupuesto disponible y se apeguen a la normativa aplicable para tal efecto.</w:t>
      </w:r>
    </w:p>
    <w:p w:rsidR="006628A2" w:rsidRPr="004914A7" w:rsidRDefault="006628A2" w:rsidP="001B6FE0">
      <w:pPr>
        <w:suppressAutoHyphens/>
      </w:pPr>
    </w:p>
    <w:p w:rsidR="006628A2" w:rsidRPr="004914A7" w:rsidRDefault="00034E2C" w:rsidP="001B6FE0">
      <w:pPr>
        <w:suppressAutoHyphens/>
      </w:pPr>
      <w:r w:rsidRPr="004914A7">
        <w:rPr>
          <w:b/>
        </w:rPr>
        <w:t>Artículo 52. Adeudos omitidos</w:t>
      </w:r>
    </w:p>
    <w:p w:rsidR="006628A2" w:rsidRPr="004914A7" w:rsidRDefault="006628A2" w:rsidP="001B6FE0">
      <w:pPr>
        <w:suppressAutoHyphens/>
      </w:pPr>
    </w:p>
    <w:p w:rsidR="006628A2" w:rsidRPr="004914A7" w:rsidRDefault="00034E2C" w:rsidP="001B6FE0">
      <w:pPr>
        <w:suppressAutoHyphens/>
      </w:pPr>
      <w:r w:rsidRPr="004914A7">
        <w:lastRenderedPageBreak/>
        <w:t>Al cierre presupuestal del ejercicio fiscal, los comprobantes de afectaciones al gasto público que no hubieran sido informados para su registro y compromiso serán responsabilidad única y exclusiva de los titulares de las dependencias y entidades correspondientes, quienes deberán responder por dichos adeudos omitidos.</w:t>
      </w:r>
    </w:p>
    <w:p w:rsidR="006628A2" w:rsidRPr="004914A7" w:rsidRDefault="006628A2" w:rsidP="001B6FE0">
      <w:pPr>
        <w:suppressAutoHyphens/>
      </w:pPr>
    </w:p>
    <w:p w:rsidR="006628A2" w:rsidRPr="004914A7" w:rsidRDefault="00034E2C" w:rsidP="001B6FE0">
      <w:pPr>
        <w:suppressAutoHyphens/>
      </w:pPr>
      <w:r w:rsidRPr="004914A7">
        <w:rPr>
          <w:b/>
        </w:rPr>
        <w:t>Artículo 53. Inversiones financieras</w:t>
      </w:r>
    </w:p>
    <w:p w:rsidR="006628A2" w:rsidRPr="004914A7" w:rsidRDefault="006628A2" w:rsidP="001B6FE0">
      <w:pPr>
        <w:suppressAutoHyphens/>
      </w:pPr>
    </w:p>
    <w:p w:rsidR="006628A2" w:rsidRPr="004914A7" w:rsidRDefault="00034E2C" w:rsidP="001B6FE0">
      <w:pPr>
        <w:suppressAutoHyphens/>
      </w:pPr>
      <w:r w:rsidRPr="004914A7">
        <w:t>Con excepción de la secretaría, todas las demás dependencias se abstendrán de realizar cualquier tipo de inversión financiera con recursos provenientes del presupuesto. Las entidades que utilicen instrumentos bancarios productivos deberán informar trimestralmente a la secretaría sobre el manejo y destino de este tipo de recursos.</w:t>
      </w:r>
    </w:p>
    <w:p w:rsidR="006628A2" w:rsidRPr="004914A7" w:rsidRDefault="006628A2" w:rsidP="001B6FE0">
      <w:pPr>
        <w:suppressAutoHyphens/>
      </w:pPr>
    </w:p>
    <w:p w:rsidR="006628A2" w:rsidRPr="004914A7" w:rsidRDefault="00034E2C" w:rsidP="001B6FE0">
      <w:pPr>
        <w:suppressAutoHyphens/>
      </w:pPr>
      <w:r w:rsidRPr="004914A7">
        <w:t xml:space="preserve">Los rubros de gasto de las inversiones financieras que realicen </w:t>
      </w:r>
      <w:r w:rsidR="004E31C3" w:rsidRPr="004914A7">
        <w:t xml:space="preserve">las </w:t>
      </w:r>
      <w:r w:rsidRPr="004914A7">
        <w:t>entidades deberán estar previstos en sus presupuestos de egresos.</w:t>
      </w:r>
    </w:p>
    <w:p w:rsidR="006628A2" w:rsidRPr="004914A7" w:rsidRDefault="006628A2" w:rsidP="001B6FE0">
      <w:pPr>
        <w:suppressAutoHyphens/>
      </w:pPr>
    </w:p>
    <w:p w:rsidR="006628A2" w:rsidRPr="004914A7" w:rsidRDefault="00034E2C" w:rsidP="001B6FE0">
      <w:pPr>
        <w:suppressAutoHyphens/>
      </w:pPr>
      <w:r w:rsidRPr="004914A7">
        <w:rPr>
          <w:b/>
        </w:rPr>
        <w:t>Artículo 54. Convenios o actos jurídicos prohibidos</w:t>
      </w:r>
    </w:p>
    <w:p w:rsidR="006628A2" w:rsidRPr="004914A7" w:rsidRDefault="006628A2" w:rsidP="001B6FE0">
      <w:pPr>
        <w:suppressAutoHyphens/>
      </w:pPr>
    </w:p>
    <w:p w:rsidR="006628A2" w:rsidRPr="004914A7" w:rsidRDefault="00034E2C" w:rsidP="001B6FE0">
      <w:pPr>
        <w:suppressAutoHyphens/>
      </w:pPr>
      <w:r w:rsidRPr="004914A7">
        <w:t>Los titulares de las dependencias y entidades, con excepción de las que cuent</w:t>
      </w:r>
      <w:r w:rsidR="004845F0" w:rsidRPr="004914A7">
        <w:t>e</w:t>
      </w:r>
      <w:r w:rsidRPr="004914A7">
        <w:t>n con autorización previa y expresa de la secretaría y de sus órganos de gobierno correspondientes, no deberán suscribir convenios ni otros actos jurídicos análogos que impliquen:</w:t>
      </w:r>
    </w:p>
    <w:p w:rsidR="006628A2" w:rsidRPr="004914A7" w:rsidRDefault="006628A2" w:rsidP="001B6FE0">
      <w:pPr>
        <w:suppressAutoHyphens/>
      </w:pPr>
    </w:p>
    <w:p w:rsidR="006628A2" w:rsidRPr="004914A7" w:rsidRDefault="00034E2C" w:rsidP="001B6FE0">
      <w:pPr>
        <w:suppressAutoHyphens/>
      </w:pPr>
      <w:r w:rsidRPr="004914A7">
        <w:t>   I. Realizar erogaciones mayores o adicionales a las aprobadas en este decreto.</w:t>
      </w:r>
    </w:p>
    <w:p w:rsidR="006628A2" w:rsidRPr="004914A7" w:rsidRDefault="006628A2" w:rsidP="001B6FE0">
      <w:pPr>
        <w:suppressAutoHyphens/>
      </w:pPr>
    </w:p>
    <w:p w:rsidR="006628A2" w:rsidRPr="004914A7" w:rsidRDefault="00034E2C" w:rsidP="001B6FE0">
      <w:pPr>
        <w:suppressAutoHyphens/>
      </w:pPr>
      <w:r w:rsidRPr="004914A7">
        <w:t>   II. Contraer obligaciones no autorizadas en este decreto.</w:t>
      </w:r>
    </w:p>
    <w:p w:rsidR="006628A2" w:rsidRPr="004914A7" w:rsidRDefault="006628A2" w:rsidP="001B6FE0">
      <w:pPr>
        <w:suppressAutoHyphens/>
      </w:pPr>
    </w:p>
    <w:p w:rsidR="006628A2" w:rsidRPr="004914A7" w:rsidRDefault="00034E2C" w:rsidP="001B6FE0">
      <w:pPr>
        <w:suppressAutoHyphens/>
      </w:pPr>
      <w:r w:rsidRPr="004914A7">
        <w:t xml:space="preserve">   III. Comprometer recursos de subsecuentes ejercicios fiscales, salvo los casos establecidos en este </w:t>
      </w:r>
      <w:r w:rsidR="003B21B5" w:rsidRPr="004914A7">
        <w:t>d</w:t>
      </w:r>
      <w:r w:rsidRPr="004914A7">
        <w:t>ecreto y demás normativa aplicable.</w:t>
      </w:r>
    </w:p>
    <w:p w:rsidR="006628A2" w:rsidRPr="004914A7" w:rsidRDefault="006628A2" w:rsidP="001B6FE0">
      <w:pPr>
        <w:suppressAutoHyphens/>
      </w:pPr>
    </w:p>
    <w:p w:rsidR="006628A2" w:rsidRPr="004914A7" w:rsidRDefault="00034E2C" w:rsidP="001B6FE0">
      <w:pPr>
        <w:suppressAutoHyphens/>
      </w:pPr>
      <w:r w:rsidRPr="004914A7">
        <w:t>   IV. Contravenir las políticas para la reducción del gasto de la Administración Pública estatal, salvo los casos debidamente justificados por caso fortuito o de fuerza mayor.</w:t>
      </w:r>
    </w:p>
    <w:p w:rsidR="006628A2" w:rsidRPr="004914A7" w:rsidRDefault="006628A2" w:rsidP="001B6FE0">
      <w:pPr>
        <w:suppressAutoHyphens/>
      </w:pPr>
    </w:p>
    <w:p w:rsidR="006628A2" w:rsidRPr="004914A7" w:rsidRDefault="00034E2C" w:rsidP="001B6FE0">
      <w:pPr>
        <w:suppressAutoHyphens/>
      </w:pPr>
      <w:r w:rsidRPr="004914A7">
        <w:rPr>
          <w:b/>
        </w:rPr>
        <w:t>Artículo 55. Incumplimiento de las disposiciones sobre el ejercicio del gasto</w:t>
      </w:r>
    </w:p>
    <w:p w:rsidR="006628A2" w:rsidRPr="004914A7" w:rsidRDefault="006628A2" w:rsidP="001B6FE0">
      <w:pPr>
        <w:suppressAutoHyphens/>
      </w:pPr>
    </w:p>
    <w:p w:rsidR="006628A2" w:rsidRPr="004914A7" w:rsidRDefault="00034E2C" w:rsidP="001B6FE0">
      <w:pPr>
        <w:suppressAutoHyphens/>
      </w:pPr>
      <w:r w:rsidRPr="004914A7">
        <w:t>El incumplimiento de lo dispuesto en este capítulo será causa de responsabilidad en los términos de la legislación en materia de responsabilidades administrativas, así como de la legislación que resulte aplicable.</w:t>
      </w:r>
    </w:p>
    <w:p w:rsidR="006628A2" w:rsidRPr="004914A7" w:rsidRDefault="006628A2" w:rsidP="001B6FE0">
      <w:pPr>
        <w:suppressAutoHyphens/>
      </w:pPr>
    </w:p>
    <w:p w:rsidR="006628A2" w:rsidRPr="004914A7" w:rsidRDefault="00034E2C" w:rsidP="001B6FE0">
      <w:pPr>
        <w:suppressAutoHyphens/>
      </w:pPr>
      <w:r w:rsidRPr="004914A7">
        <w:rPr>
          <w:b/>
        </w:rPr>
        <w:lastRenderedPageBreak/>
        <w:t xml:space="preserve">Artículo 56. </w:t>
      </w:r>
      <w:r w:rsidR="00D111B4" w:rsidRPr="004914A7">
        <w:rPr>
          <w:b/>
        </w:rPr>
        <w:t>Erogaciones de ingresos adicionales</w:t>
      </w:r>
    </w:p>
    <w:p w:rsidR="006628A2" w:rsidRPr="004914A7" w:rsidRDefault="006628A2" w:rsidP="001B6FE0">
      <w:pPr>
        <w:suppressAutoHyphens/>
      </w:pPr>
    </w:p>
    <w:p w:rsidR="006628A2" w:rsidRPr="004914A7" w:rsidRDefault="00034E2C" w:rsidP="001B6FE0">
      <w:pPr>
        <w:suppressAutoHyphens/>
      </w:pPr>
      <w:r w:rsidRPr="004914A7">
        <w:t>El titular del Poder Ejecutivo del estado, por conducto de la secretaría, podrá autorizar a las dependencias y entidades, erogaciones adicionales con cargo a los ingresos que obtengan en exceso, previa presentación de un informe trimestral en el que se detalle el ingreso programado, el ingreso obtenido y los programas, proyectos y acciones en las cuales se aplicará el excedente.</w:t>
      </w:r>
    </w:p>
    <w:p w:rsidR="006628A2" w:rsidRPr="004914A7" w:rsidRDefault="006628A2" w:rsidP="001B6FE0">
      <w:pPr>
        <w:suppressAutoHyphens/>
      </w:pPr>
    </w:p>
    <w:p w:rsidR="006628A2" w:rsidRPr="004914A7" w:rsidRDefault="00034E2C" w:rsidP="001B6FE0">
      <w:pPr>
        <w:suppressAutoHyphens/>
      </w:pPr>
      <w:r w:rsidRPr="004914A7">
        <w:rPr>
          <w:b/>
        </w:rPr>
        <w:t>Artículo 57. Opinión tratándose de erogaciones de infraestructura básica</w:t>
      </w:r>
    </w:p>
    <w:p w:rsidR="006628A2" w:rsidRPr="004914A7" w:rsidRDefault="006628A2" w:rsidP="001B6FE0">
      <w:pPr>
        <w:suppressAutoHyphens/>
      </w:pPr>
    </w:p>
    <w:p w:rsidR="006628A2" w:rsidRPr="004914A7" w:rsidRDefault="00034E2C" w:rsidP="001B6FE0">
      <w:pPr>
        <w:suppressAutoHyphens/>
      </w:pPr>
      <w:r w:rsidRPr="004914A7">
        <w:t>Cuando las entidades pretendan realizar erogaciones de infraestructura básica por casos de contingencias o de actividades fuera de sus programas normales de operación, deberán contar con la opinión previa de la secretaría.</w:t>
      </w:r>
    </w:p>
    <w:p w:rsidR="006628A2" w:rsidRPr="004914A7" w:rsidRDefault="006628A2" w:rsidP="001B6FE0">
      <w:pPr>
        <w:suppressAutoHyphens/>
      </w:pPr>
    </w:p>
    <w:p w:rsidR="006628A2" w:rsidRPr="004914A7" w:rsidRDefault="00034E2C" w:rsidP="001B6FE0">
      <w:pPr>
        <w:pStyle w:val="Ttulo2"/>
        <w:suppressAutoHyphens/>
      </w:pPr>
      <w:bookmarkStart w:id="28" w:name="capítulo-ii-2"/>
      <w:r w:rsidRPr="004914A7">
        <w:t>Capítulo II</w:t>
      </w:r>
      <w:bookmarkEnd w:id="28"/>
    </w:p>
    <w:p w:rsidR="006628A2" w:rsidRDefault="00034E2C" w:rsidP="001B6FE0">
      <w:pPr>
        <w:pStyle w:val="Ttulo2"/>
        <w:suppressAutoHyphens/>
      </w:pPr>
      <w:bookmarkStart w:id="29" w:name="X246e366964dc41ec255ea063ce0ff15e5da24b6"/>
      <w:r w:rsidRPr="004914A7">
        <w:t>Asignaciones a las entidades del sector público paraestatal</w:t>
      </w:r>
      <w:bookmarkEnd w:id="29"/>
    </w:p>
    <w:p w:rsidR="00976C88" w:rsidRPr="00976C88" w:rsidRDefault="00976C88" w:rsidP="00976C88"/>
    <w:p w:rsidR="006628A2" w:rsidRPr="004914A7" w:rsidRDefault="006628A2" w:rsidP="001B6FE0">
      <w:pPr>
        <w:suppressAutoHyphens/>
      </w:pPr>
    </w:p>
    <w:p w:rsidR="006628A2" w:rsidRPr="004914A7" w:rsidRDefault="00034E2C" w:rsidP="001B6FE0">
      <w:pPr>
        <w:suppressAutoHyphens/>
      </w:pPr>
      <w:r w:rsidRPr="004914A7">
        <w:rPr>
          <w:b/>
        </w:rPr>
        <w:t>Artículo 58. Justificación de las erogaciones</w:t>
      </w:r>
    </w:p>
    <w:p w:rsidR="006628A2" w:rsidRPr="004914A7" w:rsidRDefault="006628A2" w:rsidP="001B6FE0">
      <w:pPr>
        <w:suppressAutoHyphens/>
      </w:pPr>
    </w:p>
    <w:p w:rsidR="006628A2" w:rsidRPr="004914A7" w:rsidRDefault="00034E2C" w:rsidP="001B6FE0">
      <w:pPr>
        <w:suppressAutoHyphens/>
      </w:pPr>
      <w:r w:rsidRPr="004914A7">
        <w:t>Sin excepción, las entidades de la Administración Pública del estado estarán sujetas a seguimiento programático presupuestal, por lo que deberán justificar plenamente los montos a erogar en relación con los programas y asignaciones autorizados en este presupuesto.</w:t>
      </w:r>
    </w:p>
    <w:p w:rsidR="006628A2" w:rsidRPr="004914A7" w:rsidRDefault="006628A2" w:rsidP="001B6FE0">
      <w:pPr>
        <w:suppressAutoHyphens/>
      </w:pPr>
    </w:p>
    <w:p w:rsidR="006628A2" w:rsidRPr="004914A7" w:rsidRDefault="00034E2C" w:rsidP="001B6FE0">
      <w:pPr>
        <w:suppressAutoHyphens/>
      </w:pPr>
      <w:r w:rsidRPr="004914A7">
        <w:rPr>
          <w:b/>
        </w:rPr>
        <w:t>Artículo 59. Obligaciones fiscales y de seguridad social</w:t>
      </w:r>
    </w:p>
    <w:p w:rsidR="006628A2" w:rsidRPr="004914A7" w:rsidRDefault="006628A2" w:rsidP="001B6FE0">
      <w:pPr>
        <w:suppressAutoHyphens/>
      </w:pPr>
    </w:p>
    <w:p w:rsidR="006628A2" w:rsidRPr="004914A7" w:rsidRDefault="00034E2C" w:rsidP="001B6FE0">
      <w:pPr>
        <w:suppressAutoHyphens/>
      </w:pPr>
      <w:r w:rsidRPr="004914A7">
        <w:t xml:space="preserve">En todos los casos, las entidades deberán cumplir sus obligaciones fiscales y aportar las cuotas y contribuciones de seguridad social, </w:t>
      </w:r>
      <w:r w:rsidR="00776427" w:rsidRPr="004914A7">
        <w:t xml:space="preserve">el </w:t>
      </w:r>
      <w:r w:rsidRPr="004914A7">
        <w:t>incumplimiento</w:t>
      </w:r>
      <w:r w:rsidR="00776427" w:rsidRPr="004914A7">
        <w:t xml:space="preserve"> de lo anterior</w:t>
      </w:r>
      <w:r w:rsidRPr="004914A7">
        <w:t xml:space="preserve"> podrá ser causa de responsabilidad y de suspensión en la ministración de los recursos.</w:t>
      </w:r>
    </w:p>
    <w:p w:rsidR="006628A2" w:rsidRPr="004914A7" w:rsidRDefault="006628A2" w:rsidP="001B6FE0">
      <w:pPr>
        <w:suppressAutoHyphens/>
      </w:pPr>
    </w:p>
    <w:p w:rsidR="006628A2" w:rsidRPr="004914A7" w:rsidRDefault="00034E2C" w:rsidP="001B6FE0">
      <w:pPr>
        <w:suppressAutoHyphens/>
      </w:pPr>
      <w:r w:rsidRPr="004914A7">
        <w:rPr>
          <w:b/>
        </w:rPr>
        <w:t>Artículo 60. Condiciones de asignación y ejecución de gastos</w:t>
      </w:r>
    </w:p>
    <w:p w:rsidR="006628A2" w:rsidRPr="004914A7" w:rsidRDefault="006628A2" w:rsidP="001B6FE0">
      <w:pPr>
        <w:suppressAutoHyphens/>
      </w:pPr>
    </w:p>
    <w:p w:rsidR="006628A2" w:rsidRPr="004914A7" w:rsidRDefault="00034E2C" w:rsidP="001B6FE0">
      <w:pPr>
        <w:suppressAutoHyphens/>
      </w:pPr>
      <w:r w:rsidRPr="004914A7">
        <w:t>Las asignaciones presupuestales y la consecuente ejecución de gastos de las entidades estarán condicionadas al cumplimiento de las siguientes normas:</w:t>
      </w:r>
    </w:p>
    <w:p w:rsidR="006628A2" w:rsidRPr="004914A7" w:rsidRDefault="006628A2" w:rsidP="001B6FE0">
      <w:pPr>
        <w:suppressAutoHyphens/>
      </w:pPr>
    </w:p>
    <w:p w:rsidR="006628A2" w:rsidRPr="004914A7" w:rsidRDefault="00034E2C" w:rsidP="001B6FE0">
      <w:pPr>
        <w:suppressAutoHyphens/>
      </w:pPr>
      <w:r w:rsidRPr="004914A7">
        <w:t xml:space="preserve">      I. Presentar al Poder Ejecutivo del estado, por conducto de la secretaría, su estimación de ingresos y presupuesto </w:t>
      </w:r>
      <w:r w:rsidR="00EB1FE8" w:rsidRPr="004914A7">
        <w:t xml:space="preserve">de egresos </w:t>
      </w:r>
      <w:r w:rsidRPr="004914A7">
        <w:t>cuando les sea requerido.</w:t>
      </w:r>
    </w:p>
    <w:p w:rsidR="006628A2" w:rsidRPr="004914A7" w:rsidRDefault="006628A2" w:rsidP="001B6FE0">
      <w:pPr>
        <w:suppressAutoHyphens/>
      </w:pPr>
    </w:p>
    <w:p w:rsidR="006628A2" w:rsidRPr="004914A7" w:rsidRDefault="00034E2C" w:rsidP="001B6FE0">
      <w:pPr>
        <w:suppressAutoHyphens/>
      </w:pPr>
      <w:r w:rsidRPr="004914A7">
        <w:lastRenderedPageBreak/>
        <w:t>      II. Proporcionar la información y demás datos que solicite la secretaría para la elaboración de los informes trimestrales sobre las finanzas públicas.</w:t>
      </w:r>
    </w:p>
    <w:p w:rsidR="006628A2" w:rsidRPr="004914A7" w:rsidRDefault="006628A2" w:rsidP="001B6FE0">
      <w:pPr>
        <w:suppressAutoHyphens/>
      </w:pPr>
    </w:p>
    <w:p w:rsidR="006628A2" w:rsidRPr="004914A7" w:rsidRDefault="00034E2C" w:rsidP="001B6FE0">
      <w:pPr>
        <w:suppressAutoHyphens/>
      </w:pPr>
      <w:r w:rsidRPr="004914A7">
        <w:t>      III. Proporcionar los datos e información que solicite la SEPLAN para la elaboración de los informes de gestión y de seguimiento a los aspectos susceptibles de mejora.</w:t>
      </w:r>
    </w:p>
    <w:p w:rsidR="006628A2" w:rsidRPr="004914A7" w:rsidRDefault="006628A2" w:rsidP="001B6FE0">
      <w:pPr>
        <w:suppressAutoHyphens/>
      </w:pPr>
    </w:p>
    <w:p w:rsidR="006628A2" w:rsidRPr="004914A7" w:rsidRDefault="00034E2C" w:rsidP="001B6FE0">
      <w:pPr>
        <w:suppressAutoHyphens/>
      </w:pPr>
      <w:r w:rsidRPr="004914A7">
        <w:t>      IV. Deberán informar trimestralmente a la Secretaría, en su caso, con un desglose mensual, sobre los ingresos obtenidos en su flujo de presupuesto, diferenciando las metas de balance presupuestario y de balance primario; asimismo deberá contener la información relativa a las adecuaciones presupuestarias internas, a nivel flujo de efectivo y sobre su situación financiera, presentando los estados presupuestales, financieros y económicos establecidos dentro del marco de la armonización contable y presupuestal.</w:t>
      </w:r>
    </w:p>
    <w:p w:rsidR="006628A2" w:rsidRPr="004914A7" w:rsidRDefault="006628A2" w:rsidP="001B6FE0">
      <w:pPr>
        <w:suppressAutoHyphens/>
      </w:pPr>
    </w:p>
    <w:p w:rsidR="006628A2" w:rsidRPr="004914A7" w:rsidRDefault="00034E2C" w:rsidP="001B6FE0">
      <w:pPr>
        <w:suppressAutoHyphens/>
      </w:pPr>
      <w:r w:rsidRPr="004914A7">
        <w:t>      V. Solicitar previamente a la secretaría, la autorización para realizar adecuaciones presupuestarias externas conforme a lo establecido en la Ley del Presupuesto y Contabilidad Gubernamental del Estado de Yucatán y su Reglamento.</w:t>
      </w:r>
    </w:p>
    <w:p w:rsidR="006628A2" w:rsidRPr="004914A7" w:rsidRDefault="006628A2" w:rsidP="001B6FE0">
      <w:pPr>
        <w:suppressAutoHyphens/>
      </w:pPr>
    </w:p>
    <w:p w:rsidR="006628A2" w:rsidRPr="004914A7" w:rsidRDefault="00034E2C" w:rsidP="001B6FE0">
      <w:pPr>
        <w:suppressAutoHyphens/>
      </w:pPr>
      <w:r w:rsidRPr="004914A7">
        <w:t>      VI. Aplicar las medidas de modernización, racionalidad, austeridad y disciplina presupuestaria que se establezcan para la Administración Pública estatal. Dichas medidas deberán orientarse a reducir el gasto en servicios personales y el gasto administrativo y de apoyo</w:t>
      </w:r>
      <w:r w:rsidR="0063579D" w:rsidRPr="004914A7">
        <w:t xml:space="preserve"> y</w:t>
      </w:r>
      <w:r w:rsidR="00F25414" w:rsidRPr="004914A7">
        <w:t>, en su caso,</w:t>
      </w:r>
      <w:r w:rsidR="0063579D" w:rsidRPr="004914A7">
        <w:t xml:space="preserve"> a no incrementarlo</w:t>
      </w:r>
      <w:r w:rsidRPr="004914A7">
        <w:t>, lo anterior conforme a las normas establecidas en este decreto.</w:t>
      </w:r>
    </w:p>
    <w:p w:rsidR="006628A2" w:rsidRPr="004914A7" w:rsidRDefault="006628A2" w:rsidP="001B6FE0">
      <w:pPr>
        <w:suppressAutoHyphens/>
      </w:pPr>
    </w:p>
    <w:p w:rsidR="006628A2" w:rsidRPr="004914A7" w:rsidRDefault="00034E2C" w:rsidP="001B6FE0">
      <w:pPr>
        <w:suppressAutoHyphens/>
      </w:pPr>
      <w:r w:rsidRPr="004914A7">
        <w:t xml:space="preserve">      VII. Aplicar los superávits generados conforme a lo establecido en el artículo 43 del presente </w:t>
      </w:r>
      <w:r w:rsidR="006C4C23" w:rsidRPr="004914A7">
        <w:t>d</w:t>
      </w:r>
      <w:r w:rsidRPr="004914A7">
        <w:t>ecreto.</w:t>
      </w:r>
    </w:p>
    <w:p w:rsidR="006628A2" w:rsidRPr="004914A7" w:rsidRDefault="006628A2" w:rsidP="001B6FE0">
      <w:pPr>
        <w:suppressAutoHyphens/>
      </w:pPr>
    </w:p>
    <w:p w:rsidR="006628A2" w:rsidRPr="004914A7" w:rsidRDefault="00034E2C" w:rsidP="001B6FE0">
      <w:pPr>
        <w:suppressAutoHyphens/>
      </w:pPr>
      <w:r w:rsidRPr="004914A7">
        <w:t xml:space="preserve">      VIII. No se podrá ampliar el capítulo </w:t>
      </w:r>
      <w:r w:rsidR="0014696F" w:rsidRPr="004914A7">
        <w:t xml:space="preserve">1000 </w:t>
      </w:r>
      <w:r w:rsidRPr="004914A7">
        <w:t xml:space="preserve">de servicios personales mediante la transferencia de recursos de otros capítulos de gasto, salvo las disposiciones que expresamente establezca la Ley del Presupuesto y Contabilidad Gubernamental o la </w:t>
      </w:r>
      <w:r w:rsidR="006C4C23" w:rsidRPr="004914A7">
        <w:t>ley de disciplina financiera</w:t>
      </w:r>
      <w:r w:rsidRPr="004914A7">
        <w:t>.</w:t>
      </w:r>
    </w:p>
    <w:p w:rsidR="006628A2" w:rsidRPr="004914A7" w:rsidRDefault="006628A2" w:rsidP="001B6FE0">
      <w:pPr>
        <w:suppressAutoHyphens/>
      </w:pPr>
    </w:p>
    <w:p w:rsidR="006628A2" w:rsidRPr="004914A7" w:rsidRDefault="00034E2C" w:rsidP="001B6FE0">
      <w:pPr>
        <w:suppressAutoHyphens/>
      </w:pPr>
      <w:r w:rsidRPr="004914A7">
        <w:t>      IX.</w:t>
      </w:r>
      <w:r w:rsidR="00867154" w:rsidRPr="004914A7">
        <w:t xml:space="preserve"> </w:t>
      </w:r>
      <w:r w:rsidR="004706D1" w:rsidRPr="004914A7">
        <w:t>D</w:t>
      </w:r>
      <w:r w:rsidRPr="004914A7">
        <w:t>eberán integrar los elementos de diseño de los programas presupuestarios, la matriz de indicadores para resultados, las metas e indicadores de desempeño presupuestales y financieros, así como las reglas de operación correspondientes a las transferencias en numerario o en especie que se entreguen a individuos u organizaciones</w:t>
      </w:r>
      <w:r w:rsidR="004706D1" w:rsidRPr="004914A7">
        <w:t xml:space="preserve">, de conformidad con el proceso de implementación de la gestión y </w:t>
      </w:r>
      <w:proofErr w:type="spellStart"/>
      <w:r w:rsidR="004706D1" w:rsidRPr="004914A7">
        <w:t>presupuestación</w:t>
      </w:r>
      <w:proofErr w:type="spellEnd"/>
      <w:r w:rsidR="004706D1" w:rsidRPr="004914A7">
        <w:t xml:space="preserve"> basados en resultados</w:t>
      </w:r>
      <w:r w:rsidRPr="004914A7">
        <w:t>.</w:t>
      </w:r>
    </w:p>
    <w:p w:rsidR="006628A2" w:rsidRPr="004914A7" w:rsidRDefault="006628A2" w:rsidP="001B6FE0">
      <w:pPr>
        <w:suppressAutoHyphens/>
      </w:pPr>
    </w:p>
    <w:p w:rsidR="006628A2" w:rsidRPr="004914A7" w:rsidRDefault="00034E2C" w:rsidP="001B6FE0">
      <w:pPr>
        <w:suppressAutoHyphens/>
      </w:pPr>
      <w:r w:rsidRPr="004914A7">
        <w:lastRenderedPageBreak/>
        <w:t>      X. Capturar en el Sistema de Seguimiento y Evaluación del Desempeño, dentro de los quince días naturales siguientes a la terminación de cada trimestre, un informe sobre los indicadores y el cumplimiento de las metas a que se refiere la fracción anterior, con el propósito de informar a la SEPLAN sobre el seguimiento de sus programas con base en metas e indicadores. En su caso, la propia SEPLAN emitirá las recomendaciones correspondientes. Asimismo, capturar e informar oportunamente los avances de la gestión y el desempeño asociado a las actividades vinculadas a los programas presupuestarios.</w:t>
      </w:r>
    </w:p>
    <w:p w:rsidR="006628A2" w:rsidRPr="004914A7" w:rsidRDefault="006628A2" w:rsidP="001B6FE0">
      <w:pPr>
        <w:suppressAutoHyphens/>
      </w:pPr>
    </w:p>
    <w:p w:rsidR="006628A2" w:rsidRPr="004914A7" w:rsidRDefault="00034E2C" w:rsidP="001B6FE0">
      <w:pPr>
        <w:suppressAutoHyphens/>
      </w:pPr>
      <w:r w:rsidRPr="004914A7">
        <w:rPr>
          <w:b/>
        </w:rPr>
        <w:t>Artículo 61. Regularización de la ampliación líquida</w:t>
      </w:r>
    </w:p>
    <w:p w:rsidR="006628A2" w:rsidRPr="004914A7" w:rsidRDefault="006628A2" w:rsidP="001B6FE0">
      <w:pPr>
        <w:suppressAutoHyphens/>
      </w:pPr>
    </w:p>
    <w:p w:rsidR="006628A2" w:rsidRDefault="00034E2C" w:rsidP="001B6FE0">
      <w:pPr>
        <w:suppressAutoHyphens/>
      </w:pPr>
      <w:r w:rsidRPr="004914A7">
        <w:t>Las dependencias y entidades que reciban transferencias adicionales a las aprobadas en este decreto, provenientes de recursos federales, solicitarán a la secretaría que regularice la ampliación líquida para su aplicación en los programas y proyectos que operan.</w:t>
      </w:r>
    </w:p>
    <w:p w:rsidR="00976C88" w:rsidRPr="004914A7" w:rsidRDefault="00976C88" w:rsidP="001B6FE0">
      <w:pPr>
        <w:suppressAutoHyphens/>
      </w:pPr>
    </w:p>
    <w:p w:rsidR="006628A2" w:rsidRPr="004914A7" w:rsidRDefault="006628A2" w:rsidP="001B6FE0">
      <w:pPr>
        <w:suppressAutoHyphens/>
      </w:pPr>
    </w:p>
    <w:p w:rsidR="006628A2" w:rsidRPr="004914A7" w:rsidRDefault="00034E2C" w:rsidP="001B6FE0">
      <w:pPr>
        <w:pStyle w:val="Ttulo2"/>
        <w:suppressAutoHyphens/>
      </w:pPr>
      <w:bookmarkStart w:id="30" w:name="capítulo-iii-1"/>
      <w:r w:rsidRPr="004914A7">
        <w:t>Capítulo III</w:t>
      </w:r>
      <w:bookmarkEnd w:id="30"/>
    </w:p>
    <w:p w:rsidR="006628A2" w:rsidRPr="004914A7" w:rsidRDefault="00034E2C" w:rsidP="001B6FE0">
      <w:pPr>
        <w:pStyle w:val="Ttulo2"/>
        <w:suppressAutoHyphens/>
      </w:pPr>
      <w:bookmarkStart w:id="31" w:name="servicios-personales"/>
      <w:r w:rsidRPr="004914A7">
        <w:t>Servicios personales</w:t>
      </w:r>
      <w:bookmarkEnd w:id="31"/>
    </w:p>
    <w:p w:rsidR="006628A2" w:rsidRPr="004914A7" w:rsidRDefault="006628A2" w:rsidP="001B6FE0">
      <w:pPr>
        <w:suppressAutoHyphens/>
      </w:pPr>
    </w:p>
    <w:p w:rsidR="006628A2" w:rsidRPr="004914A7" w:rsidRDefault="00034E2C" w:rsidP="001B6FE0">
      <w:pPr>
        <w:suppressAutoHyphens/>
      </w:pPr>
      <w:r w:rsidRPr="004914A7">
        <w:rPr>
          <w:b/>
        </w:rPr>
        <w:t>Artículo 62. Plazas presupuestales</w:t>
      </w:r>
    </w:p>
    <w:p w:rsidR="006628A2" w:rsidRPr="004914A7" w:rsidRDefault="006628A2" w:rsidP="001B6FE0">
      <w:pPr>
        <w:suppressAutoHyphens/>
      </w:pPr>
    </w:p>
    <w:p w:rsidR="006628A2" w:rsidRPr="004914A7" w:rsidRDefault="00034E2C" w:rsidP="001B6FE0">
      <w:pPr>
        <w:suppressAutoHyphens/>
      </w:pPr>
      <w:r w:rsidRPr="004914A7">
        <w:t>El número de plazas y contrataciones externas para el ejercicio fiscal 2021 se desglosa en los tomos II, III y IV y en el anexo 8 de este decreto.</w:t>
      </w:r>
    </w:p>
    <w:p w:rsidR="006628A2" w:rsidRPr="004914A7" w:rsidRDefault="006628A2" w:rsidP="001B6FE0">
      <w:pPr>
        <w:suppressAutoHyphens/>
      </w:pPr>
    </w:p>
    <w:p w:rsidR="006628A2" w:rsidRPr="004914A7" w:rsidRDefault="00034E2C" w:rsidP="001B6FE0">
      <w:pPr>
        <w:suppressAutoHyphens/>
      </w:pPr>
      <w:r w:rsidRPr="004914A7">
        <w:t>Del total de plazas asignadas al Poder Ejecutivo, 53,425 corresponden al magisterio estatal y federalizado. En los tomos II, III y IV se presenta el desglose analítico de plazas, el tabulador de sueldos y salarios y los sueldos de los servidores públicos de los mandos medios y superiores del Poder Ejecutivo estatal, así como de los poderes, de los organismos autónomos y de las entidades paraestatales.</w:t>
      </w:r>
    </w:p>
    <w:p w:rsidR="006628A2" w:rsidRPr="004914A7" w:rsidRDefault="006628A2" w:rsidP="001B6FE0">
      <w:pPr>
        <w:suppressAutoHyphens/>
      </w:pPr>
    </w:p>
    <w:p w:rsidR="006628A2" w:rsidRPr="004914A7" w:rsidRDefault="00034E2C" w:rsidP="001B6FE0">
      <w:pPr>
        <w:suppressAutoHyphens/>
      </w:pPr>
      <w:r w:rsidRPr="004914A7">
        <w:t>El gasto por ejercer en educación del Gobierno del estado durante el ejercicio 2021, identificado por el origen de su fuente de financiamiento, se detalla en el anexo 3.</w:t>
      </w:r>
    </w:p>
    <w:p w:rsidR="006628A2" w:rsidRPr="004914A7" w:rsidRDefault="006628A2" w:rsidP="001B6FE0">
      <w:pPr>
        <w:suppressAutoHyphens/>
      </w:pPr>
    </w:p>
    <w:p w:rsidR="006628A2" w:rsidRPr="004914A7" w:rsidRDefault="00034E2C" w:rsidP="001B6FE0">
      <w:pPr>
        <w:suppressAutoHyphens/>
      </w:pPr>
      <w:r w:rsidRPr="004914A7">
        <w:rPr>
          <w:b/>
        </w:rPr>
        <w:t>Artículo 63. Erogaciones para pensiones y jubilaciones</w:t>
      </w:r>
    </w:p>
    <w:p w:rsidR="006628A2" w:rsidRPr="004914A7" w:rsidRDefault="006628A2" w:rsidP="001B6FE0">
      <w:pPr>
        <w:suppressAutoHyphens/>
      </w:pPr>
    </w:p>
    <w:p w:rsidR="006628A2" w:rsidRPr="004914A7" w:rsidRDefault="00034E2C" w:rsidP="001B6FE0">
      <w:pPr>
        <w:suppressAutoHyphens/>
      </w:pPr>
      <w:r w:rsidRPr="004914A7">
        <w:t xml:space="preserve">Las erogaciones previstas para pensiones y jubilaciones se establecen en los anexos 6.2. </w:t>
      </w:r>
      <w:proofErr w:type="gramStart"/>
      <w:r w:rsidRPr="004914A7">
        <w:t>y</w:t>
      </w:r>
      <w:proofErr w:type="gramEnd"/>
      <w:r w:rsidRPr="004914A7">
        <w:t xml:space="preserve"> 6.3.</w:t>
      </w:r>
    </w:p>
    <w:p w:rsidR="006628A2" w:rsidRPr="004914A7" w:rsidRDefault="006628A2" w:rsidP="001B6FE0">
      <w:pPr>
        <w:suppressAutoHyphens/>
      </w:pPr>
    </w:p>
    <w:p w:rsidR="006628A2" w:rsidRPr="004914A7" w:rsidRDefault="00034E2C" w:rsidP="001B6FE0">
      <w:pPr>
        <w:suppressAutoHyphens/>
      </w:pPr>
      <w:r w:rsidRPr="004914A7">
        <w:rPr>
          <w:b/>
        </w:rPr>
        <w:lastRenderedPageBreak/>
        <w:t>Artículo 64. Gasto en servicios personales</w:t>
      </w:r>
    </w:p>
    <w:p w:rsidR="006628A2" w:rsidRPr="004914A7" w:rsidRDefault="006628A2" w:rsidP="001B6FE0">
      <w:pPr>
        <w:suppressAutoHyphens/>
      </w:pPr>
    </w:p>
    <w:p w:rsidR="006628A2" w:rsidRPr="004914A7" w:rsidRDefault="00034E2C" w:rsidP="001B6FE0">
      <w:pPr>
        <w:suppressAutoHyphens/>
      </w:pPr>
      <w:r w:rsidRPr="004914A7">
        <w:t xml:space="preserve">El gasto en servicios personales comprende la totalidad de los recursos para cubrir, con base en lo establecido en la </w:t>
      </w:r>
      <w:r w:rsidR="00A640CA" w:rsidRPr="004914A7">
        <w:t>ley de disciplina fina</w:t>
      </w:r>
      <w:r w:rsidRPr="004914A7">
        <w:t>nciera y de más normativa aplicable, las percepciones ordinarias y extraordinarias a favor de los servidores públicos de base o de confianza a su servicio, así como la contratación de servicios profesionales por honorarios asimilables a sueldos.</w:t>
      </w:r>
    </w:p>
    <w:p w:rsidR="006628A2" w:rsidRPr="004914A7" w:rsidRDefault="006628A2" w:rsidP="001B6FE0">
      <w:pPr>
        <w:suppressAutoHyphens/>
      </w:pPr>
    </w:p>
    <w:p w:rsidR="006628A2" w:rsidRPr="004914A7" w:rsidRDefault="00034E2C" w:rsidP="001B6FE0">
      <w:pPr>
        <w:suppressAutoHyphens/>
      </w:pPr>
      <w:r w:rsidRPr="004914A7">
        <w:t>Los montos presentados en los tomos II, III y IV podrán variar en caso de que se presente alguna de las excepciones establecidas en el artículo 10 de la propi</w:t>
      </w:r>
      <w:r w:rsidR="00C370CC" w:rsidRPr="004914A7">
        <w:t>a ley de disciplina financiera.</w:t>
      </w:r>
    </w:p>
    <w:p w:rsidR="006628A2" w:rsidRPr="004914A7" w:rsidRDefault="006628A2" w:rsidP="001B6FE0">
      <w:pPr>
        <w:suppressAutoHyphens/>
      </w:pPr>
    </w:p>
    <w:p w:rsidR="006628A2" w:rsidRPr="004914A7" w:rsidRDefault="00034E2C" w:rsidP="001B6FE0">
      <w:pPr>
        <w:suppressAutoHyphens/>
      </w:pPr>
      <w:r w:rsidRPr="004914A7">
        <w:t xml:space="preserve">El contenido </w:t>
      </w:r>
      <w:r w:rsidR="00C370CC" w:rsidRPr="004914A7">
        <w:t xml:space="preserve">de </w:t>
      </w:r>
      <w:r w:rsidRPr="004914A7">
        <w:t>estos tomos comprende:</w:t>
      </w:r>
    </w:p>
    <w:p w:rsidR="006628A2" w:rsidRPr="004914A7" w:rsidRDefault="006628A2" w:rsidP="001B6FE0">
      <w:pPr>
        <w:suppressAutoHyphens/>
      </w:pPr>
    </w:p>
    <w:p w:rsidR="006628A2" w:rsidRPr="004914A7" w:rsidRDefault="00034E2C" w:rsidP="001B6FE0">
      <w:pPr>
        <w:suppressAutoHyphens/>
      </w:pPr>
      <w:r w:rsidRPr="004914A7">
        <w:t>      I. Las remuneraciones de los servidores públicos, con un desglose de las percepciones ordinarias y extraordinarias, e incluye las erogaciones por concepto de obligaciones de carácter fiscal y de seguridad social inherentes a dichas remuneraciones.</w:t>
      </w:r>
    </w:p>
    <w:p w:rsidR="006628A2" w:rsidRPr="004914A7" w:rsidRDefault="006628A2" w:rsidP="001B6FE0">
      <w:pPr>
        <w:suppressAutoHyphens/>
      </w:pPr>
    </w:p>
    <w:p w:rsidR="006628A2" w:rsidRPr="004914A7" w:rsidRDefault="00034E2C" w:rsidP="001B6FE0">
      <w:pPr>
        <w:suppressAutoHyphens/>
      </w:pPr>
      <w:r w:rsidRPr="004914A7">
        <w:t>      II. Las previsiones salariales y económicas para cubrir los incrementos salariales, la creación de plazas y otras medidas económicas de índole laboral. Dichas previsiones están incluidas en el capítulo 1000, Servicios Personales, del presupuesto.</w:t>
      </w:r>
    </w:p>
    <w:p w:rsidR="006628A2" w:rsidRPr="004914A7" w:rsidRDefault="006628A2" w:rsidP="001B6FE0">
      <w:pPr>
        <w:suppressAutoHyphens/>
      </w:pPr>
    </w:p>
    <w:p w:rsidR="006628A2" w:rsidRPr="004914A7" w:rsidRDefault="00034E2C" w:rsidP="001B6FE0">
      <w:pPr>
        <w:suppressAutoHyphens/>
      </w:pPr>
      <w:r w:rsidRPr="004914A7">
        <w:rPr>
          <w:b/>
        </w:rPr>
        <w:t>Artículo 65. Remuneraciones de servidores públicos</w:t>
      </w:r>
    </w:p>
    <w:p w:rsidR="006628A2" w:rsidRPr="004914A7" w:rsidRDefault="006628A2" w:rsidP="001B6FE0">
      <w:pPr>
        <w:suppressAutoHyphens/>
      </w:pPr>
    </w:p>
    <w:p w:rsidR="006628A2" w:rsidRPr="004914A7" w:rsidRDefault="00034E2C" w:rsidP="001B6FE0">
      <w:pPr>
        <w:suppressAutoHyphens/>
      </w:pPr>
      <w:r w:rsidRPr="004914A7">
        <w:t xml:space="preserve">Los servidores públicos ocupantes de las plazas a que se refiere el artículo 62, percibirán las remuneraciones establecidas en el </w:t>
      </w:r>
      <w:r w:rsidR="00C370CC" w:rsidRPr="004914A7">
        <w:t xml:space="preserve">tabulador de sueldos y salarios </w:t>
      </w:r>
      <w:r w:rsidRPr="004914A7">
        <w:t xml:space="preserve">contenido en los tomos II, III y IV de este presupuesto, sin que el total de erogaciones por servicios exceda los montos aprobados en este, salvo lo previsto en el artículo 10 de la </w:t>
      </w:r>
      <w:r w:rsidR="00C370CC" w:rsidRPr="004914A7">
        <w:t xml:space="preserve">ley de disciplina financiera </w:t>
      </w:r>
      <w:r w:rsidRPr="004914A7">
        <w:t>y demás disposiciones aplicables.</w:t>
      </w:r>
    </w:p>
    <w:p w:rsidR="006628A2" w:rsidRPr="004914A7" w:rsidRDefault="006628A2" w:rsidP="001B6FE0">
      <w:pPr>
        <w:suppressAutoHyphens/>
      </w:pPr>
    </w:p>
    <w:p w:rsidR="006628A2" w:rsidRPr="004914A7" w:rsidRDefault="00034E2C" w:rsidP="001B6FE0">
      <w:pPr>
        <w:suppressAutoHyphens/>
      </w:pPr>
      <w:r w:rsidRPr="004914A7">
        <w:rPr>
          <w:b/>
        </w:rPr>
        <w:t>Artículo 66. Criterios para los incrementos salariales</w:t>
      </w:r>
    </w:p>
    <w:p w:rsidR="006628A2" w:rsidRPr="004914A7" w:rsidRDefault="006628A2" w:rsidP="001B6FE0">
      <w:pPr>
        <w:suppressAutoHyphens/>
      </w:pPr>
    </w:p>
    <w:p w:rsidR="006628A2" w:rsidRPr="004914A7" w:rsidRDefault="00034E2C" w:rsidP="001B6FE0">
      <w:pPr>
        <w:suppressAutoHyphens/>
      </w:pPr>
      <w:r w:rsidRPr="004914A7">
        <w:t xml:space="preserve">Para el establecimiento y determinación de </w:t>
      </w:r>
      <w:r w:rsidR="00C370CC" w:rsidRPr="004914A7">
        <w:t xml:space="preserve">los </w:t>
      </w:r>
      <w:r w:rsidRPr="004914A7">
        <w:t>criterios que regulen los incrementos salariales, la secretaría se sujetará a lo previsto en la normativa que para tal efecto se emita en materia de administración, remuneraciones y desarrollo del personal, y cualquier otra incidencia que modifique la relación jurídico-laboral entre el estado y sus servidores públicos, incluyendo el control y elaboración de la nómina del personal del Gobierno del estado.</w:t>
      </w:r>
    </w:p>
    <w:p w:rsidR="006628A2" w:rsidRPr="004914A7" w:rsidRDefault="006628A2" w:rsidP="001B6FE0">
      <w:pPr>
        <w:suppressAutoHyphens/>
      </w:pPr>
    </w:p>
    <w:p w:rsidR="006628A2" w:rsidRPr="004914A7" w:rsidRDefault="00034E2C" w:rsidP="001B6FE0">
      <w:pPr>
        <w:suppressAutoHyphens/>
      </w:pPr>
      <w:r w:rsidRPr="004914A7">
        <w:t xml:space="preserve">Las entidades públicas y los sindicatos establecerán conjuntamente los criterios y los períodos para revisar las prestaciones que disfruten los trabajadores. Las condiciones generales de trabajo de cada entidad pública deberán ser consultadas a la secretaría y </w:t>
      </w:r>
      <w:r w:rsidR="00C370CC" w:rsidRPr="004914A7">
        <w:t xml:space="preserve">a </w:t>
      </w:r>
      <w:r w:rsidRPr="004914A7">
        <w:t>las tesorerías municipales correspondientes.</w:t>
      </w:r>
    </w:p>
    <w:p w:rsidR="006628A2" w:rsidRPr="004914A7" w:rsidRDefault="006628A2" w:rsidP="001B6FE0">
      <w:pPr>
        <w:suppressAutoHyphens/>
      </w:pPr>
    </w:p>
    <w:p w:rsidR="006628A2" w:rsidRPr="004914A7" w:rsidRDefault="00034E2C" w:rsidP="001B6FE0">
      <w:pPr>
        <w:suppressAutoHyphens/>
      </w:pPr>
      <w:r w:rsidRPr="004914A7">
        <w:t xml:space="preserve">El presupuesto de remuneraciones no tendrá características de techo financiero autorizado, ya que estará en función </w:t>
      </w:r>
      <w:r w:rsidR="00BE55CF" w:rsidRPr="004914A7">
        <w:t>de</w:t>
      </w:r>
      <w:r w:rsidRPr="004914A7">
        <w:t xml:space="preserve"> la plantilla de personal autorizada y las economías que se generen estarán sujetas a consideraciones que para su ejercicio determine la </w:t>
      </w:r>
      <w:r w:rsidR="00BE55CF" w:rsidRPr="004914A7">
        <w:t>s</w:t>
      </w:r>
      <w:r w:rsidRPr="004914A7">
        <w:t>ecretaría.</w:t>
      </w:r>
    </w:p>
    <w:p w:rsidR="006628A2" w:rsidRPr="004914A7" w:rsidRDefault="006628A2" w:rsidP="001B6FE0">
      <w:pPr>
        <w:suppressAutoHyphens/>
      </w:pPr>
    </w:p>
    <w:p w:rsidR="006628A2" w:rsidRPr="004914A7" w:rsidRDefault="00034E2C" w:rsidP="001B6FE0">
      <w:pPr>
        <w:suppressAutoHyphens/>
      </w:pPr>
      <w:r w:rsidRPr="004914A7">
        <w:rPr>
          <w:b/>
        </w:rPr>
        <w:t>Artículo 67. Administración, normativa y control de los servicios personales</w:t>
      </w:r>
    </w:p>
    <w:p w:rsidR="006628A2" w:rsidRPr="004914A7" w:rsidRDefault="006628A2" w:rsidP="001B6FE0">
      <w:pPr>
        <w:suppressAutoHyphens/>
      </w:pPr>
    </w:p>
    <w:p w:rsidR="006628A2" w:rsidRPr="004914A7" w:rsidRDefault="00BE55CF" w:rsidP="001B6FE0">
      <w:pPr>
        <w:suppressAutoHyphens/>
      </w:pPr>
      <w:r w:rsidRPr="004914A7">
        <w:rPr>
          <w:rFonts w:cs="Arial"/>
        </w:rPr>
        <w:t>La administración, normativa y control de</w:t>
      </w:r>
      <w:r w:rsidR="00034E2C" w:rsidRPr="004914A7">
        <w:t xml:space="preserve">l capítulo de servicios personales del Poder Ejecutivo del Estado está </w:t>
      </w:r>
      <w:r w:rsidRPr="004914A7">
        <w:t xml:space="preserve">a cargo de </w:t>
      </w:r>
      <w:r w:rsidR="00034E2C" w:rsidRPr="004914A7">
        <w:t>la secretaría, lo anterior de conformidad con lo establecido en el Código de la Administración Pública de Yucatán.</w:t>
      </w:r>
    </w:p>
    <w:p w:rsidR="006628A2" w:rsidRPr="004914A7" w:rsidRDefault="006628A2" w:rsidP="001B6FE0">
      <w:pPr>
        <w:suppressAutoHyphens/>
      </w:pPr>
    </w:p>
    <w:p w:rsidR="006628A2" w:rsidRPr="004914A7" w:rsidRDefault="00034E2C" w:rsidP="001B6FE0">
      <w:pPr>
        <w:suppressAutoHyphens/>
      </w:pPr>
      <w:r w:rsidRPr="004914A7">
        <w:t>Solo la secretaría podrá autorizar adecuaciones a las estructuras orgánicas de las dependencias y entidades Públicas, sin que ello implique la aprobación de recursos adicionales, salvo los casos en los que se otorguen incrementos presupuestales por creación de plazas nuevas.</w:t>
      </w:r>
    </w:p>
    <w:p w:rsidR="006628A2" w:rsidRPr="004914A7" w:rsidRDefault="006628A2" w:rsidP="001B6FE0">
      <w:pPr>
        <w:suppressAutoHyphens/>
      </w:pPr>
    </w:p>
    <w:p w:rsidR="006628A2" w:rsidRPr="004914A7" w:rsidRDefault="00034E2C" w:rsidP="001B6FE0">
      <w:pPr>
        <w:suppressAutoHyphens/>
      </w:pPr>
      <w:r w:rsidRPr="004914A7">
        <w:t xml:space="preserve">Las dependencias sólo podrán modificar sus estructuras orgánicas y laborales aprobadas para el ejercicio fiscal 2021, previa autorización de la secretaría y de conformidad con el Código de la Administración Pública de Yucatán y su reglamento, la Ley del Presupuesto y Contabilidad Gubernamental del Estado de Yucatán, su reglamento y demás normativa aplicable. Esta modificación solo podrá </w:t>
      </w:r>
      <w:r w:rsidR="00BE55CF" w:rsidRPr="004914A7">
        <w:t>realizarse</w:t>
      </w:r>
      <w:r w:rsidRPr="004914A7">
        <w:t xml:space="preserve">, siempre que cuenten con los recursos presupuestales suficientes o cuando la </w:t>
      </w:r>
      <w:r w:rsidR="00BE55CF" w:rsidRPr="004914A7">
        <w:t>s</w:t>
      </w:r>
      <w:r w:rsidRPr="004914A7">
        <w:t>ecretaría les otorgue el incremento presupuestal correspondiente.</w:t>
      </w:r>
    </w:p>
    <w:p w:rsidR="006628A2" w:rsidRPr="004914A7" w:rsidRDefault="006628A2" w:rsidP="001B6FE0">
      <w:pPr>
        <w:suppressAutoHyphens/>
      </w:pPr>
    </w:p>
    <w:p w:rsidR="006628A2" w:rsidRPr="004914A7" w:rsidRDefault="00034E2C" w:rsidP="001B6FE0">
      <w:pPr>
        <w:suppressAutoHyphens/>
      </w:pPr>
      <w:r w:rsidRPr="004914A7">
        <w:rPr>
          <w:b/>
        </w:rPr>
        <w:t>Artículo 68. Límite de la asignación de recursos para servicios personales</w:t>
      </w:r>
    </w:p>
    <w:p w:rsidR="006628A2" w:rsidRPr="004914A7" w:rsidRDefault="006628A2" w:rsidP="001B6FE0">
      <w:pPr>
        <w:suppressAutoHyphens/>
      </w:pPr>
    </w:p>
    <w:p w:rsidR="006628A2" w:rsidRPr="004914A7" w:rsidRDefault="00034E2C" w:rsidP="001B6FE0">
      <w:pPr>
        <w:suppressAutoHyphens/>
      </w:pPr>
      <w:r w:rsidRPr="004914A7">
        <w:t xml:space="preserve">La metodología aplicada para el límite de la asignación de recursos para servicios personales es la correspondiente al artículo 10 de la Ley de Disciplina Financiera. El desglose correspondiente de la asignación global de recursos para servicios personales del presupuesto se prevé en el </w:t>
      </w:r>
      <w:r w:rsidR="007918BC" w:rsidRPr="004914A7">
        <w:t>a</w:t>
      </w:r>
      <w:r w:rsidRPr="004914A7">
        <w:t xml:space="preserve">nexo </w:t>
      </w:r>
      <w:r w:rsidR="0088414D" w:rsidRPr="004914A7">
        <w:t>8</w:t>
      </w:r>
      <w:r w:rsidRPr="004914A7">
        <w:t xml:space="preserve">. </w:t>
      </w:r>
      <w:proofErr w:type="gramStart"/>
      <w:r w:rsidRPr="004914A7">
        <w:t>del</w:t>
      </w:r>
      <w:proofErr w:type="gramEnd"/>
      <w:r w:rsidRPr="004914A7">
        <w:t xml:space="preserve"> presente decreto</w:t>
      </w:r>
      <w:r w:rsidR="009C2950" w:rsidRPr="004914A7">
        <w:t xml:space="preserve"> y los tomos II, III y IV</w:t>
      </w:r>
      <w:r w:rsidRPr="004914A7">
        <w:t>.</w:t>
      </w:r>
    </w:p>
    <w:p w:rsidR="006628A2" w:rsidRPr="004914A7" w:rsidRDefault="006628A2" w:rsidP="001B6FE0">
      <w:pPr>
        <w:suppressAutoHyphens/>
      </w:pPr>
    </w:p>
    <w:p w:rsidR="006628A2" w:rsidRPr="004914A7" w:rsidRDefault="00034E2C" w:rsidP="001B6FE0">
      <w:pPr>
        <w:suppressAutoHyphens/>
      </w:pPr>
      <w:r w:rsidRPr="004914A7">
        <w:rPr>
          <w:b/>
        </w:rPr>
        <w:t>Artículo 69. Reglas sobre el ejercicio y pago de servicios personales</w:t>
      </w:r>
    </w:p>
    <w:p w:rsidR="006628A2" w:rsidRPr="004914A7" w:rsidRDefault="006628A2" w:rsidP="001B6FE0">
      <w:pPr>
        <w:suppressAutoHyphens/>
      </w:pPr>
    </w:p>
    <w:p w:rsidR="006628A2" w:rsidRPr="004914A7" w:rsidRDefault="00034E2C" w:rsidP="001B6FE0">
      <w:pPr>
        <w:suppressAutoHyphens/>
      </w:pPr>
      <w:r w:rsidRPr="004914A7">
        <w:lastRenderedPageBreak/>
        <w:t>Las dependencias y entidades, al realizar el ejercicio y pago por concepto de servicios personales, deberán sujetarse a lo siguiente:</w:t>
      </w:r>
    </w:p>
    <w:p w:rsidR="006628A2" w:rsidRPr="004914A7" w:rsidRDefault="006628A2" w:rsidP="001B6FE0">
      <w:pPr>
        <w:suppressAutoHyphens/>
      </w:pPr>
    </w:p>
    <w:p w:rsidR="006628A2" w:rsidRPr="004914A7" w:rsidRDefault="00034E2C" w:rsidP="001B6FE0">
      <w:pPr>
        <w:suppressAutoHyphens/>
      </w:pPr>
      <w:r w:rsidRPr="004914A7">
        <w:t>      I. Las remuneraciones de los trabajadores se deberán apegar estrictamente a los niveles establecidos en los tabuladores de sueldos, cuotas, tarifas y demás asignaciones autorizadas por la secretaría y los órganos de gobierno de las entidades.</w:t>
      </w:r>
    </w:p>
    <w:p w:rsidR="006628A2" w:rsidRPr="004914A7" w:rsidRDefault="006628A2" w:rsidP="001B6FE0">
      <w:pPr>
        <w:suppressAutoHyphens/>
      </w:pPr>
    </w:p>
    <w:p w:rsidR="006628A2" w:rsidRPr="004914A7" w:rsidRDefault="00034E2C" w:rsidP="001B6FE0">
      <w:pPr>
        <w:suppressAutoHyphens/>
      </w:pPr>
      <w:r w:rsidRPr="004914A7">
        <w:t>      II. Reducir al mínimo indispensable el pago de horas extras y de compensaciones.</w:t>
      </w:r>
    </w:p>
    <w:p w:rsidR="006628A2" w:rsidRPr="004914A7" w:rsidRDefault="006628A2" w:rsidP="001B6FE0">
      <w:pPr>
        <w:suppressAutoHyphens/>
      </w:pPr>
    </w:p>
    <w:p w:rsidR="006628A2" w:rsidRPr="004914A7" w:rsidRDefault="00034E2C" w:rsidP="001B6FE0">
      <w:pPr>
        <w:suppressAutoHyphens/>
      </w:pPr>
      <w:r w:rsidRPr="004914A7">
        <w:t>      III. Los pagos de las remuneraciones adicionales por jornadas y por horas extraordinarias y otras prestaciones del personal que labora en las entidades que se rijan por contratos colectivos de trabajo, se efectuarán de acuerdo con las estipulaciones contractuales.</w:t>
      </w:r>
    </w:p>
    <w:p w:rsidR="006628A2" w:rsidRPr="004914A7" w:rsidRDefault="006628A2" w:rsidP="001B6FE0">
      <w:pPr>
        <w:suppressAutoHyphens/>
      </w:pPr>
    </w:p>
    <w:p w:rsidR="006628A2" w:rsidRPr="004914A7" w:rsidRDefault="00034E2C" w:rsidP="001B6FE0">
      <w:pPr>
        <w:suppressAutoHyphens/>
      </w:pPr>
      <w:r w:rsidRPr="004914A7">
        <w:t>      IV. Las contrataciones de trabajadores eventuales se sujetarán al presupuesto aprobado, salvo los casos extraordinarios autorizados por la secretaría o cuando se cubran con recursos extraordinarios y se cuente con la autorización de la secretaría.</w:t>
      </w:r>
    </w:p>
    <w:p w:rsidR="006628A2" w:rsidRPr="004914A7" w:rsidRDefault="006628A2" w:rsidP="001B6FE0">
      <w:pPr>
        <w:suppressAutoHyphens/>
      </w:pPr>
    </w:p>
    <w:p w:rsidR="006628A2" w:rsidRPr="004914A7" w:rsidRDefault="00034E2C" w:rsidP="001B6FE0">
      <w:pPr>
        <w:suppressAutoHyphens/>
      </w:pPr>
      <w:r w:rsidRPr="004914A7">
        <w:t>      V. Las percepciones salariales u homologaciones que empleen tabuladores elaborados por otros órdenes de gobierno, quedarán sujetas al límite de las percepciones y previsiones presupuestales que autorice la secretaría.</w:t>
      </w:r>
    </w:p>
    <w:p w:rsidR="006628A2" w:rsidRPr="004914A7" w:rsidRDefault="006628A2" w:rsidP="001B6FE0">
      <w:pPr>
        <w:suppressAutoHyphens/>
      </w:pPr>
    </w:p>
    <w:p w:rsidR="006628A2" w:rsidRPr="004914A7" w:rsidRDefault="00034E2C" w:rsidP="001B6FE0">
      <w:pPr>
        <w:suppressAutoHyphens/>
      </w:pPr>
      <w:r w:rsidRPr="004914A7">
        <w:rPr>
          <w:b/>
        </w:rPr>
        <w:t>Artículo 70. Excepciones</w:t>
      </w:r>
    </w:p>
    <w:p w:rsidR="006628A2" w:rsidRPr="004914A7" w:rsidRDefault="006628A2" w:rsidP="001B6FE0">
      <w:pPr>
        <w:suppressAutoHyphens/>
      </w:pPr>
    </w:p>
    <w:p w:rsidR="006628A2" w:rsidRPr="004914A7" w:rsidRDefault="00034E2C" w:rsidP="001B6FE0">
      <w:pPr>
        <w:suppressAutoHyphens/>
      </w:pPr>
      <w:r w:rsidRPr="004914A7">
        <w:t xml:space="preserve">Para las dependencias y entidades encargadas de la seguridad pública, procuración de justicia y la prestación de servicios de salud, las medidas a que se refiere el artículo anterior </w:t>
      </w:r>
      <w:r w:rsidR="00190248" w:rsidRPr="004914A7">
        <w:t>se estarán a lo dispuesto en la Ley de Disciplina Financiera</w:t>
      </w:r>
      <w:r w:rsidRPr="004914A7">
        <w:t>.</w:t>
      </w:r>
    </w:p>
    <w:p w:rsidR="006628A2" w:rsidRPr="004914A7" w:rsidRDefault="006628A2" w:rsidP="001B6FE0">
      <w:pPr>
        <w:suppressAutoHyphens/>
      </w:pPr>
    </w:p>
    <w:p w:rsidR="006628A2" w:rsidRPr="004914A7" w:rsidRDefault="00034E2C" w:rsidP="001B6FE0">
      <w:pPr>
        <w:suppressAutoHyphens/>
      </w:pPr>
      <w:r w:rsidRPr="004914A7">
        <w:rPr>
          <w:b/>
        </w:rPr>
        <w:t>Artículo 71. Tabuladores de percepciones oficiales</w:t>
      </w:r>
    </w:p>
    <w:p w:rsidR="006628A2" w:rsidRPr="004914A7" w:rsidRDefault="006628A2" w:rsidP="001B6FE0">
      <w:pPr>
        <w:suppressAutoHyphens/>
      </w:pPr>
    </w:p>
    <w:p w:rsidR="006628A2" w:rsidRPr="004914A7" w:rsidRDefault="00034E2C" w:rsidP="001B6FE0">
      <w:pPr>
        <w:suppressAutoHyphens/>
      </w:pPr>
      <w:r w:rsidRPr="004914A7">
        <w:t>La secretaría, con sujeción a este decreto, emitirá los tabuladores de percepciones oficiales para todas las modalidades de contratación del sector central de la Administración Pública del estado y autorizará las actualizaciones de los tabuladores del sector paraestatal.</w:t>
      </w:r>
    </w:p>
    <w:p w:rsidR="006628A2" w:rsidRPr="004914A7" w:rsidRDefault="006628A2" w:rsidP="001B6FE0">
      <w:pPr>
        <w:suppressAutoHyphens/>
      </w:pPr>
    </w:p>
    <w:p w:rsidR="006628A2" w:rsidRPr="004914A7" w:rsidRDefault="00034E2C" w:rsidP="001B6FE0">
      <w:pPr>
        <w:suppressAutoHyphens/>
      </w:pPr>
      <w:r w:rsidRPr="004914A7">
        <w:rPr>
          <w:b/>
        </w:rPr>
        <w:t>Artículo 72. Estructuras organizacionales y ocupacionales</w:t>
      </w:r>
    </w:p>
    <w:p w:rsidR="006628A2" w:rsidRPr="004914A7" w:rsidRDefault="006628A2" w:rsidP="001B6FE0">
      <w:pPr>
        <w:suppressAutoHyphens/>
      </w:pPr>
    </w:p>
    <w:p w:rsidR="006628A2" w:rsidRPr="004914A7" w:rsidRDefault="00034E2C" w:rsidP="001B6FE0">
      <w:pPr>
        <w:suppressAutoHyphens/>
      </w:pPr>
      <w:r w:rsidRPr="004914A7">
        <w:lastRenderedPageBreak/>
        <w:t>Las dependencias y entidades deberán respetar y transparentar sus estructuras organizacionales y ocupacionales, así como la plantilla de personal, debiendo realizar las gestiones necesarias ante la secretaría para la aprobación, registro y, en su caso, adecuación de sus estructuras orgánicas y ocupacionales. Asimismo, deberán procurar la congruencia entre el nivel salarial, el grado de responsabilidad y la naturaleza de la función que corresponda al cargo.</w:t>
      </w:r>
    </w:p>
    <w:p w:rsidR="006628A2" w:rsidRPr="004914A7" w:rsidRDefault="006628A2" w:rsidP="001B6FE0">
      <w:pPr>
        <w:suppressAutoHyphens/>
      </w:pPr>
    </w:p>
    <w:p w:rsidR="006628A2" w:rsidRPr="004914A7" w:rsidRDefault="00034E2C" w:rsidP="001B6FE0">
      <w:pPr>
        <w:suppressAutoHyphens/>
      </w:pPr>
      <w:r w:rsidRPr="004914A7">
        <w:rPr>
          <w:b/>
        </w:rPr>
        <w:t>Artículo 73. Prohibición de contratación de personal adicional</w:t>
      </w:r>
    </w:p>
    <w:p w:rsidR="006628A2" w:rsidRPr="004914A7" w:rsidRDefault="006628A2" w:rsidP="001B6FE0">
      <w:pPr>
        <w:suppressAutoHyphens/>
      </w:pPr>
    </w:p>
    <w:p w:rsidR="006628A2" w:rsidRPr="004914A7" w:rsidRDefault="00034E2C" w:rsidP="001B6FE0">
      <w:pPr>
        <w:suppressAutoHyphens/>
      </w:pPr>
      <w:r w:rsidRPr="004914A7">
        <w:t>Los titulares de las dependencias y entidades no podrán contratar personal adicional al previsto en este decreto, salvo que se trate de plazas relacionadas con los servicios de salud, educación, seguridad y procuración de justicia que resulten indispensables por causas supervinientes, o las que el titular del Poder Ejecutivo del estado califique como estratégicas. En estos casos, para que proceda la contratación se requerirá autorización previa por parte de la secretaría y se deberá contar con la disponibilidad presupuestal que cubra los salarios y prestaciones correspondientes.</w:t>
      </w:r>
    </w:p>
    <w:p w:rsidR="006628A2" w:rsidRDefault="006628A2" w:rsidP="001B6FE0">
      <w:pPr>
        <w:suppressAutoHyphens/>
      </w:pPr>
    </w:p>
    <w:p w:rsidR="00976C88" w:rsidRDefault="00976C88" w:rsidP="001B6FE0">
      <w:pPr>
        <w:suppressAutoHyphens/>
      </w:pPr>
    </w:p>
    <w:p w:rsidR="00976C88" w:rsidRDefault="00976C88" w:rsidP="001B6FE0">
      <w:pPr>
        <w:suppressAutoHyphens/>
      </w:pPr>
    </w:p>
    <w:p w:rsidR="00976C88" w:rsidRDefault="00976C88" w:rsidP="001B6FE0">
      <w:pPr>
        <w:suppressAutoHyphens/>
      </w:pPr>
    </w:p>
    <w:p w:rsidR="00976C88" w:rsidRPr="004914A7" w:rsidRDefault="00976C88" w:rsidP="001B6FE0">
      <w:pPr>
        <w:suppressAutoHyphens/>
      </w:pPr>
    </w:p>
    <w:p w:rsidR="006628A2" w:rsidRPr="004914A7" w:rsidRDefault="00034E2C" w:rsidP="001B6FE0">
      <w:pPr>
        <w:suppressAutoHyphens/>
      </w:pPr>
      <w:r w:rsidRPr="004914A7">
        <w:rPr>
          <w:b/>
        </w:rPr>
        <w:t>Artículo 74. Percepciones extraordinarias</w:t>
      </w:r>
    </w:p>
    <w:p w:rsidR="006628A2" w:rsidRPr="004914A7" w:rsidRDefault="006628A2" w:rsidP="001B6FE0">
      <w:pPr>
        <w:suppressAutoHyphens/>
      </w:pPr>
    </w:p>
    <w:p w:rsidR="006628A2" w:rsidRPr="004914A7" w:rsidRDefault="00034E2C" w:rsidP="001B6FE0">
      <w:pPr>
        <w:suppressAutoHyphens/>
      </w:pPr>
      <w:r w:rsidRPr="004914A7">
        <w:t>Las percepciones extraordinarias no constituyen un ingreso fijo, regular ni permanente, y su otorgamiento se encuentra sujeto a requisitos y condiciones futuras de realización incierta.</w:t>
      </w:r>
    </w:p>
    <w:p w:rsidR="006628A2" w:rsidRPr="004914A7" w:rsidRDefault="006628A2" w:rsidP="001B6FE0">
      <w:pPr>
        <w:suppressAutoHyphens/>
      </w:pPr>
    </w:p>
    <w:p w:rsidR="006628A2" w:rsidRPr="004914A7" w:rsidRDefault="00034E2C" w:rsidP="001B6FE0">
      <w:pPr>
        <w:suppressAutoHyphens/>
      </w:pPr>
      <w:r w:rsidRPr="004914A7">
        <w:t>Las percepciones extraordinarias a que se refiere el párrafo anterior deberán haber sido previstas en este presupuesto y podrán cubrirse con los ahorros presupuestales que generen las dependencias y entidades en sus correspondientes presupuestos de servicios personales.</w:t>
      </w:r>
    </w:p>
    <w:p w:rsidR="006628A2" w:rsidRPr="004914A7" w:rsidRDefault="006628A2" w:rsidP="001B6FE0">
      <w:pPr>
        <w:suppressAutoHyphens/>
      </w:pPr>
    </w:p>
    <w:p w:rsidR="006628A2" w:rsidRPr="004914A7" w:rsidRDefault="00034E2C" w:rsidP="001B6FE0">
      <w:pPr>
        <w:suppressAutoHyphens/>
      </w:pPr>
      <w:r w:rsidRPr="004914A7">
        <w:rPr>
          <w:b/>
        </w:rPr>
        <w:t>Artículo 75. Estímulos, incentivos o reconocimientos</w:t>
      </w:r>
    </w:p>
    <w:p w:rsidR="006628A2" w:rsidRPr="004914A7" w:rsidRDefault="006628A2" w:rsidP="001B6FE0">
      <w:pPr>
        <w:suppressAutoHyphens/>
      </w:pPr>
    </w:p>
    <w:p w:rsidR="006628A2" w:rsidRPr="004914A7" w:rsidRDefault="00034E2C" w:rsidP="001B6FE0">
      <w:pPr>
        <w:suppressAutoHyphens/>
      </w:pPr>
      <w:r w:rsidRPr="004914A7">
        <w:t>Los poderes y los organismos autónomos podrán otorgar estímulos, incentivos o reconocimientos o ejercer gastos equivalentes, siempre respetando el techo presupuestal autorizado y las disposiciones que, para estos efectos, emitan las autoridades competentes.</w:t>
      </w:r>
    </w:p>
    <w:p w:rsidR="006628A2" w:rsidRPr="004914A7" w:rsidRDefault="006628A2" w:rsidP="001B6FE0">
      <w:pPr>
        <w:suppressAutoHyphens/>
      </w:pPr>
    </w:p>
    <w:p w:rsidR="006628A2" w:rsidRPr="004914A7" w:rsidRDefault="00034E2C" w:rsidP="001B6FE0">
      <w:pPr>
        <w:suppressAutoHyphens/>
      </w:pPr>
      <w:r w:rsidRPr="004914A7">
        <w:lastRenderedPageBreak/>
        <w:t>El monto de las percepciones totales que se cubran a favor de la máxima representación de los poderes o de los organismos autónomos, no podrá rebasar la percepción total asignada al titular del Poder Ejecutivo del estado.</w:t>
      </w:r>
    </w:p>
    <w:p w:rsidR="006628A2" w:rsidRPr="004914A7" w:rsidRDefault="006628A2" w:rsidP="001B6FE0">
      <w:pPr>
        <w:suppressAutoHyphens/>
      </w:pPr>
    </w:p>
    <w:p w:rsidR="006628A2" w:rsidRPr="004914A7" w:rsidRDefault="00034E2C" w:rsidP="001B6FE0">
      <w:pPr>
        <w:pStyle w:val="Ttulo2"/>
        <w:suppressAutoHyphens/>
      </w:pPr>
      <w:bookmarkStart w:id="32" w:name="capítulo-iv-1"/>
      <w:r w:rsidRPr="004914A7">
        <w:t>Capítulo IV</w:t>
      </w:r>
      <w:bookmarkEnd w:id="32"/>
    </w:p>
    <w:p w:rsidR="006628A2" w:rsidRPr="004914A7" w:rsidRDefault="00034E2C" w:rsidP="001B6FE0">
      <w:pPr>
        <w:pStyle w:val="Ttulo2"/>
        <w:suppressAutoHyphens/>
      </w:pPr>
      <w:bookmarkStart w:id="33" w:name="Xfa2aec5fdbab6e01f866b080da18decc72ec1d3"/>
      <w:r w:rsidRPr="004914A7">
        <w:t>Premisas para transferencias, apoyos, subsidios y ayudas</w:t>
      </w:r>
      <w:bookmarkEnd w:id="33"/>
    </w:p>
    <w:p w:rsidR="006628A2" w:rsidRPr="004914A7" w:rsidRDefault="006628A2" w:rsidP="001B6FE0">
      <w:pPr>
        <w:suppressAutoHyphens/>
      </w:pPr>
    </w:p>
    <w:p w:rsidR="006628A2" w:rsidRPr="004914A7" w:rsidRDefault="00034E2C" w:rsidP="001B6FE0">
      <w:pPr>
        <w:suppressAutoHyphens/>
      </w:pPr>
      <w:r w:rsidRPr="004914A7">
        <w:rPr>
          <w:b/>
        </w:rPr>
        <w:t>Artículo 76. Reducción, suspensión y terminación de las transferencias y subsidios</w:t>
      </w:r>
    </w:p>
    <w:p w:rsidR="006628A2" w:rsidRPr="004914A7" w:rsidRDefault="006628A2" w:rsidP="001B6FE0">
      <w:pPr>
        <w:suppressAutoHyphens/>
      </w:pPr>
    </w:p>
    <w:p w:rsidR="006628A2" w:rsidRPr="004914A7" w:rsidRDefault="00034E2C" w:rsidP="001B6FE0">
      <w:pPr>
        <w:suppressAutoHyphens/>
      </w:pPr>
      <w:r w:rsidRPr="004914A7">
        <w:t>El titular del Poder Ejecutivo, por conducto de la secretaría, autorizará la ministración, reducción, suspensión y, en su caso, terminación de las transferencias y subsidios que se prevén en este presupuesto.</w:t>
      </w:r>
    </w:p>
    <w:p w:rsidR="006628A2" w:rsidRPr="004914A7" w:rsidRDefault="006628A2" w:rsidP="001B6FE0">
      <w:pPr>
        <w:suppressAutoHyphens/>
      </w:pPr>
    </w:p>
    <w:p w:rsidR="006628A2" w:rsidRPr="004914A7" w:rsidRDefault="00034E2C" w:rsidP="001B6FE0">
      <w:pPr>
        <w:suppressAutoHyphens/>
      </w:pPr>
      <w:r w:rsidRPr="004914A7">
        <w:rPr>
          <w:b/>
        </w:rPr>
        <w:t>Artículo 77. Responsables de la correcta aplicación de transferencias y subsidios</w:t>
      </w:r>
    </w:p>
    <w:p w:rsidR="006628A2" w:rsidRPr="004914A7" w:rsidRDefault="006628A2" w:rsidP="001B6FE0">
      <w:pPr>
        <w:suppressAutoHyphens/>
      </w:pPr>
    </w:p>
    <w:p w:rsidR="006628A2" w:rsidRPr="004914A7" w:rsidRDefault="00034E2C" w:rsidP="001B6FE0">
      <w:pPr>
        <w:suppressAutoHyphens/>
      </w:pPr>
      <w:r w:rsidRPr="004914A7">
        <w:t>Los titulares de las entidades a los que se autorice la asignación de transferencias y subsidios con cargo al presupuesto serán responsables de su correcta aplicación conforme a lo establecido en este presupuesto y las demás disposiciones aplicables.</w:t>
      </w:r>
    </w:p>
    <w:p w:rsidR="005613AC" w:rsidRPr="004914A7" w:rsidRDefault="005613AC" w:rsidP="001B6FE0">
      <w:pPr>
        <w:suppressAutoHyphens/>
      </w:pPr>
    </w:p>
    <w:p w:rsidR="006628A2" w:rsidRPr="004914A7" w:rsidRDefault="00034E2C" w:rsidP="001B6FE0">
      <w:pPr>
        <w:suppressAutoHyphens/>
      </w:pPr>
      <w:r w:rsidRPr="004914A7">
        <w:rPr>
          <w:b/>
        </w:rPr>
        <w:t>Artículo 78. Emisión de disposiciones para el otorgamiento y aplicación de las transferencias y subsidios</w:t>
      </w:r>
    </w:p>
    <w:p w:rsidR="006628A2" w:rsidRPr="004914A7" w:rsidRDefault="006628A2" w:rsidP="001B6FE0">
      <w:pPr>
        <w:suppressAutoHyphens/>
      </w:pPr>
    </w:p>
    <w:p w:rsidR="006628A2" w:rsidRPr="004914A7" w:rsidRDefault="00034E2C" w:rsidP="001B6FE0">
      <w:pPr>
        <w:suppressAutoHyphens/>
      </w:pPr>
      <w:r w:rsidRPr="004914A7">
        <w:t>La secretaría podrá emitir</w:t>
      </w:r>
      <w:r w:rsidR="00677209" w:rsidRPr="004914A7">
        <w:t>,</w:t>
      </w:r>
      <w:r w:rsidRPr="004914A7">
        <w:t xml:space="preserve"> durante el ejercicio fiscal</w:t>
      </w:r>
      <w:r w:rsidR="00677209" w:rsidRPr="004914A7">
        <w:t xml:space="preserve"> 2021</w:t>
      </w:r>
      <w:r w:rsidRPr="004914A7">
        <w:t>, disposiciones sobre la operación, evaluación y ejercicio del gasto relacionado con el otorgamiento y aplicación de las transferencias y subsidios a que se refiere el artículo anterior.</w:t>
      </w:r>
    </w:p>
    <w:p w:rsidR="006628A2" w:rsidRPr="004914A7" w:rsidRDefault="006628A2" w:rsidP="001B6FE0">
      <w:pPr>
        <w:suppressAutoHyphens/>
      </w:pPr>
    </w:p>
    <w:p w:rsidR="006628A2" w:rsidRPr="004914A7" w:rsidRDefault="00034E2C" w:rsidP="001B6FE0">
      <w:pPr>
        <w:suppressAutoHyphens/>
      </w:pPr>
      <w:r w:rsidRPr="004914A7">
        <w:rPr>
          <w:b/>
        </w:rPr>
        <w:t>Artículo 79. Criterios para la erogación por concepto de transferencias y subsidios</w:t>
      </w:r>
    </w:p>
    <w:p w:rsidR="006628A2" w:rsidRPr="004914A7" w:rsidRDefault="006628A2" w:rsidP="001B6FE0">
      <w:pPr>
        <w:suppressAutoHyphens/>
      </w:pPr>
    </w:p>
    <w:p w:rsidR="006628A2" w:rsidRPr="004914A7" w:rsidRDefault="00034E2C" w:rsidP="001B6FE0">
      <w:pPr>
        <w:suppressAutoHyphens/>
      </w:pPr>
      <w:r w:rsidRPr="004914A7">
        <w:t>Las erogaciones por concepto de transferencias y subsidios con cargo al presupuesto se sujetarán a los objetivos y las metas de los programas que realizan las entidades y a las necesidades de planeación y administración financiera del Gobierno del estado, apegándose además a los siguientes criterios:</w:t>
      </w:r>
    </w:p>
    <w:p w:rsidR="006628A2" w:rsidRPr="004914A7" w:rsidRDefault="006628A2" w:rsidP="001B6FE0">
      <w:pPr>
        <w:suppressAutoHyphens/>
      </w:pPr>
    </w:p>
    <w:p w:rsidR="006628A2" w:rsidRPr="004914A7" w:rsidRDefault="00034E2C" w:rsidP="001B6FE0">
      <w:pPr>
        <w:suppressAutoHyphens/>
      </w:pPr>
      <w:r w:rsidRPr="004914A7">
        <w:t>      I. Se requerirá la autorización previa y por escrito de la Secretaría para otorgar transferencias que pretendan destinarse a inversiones financieras</w:t>
      </w:r>
      <w:r w:rsidR="00677209" w:rsidRPr="004914A7">
        <w:t>.</w:t>
      </w:r>
    </w:p>
    <w:p w:rsidR="006628A2" w:rsidRPr="004914A7" w:rsidRDefault="006628A2" w:rsidP="001B6FE0">
      <w:pPr>
        <w:suppressAutoHyphens/>
      </w:pPr>
    </w:p>
    <w:p w:rsidR="006628A2" w:rsidRPr="004914A7" w:rsidRDefault="00034E2C" w:rsidP="001B6FE0">
      <w:pPr>
        <w:suppressAutoHyphens/>
      </w:pPr>
      <w:r w:rsidRPr="004914A7">
        <w:lastRenderedPageBreak/>
        <w:t xml:space="preserve">      II. Se considerarán preferenciales las transferencias destinadas a las entidades cuya función esté orientada a: la prestación de servicios educativos, de salud, seguridad, al desarrollo social y a la formación de capital en las ramas y sectores básicos de la </w:t>
      </w:r>
      <w:r w:rsidR="00867154" w:rsidRPr="004914A7">
        <w:t>economía,</w:t>
      </w:r>
      <w:r w:rsidR="002866D6" w:rsidRPr="004914A7">
        <w:t xml:space="preserve"> así como a la</w:t>
      </w:r>
      <w:r w:rsidRPr="004914A7">
        <w:t xml:space="preserve"> promoción del desarrollo de la ciencia y la tecnología.</w:t>
      </w:r>
    </w:p>
    <w:p w:rsidR="006628A2" w:rsidRPr="004914A7" w:rsidRDefault="006628A2" w:rsidP="001B6FE0">
      <w:pPr>
        <w:suppressAutoHyphens/>
      </w:pPr>
    </w:p>
    <w:p w:rsidR="006628A2" w:rsidRPr="004914A7" w:rsidRDefault="00034E2C" w:rsidP="001B6FE0">
      <w:pPr>
        <w:suppressAutoHyphens/>
      </w:pPr>
      <w:r w:rsidRPr="004914A7">
        <w:rPr>
          <w:b/>
        </w:rPr>
        <w:t>Artículo 80. Aplicación de transferencias</w:t>
      </w:r>
    </w:p>
    <w:p w:rsidR="006628A2" w:rsidRPr="004914A7" w:rsidRDefault="006628A2" w:rsidP="001B6FE0">
      <w:pPr>
        <w:suppressAutoHyphens/>
      </w:pPr>
    </w:p>
    <w:p w:rsidR="006628A2" w:rsidRPr="004914A7" w:rsidRDefault="00034E2C" w:rsidP="001B6FE0">
      <w:pPr>
        <w:suppressAutoHyphens/>
      </w:pPr>
      <w:r w:rsidRPr="004914A7">
        <w:t>La entidad que aplique transferencias a inversiones financieras deberá enterar sus rendimientos dentro de los primeros diez días naturales de cada mes a la secretaría.</w:t>
      </w:r>
    </w:p>
    <w:p w:rsidR="006628A2" w:rsidRPr="004914A7" w:rsidRDefault="006628A2" w:rsidP="001B6FE0">
      <w:pPr>
        <w:suppressAutoHyphens/>
      </w:pPr>
    </w:p>
    <w:p w:rsidR="006628A2" w:rsidRPr="004914A7" w:rsidRDefault="00034E2C" w:rsidP="001B6FE0">
      <w:pPr>
        <w:suppressAutoHyphens/>
      </w:pPr>
      <w:r w:rsidRPr="004914A7">
        <w:t>La secretaría podrá suspender la transferencia de fondos cuando los ejecutores de gasto no remitan la información en la forma y términos que aquella determine, o bien, cuando no se hubieran enterado los rendimientos de las inversiones financieras que generaron las transferencias no aplicadas.</w:t>
      </w:r>
    </w:p>
    <w:p w:rsidR="006628A2" w:rsidRPr="004914A7" w:rsidRDefault="006628A2" w:rsidP="001B6FE0">
      <w:pPr>
        <w:suppressAutoHyphens/>
      </w:pPr>
    </w:p>
    <w:p w:rsidR="006628A2" w:rsidRPr="004914A7" w:rsidRDefault="00034E2C" w:rsidP="001B6FE0">
      <w:pPr>
        <w:suppressAutoHyphens/>
      </w:pPr>
      <w:r w:rsidRPr="004914A7">
        <w:rPr>
          <w:b/>
        </w:rPr>
        <w:t>Artículo 81. Suspensión de transferencias</w:t>
      </w:r>
    </w:p>
    <w:p w:rsidR="006628A2" w:rsidRPr="004914A7" w:rsidRDefault="006628A2" w:rsidP="001B6FE0">
      <w:pPr>
        <w:suppressAutoHyphens/>
      </w:pPr>
    </w:p>
    <w:p w:rsidR="006628A2" w:rsidRPr="004914A7" w:rsidRDefault="00034E2C" w:rsidP="001B6FE0">
      <w:pPr>
        <w:suppressAutoHyphens/>
      </w:pPr>
      <w:r w:rsidRPr="004914A7">
        <w:t>La secretaría podrá reducir, suspender o terminar las transferencias a las dependencias o entidades cuando:</w:t>
      </w:r>
    </w:p>
    <w:p w:rsidR="006628A2" w:rsidRPr="004914A7" w:rsidRDefault="006628A2" w:rsidP="001B6FE0">
      <w:pPr>
        <w:suppressAutoHyphens/>
      </w:pPr>
    </w:p>
    <w:p w:rsidR="006628A2" w:rsidRPr="004914A7" w:rsidRDefault="00034E2C" w:rsidP="001B6FE0">
      <w:pPr>
        <w:suppressAutoHyphens/>
      </w:pPr>
      <w:r w:rsidRPr="004914A7">
        <w:t>      I. Cuenten con autosuficiencia financiera.</w:t>
      </w:r>
    </w:p>
    <w:p w:rsidR="006628A2" w:rsidRPr="004914A7" w:rsidRDefault="006628A2" w:rsidP="001B6FE0">
      <w:pPr>
        <w:suppressAutoHyphens/>
      </w:pPr>
    </w:p>
    <w:p w:rsidR="006628A2" w:rsidRPr="004914A7" w:rsidRDefault="00034E2C" w:rsidP="001B6FE0">
      <w:pPr>
        <w:suppressAutoHyphens/>
      </w:pPr>
      <w:r w:rsidRPr="004914A7">
        <w:t>      II. No cumplan con el objetivo de su otorgamiento.</w:t>
      </w:r>
    </w:p>
    <w:p w:rsidR="006628A2" w:rsidRPr="004914A7" w:rsidRDefault="006628A2" w:rsidP="001B6FE0">
      <w:pPr>
        <w:suppressAutoHyphens/>
      </w:pPr>
    </w:p>
    <w:p w:rsidR="006628A2" w:rsidRPr="004914A7" w:rsidRDefault="00034E2C" w:rsidP="001B6FE0">
      <w:pPr>
        <w:suppressAutoHyphens/>
      </w:pPr>
      <w:r w:rsidRPr="004914A7">
        <w:t xml:space="preserve">      III. No remitan la información solicitada en las condiciones y en los términos del título </w:t>
      </w:r>
      <w:r w:rsidR="009C2950" w:rsidRPr="004914A7">
        <w:t xml:space="preserve">sexto </w:t>
      </w:r>
      <w:r w:rsidRPr="004914A7">
        <w:t>de este decreto y demás disposiciones legales y normativas aplicables, o a la referente a la aplicación de estas transferencias.</w:t>
      </w:r>
    </w:p>
    <w:p w:rsidR="006628A2" w:rsidRPr="004914A7" w:rsidRDefault="006628A2" w:rsidP="001B6FE0">
      <w:pPr>
        <w:suppressAutoHyphens/>
      </w:pPr>
    </w:p>
    <w:p w:rsidR="006628A2" w:rsidRPr="004914A7" w:rsidRDefault="00034E2C" w:rsidP="001B6FE0">
      <w:pPr>
        <w:suppressAutoHyphens/>
      </w:pPr>
      <w:r w:rsidRPr="004914A7">
        <w:t>      IV. No existan las condiciones presupuestales para seguir otorgándolas.</w:t>
      </w:r>
    </w:p>
    <w:p w:rsidR="006628A2" w:rsidRPr="004914A7" w:rsidRDefault="006628A2" w:rsidP="001B6FE0">
      <w:pPr>
        <w:suppressAutoHyphens/>
      </w:pPr>
    </w:p>
    <w:p w:rsidR="006628A2" w:rsidRPr="004914A7" w:rsidRDefault="00034E2C" w:rsidP="001B6FE0">
      <w:pPr>
        <w:pStyle w:val="Ttulo2"/>
        <w:suppressAutoHyphens/>
      </w:pPr>
      <w:bookmarkStart w:id="34" w:name="capítulo-v-1"/>
      <w:r w:rsidRPr="004914A7">
        <w:t>Capítulo V</w:t>
      </w:r>
      <w:bookmarkEnd w:id="34"/>
    </w:p>
    <w:p w:rsidR="006628A2" w:rsidRPr="004914A7" w:rsidRDefault="00034E2C" w:rsidP="001B6FE0">
      <w:pPr>
        <w:pStyle w:val="Ttulo2"/>
        <w:suppressAutoHyphens/>
      </w:pPr>
      <w:bookmarkStart w:id="35" w:name="transferencias-financieras-de-recursos"/>
      <w:r w:rsidRPr="004914A7">
        <w:t>Transferencias financieras de recursos</w:t>
      </w:r>
      <w:bookmarkEnd w:id="35"/>
    </w:p>
    <w:p w:rsidR="006628A2" w:rsidRPr="004914A7" w:rsidRDefault="006628A2" w:rsidP="001B6FE0">
      <w:pPr>
        <w:suppressAutoHyphens/>
      </w:pPr>
    </w:p>
    <w:p w:rsidR="006628A2" w:rsidRPr="004914A7" w:rsidRDefault="00034E2C" w:rsidP="001B6FE0">
      <w:pPr>
        <w:suppressAutoHyphens/>
      </w:pPr>
      <w:r w:rsidRPr="004914A7">
        <w:rPr>
          <w:b/>
        </w:rPr>
        <w:t>Artículo 82. Adelantos de participaciones a municipios</w:t>
      </w:r>
    </w:p>
    <w:p w:rsidR="006628A2" w:rsidRPr="004914A7" w:rsidRDefault="006628A2" w:rsidP="001B6FE0">
      <w:pPr>
        <w:suppressAutoHyphens/>
      </w:pPr>
    </w:p>
    <w:p w:rsidR="006628A2" w:rsidRPr="004914A7" w:rsidRDefault="00034E2C" w:rsidP="001B6FE0">
      <w:pPr>
        <w:suppressAutoHyphens/>
      </w:pPr>
      <w:r w:rsidRPr="004914A7">
        <w:t xml:space="preserve">La secretaría podrá entregar adelantos de participaciones a los municipios, previa petición que por escrito haga el presidente municipal al titular de la secretaría, siempre que el primero cuente con la aprobación del cabildo. También podrá́ hacerlo con respecto a las entidades y organismos autónomos, a cuenta de las </w:t>
      </w:r>
      <w:r w:rsidRPr="004914A7">
        <w:lastRenderedPageBreak/>
        <w:t>transferencias presupuestales que les correspondan, previa petición que por escrito le presenten el titular a la secretaría.</w:t>
      </w:r>
    </w:p>
    <w:p w:rsidR="006628A2" w:rsidRPr="004914A7" w:rsidRDefault="006628A2" w:rsidP="001B6FE0">
      <w:pPr>
        <w:suppressAutoHyphens/>
      </w:pPr>
    </w:p>
    <w:p w:rsidR="006628A2" w:rsidRPr="004914A7" w:rsidRDefault="00034E2C" w:rsidP="001B6FE0">
      <w:pPr>
        <w:suppressAutoHyphens/>
      </w:pPr>
      <w:r w:rsidRPr="004914A7">
        <w:t>La secretaría podrá autorizar o negar las peticiones a que se refiere el párrafo anterior, en función de la situación de las finanzas públicas del Gobierno del estado y del resultado que arroje el análisis practicado a la capacidad financiera del municipio, entidad u organismo solicitante.</w:t>
      </w:r>
    </w:p>
    <w:p w:rsidR="006628A2" w:rsidRPr="004914A7" w:rsidRDefault="006628A2" w:rsidP="001B6FE0">
      <w:pPr>
        <w:suppressAutoHyphens/>
      </w:pPr>
    </w:p>
    <w:p w:rsidR="006628A2" w:rsidRPr="004914A7" w:rsidRDefault="00034E2C" w:rsidP="001B6FE0">
      <w:pPr>
        <w:suppressAutoHyphens/>
      </w:pPr>
      <w:r w:rsidRPr="004914A7">
        <w:t xml:space="preserve">Para la formalización de lo establecido en el presente artículo se realizará un convenio con el municipio, entidad u organismo solicitante que reciba las transferencias donde se comprometa a restituir al Poder Ejecutivo del </w:t>
      </w:r>
      <w:r w:rsidR="00A51265" w:rsidRPr="004914A7">
        <w:t>e</w:t>
      </w:r>
      <w:r w:rsidRPr="004914A7">
        <w:t xml:space="preserve">stado dentro del ejercicio fiscal </w:t>
      </w:r>
      <w:r w:rsidR="00071EC9" w:rsidRPr="004914A7">
        <w:t xml:space="preserve">en </w:t>
      </w:r>
      <w:r w:rsidRPr="004914A7">
        <w:t>que se hayan otorgado, a efecto de contribuir al balance presupuestario.</w:t>
      </w:r>
    </w:p>
    <w:p w:rsidR="006628A2" w:rsidRPr="004914A7" w:rsidRDefault="006628A2" w:rsidP="001B6FE0">
      <w:pPr>
        <w:suppressAutoHyphens/>
      </w:pPr>
    </w:p>
    <w:p w:rsidR="006628A2" w:rsidRPr="004914A7" w:rsidRDefault="00034E2C" w:rsidP="001B6FE0">
      <w:pPr>
        <w:pStyle w:val="Ttulo2"/>
        <w:suppressAutoHyphens/>
      </w:pPr>
      <w:bookmarkStart w:id="36" w:name="capítulo-vi-1"/>
      <w:r w:rsidRPr="004914A7">
        <w:t>Capítulo VI</w:t>
      </w:r>
      <w:bookmarkEnd w:id="36"/>
    </w:p>
    <w:p w:rsidR="006628A2" w:rsidRPr="004914A7" w:rsidRDefault="00034E2C" w:rsidP="001B6FE0">
      <w:pPr>
        <w:pStyle w:val="Ttulo2"/>
        <w:suppressAutoHyphens/>
      </w:pPr>
      <w:bookmarkStart w:id="37" w:name="asignaciones-subsidios-y-otras-ayudas"/>
      <w:r w:rsidRPr="004914A7">
        <w:t>Asignaciones, subsidios y otras ayudas</w:t>
      </w:r>
      <w:bookmarkEnd w:id="37"/>
    </w:p>
    <w:p w:rsidR="006628A2" w:rsidRPr="004914A7" w:rsidRDefault="006628A2" w:rsidP="001B6FE0">
      <w:pPr>
        <w:suppressAutoHyphens/>
      </w:pPr>
    </w:p>
    <w:p w:rsidR="006628A2" w:rsidRPr="004914A7" w:rsidRDefault="00034E2C" w:rsidP="001B6FE0">
      <w:pPr>
        <w:suppressAutoHyphens/>
      </w:pPr>
      <w:r w:rsidRPr="004914A7">
        <w:rPr>
          <w:b/>
        </w:rPr>
        <w:t>Artículo 83. Subsidios y otras ayudas</w:t>
      </w:r>
    </w:p>
    <w:p w:rsidR="006628A2" w:rsidRPr="004914A7" w:rsidRDefault="006628A2" w:rsidP="001B6FE0">
      <w:pPr>
        <w:suppressAutoHyphens/>
      </w:pPr>
    </w:p>
    <w:p w:rsidR="006628A2" w:rsidRPr="004914A7" w:rsidRDefault="00034E2C" w:rsidP="001B6FE0">
      <w:pPr>
        <w:suppressAutoHyphens/>
      </w:pPr>
      <w:r w:rsidRPr="004914A7">
        <w:t>Los subsidios y otras ayudas se aplicarán conforme a los siguientes criterios:</w:t>
      </w:r>
    </w:p>
    <w:p w:rsidR="006628A2" w:rsidRPr="004914A7" w:rsidRDefault="006628A2" w:rsidP="001B6FE0">
      <w:pPr>
        <w:suppressAutoHyphens/>
      </w:pPr>
    </w:p>
    <w:p w:rsidR="006628A2" w:rsidRPr="004914A7" w:rsidRDefault="00034E2C" w:rsidP="001B6FE0">
      <w:pPr>
        <w:suppressAutoHyphens/>
      </w:pPr>
      <w:r w:rsidRPr="004914A7">
        <w:t>      I. Solo se otorgarán subsidios, ayudas y donativos a los sectores social y privado cuando se precisen claramente los programas, destinos, resultados, beneficiarios, temporalidad y sus condiciones, debiendo contar con la autorización previa de la secretaría.</w:t>
      </w:r>
    </w:p>
    <w:p w:rsidR="006628A2" w:rsidRPr="004914A7" w:rsidRDefault="006628A2" w:rsidP="001B6FE0">
      <w:pPr>
        <w:suppressAutoHyphens/>
      </w:pPr>
    </w:p>
    <w:p w:rsidR="006628A2" w:rsidRPr="004914A7" w:rsidRDefault="00034E2C" w:rsidP="001B6FE0">
      <w:pPr>
        <w:suppressAutoHyphens/>
      </w:pPr>
      <w:r w:rsidRPr="004914A7">
        <w:t>      II. Los subsidios y ayudas se orientarán a las actividades que conlleven un mayor beneficio social entre los grupos de menores ingresos y en condiciones de alta vulnerabilidad o marginación, así como a actividades vinculadas con el interés público o general.</w:t>
      </w:r>
    </w:p>
    <w:p w:rsidR="006628A2" w:rsidRPr="004914A7" w:rsidRDefault="006628A2" w:rsidP="001B6FE0">
      <w:pPr>
        <w:suppressAutoHyphens/>
      </w:pPr>
    </w:p>
    <w:p w:rsidR="006628A2" w:rsidRPr="004914A7" w:rsidRDefault="00034E2C" w:rsidP="001B6FE0">
      <w:pPr>
        <w:suppressAutoHyphens/>
      </w:pPr>
      <w:r w:rsidRPr="004914A7">
        <w:t>      III. Los subsidios y ayudas solo se podrán otorgar con la autorización indelegable del titular de la dependencia o la autorización previa del órgano de gobierno de la entidad.</w:t>
      </w:r>
    </w:p>
    <w:p w:rsidR="006628A2" w:rsidRPr="004914A7" w:rsidRDefault="006628A2" w:rsidP="001B6FE0">
      <w:pPr>
        <w:suppressAutoHyphens/>
      </w:pPr>
    </w:p>
    <w:p w:rsidR="006628A2" w:rsidRPr="004914A7" w:rsidRDefault="00034E2C" w:rsidP="001B6FE0">
      <w:pPr>
        <w:suppressAutoHyphens/>
      </w:pPr>
      <w:r w:rsidRPr="004914A7">
        <w:rPr>
          <w:b/>
        </w:rPr>
        <w:t>Artículo 84. Otorgamiento de subsidios y ayudas</w:t>
      </w:r>
    </w:p>
    <w:p w:rsidR="006628A2" w:rsidRPr="004914A7" w:rsidRDefault="006628A2" w:rsidP="001B6FE0">
      <w:pPr>
        <w:suppressAutoHyphens/>
      </w:pPr>
    </w:p>
    <w:p w:rsidR="006628A2" w:rsidRPr="004914A7" w:rsidRDefault="00034E2C" w:rsidP="001B6FE0">
      <w:pPr>
        <w:suppressAutoHyphens/>
      </w:pPr>
      <w:r w:rsidRPr="004914A7">
        <w:t>Las dependencias y entidades solo podrán otorgar subsidios y ayudas cuando cumplan con las normas y los procedimientos emitidos por la secretaría. Las modificaciones a los programas se sujetarán a lo establecido en el artículo 134 de la Ley del Presupuesto y Contabilidad Gubernamental del Estado de Yucatán.</w:t>
      </w:r>
    </w:p>
    <w:p w:rsidR="006628A2" w:rsidRPr="004914A7" w:rsidRDefault="006628A2" w:rsidP="001B6FE0">
      <w:pPr>
        <w:suppressAutoHyphens/>
      </w:pPr>
    </w:p>
    <w:p w:rsidR="006628A2" w:rsidRPr="004914A7" w:rsidRDefault="00034E2C" w:rsidP="001B6FE0">
      <w:pPr>
        <w:suppressAutoHyphens/>
      </w:pPr>
      <w:r w:rsidRPr="004914A7">
        <w:t>En ningún caso las dependencias y entidades podrán otorgar recursos a organizaciones que por irregularidades en su funcionamiento estén sujetas a procesos legales.</w:t>
      </w:r>
    </w:p>
    <w:p w:rsidR="006628A2" w:rsidRPr="004914A7" w:rsidRDefault="006628A2" w:rsidP="001B6FE0">
      <w:pPr>
        <w:suppressAutoHyphens/>
      </w:pPr>
    </w:p>
    <w:p w:rsidR="006628A2" w:rsidRPr="004914A7" w:rsidRDefault="00034E2C" w:rsidP="001B6FE0">
      <w:pPr>
        <w:suppressAutoHyphens/>
      </w:pPr>
      <w:r w:rsidRPr="004914A7">
        <w:rPr>
          <w:b/>
        </w:rPr>
        <w:t>Artículo 85. Autorización de reglas de operación</w:t>
      </w:r>
    </w:p>
    <w:p w:rsidR="006628A2" w:rsidRPr="004914A7" w:rsidRDefault="006628A2" w:rsidP="001B6FE0">
      <w:pPr>
        <w:suppressAutoHyphens/>
      </w:pPr>
    </w:p>
    <w:p w:rsidR="006628A2" w:rsidRPr="004914A7" w:rsidRDefault="00034E2C" w:rsidP="001B6FE0">
      <w:pPr>
        <w:suppressAutoHyphens/>
      </w:pPr>
      <w:r w:rsidRPr="004914A7">
        <w:t>La secretaría autorizará las reglas de operación e indicadores de desempeño de los programas por los que se entreguen subsidios y otras ayudas. Lo anterior, con el propósito de asegurar que su aplicación contribuya efectivamente a alcanzar los resultados de los programas presupuestarios y las actividades institucionales a los que correspondan. Será responsabilidad de los titulares de las dependencias y entidades presentar a la secretaría sus proyectos de reglas de operación e indicadores.</w:t>
      </w:r>
    </w:p>
    <w:p w:rsidR="006628A2" w:rsidRPr="004914A7" w:rsidRDefault="006628A2" w:rsidP="001B6FE0">
      <w:pPr>
        <w:suppressAutoHyphens/>
      </w:pPr>
    </w:p>
    <w:p w:rsidR="006628A2" w:rsidRPr="004914A7" w:rsidRDefault="00034E2C" w:rsidP="001B6FE0">
      <w:pPr>
        <w:suppressAutoHyphens/>
      </w:pPr>
      <w:r w:rsidRPr="004914A7">
        <w:rPr>
          <w:b/>
        </w:rPr>
        <w:t>Artículo 86. Criterios generales</w:t>
      </w:r>
    </w:p>
    <w:p w:rsidR="006628A2" w:rsidRPr="004914A7" w:rsidRDefault="006628A2" w:rsidP="001B6FE0">
      <w:pPr>
        <w:suppressAutoHyphens/>
      </w:pPr>
    </w:p>
    <w:p w:rsidR="006628A2" w:rsidRPr="004914A7" w:rsidRDefault="00034E2C" w:rsidP="001B6FE0">
      <w:pPr>
        <w:suppressAutoHyphens/>
      </w:pPr>
      <w:r w:rsidRPr="004914A7">
        <w:t>Los programas sujetos a reglas de operación deberán apegarse a los lineamientos emitidos por la secretaría, así como a los siguientes criterios generales:</w:t>
      </w:r>
    </w:p>
    <w:p w:rsidR="006628A2" w:rsidRPr="004914A7" w:rsidRDefault="006628A2" w:rsidP="001B6FE0">
      <w:pPr>
        <w:suppressAutoHyphens/>
      </w:pPr>
    </w:p>
    <w:p w:rsidR="006628A2" w:rsidRPr="004914A7" w:rsidRDefault="00034E2C" w:rsidP="001B6FE0">
      <w:pPr>
        <w:suppressAutoHyphens/>
      </w:pPr>
      <w:r w:rsidRPr="004914A7">
        <w:t>      I. Ser simples, precisos y de fácil acceso para los beneficiarios.</w:t>
      </w:r>
    </w:p>
    <w:p w:rsidR="006628A2" w:rsidRPr="004914A7" w:rsidRDefault="006628A2" w:rsidP="001B6FE0">
      <w:pPr>
        <w:suppressAutoHyphens/>
      </w:pPr>
    </w:p>
    <w:p w:rsidR="006628A2" w:rsidRPr="004914A7" w:rsidRDefault="00034E2C" w:rsidP="001B6FE0">
      <w:pPr>
        <w:suppressAutoHyphens/>
      </w:pPr>
      <w:r w:rsidRPr="004914A7">
        <w:t>      II. Tomar en cuenta las características de las diferentes regiones socioeconómicas del estado.</w:t>
      </w:r>
    </w:p>
    <w:p w:rsidR="006628A2" w:rsidRPr="004914A7" w:rsidRDefault="006628A2" w:rsidP="001B6FE0">
      <w:pPr>
        <w:suppressAutoHyphens/>
      </w:pPr>
    </w:p>
    <w:p w:rsidR="006628A2" w:rsidRPr="004914A7" w:rsidRDefault="00034E2C" w:rsidP="001B6FE0">
      <w:pPr>
        <w:suppressAutoHyphens/>
      </w:pPr>
      <w:r w:rsidRPr="004914A7">
        <w:t>      III. Considerar las características sociales, económicas y culturales de la población objetivo.</w:t>
      </w:r>
    </w:p>
    <w:p w:rsidR="006628A2" w:rsidRPr="004914A7" w:rsidRDefault="006628A2" w:rsidP="001B6FE0">
      <w:pPr>
        <w:suppressAutoHyphens/>
      </w:pPr>
    </w:p>
    <w:p w:rsidR="006628A2" w:rsidRPr="004914A7" w:rsidRDefault="00034E2C" w:rsidP="001B6FE0">
      <w:pPr>
        <w:suppressAutoHyphens/>
      </w:pPr>
      <w:r w:rsidRPr="004914A7">
        <w:t>      IV. Promover una calendarización eficiente para el ejercicio de los recursos respectivos.</w:t>
      </w:r>
    </w:p>
    <w:p w:rsidR="006628A2" w:rsidRPr="004914A7" w:rsidRDefault="006628A2" w:rsidP="001B6FE0">
      <w:pPr>
        <w:suppressAutoHyphens/>
      </w:pPr>
    </w:p>
    <w:p w:rsidR="006628A2" w:rsidRPr="004914A7" w:rsidRDefault="00034E2C" w:rsidP="001B6FE0">
      <w:pPr>
        <w:suppressAutoHyphens/>
      </w:pPr>
      <w:r w:rsidRPr="004914A7">
        <w:t>      V. Asegurar la transparencia en la distribución, aplicación y comprobación de recursos.</w:t>
      </w:r>
    </w:p>
    <w:p w:rsidR="006628A2" w:rsidRPr="004914A7" w:rsidRDefault="006628A2" w:rsidP="001B6FE0">
      <w:pPr>
        <w:suppressAutoHyphens/>
      </w:pPr>
    </w:p>
    <w:p w:rsidR="006628A2" w:rsidRPr="004914A7" w:rsidRDefault="00034E2C" w:rsidP="001B6FE0">
      <w:pPr>
        <w:suppressAutoHyphens/>
      </w:pPr>
      <w:r w:rsidRPr="004914A7">
        <w:t>      VI. Promover los principios de igualdad, no discriminación, interés superior de la niñez, integridad, integración familiar, igualdad de género, libre determinación de las comunidades indígenas, protección al medio ambiente, protección a la vida, salud e integridad de las personas, según corresponda, así como transparencia y acceso a la información, y eficiencia y eficacia de los recursos públicos.</w:t>
      </w:r>
    </w:p>
    <w:p w:rsidR="006628A2" w:rsidRPr="004914A7" w:rsidRDefault="006628A2" w:rsidP="001B6FE0">
      <w:pPr>
        <w:suppressAutoHyphens/>
      </w:pPr>
    </w:p>
    <w:p w:rsidR="006628A2" w:rsidRPr="004914A7" w:rsidRDefault="00034E2C" w:rsidP="001B6FE0">
      <w:pPr>
        <w:suppressAutoHyphens/>
      </w:pPr>
      <w:r w:rsidRPr="004914A7">
        <w:t>      VII. Observar las siguientes disposiciones para fomentar su transparencia:</w:t>
      </w:r>
    </w:p>
    <w:p w:rsidR="006628A2" w:rsidRPr="004914A7" w:rsidRDefault="006628A2" w:rsidP="001B6FE0">
      <w:pPr>
        <w:suppressAutoHyphens/>
      </w:pPr>
    </w:p>
    <w:p w:rsidR="006628A2" w:rsidRPr="004914A7" w:rsidRDefault="00034E2C" w:rsidP="001B6FE0">
      <w:pPr>
        <w:suppressAutoHyphens/>
      </w:pPr>
      <w:r w:rsidRPr="004914A7">
        <w:t>              a) Todo el gasto en comunicación social relacionado con la publicidad que se adquiera para los programas financiados con recursos presupuestarios federales que se transfieran al estado y sus municipios deberá cumplir con lo establecido en la Ley General de Comunicación Social.</w:t>
      </w:r>
    </w:p>
    <w:p w:rsidR="006628A2" w:rsidRPr="004914A7" w:rsidRDefault="006628A2" w:rsidP="001B6FE0">
      <w:pPr>
        <w:suppressAutoHyphens/>
      </w:pPr>
    </w:p>
    <w:p w:rsidR="006628A2" w:rsidRPr="004914A7" w:rsidRDefault="00034E2C" w:rsidP="001B6FE0">
      <w:pPr>
        <w:suppressAutoHyphens/>
      </w:pPr>
      <w:r w:rsidRPr="004914A7">
        <w:t>              b) En el caso de programas que cuenten con padrón de beneficiarios permanente deberán manejarse invariablemente mediante convocatoria abierta y en ningún caso se podrá etiquetar o predeterminar de manera específica recursos a determinadas personas físicas o morales u otorgarles preferencias o ventajas sobre el resto de la población objetivo.</w:t>
      </w:r>
    </w:p>
    <w:p w:rsidR="006628A2" w:rsidRPr="004914A7" w:rsidRDefault="006628A2" w:rsidP="001B6FE0">
      <w:pPr>
        <w:suppressAutoHyphens/>
      </w:pPr>
    </w:p>
    <w:p w:rsidR="006628A2" w:rsidRPr="004914A7" w:rsidRDefault="00034E2C" w:rsidP="001B6FE0">
      <w:pPr>
        <w:suppressAutoHyphens/>
      </w:pPr>
      <w:r w:rsidRPr="004914A7">
        <w:t>              c) Poner a disposición del público en general un medio de contacto directo, en el cual se proporcione asesoría sobre el llenado de los formatos y sobre el cumplimiento de los requisitos y trámite que deben observarse para obtener los recursos o los beneficios de los programas.</w:t>
      </w:r>
    </w:p>
    <w:p w:rsidR="006628A2" w:rsidRPr="004914A7" w:rsidRDefault="006628A2" w:rsidP="001B6FE0">
      <w:pPr>
        <w:suppressAutoHyphens/>
      </w:pPr>
    </w:p>
    <w:p w:rsidR="006628A2" w:rsidRPr="004914A7" w:rsidRDefault="00034E2C" w:rsidP="001B6FE0">
      <w:pPr>
        <w:suppressAutoHyphens/>
      </w:pPr>
      <w:r w:rsidRPr="004914A7">
        <w:t>              d) Las reglas de operación, los formatos, las solicitudes y demás requisitos que se establezcan para obtener los recursos o los beneficios de los programas; los indicadores de desempeño de los programas y los medios de contacto de sus unidades responsables deberán estar disponibles en los sitios web de las dependencias y entidades.</w:t>
      </w:r>
    </w:p>
    <w:p w:rsidR="006628A2" w:rsidRPr="004914A7" w:rsidRDefault="006628A2" w:rsidP="001B6FE0">
      <w:pPr>
        <w:suppressAutoHyphens/>
      </w:pPr>
    </w:p>
    <w:p w:rsidR="006628A2" w:rsidRPr="004914A7" w:rsidRDefault="00034E2C" w:rsidP="001B6FE0">
      <w:pPr>
        <w:suppressAutoHyphens/>
      </w:pPr>
      <w:r w:rsidRPr="004914A7">
        <w:rPr>
          <w:b/>
        </w:rPr>
        <w:t>Artículo 87. Padrón de beneficiarios</w:t>
      </w:r>
    </w:p>
    <w:p w:rsidR="006628A2" w:rsidRPr="004914A7" w:rsidRDefault="006628A2" w:rsidP="001B6FE0">
      <w:pPr>
        <w:suppressAutoHyphens/>
      </w:pPr>
    </w:p>
    <w:p w:rsidR="006628A2" w:rsidRPr="004914A7" w:rsidRDefault="00034E2C" w:rsidP="001B6FE0">
      <w:pPr>
        <w:suppressAutoHyphens/>
      </w:pPr>
      <w:r w:rsidRPr="004914A7">
        <w:t xml:space="preserve">Las dependencias y entidades que tengan a su cargo programas con beneficiarios deberán relacionarlos en un listado o padrón, llevarán a cabo las confrontas de los padrones o listados de los programas a su cargo con el propósito de identificar, si las hubiera, las concurrencias o duplicidades de beneficiarios o derechohabientes y señalar si, en su caso, existe improcedencia legal de la concurrencia o duplicidad de los registros. La </w:t>
      </w:r>
      <w:r w:rsidR="006B557B" w:rsidRPr="004914A7">
        <w:t>s</w:t>
      </w:r>
      <w:r w:rsidRPr="004914A7">
        <w:t>ecretaría establecerá los lineamientos para llevar a cabo esta actividad y podrá realizar la confronta de los padrones o listas de beneficiarios para identificar concurrencias o duplicidades entre programas de distintas dependencias y entidades.</w:t>
      </w:r>
    </w:p>
    <w:p w:rsidR="006628A2" w:rsidRPr="004914A7" w:rsidRDefault="006628A2" w:rsidP="001B6FE0">
      <w:pPr>
        <w:suppressAutoHyphens/>
      </w:pPr>
    </w:p>
    <w:p w:rsidR="006628A2" w:rsidRPr="004914A7" w:rsidRDefault="00034E2C" w:rsidP="001B6FE0">
      <w:pPr>
        <w:suppressAutoHyphens/>
      </w:pPr>
      <w:r w:rsidRPr="004914A7">
        <w:rPr>
          <w:b/>
        </w:rPr>
        <w:t>Artículo 88. Remisión de información</w:t>
      </w:r>
    </w:p>
    <w:p w:rsidR="006628A2" w:rsidRPr="004914A7" w:rsidRDefault="006628A2" w:rsidP="001B6FE0">
      <w:pPr>
        <w:suppressAutoHyphens/>
      </w:pPr>
    </w:p>
    <w:p w:rsidR="006628A2" w:rsidRPr="004914A7" w:rsidRDefault="00034E2C" w:rsidP="001B6FE0">
      <w:pPr>
        <w:suppressAutoHyphens/>
      </w:pPr>
      <w:r w:rsidRPr="004914A7">
        <w:t xml:space="preserve">Los poderes y organismos autónomos, así como las dependencias y entidades proporcionarán a la secretaría la información sobre los recursos federales y transferencias recibidos y sobre los subsidios y otras ayudas que hubiesen otorgado durante el ejercicio presupuestal. Dicha información deberá ser </w:t>
      </w:r>
      <w:r w:rsidRPr="004914A7">
        <w:lastRenderedPageBreak/>
        <w:t>suministrada en los términos que se establezcan en la normativa que para tal efecto emita la secretaría.</w:t>
      </w:r>
    </w:p>
    <w:p w:rsidR="006628A2" w:rsidRPr="004914A7" w:rsidRDefault="006628A2" w:rsidP="001B6FE0">
      <w:pPr>
        <w:suppressAutoHyphens/>
      </w:pPr>
    </w:p>
    <w:p w:rsidR="006628A2" w:rsidRPr="004914A7" w:rsidRDefault="00034E2C" w:rsidP="001B6FE0">
      <w:pPr>
        <w:pStyle w:val="Ttulo2"/>
        <w:suppressAutoHyphens/>
      </w:pPr>
      <w:bookmarkStart w:id="38" w:name="título-quinto"/>
      <w:r w:rsidRPr="004914A7">
        <w:t>Título quinto</w:t>
      </w:r>
      <w:bookmarkEnd w:id="38"/>
    </w:p>
    <w:p w:rsidR="006628A2" w:rsidRPr="004914A7" w:rsidRDefault="00034E2C" w:rsidP="001B6FE0">
      <w:pPr>
        <w:pStyle w:val="Ttulo2"/>
        <w:suppressAutoHyphens/>
      </w:pPr>
      <w:bookmarkStart w:id="39" w:name="X162b4b88f1e05700642c6c79e8558dba15e3246"/>
      <w:r w:rsidRPr="004914A7">
        <w:t>Premisas para las contrataciones y adquisiciones</w:t>
      </w:r>
      <w:bookmarkEnd w:id="39"/>
    </w:p>
    <w:p w:rsidR="000E776C" w:rsidRPr="004914A7" w:rsidRDefault="000E776C" w:rsidP="001B6FE0">
      <w:pPr>
        <w:suppressAutoHyphens/>
      </w:pPr>
    </w:p>
    <w:p w:rsidR="000E776C" w:rsidRPr="004914A7" w:rsidRDefault="000E776C" w:rsidP="001B6FE0">
      <w:pPr>
        <w:suppressAutoHyphens/>
        <w:jc w:val="center"/>
      </w:pPr>
      <w:r w:rsidRPr="004914A7">
        <w:rPr>
          <w:b/>
        </w:rPr>
        <w:t>Capítulo I</w:t>
      </w:r>
      <w:r w:rsidRPr="004914A7">
        <w:rPr>
          <w:b/>
        </w:rPr>
        <w:br/>
        <w:t>Disposiciones generales</w:t>
      </w:r>
    </w:p>
    <w:p w:rsidR="006628A2" w:rsidRPr="004914A7" w:rsidRDefault="006628A2" w:rsidP="001B6FE0">
      <w:pPr>
        <w:suppressAutoHyphens/>
      </w:pPr>
    </w:p>
    <w:p w:rsidR="006628A2" w:rsidRPr="004914A7" w:rsidRDefault="00034E2C" w:rsidP="001B6FE0">
      <w:pPr>
        <w:suppressAutoHyphens/>
      </w:pPr>
      <w:r w:rsidRPr="004914A7">
        <w:rPr>
          <w:b/>
        </w:rPr>
        <w:t>Artículo 89. Orientaciones estratégicas para inversión pública</w:t>
      </w:r>
    </w:p>
    <w:p w:rsidR="006628A2" w:rsidRPr="004914A7" w:rsidRDefault="006628A2" w:rsidP="001B6FE0">
      <w:pPr>
        <w:suppressAutoHyphens/>
      </w:pPr>
    </w:p>
    <w:p w:rsidR="006628A2" w:rsidRPr="004914A7" w:rsidRDefault="00034E2C" w:rsidP="001B6FE0">
      <w:pPr>
        <w:suppressAutoHyphens/>
      </w:pPr>
      <w:r w:rsidRPr="004914A7">
        <w:t>Las dependencias y entidades en el ejercicio del gasto de inversión pública para el año 2021, deberán observar las siguientes orientaciones:</w:t>
      </w:r>
    </w:p>
    <w:p w:rsidR="006628A2" w:rsidRPr="004914A7" w:rsidRDefault="006628A2" w:rsidP="001B6FE0">
      <w:pPr>
        <w:suppressAutoHyphens/>
      </w:pPr>
    </w:p>
    <w:p w:rsidR="006628A2" w:rsidRPr="004914A7" w:rsidRDefault="00034E2C" w:rsidP="001B6FE0">
      <w:pPr>
        <w:suppressAutoHyphens/>
      </w:pPr>
      <w:r w:rsidRPr="004914A7">
        <w:t>      I. Se destinará preferentemente el gasto a los programas o proyectos cuyos resultados contribuyan al ingreso de las familias.</w:t>
      </w:r>
    </w:p>
    <w:p w:rsidR="006628A2" w:rsidRPr="004914A7" w:rsidRDefault="006628A2" w:rsidP="001B6FE0">
      <w:pPr>
        <w:suppressAutoHyphens/>
      </w:pPr>
    </w:p>
    <w:p w:rsidR="006628A2" w:rsidRPr="004914A7" w:rsidRDefault="00034E2C" w:rsidP="001B6FE0">
      <w:pPr>
        <w:suppressAutoHyphens/>
      </w:pPr>
      <w:r w:rsidRPr="004914A7">
        <w:t>      II. Se otorgará prioridad a las erogaciones por concepto de gastos de mantenimiento de los proyectos y obras concluidas, al avance de los proyectos y obras públicas que se encuentren en proceso vinculados a la prestación de servicios públicos, así como las que cuenten con autorización de ejecución plurianual por parte de la secretaría.</w:t>
      </w:r>
    </w:p>
    <w:p w:rsidR="006628A2" w:rsidRPr="004914A7" w:rsidRDefault="006628A2" w:rsidP="001B6FE0">
      <w:pPr>
        <w:suppressAutoHyphens/>
      </w:pPr>
    </w:p>
    <w:p w:rsidR="006628A2" w:rsidRPr="004914A7" w:rsidRDefault="00034E2C" w:rsidP="001B6FE0">
      <w:pPr>
        <w:suppressAutoHyphens/>
      </w:pPr>
      <w:r w:rsidRPr="004914A7">
        <w:t>      III. El monto de los gastos administrativos debe ser justificado y proporcional al costo del bien o el servicio entregado.</w:t>
      </w:r>
    </w:p>
    <w:p w:rsidR="006628A2" w:rsidRPr="004914A7" w:rsidRDefault="006628A2" w:rsidP="001B6FE0">
      <w:pPr>
        <w:suppressAutoHyphens/>
      </w:pPr>
    </w:p>
    <w:p w:rsidR="006628A2" w:rsidRPr="004914A7" w:rsidRDefault="00034E2C" w:rsidP="001B6FE0">
      <w:pPr>
        <w:suppressAutoHyphens/>
      </w:pPr>
      <w:r w:rsidRPr="004914A7">
        <w:t>      IV. Las dependencias y entidades s</w:t>
      </w:r>
      <w:r w:rsidR="006B557B" w:rsidRPr="004914A7">
        <w:t>o</w:t>
      </w:r>
      <w:r w:rsidRPr="004914A7">
        <w:t>lo podrán iniciar proyectos de obra pública cuando tengan garantizada la disponibilidad presupuestal durante el ejercicio fiscal, en el caso de que los proyectos abarquen más de un ejercicio, deberá contarse con la autorización previa y expresa por parte de la secretaría.</w:t>
      </w:r>
    </w:p>
    <w:p w:rsidR="006628A2" w:rsidRPr="004914A7" w:rsidRDefault="006628A2" w:rsidP="001B6FE0">
      <w:pPr>
        <w:suppressAutoHyphens/>
      </w:pPr>
    </w:p>
    <w:p w:rsidR="006628A2" w:rsidRPr="004914A7" w:rsidRDefault="00034E2C" w:rsidP="001B6FE0">
      <w:pPr>
        <w:suppressAutoHyphens/>
      </w:pPr>
      <w:r w:rsidRPr="004914A7">
        <w:t>      V. Se aprovechará al máximo la mano de obra e insumos locales y la capacidad instalada con el objeto de abatir costos. En igualdad de condiciones en cuanto a precio, calidad, financiamiento, oportunidad y demás circunstancias pertinentes, deberá darse prioridad a los contratistas locales en la adjudicación de contratos de obra pública.</w:t>
      </w:r>
    </w:p>
    <w:p w:rsidR="006628A2" w:rsidRPr="004914A7" w:rsidRDefault="006628A2" w:rsidP="001B6FE0">
      <w:pPr>
        <w:suppressAutoHyphens/>
      </w:pPr>
    </w:p>
    <w:p w:rsidR="006628A2" w:rsidRPr="004914A7" w:rsidRDefault="00034E2C" w:rsidP="001B6FE0">
      <w:pPr>
        <w:suppressAutoHyphens/>
      </w:pPr>
      <w:r w:rsidRPr="004914A7">
        <w:t>      VI. Se otorgará preferencia a la utilización de tecnologías nacionales con uso intensivo de mano de obra.</w:t>
      </w:r>
    </w:p>
    <w:p w:rsidR="006628A2" w:rsidRPr="004914A7" w:rsidRDefault="006628A2" w:rsidP="001B6FE0">
      <w:pPr>
        <w:suppressAutoHyphens/>
      </w:pPr>
    </w:p>
    <w:p w:rsidR="006628A2" w:rsidRPr="004914A7" w:rsidRDefault="00034E2C" w:rsidP="001B6FE0">
      <w:pPr>
        <w:suppressAutoHyphens/>
      </w:pPr>
      <w:r w:rsidRPr="004914A7">
        <w:lastRenderedPageBreak/>
        <w:t>      VII. Se estimularán los proyectos de desarrollo compartido con los sectores social y privado, y con los demás órdenes de gobierno</w:t>
      </w:r>
      <w:r w:rsidR="00CE6D6A" w:rsidRPr="004914A7">
        <w:t>,</w:t>
      </w:r>
      <w:r w:rsidRPr="004914A7">
        <w:t xml:space="preserve"> para la ejecución de obras y proyectos de infraestructura y de servicios que contribuyan a mejorar la calidad de vida de la población y estimulen la generación de empleos.</w:t>
      </w:r>
    </w:p>
    <w:p w:rsidR="006628A2" w:rsidRPr="004914A7" w:rsidRDefault="006628A2" w:rsidP="001B6FE0">
      <w:pPr>
        <w:suppressAutoHyphens/>
      </w:pPr>
    </w:p>
    <w:p w:rsidR="006628A2" w:rsidRPr="004914A7" w:rsidRDefault="00034E2C" w:rsidP="001B6FE0">
      <w:pPr>
        <w:suppressAutoHyphens/>
      </w:pPr>
      <w:r w:rsidRPr="004914A7">
        <w:t>      VIII. Los proyectos de inversión de las dependencias y entidades que sean financiados con recursos crediticios deberán acatar lo dispuesto en la ley de disciplina financiera, así como lo dispuesto en los lineamientos que para tal efecto emita la Secretaría de Hacienda y Crédito Público, independientemente de la obligación que tienen de sujetarse a los ordenamientos que integran la normativa local aplicable en materia de presupuesto y de deuda pública estatal.</w:t>
      </w:r>
    </w:p>
    <w:p w:rsidR="006628A2" w:rsidRPr="004914A7" w:rsidRDefault="006628A2" w:rsidP="001B6FE0">
      <w:pPr>
        <w:suppressAutoHyphens/>
      </w:pPr>
    </w:p>
    <w:p w:rsidR="006628A2" w:rsidRPr="004914A7" w:rsidRDefault="00034E2C" w:rsidP="001B6FE0">
      <w:pPr>
        <w:suppressAutoHyphens/>
      </w:pPr>
      <w:r w:rsidRPr="004914A7">
        <w:t>      IX. En caso de que existan convenios con el Ejecutivo federal o lineamientos emitidos por la federación, se estará a lo dispuesto en ellos.</w:t>
      </w:r>
    </w:p>
    <w:p w:rsidR="006628A2" w:rsidRPr="004914A7" w:rsidRDefault="006628A2" w:rsidP="001B6FE0">
      <w:pPr>
        <w:suppressAutoHyphens/>
      </w:pPr>
    </w:p>
    <w:p w:rsidR="006628A2" w:rsidRPr="004914A7" w:rsidRDefault="00034E2C" w:rsidP="001B6FE0">
      <w:pPr>
        <w:suppressAutoHyphens/>
      </w:pPr>
      <w:r w:rsidRPr="004914A7">
        <w:rPr>
          <w:b/>
        </w:rPr>
        <w:t>Artículo 90. Orientaciones estratégicas para contratación de bienes, servicios y arrendamientos</w:t>
      </w:r>
    </w:p>
    <w:p w:rsidR="006628A2" w:rsidRPr="004914A7" w:rsidRDefault="006628A2" w:rsidP="001B6FE0">
      <w:pPr>
        <w:suppressAutoHyphens/>
      </w:pPr>
    </w:p>
    <w:p w:rsidR="006628A2" w:rsidRPr="004914A7" w:rsidRDefault="00034E2C" w:rsidP="001B6FE0">
      <w:pPr>
        <w:suppressAutoHyphens/>
      </w:pPr>
      <w:r w:rsidRPr="004914A7">
        <w:t>Las dependencias y entidades en el ejercicio del gasto para contratación de bienes, servicios y arrendamientos para el año 2021, deberán observar las siguientes orientaciones:</w:t>
      </w:r>
    </w:p>
    <w:p w:rsidR="006628A2" w:rsidRPr="004914A7" w:rsidRDefault="006628A2" w:rsidP="001B6FE0">
      <w:pPr>
        <w:suppressAutoHyphens/>
      </w:pPr>
    </w:p>
    <w:p w:rsidR="006628A2" w:rsidRPr="004914A7" w:rsidRDefault="00034E2C" w:rsidP="001B6FE0">
      <w:pPr>
        <w:suppressAutoHyphens/>
      </w:pPr>
      <w:r w:rsidRPr="004914A7">
        <w:t>      I. El monto de los gastos administrativos debe ser justificado y proporcional al costo del bien o el servicio entregado.</w:t>
      </w:r>
    </w:p>
    <w:p w:rsidR="006628A2" w:rsidRPr="004914A7" w:rsidRDefault="006628A2" w:rsidP="001B6FE0">
      <w:pPr>
        <w:suppressAutoHyphens/>
      </w:pPr>
    </w:p>
    <w:p w:rsidR="006628A2" w:rsidRPr="004914A7" w:rsidRDefault="00034E2C" w:rsidP="001B6FE0">
      <w:pPr>
        <w:suppressAutoHyphens/>
      </w:pPr>
      <w:r w:rsidRPr="004914A7">
        <w:t>      II. Las dependencias y entidades s</w:t>
      </w:r>
      <w:r w:rsidR="008014F6" w:rsidRPr="004914A7">
        <w:t>o</w:t>
      </w:r>
      <w:r w:rsidRPr="004914A7">
        <w:t>lo podrán iniciar procesos de contratación cuando tengan garantizada la disponibilidad presupuestal durante el ejercicio fiscal, en el caso de las contrataciones que afecten el presupuesto correspondiente a cuando menos el ejercicio presupuestal siguiente al que se inicie el proceso de adjudicación o contratación, deberá contarse con la autorización previa y expresa por parte de la secretaría.</w:t>
      </w:r>
    </w:p>
    <w:p w:rsidR="006628A2" w:rsidRPr="004914A7" w:rsidRDefault="006628A2" w:rsidP="001B6FE0">
      <w:pPr>
        <w:suppressAutoHyphens/>
      </w:pPr>
    </w:p>
    <w:p w:rsidR="006628A2" w:rsidRPr="004914A7" w:rsidRDefault="00034E2C" w:rsidP="001B6FE0">
      <w:pPr>
        <w:suppressAutoHyphens/>
      </w:pPr>
      <w:r w:rsidRPr="004914A7">
        <w:t>      III. Se aprovecharán al máximo los insumos locales y la capacidad instalada con el objeto de abatir costos. En igualdad de condiciones en cuanto a precio, calidad, financiamiento, oportunidad y demás circunstancias pertinentes, deberá darse prioridad a los proveedores locales en la adjudicación de contratos de adquisiciones, arrendamientos y prestación de servicios de cualquier naturaleza.</w:t>
      </w:r>
    </w:p>
    <w:p w:rsidR="006628A2" w:rsidRPr="004914A7" w:rsidRDefault="006628A2" w:rsidP="001B6FE0">
      <w:pPr>
        <w:suppressAutoHyphens/>
      </w:pPr>
    </w:p>
    <w:p w:rsidR="006628A2" w:rsidRPr="004914A7" w:rsidRDefault="00034E2C" w:rsidP="001B6FE0">
      <w:pPr>
        <w:suppressAutoHyphens/>
      </w:pPr>
      <w:r w:rsidRPr="004914A7">
        <w:t>      IV. Se otorgará preferencia a la adquisición de productos y a la utilización de tecnologías nacionales con uso intensivo de mano de obra.</w:t>
      </w:r>
    </w:p>
    <w:p w:rsidR="006628A2" w:rsidRPr="004914A7" w:rsidRDefault="006628A2" w:rsidP="001B6FE0">
      <w:pPr>
        <w:suppressAutoHyphens/>
      </w:pPr>
    </w:p>
    <w:p w:rsidR="006628A2" w:rsidRPr="004914A7" w:rsidRDefault="00034E2C" w:rsidP="001B6FE0">
      <w:pPr>
        <w:suppressAutoHyphens/>
      </w:pPr>
      <w:r w:rsidRPr="004914A7">
        <w:lastRenderedPageBreak/>
        <w:t>      V. Las adquisiciones, arrendamientos y prestación de servicios de cualquier naturaleza, cuando se realicen total o parcialmente con recursos federales, estarán sujetos a las leyes federales y demás normativa federal aplicable.</w:t>
      </w:r>
    </w:p>
    <w:p w:rsidR="006628A2" w:rsidRPr="004914A7" w:rsidRDefault="006628A2" w:rsidP="001B6FE0">
      <w:pPr>
        <w:suppressAutoHyphens/>
      </w:pPr>
    </w:p>
    <w:p w:rsidR="006628A2" w:rsidRPr="004914A7" w:rsidRDefault="00034E2C" w:rsidP="001B6FE0">
      <w:pPr>
        <w:suppressAutoHyphens/>
      </w:pPr>
      <w:r w:rsidRPr="004914A7">
        <w:t>      VI. Los rubros de gasto de las adquisiciones de bienes, servicios y arrendamientos que realicen las dependencias y entidades deberán estar previstos en sus presupuestos de egresos.</w:t>
      </w:r>
    </w:p>
    <w:p w:rsidR="006628A2" w:rsidRPr="004914A7" w:rsidRDefault="006628A2" w:rsidP="001B6FE0">
      <w:pPr>
        <w:suppressAutoHyphens/>
      </w:pPr>
    </w:p>
    <w:p w:rsidR="006628A2" w:rsidRPr="004914A7" w:rsidRDefault="00034E2C" w:rsidP="001B6FE0">
      <w:pPr>
        <w:suppressAutoHyphens/>
      </w:pPr>
      <w:r w:rsidRPr="004914A7">
        <w:rPr>
          <w:b/>
        </w:rPr>
        <w:t>Artículo 91. Ausencia de saldo disponible</w:t>
      </w:r>
    </w:p>
    <w:p w:rsidR="006628A2" w:rsidRPr="004914A7" w:rsidRDefault="006628A2" w:rsidP="001B6FE0">
      <w:pPr>
        <w:suppressAutoHyphens/>
      </w:pPr>
    </w:p>
    <w:p w:rsidR="006628A2" w:rsidRPr="004914A7" w:rsidRDefault="00034E2C" w:rsidP="001B6FE0">
      <w:pPr>
        <w:suppressAutoHyphens/>
      </w:pPr>
      <w:r w:rsidRPr="004914A7">
        <w:t>Las dependencias y entidades de la Administración Pública estatal se abstendrán de convocar, formalizar o modificar cualquier tipo de contrato cuando no hubiera saldo disponible en el capítulo presupuestal correspondiente y en el caso de obra pública no se cuente con el registro de cartera.</w:t>
      </w:r>
    </w:p>
    <w:p w:rsidR="006628A2" w:rsidRPr="004914A7" w:rsidRDefault="006628A2" w:rsidP="001B6FE0">
      <w:pPr>
        <w:suppressAutoHyphens/>
      </w:pPr>
    </w:p>
    <w:p w:rsidR="006628A2" w:rsidRPr="004914A7" w:rsidRDefault="00034E2C" w:rsidP="001B6FE0">
      <w:pPr>
        <w:suppressAutoHyphens/>
      </w:pPr>
      <w:r w:rsidRPr="004914A7">
        <w:rPr>
          <w:b/>
        </w:rPr>
        <w:t>Artículo 92. Contratos plurianuales</w:t>
      </w:r>
    </w:p>
    <w:p w:rsidR="006628A2" w:rsidRPr="004914A7" w:rsidRDefault="006628A2" w:rsidP="001B6FE0">
      <w:pPr>
        <w:suppressAutoHyphens/>
      </w:pPr>
    </w:p>
    <w:p w:rsidR="006628A2" w:rsidRPr="004914A7" w:rsidRDefault="00034E2C" w:rsidP="001B6FE0">
      <w:pPr>
        <w:suppressAutoHyphens/>
      </w:pPr>
      <w:r w:rsidRPr="004914A7">
        <w:t>Las dependencias y entidades podrán celebrar contratos que afecten el presupuesto correspondiente a cuando menos el ejercicio presupuestal siguiente al que se inicie el proceso de adjudicación o contratación de obra pública o de adquisiciones, arrendamientos, servicios o proyectos para la prestación de servicios durante el ejercicio fiscal, siempre que:</w:t>
      </w:r>
    </w:p>
    <w:p w:rsidR="006628A2" w:rsidRPr="004914A7" w:rsidRDefault="006628A2" w:rsidP="001B6FE0">
      <w:pPr>
        <w:suppressAutoHyphens/>
      </w:pPr>
    </w:p>
    <w:p w:rsidR="006628A2" w:rsidRPr="004914A7" w:rsidRDefault="00034E2C" w:rsidP="001B6FE0">
      <w:pPr>
        <w:suppressAutoHyphens/>
      </w:pPr>
      <w:r w:rsidRPr="004914A7">
        <w:t>      I. Justifiquen las ventajas económicas o que sus términos o condiciones sean más favorables.</w:t>
      </w:r>
    </w:p>
    <w:p w:rsidR="006628A2" w:rsidRPr="004914A7" w:rsidRDefault="006628A2" w:rsidP="001B6FE0">
      <w:pPr>
        <w:suppressAutoHyphens/>
      </w:pPr>
    </w:p>
    <w:p w:rsidR="006628A2" w:rsidRPr="004914A7" w:rsidRDefault="00034E2C" w:rsidP="001B6FE0">
      <w:pPr>
        <w:suppressAutoHyphens/>
      </w:pPr>
      <w:r w:rsidRPr="004914A7">
        <w:t>      II. Justifiquen el plazo de la contratación y sustenten que no afectará negativamente la competencia económica en el sector de que se trate.</w:t>
      </w:r>
    </w:p>
    <w:p w:rsidR="006628A2" w:rsidRPr="004914A7" w:rsidRDefault="006628A2" w:rsidP="001B6FE0">
      <w:pPr>
        <w:suppressAutoHyphens/>
      </w:pPr>
    </w:p>
    <w:p w:rsidR="006628A2" w:rsidRPr="004914A7" w:rsidRDefault="00034E2C" w:rsidP="001B6FE0">
      <w:pPr>
        <w:suppressAutoHyphens/>
      </w:pPr>
      <w:r w:rsidRPr="004914A7">
        <w:t>      III. Identifiquen el gasto corriente o de inversión correspondiente.</w:t>
      </w:r>
    </w:p>
    <w:p w:rsidR="006628A2" w:rsidRPr="004914A7" w:rsidRDefault="006628A2" w:rsidP="001B6FE0">
      <w:pPr>
        <w:suppressAutoHyphens/>
      </w:pPr>
    </w:p>
    <w:p w:rsidR="006628A2" w:rsidRPr="004914A7" w:rsidRDefault="00034E2C" w:rsidP="001B6FE0">
      <w:pPr>
        <w:suppressAutoHyphens/>
      </w:pPr>
      <w:r w:rsidRPr="004914A7">
        <w:t>      IV. Desglosen el gasto a precios del año, tanto para este ejercicio fiscal como para los subsecuentes.</w:t>
      </w:r>
    </w:p>
    <w:p w:rsidR="006628A2" w:rsidRPr="004914A7" w:rsidRDefault="006628A2" w:rsidP="001B6FE0">
      <w:pPr>
        <w:suppressAutoHyphens/>
      </w:pPr>
    </w:p>
    <w:p w:rsidR="006628A2" w:rsidRPr="004914A7" w:rsidRDefault="00034E2C" w:rsidP="001B6FE0">
      <w:pPr>
        <w:suppressAutoHyphens/>
      </w:pPr>
      <w:r w:rsidRPr="004914A7">
        <w:t xml:space="preserve">Las dependencias y entidades requerirán suficiencia presupuestaria para la celebración de los contratos a que se refiere este artículo. En </w:t>
      </w:r>
      <w:r w:rsidR="009369E3" w:rsidRPr="004914A7">
        <w:t xml:space="preserve">el </w:t>
      </w:r>
      <w:r w:rsidRPr="004914A7">
        <w:t>caso de las entidades, adicionalmente se sujetarán a la autorización de su órgano de gobierno, de acuerdo con las disposiciones legales aplicables.</w:t>
      </w:r>
    </w:p>
    <w:p w:rsidR="006628A2" w:rsidRPr="004914A7" w:rsidRDefault="006628A2" w:rsidP="001B6FE0">
      <w:pPr>
        <w:suppressAutoHyphens/>
      </w:pPr>
    </w:p>
    <w:p w:rsidR="006628A2" w:rsidRPr="004914A7" w:rsidRDefault="00034E2C" w:rsidP="001B6FE0">
      <w:pPr>
        <w:suppressAutoHyphens/>
      </w:pPr>
      <w:r w:rsidRPr="004914A7">
        <w:lastRenderedPageBreak/>
        <w:t xml:space="preserve">Las dependencias y entidades deberán informar a la contraloría sobre la celebración de los contratos a que se refiere este artículo dentro de los treinta </w:t>
      </w:r>
      <w:r w:rsidR="00867154" w:rsidRPr="004914A7">
        <w:t>días posteriores</w:t>
      </w:r>
      <w:r w:rsidRPr="004914A7">
        <w:t xml:space="preserve"> a su formalización.</w:t>
      </w:r>
    </w:p>
    <w:p w:rsidR="006628A2" w:rsidRPr="004914A7" w:rsidRDefault="006628A2" w:rsidP="001B6FE0">
      <w:pPr>
        <w:suppressAutoHyphens/>
      </w:pPr>
    </w:p>
    <w:p w:rsidR="006628A2" w:rsidRPr="004914A7" w:rsidRDefault="00034E2C" w:rsidP="001B6FE0">
      <w:pPr>
        <w:suppressAutoHyphens/>
      </w:pPr>
      <w:r w:rsidRPr="004914A7">
        <w:t xml:space="preserve">En caso de proyectos para la prestación de servicios, las dependencias y entidades deberán sujetarse a la Ley de Proyectos para la Prestación de Servicios del Estado de Yucatán y demás disposiciones legales y normativas aplicables, así como </w:t>
      </w:r>
      <w:r w:rsidR="008656C9" w:rsidRPr="004914A7">
        <w:t xml:space="preserve">a </w:t>
      </w:r>
      <w:r w:rsidRPr="004914A7">
        <w:t>los lineamientos o reglas que para tal efecto emitan, en el ámbito de sus respectivas competencias, la secretaría y la contraloría.</w:t>
      </w:r>
    </w:p>
    <w:p w:rsidR="006628A2" w:rsidRPr="004914A7" w:rsidRDefault="006628A2" w:rsidP="001B6FE0">
      <w:pPr>
        <w:suppressAutoHyphens/>
      </w:pPr>
    </w:p>
    <w:p w:rsidR="006628A2" w:rsidRPr="004914A7" w:rsidRDefault="00034E2C" w:rsidP="001B6FE0">
      <w:pPr>
        <w:suppressAutoHyphens/>
      </w:pPr>
      <w:r w:rsidRPr="004914A7">
        <w:rPr>
          <w:b/>
        </w:rPr>
        <w:t>Artículo 93. Contrataciones y servicios con recursos federales</w:t>
      </w:r>
    </w:p>
    <w:p w:rsidR="006628A2" w:rsidRPr="004914A7" w:rsidRDefault="006628A2" w:rsidP="001B6FE0">
      <w:pPr>
        <w:suppressAutoHyphens/>
      </w:pPr>
    </w:p>
    <w:p w:rsidR="006628A2" w:rsidRPr="004914A7" w:rsidRDefault="00034E2C" w:rsidP="001B6FE0">
      <w:pPr>
        <w:suppressAutoHyphens/>
      </w:pPr>
      <w:r w:rsidRPr="004914A7">
        <w:t>Cuando se ejecuten programas en los que se ejerzan asignaciones presupuestales federales, se deberán apegar a la normativa aplicable o a la que se pacte en los acuerdos o convenios respectivos.</w:t>
      </w:r>
    </w:p>
    <w:p w:rsidR="006628A2" w:rsidRPr="004914A7" w:rsidRDefault="006628A2" w:rsidP="001B6FE0">
      <w:pPr>
        <w:suppressAutoHyphens/>
      </w:pPr>
    </w:p>
    <w:p w:rsidR="006628A2" w:rsidRPr="004914A7" w:rsidRDefault="00034E2C" w:rsidP="001B6FE0">
      <w:pPr>
        <w:suppressAutoHyphens/>
      </w:pPr>
      <w:r w:rsidRPr="004914A7">
        <w:t xml:space="preserve">Cuando se aplique la normativa federal en la contratación de obra pública y servicios relacionados con </w:t>
      </w:r>
      <w:r w:rsidR="00B26188" w:rsidRPr="004914A7">
        <w:t>esta</w:t>
      </w:r>
      <w:r w:rsidRPr="004914A7">
        <w:t xml:space="preserve"> o</w:t>
      </w:r>
      <w:r w:rsidR="00B26188" w:rsidRPr="004914A7">
        <w:t xml:space="preserve"> la</w:t>
      </w:r>
      <w:r w:rsidRPr="004914A7">
        <w:t xml:space="preserve"> contratación de adquisiciones, arrendamientos y servicios, financiados con cargo a recursos federales convenidos, se estará al rango que determine dicha normativa, conforme al monto de los recursos recibidos en su totalidad por el </w:t>
      </w:r>
      <w:r w:rsidR="005E00BE" w:rsidRPr="004914A7">
        <w:t>e</w:t>
      </w:r>
      <w:r w:rsidRPr="004914A7">
        <w:t>stado.</w:t>
      </w:r>
    </w:p>
    <w:p w:rsidR="006628A2" w:rsidRPr="004914A7" w:rsidRDefault="006628A2" w:rsidP="001B6FE0">
      <w:pPr>
        <w:suppressAutoHyphens/>
      </w:pPr>
    </w:p>
    <w:p w:rsidR="00976C88" w:rsidRDefault="00976C88" w:rsidP="001B6FE0">
      <w:pPr>
        <w:pStyle w:val="Ttulo2"/>
        <w:suppressAutoHyphens/>
      </w:pPr>
      <w:bookmarkStart w:id="40" w:name="capítulo-i-3"/>
    </w:p>
    <w:p w:rsidR="006628A2" w:rsidRPr="004914A7" w:rsidRDefault="00034E2C" w:rsidP="001B6FE0">
      <w:pPr>
        <w:pStyle w:val="Ttulo2"/>
        <w:suppressAutoHyphens/>
      </w:pPr>
      <w:r w:rsidRPr="004914A7">
        <w:t>Capítulo I</w:t>
      </w:r>
      <w:bookmarkEnd w:id="40"/>
      <w:r w:rsidR="003963D2" w:rsidRPr="004914A7">
        <w:t>I</w:t>
      </w:r>
    </w:p>
    <w:p w:rsidR="006628A2" w:rsidRPr="004914A7" w:rsidRDefault="00034E2C" w:rsidP="001B6FE0">
      <w:pPr>
        <w:pStyle w:val="Ttulo2"/>
        <w:suppressAutoHyphens/>
      </w:pPr>
      <w:bookmarkStart w:id="41" w:name="obra-pública"/>
      <w:r w:rsidRPr="004914A7">
        <w:t>Obra Pública</w:t>
      </w:r>
      <w:bookmarkEnd w:id="41"/>
    </w:p>
    <w:p w:rsidR="006628A2" w:rsidRPr="004914A7" w:rsidRDefault="006628A2" w:rsidP="001B6FE0">
      <w:pPr>
        <w:suppressAutoHyphens/>
      </w:pPr>
    </w:p>
    <w:p w:rsidR="006628A2" w:rsidRPr="004914A7" w:rsidRDefault="00034E2C" w:rsidP="001B6FE0">
      <w:pPr>
        <w:suppressAutoHyphens/>
      </w:pPr>
      <w:r w:rsidRPr="004914A7">
        <w:rPr>
          <w:b/>
        </w:rPr>
        <w:t>Artículo 94. Inversión pública</w:t>
      </w:r>
    </w:p>
    <w:p w:rsidR="006628A2" w:rsidRPr="004914A7" w:rsidRDefault="006628A2" w:rsidP="001B6FE0">
      <w:pPr>
        <w:suppressAutoHyphens/>
      </w:pPr>
    </w:p>
    <w:p w:rsidR="006628A2" w:rsidRPr="004914A7" w:rsidRDefault="00034E2C" w:rsidP="001B6FE0">
      <w:pPr>
        <w:suppressAutoHyphens/>
      </w:pPr>
      <w:r w:rsidRPr="004914A7">
        <w:t xml:space="preserve">La inversión pública comprende las asignaciones destinadas a obras por contrato en bienes de dominio público y bienes propios y proyectos productivos y acciones de fomento. Dentro de este rubro se incluyen los gastos de los estudios de </w:t>
      </w:r>
      <w:proofErr w:type="spellStart"/>
      <w:r w:rsidRPr="004914A7">
        <w:t>preinversión</w:t>
      </w:r>
      <w:proofErr w:type="spellEnd"/>
      <w:r w:rsidRPr="004914A7">
        <w:t xml:space="preserve"> y los gastos para la preparación del proyecto necesarios para su inscripción en la cartera de proyectos de inversión de la secretaría. Todo proyecto de obra pública deberá contar con la autorización de la Secretaría de Obras Públicas, previo a su inscripción a la cartera de proyectos de inversión.</w:t>
      </w:r>
    </w:p>
    <w:p w:rsidR="006628A2" w:rsidRPr="004914A7" w:rsidRDefault="006628A2" w:rsidP="001B6FE0">
      <w:pPr>
        <w:suppressAutoHyphens/>
      </w:pPr>
    </w:p>
    <w:p w:rsidR="006628A2" w:rsidRPr="004914A7" w:rsidRDefault="00034E2C" w:rsidP="001B6FE0">
      <w:pPr>
        <w:suppressAutoHyphens/>
      </w:pPr>
      <w:r w:rsidRPr="004914A7">
        <w:t>Para la contratación de arrendamientos puros o financieros de bienes muebles e inmuebles, la secretaría y las entidades procurarán que las condiciones de pago ofrezcan ventajas en relación con otros esquemas y deberán realizarlas, en su caso, conforme a la ley de disciplina financiera y demás normativa aplicable.</w:t>
      </w:r>
    </w:p>
    <w:p w:rsidR="006628A2" w:rsidRPr="004914A7" w:rsidRDefault="006628A2" w:rsidP="001B6FE0">
      <w:pPr>
        <w:suppressAutoHyphens/>
      </w:pPr>
    </w:p>
    <w:p w:rsidR="006628A2" w:rsidRPr="004914A7" w:rsidRDefault="00034E2C" w:rsidP="001B6FE0">
      <w:pPr>
        <w:suppressAutoHyphens/>
      </w:pPr>
      <w:r w:rsidRPr="004914A7">
        <w:rPr>
          <w:b/>
        </w:rPr>
        <w:lastRenderedPageBreak/>
        <w:t>Artículo 95. Modificación o sustitución de los proyectos de inversión</w:t>
      </w:r>
    </w:p>
    <w:p w:rsidR="006628A2" w:rsidRPr="004914A7" w:rsidRDefault="006628A2" w:rsidP="001B6FE0">
      <w:pPr>
        <w:suppressAutoHyphens/>
      </w:pPr>
    </w:p>
    <w:p w:rsidR="006628A2" w:rsidRPr="004914A7" w:rsidRDefault="00034E2C" w:rsidP="001B6FE0">
      <w:pPr>
        <w:suppressAutoHyphens/>
      </w:pPr>
      <w:r w:rsidRPr="004914A7">
        <w:t>Los proyectos de inversión podrán ser modificados o sustituidos cuando ocurran problemas de tipo técnico, jurídico o administrativo que así lo justifiquen; cuando por razones de interés general se requiera; por caso fortuito o de fuerza mayor; o, cuando se favorezca la concurrencia de recursos estatales con los provenientes de los municipios del estado o de los reasignados del Presupuesto de Egresos de la Federación para el Ejercicio Fiscal 2021.</w:t>
      </w:r>
    </w:p>
    <w:p w:rsidR="006628A2" w:rsidRPr="004914A7" w:rsidRDefault="006628A2" w:rsidP="001B6FE0">
      <w:pPr>
        <w:suppressAutoHyphens/>
      </w:pPr>
    </w:p>
    <w:p w:rsidR="006628A2" w:rsidRPr="004914A7" w:rsidRDefault="00034E2C" w:rsidP="001B6FE0">
      <w:pPr>
        <w:suppressAutoHyphens/>
      </w:pPr>
      <w:r w:rsidRPr="004914A7">
        <w:rPr>
          <w:b/>
        </w:rPr>
        <w:t>Artículo 96. Responsabilidades de los servidores públicos autorizados</w:t>
      </w:r>
    </w:p>
    <w:p w:rsidR="006628A2" w:rsidRPr="004914A7" w:rsidRDefault="006628A2" w:rsidP="001B6FE0">
      <w:pPr>
        <w:suppressAutoHyphens/>
      </w:pPr>
    </w:p>
    <w:p w:rsidR="006628A2" w:rsidRPr="004914A7" w:rsidRDefault="00034E2C" w:rsidP="001B6FE0">
      <w:pPr>
        <w:suppressAutoHyphens/>
      </w:pPr>
      <w:r w:rsidRPr="004914A7">
        <w:t>Los titulares de las dependencias y entidades, así como los servidores públicos autorizados para ejercer recursos públicos, serán responsables de:</w:t>
      </w:r>
    </w:p>
    <w:p w:rsidR="006628A2" w:rsidRPr="004914A7" w:rsidRDefault="006628A2" w:rsidP="001B6FE0">
      <w:pPr>
        <w:suppressAutoHyphens/>
      </w:pPr>
    </w:p>
    <w:p w:rsidR="006628A2" w:rsidRPr="004914A7" w:rsidRDefault="00034E2C" w:rsidP="001B6FE0">
      <w:pPr>
        <w:suppressAutoHyphens/>
      </w:pPr>
      <w:r w:rsidRPr="004914A7">
        <w:t>      I. Identificar el gasto de capital y el gasto asociado a este, así como el impacto en el costo de operación y mantenimiento del uso de estos activos, en proyectos de inversión que contribuyan al cumplimiento de sus objetivos, metas e indicadores de desempeño, de acuerdo con el presupuesto autorizado.</w:t>
      </w:r>
    </w:p>
    <w:p w:rsidR="006628A2" w:rsidRPr="004914A7" w:rsidRDefault="006628A2" w:rsidP="001B6FE0">
      <w:pPr>
        <w:suppressAutoHyphens/>
      </w:pPr>
    </w:p>
    <w:p w:rsidR="006628A2" w:rsidRPr="004914A7" w:rsidRDefault="00034E2C" w:rsidP="001B6FE0">
      <w:pPr>
        <w:suppressAutoHyphens/>
      </w:pPr>
      <w:r w:rsidRPr="004914A7">
        <w:t>      II. Promover una mayor capacitación de los funcionarios públicos en materia de evaluación social y económica de los proyectos de inversión.</w:t>
      </w:r>
    </w:p>
    <w:p w:rsidR="006628A2" w:rsidRPr="004914A7" w:rsidRDefault="006628A2" w:rsidP="001B6FE0">
      <w:pPr>
        <w:suppressAutoHyphens/>
      </w:pPr>
    </w:p>
    <w:p w:rsidR="006628A2" w:rsidRPr="004914A7" w:rsidRDefault="00034E2C" w:rsidP="001B6FE0">
      <w:pPr>
        <w:suppressAutoHyphens/>
      </w:pPr>
      <w:r w:rsidRPr="004914A7">
        <w:t>      III. Vigilar que los programas y proyectos de inversión a su cargo generen, comprobadamente, beneficios netos para la sociedad y cuenten con la autorización de inversión correspondiente, en los términos de las disposiciones legales aplicables.</w:t>
      </w:r>
    </w:p>
    <w:p w:rsidR="006628A2" w:rsidRPr="004914A7" w:rsidRDefault="006628A2" w:rsidP="001B6FE0">
      <w:pPr>
        <w:suppressAutoHyphens/>
      </w:pPr>
    </w:p>
    <w:p w:rsidR="006628A2" w:rsidRPr="004914A7" w:rsidRDefault="00034E2C" w:rsidP="001B6FE0">
      <w:pPr>
        <w:suppressAutoHyphens/>
      </w:pPr>
      <w:r w:rsidRPr="004914A7">
        <w:t>      IV. Otorgar prioridad a la realización de los programas y proyectos de inversión que generen comprobadamente mayores beneficios netos.</w:t>
      </w:r>
    </w:p>
    <w:p w:rsidR="006628A2" w:rsidRPr="004914A7" w:rsidRDefault="006628A2" w:rsidP="001B6FE0">
      <w:pPr>
        <w:suppressAutoHyphens/>
      </w:pPr>
    </w:p>
    <w:p w:rsidR="006628A2" w:rsidRPr="004914A7" w:rsidRDefault="00034E2C" w:rsidP="001B6FE0">
      <w:pPr>
        <w:suppressAutoHyphens/>
      </w:pPr>
      <w:r w:rsidRPr="004914A7">
        <w:t>      V. Respetar las disposiciones emitidas por la secretaría en materia de inversión pública y las correspondientes en materia de evaluación.</w:t>
      </w:r>
    </w:p>
    <w:p w:rsidR="006628A2" w:rsidRPr="004914A7" w:rsidRDefault="006628A2" w:rsidP="001B6FE0">
      <w:pPr>
        <w:suppressAutoHyphens/>
      </w:pPr>
    </w:p>
    <w:p w:rsidR="006628A2" w:rsidRPr="004914A7" w:rsidRDefault="00034E2C" w:rsidP="001B6FE0">
      <w:pPr>
        <w:suppressAutoHyphens/>
      </w:pPr>
      <w:r w:rsidRPr="004914A7">
        <w:t>      VI. Asegurar las mejores condiciones en cuanto a precio, calidad, financiamiento, oportunidad y demás circunstancias pertinentes en los contratos que se celebren, considerando lo previsto en las disposiciones aplicables.</w:t>
      </w:r>
    </w:p>
    <w:p w:rsidR="006628A2" w:rsidRPr="004914A7" w:rsidRDefault="006628A2" w:rsidP="001B6FE0">
      <w:pPr>
        <w:suppressAutoHyphens/>
      </w:pPr>
    </w:p>
    <w:p w:rsidR="006628A2" w:rsidRPr="004914A7" w:rsidRDefault="00034E2C" w:rsidP="001B6FE0">
      <w:pPr>
        <w:suppressAutoHyphens/>
      </w:pPr>
      <w:r w:rsidRPr="004914A7">
        <w:t>      VII. Promover, en forma conjunta con la secretaría, la participación del sector social y privado, así como de los distintos órdenes de gobierno en los proyectos de inversión que impulsa el sector público.</w:t>
      </w:r>
    </w:p>
    <w:p w:rsidR="006628A2" w:rsidRPr="004914A7" w:rsidRDefault="006628A2" w:rsidP="001B6FE0">
      <w:pPr>
        <w:suppressAutoHyphens/>
      </w:pPr>
    </w:p>
    <w:p w:rsidR="006628A2" w:rsidRPr="004914A7" w:rsidRDefault="00034E2C" w:rsidP="001B6FE0">
      <w:pPr>
        <w:suppressAutoHyphens/>
      </w:pPr>
      <w:r w:rsidRPr="004914A7">
        <w:lastRenderedPageBreak/>
        <w:t>      VIII. Realizar las inversiones financieras cuando sean estrictamente necesarias, con la autorización de la secretaría y orientarlas a los objetivos de los programas sectoriales de mediano plazo.</w:t>
      </w:r>
    </w:p>
    <w:p w:rsidR="006628A2" w:rsidRPr="004914A7" w:rsidRDefault="006628A2" w:rsidP="001B6FE0">
      <w:pPr>
        <w:suppressAutoHyphens/>
      </w:pPr>
    </w:p>
    <w:p w:rsidR="006628A2" w:rsidRPr="004914A7" w:rsidRDefault="00034E2C" w:rsidP="001B6FE0">
      <w:pPr>
        <w:suppressAutoHyphens/>
      </w:pPr>
      <w:r w:rsidRPr="004914A7">
        <w:t>      IX. Informar a la secretaría sobre el desarrollo de los programas y proyectos de inversión, con el fin de actualizar la cartera de proyectos de inversión de la secretaría, y los avances físicos y financieros de las obras.</w:t>
      </w:r>
    </w:p>
    <w:p w:rsidR="006628A2" w:rsidRPr="004914A7" w:rsidRDefault="006628A2" w:rsidP="001B6FE0">
      <w:pPr>
        <w:suppressAutoHyphens/>
      </w:pPr>
    </w:p>
    <w:p w:rsidR="006628A2" w:rsidRPr="004914A7" w:rsidRDefault="00034E2C" w:rsidP="001B6FE0">
      <w:pPr>
        <w:suppressAutoHyphens/>
      </w:pPr>
      <w:r w:rsidRPr="004914A7">
        <w:rPr>
          <w:b/>
        </w:rPr>
        <w:t>Artículo 97. Dictamen</w:t>
      </w:r>
    </w:p>
    <w:p w:rsidR="006628A2" w:rsidRPr="004914A7" w:rsidRDefault="006628A2" w:rsidP="001B6FE0">
      <w:pPr>
        <w:suppressAutoHyphens/>
      </w:pPr>
    </w:p>
    <w:p w:rsidR="006628A2" w:rsidRPr="004914A7" w:rsidRDefault="00034E2C" w:rsidP="001B6FE0">
      <w:pPr>
        <w:suppressAutoHyphens/>
      </w:pPr>
      <w:r w:rsidRPr="004914A7">
        <w:t>Los proyectos de inversión a los que se refiere este artículo deberán contar con el dictamen favorable sobre el análisis de factibilidad técnica y económica y, en su caso, sobre el proyecto ejecutivo de obra pública. Antes de iniciar alguno de los procedimientos de contratación, previstos en las disposiciones aplicables, las dependencias y entidades deberán obtener y enviar el dictamen en los términos que establezca la secretaría para:</w:t>
      </w:r>
    </w:p>
    <w:p w:rsidR="006628A2" w:rsidRPr="004914A7" w:rsidRDefault="006628A2" w:rsidP="001B6FE0">
      <w:pPr>
        <w:suppressAutoHyphens/>
      </w:pPr>
    </w:p>
    <w:p w:rsidR="006628A2" w:rsidRPr="004914A7" w:rsidRDefault="00034E2C" w:rsidP="001B6FE0">
      <w:pPr>
        <w:suppressAutoHyphens/>
      </w:pPr>
      <w:r w:rsidRPr="004914A7">
        <w:t>      I. Los nuevos programas y proyectos de infraestructura a ejecutarse con el esquema de proyectos de prestación de servicios.</w:t>
      </w:r>
    </w:p>
    <w:p w:rsidR="006628A2" w:rsidRPr="004914A7" w:rsidRDefault="006628A2" w:rsidP="001B6FE0">
      <w:pPr>
        <w:suppressAutoHyphens/>
      </w:pPr>
    </w:p>
    <w:p w:rsidR="006628A2" w:rsidRPr="004914A7" w:rsidRDefault="00034E2C" w:rsidP="001B6FE0">
      <w:pPr>
        <w:suppressAutoHyphens/>
      </w:pPr>
      <w:r w:rsidRPr="004914A7">
        <w:t>      II. Los nuevos proyectos de inversión cuyo monto total de inversión sea mayor que cien millones de pesos y en caso de infraestructura hidráulica mayor que cincuenta millones de pesos.</w:t>
      </w:r>
    </w:p>
    <w:p w:rsidR="006628A2" w:rsidRPr="004914A7" w:rsidRDefault="006628A2" w:rsidP="001B6FE0">
      <w:pPr>
        <w:suppressAutoHyphens/>
      </w:pPr>
    </w:p>
    <w:p w:rsidR="006628A2" w:rsidRPr="004914A7" w:rsidRDefault="00034E2C" w:rsidP="001B6FE0">
      <w:pPr>
        <w:suppressAutoHyphens/>
      </w:pPr>
      <w:r w:rsidRPr="004914A7">
        <w:t>      III. Las adiciones que representen un incremento mayor que 25%, en términos reales, del monto total de inversión registrado conforme al último análisis de costo y beneficio presentado con el propósito de actualizar la cartera de proyectos de inversión. Lo anterior, en relación con los de infraestructura productiva de largo plazo y los de inversión presupuestaria cuyo monto total y tipo de infraestructura correspondan a lo dispuesto en la fracción II de este artículo.</w:t>
      </w:r>
    </w:p>
    <w:p w:rsidR="006628A2" w:rsidRPr="004914A7" w:rsidRDefault="006628A2" w:rsidP="001B6FE0">
      <w:pPr>
        <w:suppressAutoHyphens/>
      </w:pPr>
    </w:p>
    <w:p w:rsidR="006628A2" w:rsidRPr="004914A7" w:rsidRDefault="00034E2C" w:rsidP="001B6FE0">
      <w:pPr>
        <w:suppressAutoHyphens/>
      </w:pPr>
      <w:r w:rsidRPr="004914A7">
        <w:t>La secretaría integrará la relación de los programas y proyectos de inversión a que se refiere este artículo, los cuales hayan sido dictaminados, incluyendo el sentido del dictamen y el responsable de su elaboración de acuerdo con la información remitida por las dependencias y entidades.</w:t>
      </w:r>
    </w:p>
    <w:p w:rsidR="006628A2" w:rsidRPr="004914A7" w:rsidRDefault="006628A2" w:rsidP="001B6FE0">
      <w:pPr>
        <w:suppressAutoHyphens/>
      </w:pPr>
    </w:p>
    <w:p w:rsidR="006628A2" w:rsidRPr="004914A7" w:rsidRDefault="00034E2C" w:rsidP="001B6FE0">
      <w:pPr>
        <w:suppressAutoHyphens/>
      </w:pPr>
      <w:r w:rsidRPr="004914A7">
        <w:rPr>
          <w:b/>
        </w:rPr>
        <w:t>Artículo 98. Montos máximos de adjudicación de obra pública y servicios conexos</w:t>
      </w:r>
    </w:p>
    <w:p w:rsidR="006628A2" w:rsidRPr="004914A7" w:rsidRDefault="006628A2" w:rsidP="001B6FE0">
      <w:pPr>
        <w:suppressAutoHyphens/>
      </w:pPr>
    </w:p>
    <w:p w:rsidR="006628A2" w:rsidRPr="004914A7" w:rsidRDefault="00034E2C" w:rsidP="001B6FE0">
      <w:pPr>
        <w:suppressAutoHyphens/>
      </w:pPr>
      <w:r w:rsidRPr="004914A7">
        <w:t xml:space="preserve">Para los efectos referidos en el artículo 46 de la Ley de Obra Pública y Servicios Conexos del Estado de Yucatán, los montos máximos de adjudicación directa y de </w:t>
      </w:r>
      <w:r w:rsidRPr="004914A7">
        <w:lastRenderedPageBreak/>
        <w:t xml:space="preserve">adjudicación mediante invitación, sin incluir el impuesto al valor agregado, que podrán realizar las dependencias y entidades durante el año 2021, serán los que aparecen en el anexo 10.2. </w:t>
      </w:r>
      <w:proofErr w:type="gramStart"/>
      <w:r w:rsidRPr="004914A7">
        <w:t>de</w:t>
      </w:r>
      <w:proofErr w:type="gramEnd"/>
      <w:r w:rsidRPr="004914A7">
        <w:t xml:space="preserve"> este decreto.</w:t>
      </w:r>
    </w:p>
    <w:p w:rsidR="006628A2" w:rsidRPr="004914A7" w:rsidRDefault="006628A2" w:rsidP="001B6FE0">
      <w:pPr>
        <w:suppressAutoHyphens/>
      </w:pPr>
    </w:p>
    <w:p w:rsidR="006628A2" w:rsidRPr="004914A7" w:rsidRDefault="00034E2C" w:rsidP="001B6FE0">
      <w:pPr>
        <w:suppressAutoHyphens/>
      </w:pPr>
      <w:r w:rsidRPr="004914A7">
        <w:t>La contraloría emitirá los lineamientos para la aplicación de la tabla a que se refiere este artículo.</w:t>
      </w:r>
    </w:p>
    <w:p w:rsidR="006628A2" w:rsidRPr="004914A7" w:rsidRDefault="006628A2" w:rsidP="001B6FE0">
      <w:pPr>
        <w:suppressAutoHyphens/>
      </w:pPr>
    </w:p>
    <w:p w:rsidR="006628A2" w:rsidRPr="004914A7" w:rsidRDefault="00034E2C" w:rsidP="001B6FE0">
      <w:pPr>
        <w:suppressAutoHyphens/>
      </w:pPr>
      <w:r w:rsidRPr="004914A7">
        <w:t>Cuando el monto de la obra fuere mayor que el monto máximo de la adjudicación mediante invitación a cuando menos tres personas, se convocará a licitación pública.</w:t>
      </w:r>
    </w:p>
    <w:p w:rsidR="006628A2" w:rsidRPr="004914A7" w:rsidRDefault="006628A2" w:rsidP="001B6FE0">
      <w:pPr>
        <w:suppressAutoHyphens/>
      </w:pPr>
    </w:p>
    <w:p w:rsidR="006628A2" w:rsidRPr="004914A7" w:rsidRDefault="00034E2C" w:rsidP="001B6FE0">
      <w:pPr>
        <w:suppressAutoHyphens/>
      </w:pPr>
      <w:r w:rsidRPr="004914A7">
        <w:t>En aquellos casos en los cuales, con el fin de reducir costos o por características técnicas, se realizarán obras públicas de manera consolidada por dos o más dependencias y entidades, se considerará como un solo presupuesto la suma de los presupuestos anuales de obra pública de las dependencias y entidades participantes.</w:t>
      </w:r>
    </w:p>
    <w:p w:rsidR="006628A2" w:rsidRPr="004914A7" w:rsidRDefault="006628A2" w:rsidP="001B6FE0">
      <w:pPr>
        <w:suppressAutoHyphens/>
      </w:pPr>
    </w:p>
    <w:p w:rsidR="00976C88" w:rsidRDefault="00976C88" w:rsidP="001B6FE0">
      <w:pPr>
        <w:pStyle w:val="Ttulo2"/>
        <w:suppressAutoHyphens/>
      </w:pPr>
      <w:bookmarkStart w:id="42" w:name="capítulo-ii-3"/>
    </w:p>
    <w:p w:rsidR="006628A2" w:rsidRPr="004914A7" w:rsidRDefault="00034E2C" w:rsidP="001B6FE0">
      <w:pPr>
        <w:pStyle w:val="Ttulo2"/>
        <w:suppressAutoHyphens/>
      </w:pPr>
      <w:r w:rsidRPr="004914A7">
        <w:t>Capítulo II</w:t>
      </w:r>
      <w:bookmarkEnd w:id="42"/>
      <w:r w:rsidR="003963D2" w:rsidRPr="004914A7">
        <w:t>I</w:t>
      </w:r>
    </w:p>
    <w:p w:rsidR="006628A2" w:rsidRPr="004914A7" w:rsidRDefault="00034E2C" w:rsidP="001B6FE0">
      <w:pPr>
        <w:pStyle w:val="Ttulo2"/>
        <w:suppressAutoHyphens/>
      </w:pPr>
      <w:bookmarkStart w:id="43" w:name="Xd67562861cf922cee661cac065d9702cf24f02d"/>
      <w:r w:rsidRPr="004914A7">
        <w:t>Contratación de adquisiciones, arrendamientos y servicios</w:t>
      </w:r>
      <w:bookmarkEnd w:id="43"/>
    </w:p>
    <w:p w:rsidR="006628A2" w:rsidRPr="004914A7" w:rsidRDefault="006628A2" w:rsidP="001B6FE0">
      <w:pPr>
        <w:suppressAutoHyphens/>
      </w:pPr>
    </w:p>
    <w:p w:rsidR="006628A2" w:rsidRPr="004914A7" w:rsidRDefault="00034E2C" w:rsidP="001B6FE0">
      <w:pPr>
        <w:suppressAutoHyphens/>
      </w:pPr>
      <w:r w:rsidRPr="004914A7">
        <w:rPr>
          <w:b/>
        </w:rPr>
        <w:t>Artículo 99. Montos máximos de adjudicación de adquisición, arrendamiento o servicios de bienes muebles</w:t>
      </w:r>
    </w:p>
    <w:p w:rsidR="006628A2" w:rsidRPr="004914A7" w:rsidRDefault="006628A2" w:rsidP="001B6FE0">
      <w:pPr>
        <w:suppressAutoHyphens/>
      </w:pPr>
    </w:p>
    <w:p w:rsidR="006628A2" w:rsidRPr="004914A7" w:rsidRDefault="00034E2C" w:rsidP="001B6FE0">
      <w:pPr>
        <w:suppressAutoHyphens/>
      </w:pPr>
      <w:r w:rsidRPr="004914A7">
        <w:t xml:space="preserve">Para los efectos de lo establecido en el artículo 26 de la Ley de Adquisiciones, Arrendamientos y Prestación de Servicios Relacionados con Bienes Muebles estatal, los montos máximos de adjudicación directa y para procedimientos de contratación, mediante invitación considerando por lo menos tres propuestas, sin incluir el impuesto al valor agregado, que podrán realizar las dependencias y entidades para el ejercicio presupuestal correspondiente al 2021, serán los que se establecen en el anexo 10.1. </w:t>
      </w:r>
      <w:proofErr w:type="gramStart"/>
      <w:r w:rsidRPr="004914A7">
        <w:t>del</w:t>
      </w:r>
      <w:proofErr w:type="gramEnd"/>
      <w:r w:rsidRPr="004914A7">
        <w:t xml:space="preserve"> presente decreto.</w:t>
      </w:r>
    </w:p>
    <w:p w:rsidR="006628A2" w:rsidRPr="004914A7" w:rsidRDefault="006628A2" w:rsidP="001B6FE0">
      <w:pPr>
        <w:suppressAutoHyphens/>
      </w:pPr>
    </w:p>
    <w:p w:rsidR="006628A2" w:rsidRPr="004914A7" w:rsidRDefault="00034E2C" w:rsidP="001B6FE0">
      <w:pPr>
        <w:suppressAutoHyphens/>
      </w:pPr>
      <w:r w:rsidRPr="004914A7">
        <w:t>La contraloría emitirá los lineamientos para la aplicación de la tabla contenida en este artículo.</w:t>
      </w:r>
    </w:p>
    <w:p w:rsidR="006628A2" w:rsidRPr="004914A7" w:rsidRDefault="006628A2" w:rsidP="001B6FE0">
      <w:pPr>
        <w:suppressAutoHyphens/>
      </w:pPr>
    </w:p>
    <w:p w:rsidR="006628A2" w:rsidRPr="004914A7" w:rsidRDefault="00034E2C" w:rsidP="001B6FE0">
      <w:pPr>
        <w:suppressAutoHyphens/>
      </w:pPr>
      <w:r w:rsidRPr="004914A7">
        <w:t>Cuando los montos de las adquisiciones, arrendamientos o prestación de servicios fueren mayores que los montos máximos establecidos para procedimientos de contratación, mediante invitación considerando por lo menos tres propuestas, se convocará a licitación pública.</w:t>
      </w:r>
    </w:p>
    <w:p w:rsidR="006628A2" w:rsidRPr="004914A7" w:rsidRDefault="006628A2" w:rsidP="001B6FE0">
      <w:pPr>
        <w:suppressAutoHyphens/>
      </w:pPr>
    </w:p>
    <w:p w:rsidR="006628A2" w:rsidRPr="004914A7" w:rsidRDefault="00034E2C" w:rsidP="001B6FE0">
      <w:pPr>
        <w:suppressAutoHyphens/>
      </w:pPr>
      <w:r w:rsidRPr="004914A7">
        <w:lastRenderedPageBreak/>
        <w:t>Cuando los montos de las adquisiciones, arrendamientos o prestación de servicios fueren menores que los montos máximos establecidos para adjudicación directa, se considerará como contrato al documento de orden de compra u orden de servicio emitida por el sistema de adquisiciones que determine la secretaría. De manera excepcional, justificada y bajo la responsabilidad del área que realice la adquisición, se podrá utilizar un documento análogo.</w:t>
      </w:r>
    </w:p>
    <w:p w:rsidR="006628A2" w:rsidRPr="004914A7" w:rsidRDefault="006628A2" w:rsidP="001B6FE0">
      <w:pPr>
        <w:suppressAutoHyphens/>
      </w:pPr>
    </w:p>
    <w:p w:rsidR="006628A2" w:rsidRPr="004914A7" w:rsidRDefault="00034E2C" w:rsidP="001B6FE0">
      <w:pPr>
        <w:suppressAutoHyphens/>
      </w:pPr>
      <w:r w:rsidRPr="004914A7">
        <w:rPr>
          <w:b/>
        </w:rPr>
        <w:t>Artículo 100. Adquisiciones consolidadas</w:t>
      </w:r>
    </w:p>
    <w:p w:rsidR="006628A2" w:rsidRPr="004914A7" w:rsidRDefault="006628A2" w:rsidP="001B6FE0">
      <w:pPr>
        <w:suppressAutoHyphens/>
      </w:pPr>
    </w:p>
    <w:p w:rsidR="006628A2" w:rsidRPr="004914A7" w:rsidRDefault="00034E2C" w:rsidP="001B6FE0">
      <w:pPr>
        <w:suppressAutoHyphens/>
      </w:pPr>
      <w:r w:rsidRPr="004914A7">
        <w:t xml:space="preserve">En aquellos casos en los cuales la secretaría realice de manera consolidada el procedimiento para la asignación de la adquisición o arrendamiento de bienes muebles, o bien la prestación de servicios, para dos o más dependencias o entidades, se considerará como una sola operación y para la aplicación del anexo 10.1. </w:t>
      </w:r>
      <w:proofErr w:type="gramStart"/>
      <w:r w:rsidRPr="004914A7">
        <w:t>se</w:t>
      </w:r>
      <w:proofErr w:type="gramEnd"/>
      <w:r w:rsidRPr="004914A7">
        <w:t xml:space="preserve"> considerará la suma de los presupuestos de las dependencias y entidades participantes.</w:t>
      </w:r>
    </w:p>
    <w:p w:rsidR="006628A2" w:rsidRPr="004914A7" w:rsidRDefault="006628A2" w:rsidP="001B6FE0">
      <w:pPr>
        <w:suppressAutoHyphens/>
      </w:pPr>
    </w:p>
    <w:p w:rsidR="006628A2" w:rsidRPr="004914A7" w:rsidRDefault="00034E2C" w:rsidP="001B6FE0">
      <w:pPr>
        <w:suppressAutoHyphens/>
      </w:pPr>
      <w:r w:rsidRPr="004914A7">
        <w:rPr>
          <w:b/>
        </w:rPr>
        <w:t>Artículo 101. Pedidos o contratos sin licitación</w:t>
      </w:r>
    </w:p>
    <w:p w:rsidR="006628A2" w:rsidRPr="004914A7" w:rsidRDefault="006628A2" w:rsidP="001B6FE0">
      <w:pPr>
        <w:suppressAutoHyphens/>
      </w:pPr>
    </w:p>
    <w:p w:rsidR="006628A2" w:rsidRPr="004914A7" w:rsidRDefault="00034E2C" w:rsidP="001B6FE0">
      <w:pPr>
        <w:suppressAutoHyphens/>
      </w:pPr>
      <w:r w:rsidRPr="004914A7">
        <w:t>Las dependencias o entidades, bajo su propia responsabilidad, podrán adjudicar durante el ejercicio fiscal 2021 en forma directa o mediante invitación considerando por lo menos tres propuestas, exceptuando el procedimiento de licitación pública, previa aprobación del Comité de Adquisiciones, Arrendamientos y Prestaciones de Servicios relacionados con Bienes Muebles de la dependencia o entidad que realice el procedimiento de adjudicación, siempre y cuando se cumpla alguno de los siguientes supuestos con base en el artículo 25 de la Ley de Adquisiciones, Arrendamientos y Prestación de Servicios Relacionados con Bienes Muebles estatal:</w:t>
      </w:r>
    </w:p>
    <w:p w:rsidR="006628A2" w:rsidRPr="004914A7" w:rsidRDefault="006628A2" w:rsidP="001B6FE0">
      <w:pPr>
        <w:suppressAutoHyphens/>
      </w:pPr>
    </w:p>
    <w:p w:rsidR="006628A2" w:rsidRPr="004914A7" w:rsidRDefault="00034E2C" w:rsidP="001B6FE0">
      <w:pPr>
        <w:suppressAutoHyphens/>
      </w:pPr>
      <w:r w:rsidRPr="004914A7">
        <w:t>      I. Para los efectos contemplados en la fracción I del artículo 25 de la ley referida, se entenderán, sin limitación, los siguientes supuestos:</w:t>
      </w:r>
    </w:p>
    <w:p w:rsidR="006628A2" w:rsidRPr="004914A7" w:rsidRDefault="006628A2" w:rsidP="001B6FE0">
      <w:pPr>
        <w:suppressAutoHyphens/>
      </w:pPr>
    </w:p>
    <w:p w:rsidR="006628A2" w:rsidRPr="004914A7" w:rsidRDefault="00034E2C" w:rsidP="001B6FE0">
      <w:pPr>
        <w:suppressAutoHyphens/>
      </w:pPr>
      <w:r w:rsidRPr="004914A7">
        <w:t xml:space="preserve">              a) Se trate de adquisiciones de bienes perecederos, medicamentos controlados, granos y productos alimenticios básicos o </w:t>
      </w:r>
      <w:proofErr w:type="spellStart"/>
      <w:r w:rsidRPr="004914A7">
        <w:t>semiprocesados</w:t>
      </w:r>
      <w:proofErr w:type="spellEnd"/>
      <w:r w:rsidRPr="004914A7">
        <w:t>, semovientes.</w:t>
      </w:r>
    </w:p>
    <w:p w:rsidR="006628A2" w:rsidRPr="004914A7" w:rsidRDefault="006628A2" w:rsidP="001B6FE0">
      <w:pPr>
        <w:suppressAutoHyphens/>
      </w:pPr>
    </w:p>
    <w:p w:rsidR="006628A2" w:rsidRPr="004914A7" w:rsidRDefault="00034E2C" w:rsidP="001B6FE0">
      <w:pPr>
        <w:suppressAutoHyphens/>
      </w:pPr>
      <w:r w:rsidRPr="004914A7">
        <w:t>      II. Para los efectos contemplados en la fracción II del artículo 25 de la ley en comento, se entenderán, sin limitación, los siguientes supuestos:</w:t>
      </w:r>
    </w:p>
    <w:p w:rsidR="006628A2" w:rsidRPr="004914A7" w:rsidRDefault="006628A2" w:rsidP="001B6FE0">
      <w:pPr>
        <w:suppressAutoHyphens/>
      </w:pPr>
    </w:p>
    <w:p w:rsidR="006628A2" w:rsidRPr="004914A7" w:rsidRDefault="00034E2C" w:rsidP="001B6FE0">
      <w:pPr>
        <w:suppressAutoHyphens/>
      </w:pPr>
      <w:r w:rsidRPr="004914A7">
        <w:t xml:space="preserve">              a) Derivado de caso fortuito o fuerza mayor, no sea posible obtener bienes, arrendamientos o servicios mediante el procedimiento de licitación pública en el tiempo requerido para atender la eventualidad de que se trate, en este </w:t>
      </w:r>
      <w:r w:rsidRPr="004914A7">
        <w:lastRenderedPageBreak/>
        <w:t>supuesto las cantidades deberán limitarse a lo estrictamente necesario para afrontarla.</w:t>
      </w:r>
    </w:p>
    <w:p w:rsidR="006628A2" w:rsidRPr="004914A7" w:rsidRDefault="006628A2" w:rsidP="001B6FE0">
      <w:pPr>
        <w:suppressAutoHyphens/>
      </w:pPr>
    </w:p>
    <w:p w:rsidR="006628A2" w:rsidRPr="004914A7" w:rsidRDefault="00034E2C" w:rsidP="001B6FE0">
      <w:pPr>
        <w:suppressAutoHyphens/>
      </w:pPr>
      <w:r w:rsidRPr="004914A7">
        <w:t>              b) Peligre o se altere el orden social, la economía, los servicios públicos, la salubridad, la seguridad o el ambiente, como consecuencia de caso fortuito o de fuerza mayor.</w:t>
      </w:r>
    </w:p>
    <w:p w:rsidR="006628A2" w:rsidRPr="004914A7" w:rsidRDefault="006628A2" w:rsidP="001B6FE0">
      <w:pPr>
        <w:suppressAutoHyphens/>
      </w:pPr>
    </w:p>
    <w:p w:rsidR="006628A2" w:rsidRPr="004914A7" w:rsidRDefault="00034E2C" w:rsidP="001B6FE0">
      <w:pPr>
        <w:suppressAutoHyphens/>
      </w:pPr>
      <w:r w:rsidRPr="004914A7">
        <w:t>              c) Se trate de adquisición, arrendamiento de bienes muebles o prestación de servicios relacionados directamente con la seguridad pública, cuya contratación mediante procedimientos de licitación ponga en riesgo la seguridad pública.</w:t>
      </w:r>
    </w:p>
    <w:p w:rsidR="006628A2" w:rsidRPr="004914A7" w:rsidRDefault="006628A2" w:rsidP="001B6FE0">
      <w:pPr>
        <w:suppressAutoHyphens/>
      </w:pPr>
    </w:p>
    <w:p w:rsidR="006628A2" w:rsidRPr="004914A7" w:rsidRDefault="00034E2C" w:rsidP="001B6FE0">
      <w:pPr>
        <w:suppressAutoHyphens/>
      </w:pPr>
      <w:r w:rsidRPr="004914A7">
        <w:t>              d) Se trate de adquisición, arrendamiento de bienes muebles o prestación de servicios que realicen las dependencias o entidades para someterlos a procesos productivos en cumplimiento de su objeto o para fines de comercialización.</w:t>
      </w:r>
    </w:p>
    <w:p w:rsidR="006628A2" w:rsidRPr="004914A7" w:rsidRDefault="006628A2" w:rsidP="001B6FE0">
      <w:pPr>
        <w:suppressAutoHyphens/>
      </w:pPr>
    </w:p>
    <w:p w:rsidR="006628A2" w:rsidRPr="004914A7" w:rsidRDefault="00034E2C" w:rsidP="001B6FE0">
      <w:pPr>
        <w:suppressAutoHyphens/>
      </w:pPr>
      <w:r w:rsidRPr="004914A7">
        <w:t>      III. Para los efectos contemplados en la fracción III del artículo 25 de la ley mencionada, se entenderán, sin limitación los siguientes supuestos:</w:t>
      </w:r>
    </w:p>
    <w:p w:rsidR="006628A2" w:rsidRPr="004914A7" w:rsidRDefault="006628A2" w:rsidP="001B6FE0">
      <w:pPr>
        <w:suppressAutoHyphens/>
      </w:pPr>
    </w:p>
    <w:p w:rsidR="006628A2" w:rsidRPr="004914A7" w:rsidRDefault="00034E2C" w:rsidP="001B6FE0">
      <w:pPr>
        <w:suppressAutoHyphens/>
      </w:pPr>
      <w:r w:rsidRPr="004914A7">
        <w:t>              a) La adquisición, arrendamiento de bienes muebles o prestación de servicios para los cuales no existan alternativas o sustitutos técnicamente razonables.</w:t>
      </w:r>
    </w:p>
    <w:p w:rsidR="006628A2" w:rsidRPr="004914A7" w:rsidRDefault="006628A2" w:rsidP="001B6FE0">
      <w:pPr>
        <w:suppressAutoHyphens/>
      </w:pPr>
    </w:p>
    <w:p w:rsidR="006628A2" w:rsidRPr="004914A7" w:rsidRDefault="00034E2C" w:rsidP="001B6FE0">
      <w:pPr>
        <w:suppressAutoHyphens/>
      </w:pPr>
      <w:r w:rsidRPr="004914A7">
        <w:t>              b) La adquisición, arrendamiento de bienes muebles o prestación de servicios para los cuales el contrato solo pueda celebrarse con un determinado postor que posee la titularidad o el licenciamiento exclusivo de patentes, derechos de autor u otros derechos exclusivos.</w:t>
      </w:r>
    </w:p>
    <w:p w:rsidR="006628A2" w:rsidRPr="004914A7" w:rsidRDefault="006628A2" w:rsidP="001B6FE0">
      <w:pPr>
        <w:suppressAutoHyphens/>
      </w:pPr>
    </w:p>
    <w:p w:rsidR="006628A2" w:rsidRPr="004914A7" w:rsidRDefault="00034E2C" w:rsidP="001B6FE0">
      <w:pPr>
        <w:suppressAutoHyphens/>
      </w:pPr>
      <w:r w:rsidRPr="004914A7">
        <w:t>              c) Existan circunstancias que puedan provocar pérdidas o costos económicos adicionales importantes, debidamente justificados y cuantificados. Este supuesto solamente aplica en casos de que el arrendamiento o servicios se esté prestando y su cambio a un nuevo proveedor o diferentes condiciones impliquen costos adicionales importantes; en todos los casos deberá presentarse un dictamen preciso y será exclusivamente por el período necesario en que prevalezca la condición.</w:t>
      </w:r>
    </w:p>
    <w:p w:rsidR="006628A2" w:rsidRPr="004914A7" w:rsidRDefault="006628A2" w:rsidP="001B6FE0">
      <w:pPr>
        <w:suppressAutoHyphens/>
      </w:pPr>
    </w:p>
    <w:p w:rsidR="006628A2" w:rsidRPr="004914A7" w:rsidRDefault="00034E2C" w:rsidP="001B6FE0">
      <w:pPr>
        <w:suppressAutoHyphens/>
      </w:pPr>
      <w:r w:rsidRPr="004914A7">
        <w:t xml:space="preserve">              d) Se haya rescindido o no se llegue a formalizar un contrato, o se cancele la adjudicación emitida en el fallo, resultado de un procedimiento de licitación pública o de contratación, mediante invitación considerando por lo menos tres propuestas, en cuyo caso se podrá adjudicar al postor que haya obtenido el segundo o ulterior lugar, siempre que la diferencia en precio con respecto a la </w:t>
      </w:r>
      <w:r w:rsidRPr="004914A7">
        <w:lastRenderedPageBreak/>
        <w:t>proposición inicialmente adjudicada no sea superior a un margen del diez por ciento.</w:t>
      </w:r>
    </w:p>
    <w:p w:rsidR="006628A2" w:rsidRPr="004914A7" w:rsidRDefault="006628A2" w:rsidP="001B6FE0">
      <w:pPr>
        <w:suppressAutoHyphens/>
      </w:pPr>
    </w:p>
    <w:p w:rsidR="006628A2" w:rsidRPr="004914A7" w:rsidRDefault="00034E2C" w:rsidP="001B6FE0">
      <w:pPr>
        <w:suppressAutoHyphens/>
      </w:pPr>
      <w:r w:rsidRPr="004914A7">
        <w:t>              e) Se haya declarado desierta una licitación pública, siempre que se mantengan los mismos requisitos técnicos establecidos en la convocatoria, bases y junta de aclaraciones.</w:t>
      </w:r>
    </w:p>
    <w:p w:rsidR="006628A2" w:rsidRPr="004914A7" w:rsidRDefault="006628A2" w:rsidP="001B6FE0">
      <w:pPr>
        <w:suppressAutoHyphens/>
      </w:pPr>
    </w:p>
    <w:p w:rsidR="006628A2" w:rsidRPr="004914A7" w:rsidRDefault="00034E2C" w:rsidP="001B6FE0">
      <w:pPr>
        <w:suppressAutoHyphens/>
      </w:pPr>
      <w:r w:rsidRPr="004914A7">
        <w:t>              f) Se trate de servicios de consultorías, asesorías, estudios, software, auditorías, investigaciones, capacitación y servicios de naturaleza similar.</w:t>
      </w:r>
    </w:p>
    <w:p w:rsidR="006628A2" w:rsidRPr="004914A7" w:rsidRDefault="006628A2" w:rsidP="001B6FE0">
      <w:pPr>
        <w:suppressAutoHyphens/>
      </w:pPr>
    </w:p>
    <w:p w:rsidR="006628A2" w:rsidRPr="004914A7" w:rsidRDefault="00034E2C" w:rsidP="001B6FE0">
      <w:pPr>
        <w:suppressAutoHyphens/>
      </w:pPr>
      <w:r w:rsidRPr="004914A7">
        <w:t>              g) Cuando se trate de arrendamiento de bienes inmuebles que, en razón de su ubicación o de las necesidades especiales del área solicitante, se tengan que realizar respecto de un bien específico.</w:t>
      </w:r>
    </w:p>
    <w:p w:rsidR="006628A2" w:rsidRPr="004914A7" w:rsidRDefault="006628A2" w:rsidP="001B6FE0">
      <w:pPr>
        <w:suppressAutoHyphens/>
      </w:pPr>
    </w:p>
    <w:p w:rsidR="006628A2" w:rsidRPr="004914A7" w:rsidRDefault="00034E2C" w:rsidP="001B6FE0">
      <w:pPr>
        <w:suppressAutoHyphens/>
      </w:pPr>
      <w:r w:rsidRPr="004914A7">
        <w:t>              h) Se acepte la adquisición de bienes o la prestación de servicios a título de dación en pago.</w:t>
      </w:r>
    </w:p>
    <w:p w:rsidR="006628A2" w:rsidRPr="004914A7" w:rsidRDefault="006628A2" w:rsidP="001B6FE0">
      <w:pPr>
        <w:suppressAutoHyphens/>
      </w:pPr>
    </w:p>
    <w:p w:rsidR="006628A2" w:rsidRPr="004914A7" w:rsidRDefault="00034E2C" w:rsidP="001B6FE0">
      <w:pPr>
        <w:suppressAutoHyphens/>
      </w:pPr>
      <w:r w:rsidRPr="004914A7">
        <w:t>              i) La contratación de personas físicas o morales de los que se adquieran bienes o proporcionen servicios de carácter cultural, deportivo, publicitario, artístico o científico, en los que no sea posible precisar la calidad, alcance o comparar resultados.</w:t>
      </w:r>
    </w:p>
    <w:p w:rsidR="006628A2" w:rsidRPr="004914A7" w:rsidRDefault="006628A2" w:rsidP="001B6FE0">
      <w:pPr>
        <w:suppressAutoHyphens/>
      </w:pPr>
    </w:p>
    <w:p w:rsidR="006628A2" w:rsidRPr="004914A7" w:rsidRDefault="00034E2C" w:rsidP="001B6FE0">
      <w:pPr>
        <w:suppressAutoHyphens/>
      </w:pPr>
      <w:r w:rsidRPr="004914A7">
        <w:t>              j) Cuando se trate de adquisiciones cuya contratación se realice con campesinos o grupos urbanos marginados y que la dependencia o entidad contrate directamente con los mismos o con las personas constituidas por ellos.</w:t>
      </w:r>
    </w:p>
    <w:p w:rsidR="006628A2" w:rsidRPr="004914A7" w:rsidRDefault="006628A2" w:rsidP="001B6FE0">
      <w:pPr>
        <w:suppressAutoHyphens/>
      </w:pPr>
    </w:p>
    <w:p w:rsidR="006628A2" w:rsidRPr="004914A7" w:rsidRDefault="00034E2C" w:rsidP="001B6FE0">
      <w:pPr>
        <w:suppressAutoHyphens/>
      </w:pPr>
      <w:r w:rsidRPr="004914A7">
        <w:t>      IV. Para los efectos contemplados en la fracción IV del artículo 25 de la ley a que se refiere este artículo, se entenderá, sin limitación, el siguiente supuesto:</w:t>
      </w:r>
    </w:p>
    <w:p w:rsidR="006628A2" w:rsidRPr="004914A7" w:rsidRDefault="006628A2" w:rsidP="001B6FE0">
      <w:pPr>
        <w:suppressAutoHyphens/>
      </w:pPr>
    </w:p>
    <w:p w:rsidR="006628A2" w:rsidRPr="004914A7" w:rsidRDefault="00034E2C" w:rsidP="001B6FE0">
      <w:pPr>
        <w:suppressAutoHyphens/>
      </w:pPr>
      <w:r w:rsidRPr="004914A7">
        <w:t>              a) Se trate de servicios de mantenimiento, conservación, restauración y reparación de bienes en los que no sea posible precisar su alcance, establecer el catálogo de conceptos y cantidades de trabajo o determinar las especificaciones correspondientes.</w:t>
      </w:r>
    </w:p>
    <w:p w:rsidR="006628A2" w:rsidRPr="004914A7" w:rsidRDefault="006628A2" w:rsidP="001B6FE0">
      <w:pPr>
        <w:suppressAutoHyphens/>
      </w:pPr>
    </w:p>
    <w:p w:rsidR="006628A2" w:rsidRPr="004914A7" w:rsidRDefault="00034E2C" w:rsidP="001B6FE0">
      <w:pPr>
        <w:suppressAutoHyphens/>
      </w:pPr>
      <w:r w:rsidRPr="004914A7">
        <w:t>Siempre y cuando cuenten previamente con la aprobación del Comité de Adquisiciones, Arrendamientos y Prestaciones de Servicios relacionados con Bienes Muebles de la dependencia o entidad de que realice el procedimiento de adjudicación, a excepción de los supuestos contemplados en la fracción III, incisos d, e, f, g, h, i, en cuyos casos, posterior a dicha aprobación, se requerirá además la autorización de la secretaría.</w:t>
      </w:r>
    </w:p>
    <w:p w:rsidR="006628A2" w:rsidRPr="004914A7" w:rsidRDefault="006628A2" w:rsidP="001B6FE0">
      <w:pPr>
        <w:suppressAutoHyphens/>
      </w:pPr>
    </w:p>
    <w:p w:rsidR="006628A2" w:rsidRPr="004914A7" w:rsidRDefault="00034E2C" w:rsidP="001B6FE0">
      <w:pPr>
        <w:suppressAutoHyphens/>
      </w:pPr>
      <w:r w:rsidRPr="004914A7">
        <w:rPr>
          <w:b/>
        </w:rPr>
        <w:lastRenderedPageBreak/>
        <w:t>Artículo 102. Reconocimiento de servicios con comprobantes</w:t>
      </w:r>
    </w:p>
    <w:p w:rsidR="006628A2" w:rsidRPr="004914A7" w:rsidRDefault="006628A2" w:rsidP="001B6FE0">
      <w:pPr>
        <w:suppressAutoHyphens/>
      </w:pPr>
    </w:p>
    <w:p w:rsidR="006628A2" w:rsidRPr="004914A7" w:rsidRDefault="00034E2C" w:rsidP="001B6FE0">
      <w:pPr>
        <w:suppressAutoHyphens/>
      </w:pPr>
      <w:r w:rsidRPr="004914A7">
        <w:t xml:space="preserve">Se autoriza a la </w:t>
      </w:r>
      <w:r w:rsidR="00413DD2" w:rsidRPr="004914A7">
        <w:t>s</w:t>
      </w:r>
      <w:r w:rsidRPr="004914A7">
        <w:t>ecretaría a pagar, con la sola presentación de los comprobantes respectivos, las obligaciones derivadas de servicios prestados a las dependencias por los siguientes conceptos:</w:t>
      </w:r>
    </w:p>
    <w:p w:rsidR="006628A2" w:rsidRPr="004914A7" w:rsidRDefault="006628A2" w:rsidP="001B6FE0">
      <w:pPr>
        <w:suppressAutoHyphens/>
      </w:pPr>
    </w:p>
    <w:p w:rsidR="006628A2" w:rsidRPr="004914A7" w:rsidRDefault="00034E2C" w:rsidP="001B6FE0">
      <w:pPr>
        <w:suppressAutoHyphens/>
      </w:pPr>
      <w:r w:rsidRPr="004914A7">
        <w:t>      I. Servicios de correspondencia postal y telegráfica, así ́como mensajería</w:t>
      </w:r>
      <w:r w:rsidR="0050255C" w:rsidRPr="004914A7">
        <w:t>.</w:t>
      </w:r>
    </w:p>
    <w:p w:rsidR="006628A2" w:rsidRPr="004914A7" w:rsidRDefault="006628A2" w:rsidP="001B6FE0">
      <w:pPr>
        <w:suppressAutoHyphens/>
      </w:pPr>
    </w:p>
    <w:p w:rsidR="006628A2" w:rsidRPr="004914A7" w:rsidRDefault="00034E2C" w:rsidP="001B6FE0">
      <w:pPr>
        <w:suppressAutoHyphens/>
      </w:pPr>
      <w:r w:rsidRPr="004914A7">
        <w:t>      II. Servicio telefónico e Internet</w:t>
      </w:r>
      <w:r w:rsidR="0050255C" w:rsidRPr="004914A7">
        <w:t>.</w:t>
      </w:r>
    </w:p>
    <w:p w:rsidR="006628A2" w:rsidRPr="004914A7" w:rsidRDefault="006628A2" w:rsidP="001B6FE0">
      <w:pPr>
        <w:suppressAutoHyphens/>
      </w:pPr>
    </w:p>
    <w:p w:rsidR="006628A2" w:rsidRPr="004914A7" w:rsidRDefault="00034E2C" w:rsidP="001B6FE0">
      <w:pPr>
        <w:suppressAutoHyphens/>
      </w:pPr>
      <w:r w:rsidRPr="004914A7">
        <w:t>      III. Suministro de energía eléctrica</w:t>
      </w:r>
      <w:r w:rsidR="0050255C" w:rsidRPr="004914A7">
        <w:t>.</w:t>
      </w:r>
    </w:p>
    <w:p w:rsidR="006628A2" w:rsidRPr="004914A7" w:rsidRDefault="006628A2" w:rsidP="001B6FE0">
      <w:pPr>
        <w:suppressAutoHyphens/>
      </w:pPr>
    </w:p>
    <w:p w:rsidR="006628A2" w:rsidRPr="004914A7" w:rsidRDefault="00034E2C" w:rsidP="001B6FE0">
      <w:pPr>
        <w:suppressAutoHyphens/>
      </w:pPr>
      <w:r w:rsidRPr="004914A7">
        <w:t>      IV. Suministro y servicios de agua.</w:t>
      </w:r>
    </w:p>
    <w:p w:rsidR="006628A2" w:rsidRPr="004914A7" w:rsidRDefault="006628A2" w:rsidP="001B6FE0">
      <w:pPr>
        <w:suppressAutoHyphens/>
      </w:pPr>
    </w:p>
    <w:p w:rsidR="006628A2" w:rsidRPr="004914A7" w:rsidRDefault="00034E2C" w:rsidP="001B6FE0">
      <w:pPr>
        <w:suppressAutoHyphens/>
      </w:pPr>
      <w:r w:rsidRPr="004914A7">
        <w:rPr>
          <w:b/>
        </w:rPr>
        <w:t>Artículo 103. Contratación de arrendamientos financieros de bienes</w:t>
      </w:r>
    </w:p>
    <w:p w:rsidR="006628A2" w:rsidRPr="004914A7" w:rsidRDefault="006628A2" w:rsidP="001B6FE0">
      <w:pPr>
        <w:suppressAutoHyphens/>
      </w:pPr>
    </w:p>
    <w:p w:rsidR="006628A2" w:rsidRPr="004914A7" w:rsidRDefault="00034E2C" w:rsidP="001B6FE0">
      <w:pPr>
        <w:suppressAutoHyphens/>
      </w:pPr>
      <w:r w:rsidRPr="004914A7">
        <w:t>Para la contratación de arrendamientos financieros de bienes muebles e inmuebles, las dependencias y entidades verificarán que las condiciones de pago ofrezcan ventajas en relación con otros medios de financiamiento y que el monto esté contemplado dentro del endeudamiento neto autorizado en este ejercicio fiscal.</w:t>
      </w:r>
    </w:p>
    <w:p w:rsidR="006628A2" w:rsidRPr="004914A7" w:rsidRDefault="006628A2" w:rsidP="001B6FE0">
      <w:pPr>
        <w:suppressAutoHyphens/>
      </w:pPr>
    </w:p>
    <w:p w:rsidR="006628A2" w:rsidRPr="004914A7" w:rsidRDefault="00034E2C" w:rsidP="001B6FE0">
      <w:pPr>
        <w:suppressAutoHyphens/>
      </w:pPr>
      <w:r w:rsidRPr="004914A7">
        <w:t xml:space="preserve">En estas contrataciones se deberá cumplir con lo establecido en la </w:t>
      </w:r>
      <w:r w:rsidR="00733761" w:rsidRPr="004914A7">
        <w:t>l</w:t>
      </w:r>
      <w:r w:rsidRPr="004914A7">
        <w:t>ey de disciplina financiera y demás disposiciones aplicables.</w:t>
      </w:r>
    </w:p>
    <w:p w:rsidR="006628A2" w:rsidRPr="004914A7" w:rsidRDefault="006628A2" w:rsidP="001B6FE0">
      <w:pPr>
        <w:suppressAutoHyphens/>
      </w:pPr>
    </w:p>
    <w:p w:rsidR="006628A2" w:rsidRPr="004914A7" w:rsidRDefault="00034E2C" w:rsidP="001B6FE0">
      <w:pPr>
        <w:suppressAutoHyphens/>
      </w:pPr>
      <w:r w:rsidRPr="004914A7">
        <w:rPr>
          <w:b/>
        </w:rPr>
        <w:t>Artículo 104. Aseguramiento</w:t>
      </w:r>
    </w:p>
    <w:p w:rsidR="006628A2" w:rsidRPr="004914A7" w:rsidRDefault="006628A2" w:rsidP="001B6FE0">
      <w:pPr>
        <w:suppressAutoHyphens/>
      </w:pPr>
    </w:p>
    <w:p w:rsidR="006628A2" w:rsidRPr="004914A7" w:rsidRDefault="00034E2C" w:rsidP="001B6FE0">
      <w:pPr>
        <w:suppressAutoHyphens/>
      </w:pPr>
      <w:r w:rsidRPr="004914A7">
        <w:t>Las dependencias y entidades serán responsables de celebrar los contratos necesarios a fin de asegurar adecuadamente los bienes patrimoniales de su propiedad, así como los que bajo cualquier título posean o tengan asignados en cumplimiento de la normativa aplicable.</w:t>
      </w:r>
    </w:p>
    <w:p w:rsidR="006628A2" w:rsidRPr="004914A7" w:rsidRDefault="006628A2" w:rsidP="001B6FE0">
      <w:pPr>
        <w:suppressAutoHyphens/>
      </w:pPr>
    </w:p>
    <w:p w:rsidR="006628A2" w:rsidRPr="004914A7" w:rsidRDefault="00034E2C" w:rsidP="001B6FE0">
      <w:pPr>
        <w:suppressAutoHyphens/>
      </w:pPr>
      <w:r w:rsidRPr="004914A7">
        <w:t>Las dependencias informarán a la secretaría del inventario de bienes patrimoniales que tengan asignados o que bajo cualquier título posean, a fin de que sean considerados en la contabilidad gubernamental, en el ámbito patrimonial.</w:t>
      </w:r>
    </w:p>
    <w:p w:rsidR="006628A2" w:rsidRPr="004914A7" w:rsidRDefault="006628A2" w:rsidP="001B6FE0">
      <w:pPr>
        <w:suppressAutoHyphens/>
      </w:pPr>
    </w:p>
    <w:p w:rsidR="006628A2" w:rsidRPr="004914A7" w:rsidRDefault="00034E2C" w:rsidP="001B6FE0">
      <w:pPr>
        <w:pStyle w:val="Ttulo2"/>
        <w:suppressAutoHyphens/>
      </w:pPr>
      <w:bookmarkStart w:id="44" w:name="título-sexto"/>
      <w:r w:rsidRPr="004914A7">
        <w:t>Título sexto</w:t>
      </w:r>
      <w:bookmarkEnd w:id="44"/>
    </w:p>
    <w:p w:rsidR="006628A2" w:rsidRPr="004914A7" w:rsidRDefault="00034E2C" w:rsidP="001B6FE0">
      <w:pPr>
        <w:pStyle w:val="Ttulo2"/>
        <w:suppressAutoHyphens/>
      </w:pPr>
      <w:bookmarkStart w:id="45" w:name="seguimiento-y-evaluación-del-desempeño"/>
      <w:r w:rsidRPr="004914A7">
        <w:t>Seguimiento y evaluación del desempeño</w:t>
      </w:r>
      <w:bookmarkEnd w:id="45"/>
    </w:p>
    <w:p w:rsidR="006628A2" w:rsidRPr="004914A7" w:rsidRDefault="006628A2" w:rsidP="001B6FE0">
      <w:pPr>
        <w:suppressAutoHyphens/>
      </w:pPr>
    </w:p>
    <w:p w:rsidR="006628A2" w:rsidRPr="004914A7" w:rsidRDefault="00034E2C" w:rsidP="001B6FE0">
      <w:pPr>
        <w:pStyle w:val="Ttulo2"/>
        <w:suppressAutoHyphens/>
      </w:pPr>
      <w:bookmarkStart w:id="46" w:name="capítulo-i-4"/>
      <w:r w:rsidRPr="004914A7">
        <w:lastRenderedPageBreak/>
        <w:t>Capítulo I</w:t>
      </w:r>
      <w:bookmarkEnd w:id="46"/>
    </w:p>
    <w:p w:rsidR="006628A2" w:rsidRPr="004914A7" w:rsidRDefault="00034E2C" w:rsidP="001B6FE0">
      <w:pPr>
        <w:pStyle w:val="Ttulo2"/>
        <w:suppressAutoHyphens/>
      </w:pPr>
      <w:bookmarkStart w:id="47" w:name="presupuesto-basado-en-resultados"/>
      <w:r w:rsidRPr="004914A7">
        <w:t>Presupuesto basado en resultados</w:t>
      </w:r>
      <w:bookmarkEnd w:id="47"/>
    </w:p>
    <w:p w:rsidR="006628A2" w:rsidRPr="004914A7" w:rsidRDefault="006628A2" w:rsidP="001B6FE0">
      <w:pPr>
        <w:suppressAutoHyphens/>
      </w:pPr>
    </w:p>
    <w:p w:rsidR="006628A2" w:rsidRPr="004914A7" w:rsidRDefault="00034E2C" w:rsidP="001B6FE0">
      <w:pPr>
        <w:suppressAutoHyphens/>
      </w:pPr>
      <w:r w:rsidRPr="004914A7">
        <w:rPr>
          <w:b/>
        </w:rPr>
        <w:t>Artículo 105. Programas presupuestarios</w:t>
      </w:r>
    </w:p>
    <w:p w:rsidR="006628A2" w:rsidRPr="004914A7" w:rsidRDefault="006628A2" w:rsidP="001B6FE0">
      <w:pPr>
        <w:suppressAutoHyphens/>
      </w:pPr>
    </w:p>
    <w:p w:rsidR="006628A2" w:rsidRPr="004914A7" w:rsidRDefault="00034E2C" w:rsidP="001B6FE0">
      <w:pPr>
        <w:suppressAutoHyphens/>
      </w:pPr>
      <w:r w:rsidRPr="004914A7">
        <w:t>El presupuesto contiene 130 programas presupuestarios que serán instrumentados durante el ejercicio fiscal 2021. Del número total de programas presupuestarios, 117, es decir, el 90% forma parte del Presupuesto basado en Resultados del Poder Ejecutivo y las entidades paraestatales, los cuales cuentan con matrices de indicadores y dan cobertura al 100% del presupuesto asignado a estos entes públicos; y 13 que representan el 10% corresponde a los organismos autónomos y a los poderes.</w:t>
      </w:r>
    </w:p>
    <w:p w:rsidR="006628A2" w:rsidRPr="004914A7" w:rsidRDefault="006628A2" w:rsidP="001B6FE0">
      <w:pPr>
        <w:suppressAutoHyphens/>
      </w:pPr>
    </w:p>
    <w:p w:rsidR="006628A2" w:rsidRPr="004914A7" w:rsidRDefault="00034E2C" w:rsidP="001B6FE0">
      <w:pPr>
        <w:suppressAutoHyphens/>
      </w:pPr>
      <w:r w:rsidRPr="004914A7">
        <w:t>La información de los programas presupuestarios por unidades responsables, así como las matrices de indicadores para resultados de cada uno se presentan en el tomo V del presente decreto.</w:t>
      </w:r>
    </w:p>
    <w:p w:rsidR="006628A2" w:rsidRPr="004914A7" w:rsidRDefault="006628A2" w:rsidP="001B6FE0">
      <w:pPr>
        <w:suppressAutoHyphens/>
      </w:pPr>
    </w:p>
    <w:p w:rsidR="006628A2" w:rsidRPr="004914A7" w:rsidRDefault="00034E2C" w:rsidP="001B6FE0">
      <w:pPr>
        <w:suppressAutoHyphens/>
      </w:pPr>
      <w:r w:rsidRPr="004914A7">
        <w:t xml:space="preserve">Adicionalmente, se presenta información de las asignaciones presupuestales de los programas presupuestarios con relación a sus características, aplicación de los recursos asignados y fuente de financiamiento en los anexos 7.1. </w:t>
      </w:r>
      <w:proofErr w:type="gramStart"/>
      <w:r w:rsidRPr="004914A7">
        <w:t>al</w:t>
      </w:r>
      <w:proofErr w:type="gramEnd"/>
      <w:r w:rsidRPr="004914A7">
        <w:t xml:space="preserve"> 7.6.</w:t>
      </w:r>
    </w:p>
    <w:p w:rsidR="006628A2" w:rsidRPr="004914A7" w:rsidRDefault="006628A2" w:rsidP="001B6FE0">
      <w:pPr>
        <w:suppressAutoHyphens/>
      </w:pPr>
    </w:p>
    <w:p w:rsidR="006628A2" w:rsidRPr="004914A7" w:rsidRDefault="00034E2C" w:rsidP="001B6FE0">
      <w:pPr>
        <w:suppressAutoHyphens/>
      </w:pPr>
      <w:r w:rsidRPr="004914A7">
        <w:rPr>
          <w:b/>
        </w:rPr>
        <w:t>Artículo 106. Perspectivas transversales</w:t>
      </w:r>
    </w:p>
    <w:p w:rsidR="006628A2" w:rsidRPr="004914A7" w:rsidRDefault="006628A2" w:rsidP="001B6FE0">
      <w:pPr>
        <w:suppressAutoHyphens/>
      </w:pPr>
    </w:p>
    <w:p w:rsidR="006628A2" w:rsidRPr="004914A7" w:rsidRDefault="00034E2C" w:rsidP="001B6FE0">
      <w:pPr>
        <w:suppressAutoHyphens/>
      </w:pPr>
      <w:r w:rsidRPr="004914A7">
        <w:t>Es obligación de las dependencias y entidades de la Administración Pública del estado, incorporar a las intervenciones públicas y al ejercicio de sus funciones, la perspectiva de género, la atención a los derechos de la infancia y la adolescencia, la etnia y los derechos humanos. Es necesario que estas perspectivas transversales se incorporen en todas las fases de los programas públicos: el diseño y la selección de alternativas, la ejecución, el control, el seguimiento y la evaluación.</w:t>
      </w:r>
    </w:p>
    <w:p w:rsidR="006628A2" w:rsidRPr="004914A7" w:rsidRDefault="006628A2" w:rsidP="001B6FE0">
      <w:pPr>
        <w:suppressAutoHyphens/>
      </w:pPr>
    </w:p>
    <w:p w:rsidR="006628A2" w:rsidRPr="004914A7" w:rsidRDefault="00034E2C" w:rsidP="001B6FE0">
      <w:pPr>
        <w:suppressAutoHyphens/>
      </w:pPr>
      <w:r w:rsidRPr="004914A7">
        <w:t xml:space="preserve">Los montos identificados en el presupuesto 2021 que atienden las perspectivas transversales se presentan en los anexos 18.1. </w:t>
      </w:r>
      <w:proofErr w:type="gramStart"/>
      <w:r w:rsidRPr="004914A7">
        <w:t>al</w:t>
      </w:r>
      <w:proofErr w:type="gramEnd"/>
      <w:r w:rsidRPr="004914A7">
        <w:t xml:space="preserve"> 18.6.</w:t>
      </w:r>
    </w:p>
    <w:p w:rsidR="006628A2" w:rsidRPr="004914A7" w:rsidRDefault="006628A2" w:rsidP="001B6FE0">
      <w:pPr>
        <w:suppressAutoHyphens/>
      </w:pPr>
    </w:p>
    <w:p w:rsidR="006628A2" w:rsidRPr="004914A7" w:rsidRDefault="00034E2C" w:rsidP="001B6FE0">
      <w:pPr>
        <w:pStyle w:val="Ttulo2"/>
        <w:suppressAutoHyphens/>
      </w:pPr>
      <w:bookmarkStart w:id="48" w:name="capítulo-ii-4"/>
      <w:r w:rsidRPr="004914A7">
        <w:t>Capítulo II</w:t>
      </w:r>
      <w:bookmarkEnd w:id="48"/>
    </w:p>
    <w:p w:rsidR="006628A2" w:rsidRPr="004914A7" w:rsidRDefault="00034E2C" w:rsidP="001B6FE0">
      <w:pPr>
        <w:pStyle w:val="Ttulo2"/>
        <w:suppressAutoHyphens/>
      </w:pPr>
      <w:bookmarkStart w:id="49" w:name="seguimiento-y-evaluación-del-desempeño-1"/>
      <w:r w:rsidRPr="004914A7">
        <w:t>Seguimiento y evaluación del desempeño</w:t>
      </w:r>
      <w:bookmarkEnd w:id="49"/>
    </w:p>
    <w:p w:rsidR="006628A2" w:rsidRPr="004914A7" w:rsidRDefault="006628A2" w:rsidP="001B6FE0">
      <w:pPr>
        <w:suppressAutoHyphens/>
      </w:pPr>
    </w:p>
    <w:p w:rsidR="006628A2" w:rsidRPr="004914A7" w:rsidRDefault="00034E2C" w:rsidP="001B6FE0">
      <w:pPr>
        <w:suppressAutoHyphens/>
      </w:pPr>
      <w:r w:rsidRPr="004914A7">
        <w:rPr>
          <w:b/>
        </w:rPr>
        <w:t>Artículo 107. Sistema de Seguimiento y Evaluación del Desempeño</w:t>
      </w:r>
    </w:p>
    <w:p w:rsidR="006628A2" w:rsidRPr="004914A7" w:rsidRDefault="006628A2" w:rsidP="001B6FE0">
      <w:pPr>
        <w:suppressAutoHyphens/>
      </w:pPr>
    </w:p>
    <w:p w:rsidR="006628A2" w:rsidRPr="004914A7" w:rsidRDefault="00034E2C" w:rsidP="001B6FE0">
      <w:pPr>
        <w:suppressAutoHyphens/>
      </w:pPr>
      <w:r w:rsidRPr="004914A7">
        <w:lastRenderedPageBreak/>
        <w:t>Las dependencias y entidades atenderán los requerimientos del Sistema de Seguimiento y Evaluación del Desempeño, con base en la normativa emitida por la SEPLAN.</w:t>
      </w:r>
    </w:p>
    <w:p w:rsidR="006628A2" w:rsidRPr="004914A7" w:rsidRDefault="006628A2" w:rsidP="001B6FE0">
      <w:pPr>
        <w:suppressAutoHyphens/>
      </w:pPr>
    </w:p>
    <w:p w:rsidR="006628A2" w:rsidRPr="004914A7" w:rsidRDefault="00034E2C" w:rsidP="001B6FE0">
      <w:pPr>
        <w:suppressAutoHyphens/>
      </w:pPr>
      <w:r w:rsidRPr="004914A7">
        <w:rPr>
          <w:b/>
        </w:rPr>
        <w:t>Artículo 108. Seguimiento</w:t>
      </w:r>
    </w:p>
    <w:p w:rsidR="006628A2" w:rsidRPr="004914A7" w:rsidRDefault="006628A2" w:rsidP="001B6FE0">
      <w:pPr>
        <w:suppressAutoHyphens/>
      </w:pPr>
    </w:p>
    <w:p w:rsidR="006628A2" w:rsidRPr="004914A7" w:rsidRDefault="00034E2C" w:rsidP="001B6FE0">
      <w:pPr>
        <w:suppressAutoHyphens/>
      </w:pPr>
      <w:r w:rsidRPr="004914A7">
        <w:t>La SEPLAN dará seguimiento a los avances en el cumplimiento de las metas de los indicadores de los programas presupuestarios, los cuales se utilizarán en las evaluaciones que se realicen, y los incorporará a los informes trimestrales. El seguimiento mediante indicadores de desempeño de los programas presupuestarios se llevará a cabo conforme a los lineamientos emitidos por la SEPLAN.</w:t>
      </w:r>
    </w:p>
    <w:p w:rsidR="006628A2" w:rsidRPr="004914A7" w:rsidRDefault="006628A2" w:rsidP="001B6FE0">
      <w:pPr>
        <w:suppressAutoHyphens/>
      </w:pPr>
    </w:p>
    <w:p w:rsidR="006628A2" w:rsidRPr="004914A7" w:rsidRDefault="00034E2C" w:rsidP="001B6FE0">
      <w:pPr>
        <w:suppressAutoHyphens/>
      </w:pPr>
      <w:r w:rsidRPr="004914A7">
        <w:rPr>
          <w:b/>
        </w:rPr>
        <w:t>Artículo 109. Evaluación</w:t>
      </w:r>
    </w:p>
    <w:p w:rsidR="006628A2" w:rsidRPr="004914A7" w:rsidRDefault="006628A2" w:rsidP="001B6FE0">
      <w:pPr>
        <w:suppressAutoHyphens/>
      </w:pPr>
    </w:p>
    <w:p w:rsidR="006628A2" w:rsidRPr="004914A7" w:rsidRDefault="00034E2C" w:rsidP="001B6FE0">
      <w:pPr>
        <w:suppressAutoHyphens/>
      </w:pPr>
      <w:r w:rsidRPr="004914A7">
        <w:t>La evaluación de los programas presupuestarios a cargo de las dependencias y entidades se sujetará a lo establecido en los Lineamientos generales del Sistema de Seguimiento y Evaluación del Desempeño, la Ley del Presupuesto y Contabilidad Gubernamental del Estado de Yucatán, su reglamento y a las demás disposiciones legales aplicables; y se llevará a cabo en los términos del programa anual de evaluación que emita la SEPLAN. Los términos de referencia y el informe de resultados de las evaluaciones se implementarán, mediante el programa anual de evaluación, con base en la normativa emitida para tal efecto.</w:t>
      </w:r>
    </w:p>
    <w:p w:rsidR="006628A2" w:rsidRPr="004914A7" w:rsidRDefault="006628A2" w:rsidP="001B6FE0">
      <w:pPr>
        <w:suppressAutoHyphens/>
      </w:pPr>
    </w:p>
    <w:p w:rsidR="006628A2" w:rsidRPr="004914A7" w:rsidRDefault="00034E2C" w:rsidP="001B6FE0">
      <w:pPr>
        <w:suppressAutoHyphens/>
      </w:pPr>
      <w:r w:rsidRPr="004914A7">
        <w:t>Con el fin de realizar el seguimiento y evaluar los resultados de la gestión, las dependencias y entidades de la Administración Pública del estado deberán prever la integración de la información estadística y geográfica necesaria para el cálculo confiable de los indicadores, a la vez que deberán facilitar la información necesaria para garantizar la credibilidad de las evaluaciones que se realicen.</w:t>
      </w:r>
    </w:p>
    <w:p w:rsidR="006628A2" w:rsidRPr="004914A7" w:rsidRDefault="006628A2" w:rsidP="001B6FE0">
      <w:pPr>
        <w:suppressAutoHyphens/>
      </w:pPr>
    </w:p>
    <w:p w:rsidR="006628A2" w:rsidRPr="004914A7" w:rsidRDefault="00034E2C" w:rsidP="001B6FE0">
      <w:pPr>
        <w:suppressAutoHyphens/>
      </w:pPr>
      <w:r w:rsidRPr="004914A7">
        <w:rPr>
          <w:b/>
        </w:rPr>
        <w:t>Artículo 110. Programa anual de evaluación</w:t>
      </w:r>
    </w:p>
    <w:p w:rsidR="006628A2" w:rsidRPr="004914A7" w:rsidRDefault="006628A2" w:rsidP="001B6FE0">
      <w:pPr>
        <w:suppressAutoHyphens/>
      </w:pPr>
    </w:p>
    <w:p w:rsidR="006628A2" w:rsidRPr="004914A7" w:rsidRDefault="00034E2C" w:rsidP="001B6FE0">
      <w:pPr>
        <w:suppressAutoHyphens/>
      </w:pPr>
      <w:r w:rsidRPr="004914A7">
        <w:t>La SEPLAN elaborará y publicará el programa anual de evaluación a más tardar el último día natural del mes abril. Para este fin, deberá tomar las previsiones para el financiamiento de las evaluaciones y, en su caso, de su contratación, en términos de las disposiciones normativas aplicables.</w:t>
      </w:r>
    </w:p>
    <w:p w:rsidR="006628A2" w:rsidRPr="004914A7" w:rsidRDefault="006628A2" w:rsidP="001B6FE0">
      <w:pPr>
        <w:suppressAutoHyphens/>
      </w:pPr>
    </w:p>
    <w:p w:rsidR="006628A2" w:rsidRPr="004914A7" w:rsidRDefault="00034E2C" w:rsidP="001B6FE0">
      <w:pPr>
        <w:suppressAutoHyphens/>
      </w:pPr>
      <w:r w:rsidRPr="004914A7">
        <w:t xml:space="preserve">El proceso de evaluación será coordinado por la SEPLAN, y en él deberán participar las dependencias y entidades de la Administración Pública </w:t>
      </w:r>
      <w:r w:rsidR="005A05AE" w:rsidRPr="004914A7">
        <w:t>e</w:t>
      </w:r>
      <w:r w:rsidRPr="004914A7">
        <w:t>statal mediante la entrega de los datos y demás información que se solicite.</w:t>
      </w:r>
      <w:r w:rsidR="005A05AE" w:rsidRPr="004914A7">
        <w:t xml:space="preserve"> </w:t>
      </w:r>
      <w:r w:rsidRPr="004914A7">
        <w:t xml:space="preserve">Los entes públicos deberán publicar los informes de evaluación en sus sitios de internet, </w:t>
      </w:r>
      <w:r w:rsidRPr="004914A7">
        <w:lastRenderedPageBreak/>
        <w:t>dentro de los</w:t>
      </w:r>
      <w:r w:rsidR="005A05AE" w:rsidRPr="004914A7">
        <w:t xml:space="preserve"> treinta</w:t>
      </w:r>
      <w:r w:rsidR="00CE324C" w:rsidRPr="004914A7">
        <w:t xml:space="preserve"> </w:t>
      </w:r>
      <w:r w:rsidRPr="004914A7">
        <w:t>días hábiles siguientes a la fecha en que sean entregados por la SEPLAN.</w:t>
      </w:r>
    </w:p>
    <w:p w:rsidR="006628A2" w:rsidRPr="004914A7" w:rsidRDefault="006628A2" w:rsidP="001B6FE0">
      <w:pPr>
        <w:suppressAutoHyphens/>
      </w:pPr>
    </w:p>
    <w:p w:rsidR="006628A2" w:rsidRPr="004914A7" w:rsidRDefault="00034E2C" w:rsidP="001B6FE0">
      <w:pPr>
        <w:suppressAutoHyphens/>
      </w:pPr>
      <w:r w:rsidRPr="004914A7">
        <w:rPr>
          <w:b/>
        </w:rPr>
        <w:t>Artículo 111. Aspectos susceptibles de mejora</w:t>
      </w:r>
    </w:p>
    <w:p w:rsidR="006628A2" w:rsidRPr="004914A7" w:rsidRDefault="006628A2" w:rsidP="001B6FE0">
      <w:pPr>
        <w:suppressAutoHyphens/>
      </w:pPr>
    </w:p>
    <w:p w:rsidR="006628A2" w:rsidRPr="004914A7" w:rsidRDefault="00034E2C" w:rsidP="001B6FE0">
      <w:pPr>
        <w:suppressAutoHyphens/>
      </w:pPr>
      <w:r w:rsidRPr="004914A7">
        <w:t>Las dependencias y entidades de la Administración Pública Estatal deberán tomar en consideración las recomendaciones emitidas en los informes de evaluación para la mejora del diseño e implementación de sus intervenciones públicas.</w:t>
      </w:r>
    </w:p>
    <w:p w:rsidR="006628A2" w:rsidRPr="004914A7" w:rsidRDefault="006628A2" w:rsidP="001B6FE0">
      <w:pPr>
        <w:suppressAutoHyphens/>
      </w:pPr>
    </w:p>
    <w:p w:rsidR="006628A2" w:rsidRPr="004914A7" w:rsidRDefault="00034E2C" w:rsidP="001B6FE0">
      <w:pPr>
        <w:suppressAutoHyphens/>
      </w:pPr>
      <w:r w:rsidRPr="004914A7">
        <w:t>Las recomendaciones adoptadas constituirán aspectos susceptibles de mejora.</w:t>
      </w:r>
    </w:p>
    <w:p w:rsidR="006628A2" w:rsidRPr="004914A7" w:rsidRDefault="006628A2" w:rsidP="001B6FE0">
      <w:pPr>
        <w:suppressAutoHyphens/>
      </w:pPr>
    </w:p>
    <w:p w:rsidR="006628A2" w:rsidRPr="004914A7" w:rsidRDefault="00034E2C" w:rsidP="001B6FE0">
      <w:pPr>
        <w:suppressAutoHyphens/>
      </w:pPr>
      <w:r w:rsidRPr="004914A7">
        <w:t xml:space="preserve">La SEPLAN establecerá los mecanismos para el análisis, identificación, selección y clasificación de las recomendaciones, así como también, para el seguimiento de los aspectos susceptibles de mejora a los que se deberán ajustar las dependencias y entidades de la Administración Pública </w:t>
      </w:r>
      <w:r w:rsidR="005A05AE" w:rsidRPr="004914A7">
        <w:t>e</w:t>
      </w:r>
      <w:r w:rsidRPr="004914A7">
        <w:t>statal.</w:t>
      </w:r>
    </w:p>
    <w:p w:rsidR="006628A2" w:rsidRPr="004914A7" w:rsidRDefault="006628A2" w:rsidP="001B6FE0">
      <w:pPr>
        <w:suppressAutoHyphens/>
      </w:pPr>
    </w:p>
    <w:p w:rsidR="006628A2" w:rsidRPr="004914A7" w:rsidRDefault="00034E2C" w:rsidP="001B6FE0">
      <w:pPr>
        <w:suppressAutoHyphens/>
      </w:pPr>
      <w:r w:rsidRPr="004914A7">
        <w:rPr>
          <w:b/>
        </w:rPr>
        <w:t>Artículo 112. Informe trimestral de seguimiento a los aspectos susceptibles de mejora</w:t>
      </w:r>
    </w:p>
    <w:p w:rsidR="006628A2" w:rsidRPr="004914A7" w:rsidRDefault="006628A2" w:rsidP="001B6FE0">
      <w:pPr>
        <w:suppressAutoHyphens/>
      </w:pPr>
    </w:p>
    <w:p w:rsidR="006628A2" w:rsidRPr="004914A7" w:rsidRDefault="00034E2C" w:rsidP="001B6FE0">
      <w:pPr>
        <w:suppressAutoHyphens/>
      </w:pPr>
      <w:r w:rsidRPr="004914A7">
        <w:t>La SEPLAN elaborará un informe trimestral que contenga el avance en el cumplimiento de los aspectos susceptibles de mejora, el cual remitirá a la secretaría, dentro de los veinte días naturales siguientes al término del trimestre que se informa.</w:t>
      </w:r>
    </w:p>
    <w:p w:rsidR="006628A2" w:rsidRDefault="006628A2" w:rsidP="001B6FE0">
      <w:pPr>
        <w:suppressAutoHyphens/>
      </w:pPr>
    </w:p>
    <w:p w:rsidR="00976C88" w:rsidRDefault="00976C88" w:rsidP="001B6FE0">
      <w:pPr>
        <w:suppressAutoHyphens/>
      </w:pPr>
    </w:p>
    <w:p w:rsidR="00976C88" w:rsidRPr="004914A7" w:rsidRDefault="00976C88" w:rsidP="001B6FE0">
      <w:pPr>
        <w:suppressAutoHyphens/>
      </w:pPr>
    </w:p>
    <w:p w:rsidR="006628A2" w:rsidRPr="004914A7" w:rsidRDefault="00034E2C" w:rsidP="001B6FE0">
      <w:pPr>
        <w:suppressAutoHyphens/>
      </w:pPr>
      <w:r w:rsidRPr="004914A7">
        <w:rPr>
          <w:b/>
        </w:rPr>
        <w:t>Artículo 113. Consideraciones presupuestales</w:t>
      </w:r>
    </w:p>
    <w:p w:rsidR="006628A2" w:rsidRPr="004914A7" w:rsidRDefault="006628A2" w:rsidP="001B6FE0">
      <w:pPr>
        <w:suppressAutoHyphens/>
      </w:pPr>
    </w:p>
    <w:p w:rsidR="006628A2" w:rsidRPr="004914A7" w:rsidRDefault="00034E2C" w:rsidP="001B6FE0">
      <w:pPr>
        <w:suppressAutoHyphens/>
      </w:pPr>
      <w:r w:rsidRPr="004914A7">
        <w:t>Las recomendaciones que adopten las dependencias y entidades y se comprometan a través de aspectos susceptibles de mejora se utilizarán para mejorar la calidad del gasto público y para que las intervenciones públicas se orienten a resultados.</w:t>
      </w:r>
    </w:p>
    <w:p w:rsidR="006628A2" w:rsidRPr="004914A7" w:rsidRDefault="006628A2" w:rsidP="001B6FE0">
      <w:pPr>
        <w:suppressAutoHyphens/>
      </w:pPr>
    </w:p>
    <w:p w:rsidR="006628A2" w:rsidRPr="004914A7" w:rsidRDefault="00034E2C" w:rsidP="001B6FE0">
      <w:pPr>
        <w:suppressAutoHyphens/>
      </w:pPr>
      <w:r w:rsidRPr="004914A7">
        <w:t>La SEPLAN, con base en las recomendaciones y el avance de los aspectos susceptibles de mejora, emitirá las consideraciones presupuestales que podrán ser aplicables durante el proceso presupuestario de 2021 que impacte en el siguiente ejercicio fiscal.</w:t>
      </w:r>
    </w:p>
    <w:p w:rsidR="006628A2" w:rsidRPr="004914A7" w:rsidRDefault="006628A2" w:rsidP="001B6FE0">
      <w:pPr>
        <w:suppressAutoHyphens/>
      </w:pPr>
    </w:p>
    <w:p w:rsidR="006628A2" w:rsidRPr="004914A7" w:rsidRDefault="00034E2C" w:rsidP="001B6FE0">
      <w:pPr>
        <w:suppressAutoHyphens/>
      </w:pPr>
      <w:r w:rsidRPr="004914A7">
        <w:rPr>
          <w:b/>
        </w:rPr>
        <w:t>Artículo 114. Capacitación en materia de planeación y evaluación</w:t>
      </w:r>
    </w:p>
    <w:p w:rsidR="006628A2" w:rsidRPr="004914A7" w:rsidRDefault="006628A2" w:rsidP="001B6FE0">
      <w:pPr>
        <w:suppressAutoHyphens/>
      </w:pPr>
    </w:p>
    <w:p w:rsidR="006628A2" w:rsidRPr="004914A7" w:rsidRDefault="00034E2C" w:rsidP="001B6FE0">
      <w:pPr>
        <w:suppressAutoHyphens/>
      </w:pPr>
      <w:r w:rsidRPr="004914A7">
        <w:lastRenderedPageBreak/>
        <w:t>La SEPLAN capacitará a los servidores públicos involucrados en las funciones de planeación, seguimiento y evaluación.</w:t>
      </w:r>
    </w:p>
    <w:p w:rsidR="006628A2" w:rsidRPr="004914A7" w:rsidRDefault="006628A2" w:rsidP="001B6FE0">
      <w:pPr>
        <w:suppressAutoHyphens/>
      </w:pPr>
    </w:p>
    <w:p w:rsidR="006628A2" w:rsidRPr="004914A7" w:rsidRDefault="00034E2C" w:rsidP="001B6FE0">
      <w:pPr>
        <w:pStyle w:val="Ttulo2"/>
        <w:suppressAutoHyphens/>
      </w:pPr>
      <w:bookmarkStart w:id="50" w:name="capítulo-iii-2"/>
      <w:r w:rsidRPr="004914A7">
        <w:t>Capítulo III</w:t>
      </w:r>
      <w:bookmarkEnd w:id="50"/>
    </w:p>
    <w:p w:rsidR="006628A2" w:rsidRPr="004914A7" w:rsidRDefault="00034E2C" w:rsidP="001B6FE0">
      <w:pPr>
        <w:pStyle w:val="Ttulo2"/>
        <w:suppressAutoHyphens/>
      </w:pPr>
      <w:bookmarkStart w:id="51" w:name="seguimiento-y-vigilancia-del-presupuesto"/>
      <w:r w:rsidRPr="004914A7">
        <w:t>Seguimiento y vigilancia del presupuesto</w:t>
      </w:r>
      <w:bookmarkEnd w:id="51"/>
    </w:p>
    <w:p w:rsidR="006628A2" w:rsidRPr="004914A7" w:rsidRDefault="006628A2" w:rsidP="001B6FE0">
      <w:pPr>
        <w:suppressAutoHyphens/>
      </w:pPr>
    </w:p>
    <w:p w:rsidR="006628A2" w:rsidRPr="004914A7" w:rsidRDefault="00034E2C" w:rsidP="001B6FE0">
      <w:pPr>
        <w:suppressAutoHyphens/>
      </w:pPr>
      <w:r w:rsidRPr="004914A7">
        <w:rPr>
          <w:b/>
        </w:rPr>
        <w:t>Artículo 115. Colaboración</w:t>
      </w:r>
    </w:p>
    <w:p w:rsidR="006628A2" w:rsidRPr="004914A7" w:rsidRDefault="006628A2" w:rsidP="001B6FE0">
      <w:pPr>
        <w:suppressAutoHyphens/>
      </w:pPr>
    </w:p>
    <w:p w:rsidR="006628A2" w:rsidRPr="004914A7" w:rsidRDefault="00034E2C" w:rsidP="001B6FE0">
      <w:pPr>
        <w:suppressAutoHyphens/>
      </w:pPr>
      <w:r w:rsidRPr="004914A7">
        <w:t>Para el eficaz cumplimiento de este decreto, el Poder Ejecutivo y los poderes</w:t>
      </w:r>
      <w:r w:rsidR="005A05AE" w:rsidRPr="004914A7">
        <w:t xml:space="preserve"> Ejecutivo y Judicial</w:t>
      </w:r>
      <w:r w:rsidRPr="004914A7">
        <w:t>, en coordinación con los municipios, colaborarán entre sí para asegurar las mejores condiciones de probidad y veracidad en el intercambio de información presupuestaria, contable y financiera sobre el gasto público.</w:t>
      </w:r>
    </w:p>
    <w:p w:rsidR="006628A2" w:rsidRPr="004914A7" w:rsidRDefault="006628A2" w:rsidP="001B6FE0">
      <w:pPr>
        <w:suppressAutoHyphens/>
      </w:pPr>
    </w:p>
    <w:p w:rsidR="006628A2" w:rsidRPr="004914A7" w:rsidRDefault="00034E2C" w:rsidP="001B6FE0">
      <w:pPr>
        <w:suppressAutoHyphens/>
      </w:pPr>
      <w:r w:rsidRPr="004914A7">
        <w:rPr>
          <w:b/>
        </w:rPr>
        <w:t>Artículo 116. Integración de informes trimestrales</w:t>
      </w:r>
    </w:p>
    <w:p w:rsidR="006628A2" w:rsidRPr="004914A7" w:rsidRDefault="006628A2" w:rsidP="001B6FE0">
      <w:pPr>
        <w:suppressAutoHyphens/>
      </w:pPr>
    </w:p>
    <w:p w:rsidR="006628A2" w:rsidRPr="004914A7" w:rsidRDefault="00034E2C" w:rsidP="001B6FE0">
      <w:pPr>
        <w:suppressAutoHyphens/>
      </w:pPr>
      <w:r w:rsidRPr="004914A7">
        <w:t xml:space="preserve">Los entes públicos deberán proporcionar oportunamente a la secretaría y a la SEPLAN, la información que corresponda para la debida integración de los informes trimestrales. Dichos informes contendrán la información prevista en la Ley del Presupuesto y Contabilidad Gubernamental del Estado de Yucatán, la Ley de Planeación para el Desarrollo del </w:t>
      </w:r>
      <w:r w:rsidR="005A05AE" w:rsidRPr="004914A7">
        <w:t>E</w:t>
      </w:r>
      <w:r w:rsidRPr="004914A7">
        <w:t>stado de Yucatán, la Ley General de Contabilidad Gubernamental, la ley de disciplina financiera, los lineamientos del Consejo Nacional de Armonización Contable y las demás disposiciones legales y normativas aplicables en la materia.</w:t>
      </w:r>
    </w:p>
    <w:p w:rsidR="006628A2" w:rsidRPr="004914A7" w:rsidRDefault="006628A2" w:rsidP="001B6FE0">
      <w:pPr>
        <w:suppressAutoHyphens/>
      </w:pPr>
    </w:p>
    <w:p w:rsidR="006628A2" w:rsidRPr="004914A7" w:rsidRDefault="00034E2C" w:rsidP="001B6FE0">
      <w:pPr>
        <w:suppressAutoHyphens/>
      </w:pPr>
      <w:r w:rsidRPr="004914A7">
        <w:rPr>
          <w:b/>
        </w:rPr>
        <w:t>Artículo 117. Seguimiento del ejercicio de los presupuestos</w:t>
      </w:r>
    </w:p>
    <w:p w:rsidR="006628A2" w:rsidRPr="004914A7" w:rsidRDefault="006628A2" w:rsidP="001B6FE0">
      <w:pPr>
        <w:suppressAutoHyphens/>
      </w:pPr>
    </w:p>
    <w:p w:rsidR="006628A2" w:rsidRPr="004914A7" w:rsidRDefault="00034E2C" w:rsidP="001B6FE0">
      <w:pPr>
        <w:suppressAutoHyphens/>
      </w:pPr>
      <w:r w:rsidRPr="004914A7">
        <w:t>La secretaría y la contraloría, en el ámbito de sus respectivas competencias, realizarán periódicamente el seguimiento del ejercicio de los presupuestos de las dependencias y entidades.</w:t>
      </w:r>
    </w:p>
    <w:p w:rsidR="006628A2" w:rsidRPr="004914A7" w:rsidRDefault="006628A2" w:rsidP="001B6FE0">
      <w:pPr>
        <w:suppressAutoHyphens/>
      </w:pPr>
    </w:p>
    <w:p w:rsidR="006628A2" w:rsidRPr="004914A7" w:rsidRDefault="00034E2C" w:rsidP="001B6FE0">
      <w:pPr>
        <w:suppressAutoHyphens/>
      </w:pPr>
      <w:r w:rsidRPr="004914A7">
        <w:rPr>
          <w:b/>
        </w:rPr>
        <w:t>Artículo 118. Medidas para la vigilancia del ejercicio del presupuesto</w:t>
      </w:r>
    </w:p>
    <w:p w:rsidR="006628A2" w:rsidRPr="004914A7" w:rsidRDefault="006628A2" w:rsidP="001B6FE0">
      <w:pPr>
        <w:suppressAutoHyphens/>
      </w:pPr>
    </w:p>
    <w:p w:rsidR="006628A2" w:rsidRPr="004914A7" w:rsidRDefault="00034E2C" w:rsidP="001B6FE0">
      <w:pPr>
        <w:suppressAutoHyphens/>
      </w:pPr>
      <w:r w:rsidRPr="004914A7">
        <w:t>La secretaría vigilará el adecuado ejercicio del presupuesto. Para tal fin, dictará las medidas pertinentes de acuerdo con las disposiciones que resulten aplicables, y podrá requerir de las propias dependencias y entidades, la información que resulte necesaria, comunicando a la contraloría las irregularidades y desviaciones de que tenga conocimiento con motivo del ejercicio de sus funciones.</w:t>
      </w:r>
    </w:p>
    <w:p w:rsidR="006628A2" w:rsidRPr="004914A7" w:rsidRDefault="006628A2" w:rsidP="001B6FE0">
      <w:pPr>
        <w:suppressAutoHyphens/>
      </w:pPr>
    </w:p>
    <w:p w:rsidR="006628A2" w:rsidRPr="004914A7" w:rsidRDefault="00034E2C" w:rsidP="001B6FE0">
      <w:pPr>
        <w:suppressAutoHyphens/>
      </w:pPr>
      <w:r w:rsidRPr="004914A7">
        <w:rPr>
          <w:b/>
        </w:rPr>
        <w:t>Artículo 119. Información trimestral sobre la utilización de fondos</w:t>
      </w:r>
    </w:p>
    <w:p w:rsidR="006628A2" w:rsidRPr="004914A7" w:rsidRDefault="006628A2" w:rsidP="001B6FE0">
      <w:pPr>
        <w:suppressAutoHyphens/>
      </w:pPr>
    </w:p>
    <w:p w:rsidR="006628A2" w:rsidRPr="004914A7" w:rsidRDefault="00034E2C" w:rsidP="001B6FE0">
      <w:pPr>
        <w:suppressAutoHyphens/>
      </w:pPr>
      <w:r w:rsidRPr="004914A7">
        <w:lastRenderedPageBreak/>
        <w:t>Las dependencias, las entidades y las demás instancias que ejerzan recursos provenientes de las aportaciones federales, proporcionarán trimestralmente, en los primeros veinte días de los meses de enero, abril, julio y octubre, la información sobre la utilización de los fondos.</w:t>
      </w:r>
    </w:p>
    <w:p w:rsidR="006628A2" w:rsidRPr="004914A7" w:rsidRDefault="006628A2" w:rsidP="001B6FE0">
      <w:pPr>
        <w:suppressAutoHyphens/>
      </w:pPr>
    </w:p>
    <w:p w:rsidR="006628A2" w:rsidRPr="004914A7" w:rsidRDefault="00034E2C" w:rsidP="001B6FE0">
      <w:pPr>
        <w:suppressAutoHyphens/>
      </w:pPr>
      <w:r w:rsidRPr="004914A7">
        <w:rPr>
          <w:b/>
        </w:rPr>
        <w:t>Artículo 120. Comprobación de las obligaciones legales</w:t>
      </w:r>
    </w:p>
    <w:p w:rsidR="006628A2" w:rsidRPr="004914A7" w:rsidRDefault="006628A2" w:rsidP="001B6FE0">
      <w:pPr>
        <w:suppressAutoHyphens/>
      </w:pPr>
    </w:p>
    <w:p w:rsidR="006628A2" w:rsidRPr="004914A7" w:rsidRDefault="00034E2C" w:rsidP="001B6FE0">
      <w:pPr>
        <w:suppressAutoHyphens/>
      </w:pPr>
      <w:r w:rsidRPr="004914A7">
        <w:t>El titular de la contraloría y los órganos internos de control de las dependencias y entidades, en el ejercicio de las atribuciones que en materia de inspección, control y vigilancia les confiere la ley, comprobarán el cumplimiento de las propias dependencias y entidades de las obligaciones derivadas de este decreto.</w:t>
      </w:r>
    </w:p>
    <w:p w:rsidR="006628A2" w:rsidRPr="004914A7" w:rsidRDefault="006628A2" w:rsidP="001B6FE0">
      <w:pPr>
        <w:suppressAutoHyphens/>
      </w:pPr>
    </w:p>
    <w:p w:rsidR="006628A2" w:rsidRPr="004914A7" w:rsidRDefault="00034E2C" w:rsidP="001B6FE0">
      <w:pPr>
        <w:suppressAutoHyphens/>
      </w:pPr>
      <w:r w:rsidRPr="004914A7">
        <w:t>Por lo anterior, dispondrán lo conducente para que se lleven a cabo las inspecciones y auditorías que se requieran, así como para que se finquen las responsabilidades y se apliquen las sanciones que procedan con motivo del incumplimiento de las mencionadas obligaciones, en los términos de la legislación en materia de responsabilidades administrativas.</w:t>
      </w:r>
    </w:p>
    <w:p w:rsidR="006628A2" w:rsidRPr="004914A7" w:rsidRDefault="006628A2" w:rsidP="001B6FE0">
      <w:pPr>
        <w:suppressAutoHyphens/>
      </w:pPr>
    </w:p>
    <w:p w:rsidR="006628A2" w:rsidRPr="004914A7" w:rsidRDefault="00034E2C" w:rsidP="001B6FE0">
      <w:pPr>
        <w:suppressAutoHyphens/>
      </w:pPr>
      <w:r w:rsidRPr="004914A7">
        <w:rPr>
          <w:b/>
        </w:rPr>
        <w:t>Artículo 121. Fiscalización y revisión de la cuenta pública</w:t>
      </w:r>
    </w:p>
    <w:p w:rsidR="006628A2" w:rsidRPr="004914A7" w:rsidRDefault="006628A2" w:rsidP="001B6FE0">
      <w:pPr>
        <w:suppressAutoHyphens/>
      </w:pPr>
    </w:p>
    <w:p w:rsidR="006628A2" w:rsidRPr="004914A7" w:rsidRDefault="00034E2C" w:rsidP="001B6FE0">
      <w:pPr>
        <w:suppressAutoHyphens/>
      </w:pPr>
      <w:r w:rsidRPr="004914A7">
        <w:t>Los poderes</w:t>
      </w:r>
      <w:r w:rsidR="008D3A83" w:rsidRPr="004914A7">
        <w:t xml:space="preserve"> Ejecutivo, Legislativo y Judicial</w:t>
      </w:r>
      <w:r w:rsidRPr="004914A7">
        <w:t>, los organismos autónomos y las dependencias y entidades serán responsables de proporcionar a la secretaría, la información para la integración de la cuenta pública del año anterior, con el fin de que consolide la cuenta pública del estado.</w:t>
      </w:r>
    </w:p>
    <w:p w:rsidR="006628A2" w:rsidRPr="004914A7" w:rsidRDefault="006628A2" w:rsidP="001B6FE0">
      <w:pPr>
        <w:suppressAutoHyphens/>
      </w:pPr>
    </w:p>
    <w:p w:rsidR="006628A2" w:rsidRPr="004914A7" w:rsidRDefault="00034E2C" w:rsidP="001B6FE0">
      <w:pPr>
        <w:suppressAutoHyphens/>
      </w:pPr>
      <w:r w:rsidRPr="004914A7">
        <w:t>Lo anterior sin perjuicio de que dichos entes públicos cumplan su obligación de presentar su cuenta pública a la Auditoría Superior del Estado, a través de la secretaría, a más tardar el treinta de abril del año siguiente al cierre del ejercicio fiscal correspondiente.</w:t>
      </w:r>
    </w:p>
    <w:p w:rsidR="006628A2" w:rsidRPr="004914A7" w:rsidRDefault="006628A2" w:rsidP="001B6FE0">
      <w:pPr>
        <w:suppressAutoHyphens/>
      </w:pPr>
    </w:p>
    <w:p w:rsidR="006628A2" w:rsidRPr="004914A7" w:rsidRDefault="00034E2C" w:rsidP="001B6FE0">
      <w:pPr>
        <w:suppressAutoHyphens/>
      </w:pPr>
      <w:r w:rsidRPr="004914A7">
        <w:t>La Auditoría Superior del Estado ejercerá las funciones de fiscalización y revisión de la cuenta pública del Gobierno del estado de Yucatán, de acuerdo con sus atribuciones.</w:t>
      </w:r>
    </w:p>
    <w:p w:rsidR="006628A2" w:rsidRPr="004914A7" w:rsidRDefault="006628A2" w:rsidP="001B6FE0">
      <w:pPr>
        <w:suppressAutoHyphens/>
      </w:pPr>
    </w:p>
    <w:p w:rsidR="006628A2" w:rsidRPr="004914A7" w:rsidRDefault="00034E2C" w:rsidP="001B6FE0">
      <w:pPr>
        <w:suppressAutoHyphens/>
      </w:pPr>
      <w:r w:rsidRPr="004914A7">
        <w:t>Las dependencias y entidades estarán obligadas a proporcionar a la secretaría y a la contraloría, la información que les soliciten y permitirle al personal de esta última la práctica de visitas y auditorías para la comprobación del cumplimiento de las obligaciones derivadas de este decreto y de las demás disposiciones aplicables.</w:t>
      </w:r>
    </w:p>
    <w:p w:rsidR="006628A2" w:rsidRPr="004914A7" w:rsidRDefault="006628A2" w:rsidP="001B6FE0">
      <w:pPr>
        <w:suppressAutoHyphens/>
      </w:pPr>
    </w:p>
    <w:p w:rsidR="006628A2" w:rsidRPr="004914A7" w:rsidRDefault="00034E2C" w:rsidP="001B6FE0">
      <w:pPr>
        <w:pStyle w:val="Ttulo2"/>
        <w:suppressAutoHyphens/>
      </w:pPr>
      <w:bookmarkStart w:id="52" w:name="capítulo-iv-2"/>
      <w:r w:rsidRPr="004914A7">
        <w:lastRenderedPageBreak/>
        <w:t>Capítulo IV</w:t>
      </w:r>
      <w:bookmarkEnd w:id="52"/>
    </w:p>
    <w:p w:rsidR="006628A2" w:rsidRPr="004914A7" w:rsidRDefault="00034E2C" w:rsidP="001B6FE0">
      <w:pPr>
        <w:pStyle w:val="Ttulo2"/>
        <w:suppressAutoHyphens/>
      </w:pPr>
      <w:bookmarkStart w:id="53" w:name="sanciones"/>
      <w:r w:rsidRPr="004914A7">
        <w:t>Sanciones</w:t>
      </w:r>
      <w:bookmarkEnd w:id="53"/>
    </w:p>
    <w:p w:rsidR="006628A2" w:rsidRPr="004914A7" w:rsidRDefault="006628A2" w:rsidP="001B6FE0">
      <w:pPr>
        <w:suppressAutoHyphens/>
      </w:pPr>
    </w:p>
    <w:p w:rsidR="006628A2" w:rsidRPr="004914A7" w:rsidRDefault="00034E2C" w:rsidP="001B6FE0">
      <w:pPr>
        <w:suppressAutoHyphens/>
      </w:pPr>
      <w:r w:rsidRPr="004914A7">
        <w:rPr>
          <w:b/>
        </w:rPr>
        <w:t>Artículo 122. Responsabilidades</w:t>
      </w:r>
    </w:p>
    <w:p w:rsidR="006628A2" w:rsidRPr="004914A7" w:rsidRDefault="006628A2" w:rsidP="001B6FE0">
      <w:pPr>
        <w:suppressAutoHyphens/>
      </w:pPr>
    </w:p>
    <w:p w:rsidR="006628A2" w:rsidRPr="004914A7" w:rsidRDefault="00034E2C" w:rsidP="001B6FE0">
      <w:pPr>
        <w:suppressAutoHyphens/>
      </w:pPr>
      <w:r w:rsidRPr="004914A7">
        <w:t xml:space="preserve">Los titulares de los entes públicos, en el ejercicio de sus presupuestos aprobados, sin menoscabo de las responsabilidades y atribuciones que les correspondan, serán directamente responsables de que su aplicación se realice con estricto apego a las leyes correspondientes y a los principios </w:t>
      </w:r>
      <w:r w:rsidR="007A3CE5" w:rsidRPr="004914A7">
        <w:t>previstos en este decreto</w:t>
      </w:r>
      <w:r w:rsidRPr="004914A7">
        <w:t>.</w:t>
      </w:r>
    </w:p>
    <w:p w:rsidR="006628A2" w:rsidRPr="004914A7" w:rsidRDefault="006628A2" w:rsidP="001B6FE0">
      <w:pPr>
        <w:suppressAutoHyphens/>
      </w:pPr>
    </w:p>
    <w:p w:rsidR="006628A2" w:rsidRDefault="00034E2C" w:rsidP="001B6FE0">
      <w:pPr>
        <w:suppressAutoHyphens/>
      </w:pPr>
      <w:r w:rsidRPr="004914A7">
        <w:t>El incumplimiento de dichas disposiciones será sancionado en los términos de la legislación aplicable en materia de responsabilidades administrativas.</w:t>
      </w:r>
    </w:p>
    <w:p w:rsidR="00976C88" w:rsidRPr="004914A7" w:rsidRDefault="00976C88" w:rsidP="001B6FE0">
      <w:pPr>
        <w:suppressAutoHyphens/>
      </w:pPr>
    </w:p>
    <w:p w:rsidR="006628A2" w:rsidRPr="004914A7" w:rsidRDefault="006628A2" w:rsidP="001B6FE0">
      <w:pPr>
        <w:suppressAutoHyphens/>
      </w:pPr>
    </w:p>
    <w:p w:rsidR="006628A2" w:rsidRDefault="00034E2C" w:rsidP="001B6FE0">
      <w:pPr>
        <w:pStyle w:val="Ttulo2"/>
        <w:suppressAutoHyphens/>
      </w:pPr>
      <w:bookmarkStart w:id="54" w:name="artículos-transitorios"/>
      <w:r w:rsidRPr="004914A7">
        <w:t>Artículos transitorios</w:t>
      </w:r>
      <w:bookmarkEnd w:id="54"/>
    </w:p>
    <w:p w:rsidR="00976C88" w:rsidRPr="00976C88" w:rsidRDefault="00976C88" w:rsidP="00976C88"/>
    <w:p w:rsidR="006628A2" w:rsidRPr="004914A7" w:rsidRDefault="006628A2" w:rsidP="001B6FE0">
      <w:pPr>
        <w:suppressAutoHyphens/>
      </w:pPr>
      <w:bookmarkStart w:id="55" w:name="_GoBack"/>
      <w:bookmarkEnd w:id="55"/>
    </w:p>
    <w:p w:rsidR="006628A2" w:rsidRPr="004914A7" w:rsidRDefault="00034E2C" w:rsidP="001B6FE0">
      <w:pPr>
        <w:suppressAutoHyphens/>
      </w:pPr>
      <w:r w:rsidRPr="004914A7">
        <w:rPr>
          <w:b/>
        </w:rPr>
        <w:t>Primero. Entrada en vigor</w:t>
      </w:r>
    </w:p>
    <w:p w:rsidR="006628A2" w:rsidRPr="004914A7" w:rsidRDefault="006628A2" w:rsidP="001B6FE0">
      <w:pPr>
        <w:suppressAutoHyphens/>
      </w:pPr>
    </w:p>
    <w:p w:rsidR="006628A2" w:rsidRPr="004914A7" w:rsidRDefault="00034E2C" w:rsidP="001B6FE0">
      <w:pPr>
        <w:suppressAutoHyphens/>
      </w:pPr>
      <w:r w:rsidRPr="004914A7">
        <w:t xml:space="preserve">Este decreto entrará en vigor el 1 de enero de 2021, previa publicación en el Diario Oficial del Gobierno del Estado de Yucatán, con excepción del artículo transitorio tercero que entrará en vigor </w:t>
      </w:r>
      <w:r w:rsidR="00AB5B10" w:rsidRPr="004914A7">
        <w:t>e</w:t>
      </w:r>
      <w:r w:rsidRPr="004914A7">
        <w:t>l día siguiente al de su publicación.</w:t>
      </w:r>
    </w:p>
    <w:p w:rsidR="006628A2" w:rsidRPr="004914A7" w:rsidRDefault="006628A2" w:rsidP="001B6FE0">
      <w:pPr>
        <w:suppressAutoHyphens/>
      </w:pPr>
    </w:p>
    <w:p w:rsidR="006628A2" w:rsidRPr="004914A7" w:rsidRDefault="00034E2C" w:rsidP="001B6FE0">
      <w:pPr>
        <w:suppressAutoHyphens/>
      </w:pPr>
      <w:r w:rsidRPr="004914A7">
        <w:rPr>
          <w:b/>
        </w:rPr>
        <w:t xml:space="preserve">Segundo. Poderes Legislativo y </w:t>
      </w:r>
      <w:r w:rsidR="00867154" w:rsidRPr="004914A7">
        <w:rPr>
          <w:b/>
        </w:rPr>
        <w:t>Judicial,</w:t>
      </w:r>
      <w:r w:rsidRPr="004914A7">
        <w:rPr>
          <w:b/>
        </w:rPr>
        <w:t xml:space="preserve"> así como organismos autónomos</w:t>
      </w:r>
    </w:p>
    <w:p w:rsidR="006628A2" w:rsidRPr="004914A7" w:rsidRDefault="006628A2" w:rsidP="001B6FE0">
      <w:pPr>
        <w:suppressAutoHyphens/>
      </w:pPr>
    </w:p>
    <w:p w:rsidR="006628A2" w:rsidRPr="004914A7" w:rsidRDefault="00034E2C" w:rsidP="001B6FE0">
      <w:pPr>
        <w:suppressAutoHyphens/>
      </w:pPr>
      <w:r w:rsidRPr="004914A7">
        <w:t xml:space="preserve">Los Poderes Legislativo y Judicial, así como los organismos autónomos, cuyos montos solicitados en sus proyectos de presupuestos fueron modificados de acuerdo con las cantidades asignadas en este decreto, deberán actualizarlos en detalle y proporcionarlos al Congreso del </w:t>
      </w:r>
      <w:r w:rsidR="00F70E76" w:rsidRPr="004914A7">
        <w:t>e</w:t>
      </w:r>
      <w:r w:rsidRPr="004914A7">
        <w:t>stado y a la Secretaría de Administración y Finanzas para su conocimiento y calendarización, respectivamente, así como publicarlos en sus sitios web a más tardar el 15 de enero de 2021.</w:t>
      </w:r>
    </w:p>
    <w:p w:rsidR="006628A2" w:rsidRPr="004914A7" w:rsidRDefault="006628A2" w:rsidP="001B6FE0">
      <w:pPr>
        <w:suppressAutoHyphens/>
      </w:pPr>
    </w:p>
    <w:p w:rsidR="006628A2" w:rsidRPr="004914A7" w:rsidRDefault="00034E2C" w:rsidP="001B6FE0">
      <w:pPr>
        <w:suppressAutoHyphens/>
      </w:pPr>
      <w:r w:rsidRPr="004914A7">
        <w:rPr>
          <w:b/>
        </w:rPr>
        <w:t>Tercero. Modificaciones estructurales a la Administración Pública estatal</w:t>
      </w:r>
    </w:p>
    <w:p w:rsidR="006628A2" w:rsidRPr="004914A7" w:rsidRDefault="006628A2" w:rsidP="001B6FE0">
      <w:pPr>
        <w:suppressAutoHyphens/>
      </w:pPr>
    </w:p>
    <w:p w:rsidR="006628A2" w:rsidRPr="004914A7" w:rsidRDefault="00034E2C" w:rsidP="001B6FE0">
      <w:pPr>
        <w:suppressAutoHyphens/>
      </w:pPr>
      <w:r w:rsidRPr="004914A7">
        <w:t>El presente presupuesto de egresos se adecuará, en caso de modificaciones a la estructura orgánica, presupuestaria, financiera y material de la Administración Pública del estado, durante el ejercicio 2021.</w:t>
      </w:r>
    </w:p>
    <w:p w:rsidR="006628A2" w:rsidRPr="004914A7" w:rsidRDefault="006628A2" w:rsidP="001B6FE0">
      <w:pPr>
        <w:suppressAutoHyphens/>
      </w:pPr>
    </w:p>
    <w:p w:rsidR="006628A2" w:rsidRPr="004914A7" w:rsidRDefault="00034E2C" w:rsidP="001B6FE0">
      <w:pPr>
        <w:suppressAutoHyphens/>
      </w:pPr>
      <w:r w:rsidRPr="004914A7">
        <w:rPr>
          <w:b/>
        </w:rPr>
        <w:t>Cuarto. Reintegro por subejercicio</w:t>
      </w:r>
    </w:p>
    <w:p w:rsidR="006628A2" w:rsidRPr="004914A7" w:rsidRDefault="006628A2" w:rsidP="001B6FE0">
      <w:pPr>
        <w:suppressAutoHyphens/>
      </w:pPr>
    </w:p>
    <w:p w:rsidR="006628A2" w:rsidRPr="004914A7" w:rsidRDefault="00034E2C" w:rsidP="001B6FE0">
      <w:pPr>
        <w:suppressAutoHyphens/>
      </w:pPr>
      <w:r w:rsidRPr="004914A7">
        <w:lastRenderedPageBreak/>
        <w:t>Los poderes, organismos autónomos y las dependencias y entidades, a los que, durante el ejercicio 2020, se les hubiera transferido recursos presupuestales por cualquier motivo, y que en el transcurso del año 2020 no hubieran ejercido en sus proyectos autorizados o al término del ejercicio conserven recursos estatales previstos en el presupuesto 2020 y, en su caso, los rendimientos obtenidos, deberán reintegrar el importe disponible a la secretaría dentro de los primeros quince días naturales del ejercicio de 2021 en términos del artículo 92 de la Ley del Presupuesto y Contabilidad Gubernamental del Estado de Yucatán.</w:t>
      </w:r>
    </w:p>
    <w:p w:rsidR="006628A2" w:rsidRPr="004914A7" w:rsidRDefault="006628A2" w:rsidP="001B6FE0">
      <w:pPr>
        <w:suppressAutoHyphens/>
      </w:pPr>
    </w:p>
    <w:p w:rsidR="006628A2" w:rsidRPr="004914A7" w:rsidRDefault="00034E2C" w:rsidP="001B6FE0">
      <w:pPr>
        <w:suppressAutoHyphens/>
      </w:pPr>
      <w:r w:rsidRPr="004914A7">
        <w:t xml:space="preserve">Lo dispuesto en este transitorio no es aplicable para los recursos correspondientes al Decreto 199/2020 </w:t>
      </w:r>
      <w:r w:rsidR="00413DD2" w:rsidRPr="004914A7">
        <w:t xml:space="preserve">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w:t>
      </w:r>
      <w:r w:rsidRPr="004914A7">
        <w:t>para lo cual se estará a lo establecido en el siguiente transitorio.</w:t>
      </w:r>
    </w:p>
    <w:p w:rsidR="006628A2" w:rsidRPr="004914A7" w:rsidRDefault="006628A2" w:rsidP="001B6FE0">
      <w:pPr>
        <w:suppressAutoHyphens/>
      </w:pPr>
    </w:p>
    <w:p w:rsidR="006628A2" w:rsidRDefault="00034E2C" w:rsidP="001B6FE0">
      <w:pPr>
        <w:suppressAutoHyphens/>
      </w:pPr>
      <w:r w:rsidRPr="004914A7">
        <w:t>Por lo que corresponde a los recursos federales se observará lo dispuesto en la normativa federal aplicable.</w:t>
      </w:r>
    </w:p>
    <w:p w:rsidR="00976C88" w:rsidRPr="004914A7" w:rsidRDefault="00976C88" w:rsidP="001B6FE0">
      <w:pPr>
        <w:suppressAutoHyphens/>
      </w:pPr>
    </w:p>
    <w:p w:rsidR="006628A2" w:rsidRPr="004914A7" w:rsidRDefault="00034E2C" w:rsidP="001B6FE0">
      <w:pPr>
        <w:suppressAutoHyphens/>
      </w:pPr>
      <w:r w:rsidRPr="004914A7">
        <w:rPr>
          <w:b/>
        </w:rPr>
        <w:t>Quinto. Recursos del Plan de contingencia, protección al empleo y reactivación económica por la afectación en el estado de la pandemia ocasionada por el virus Covid-19</w:t>
      </w:r>
    </w:p>
    <w:p w:rsidR="006628A2" w:rsidRPr="004914A7" w:rsidRDefault="006628A2" w:rsidP="001B6FE0">
      <w:pPr>
        <w:suppressAutoHyphens/>
      </w:pPr>
    </w:p>
    <w:p w:rsidR="006628A2" w:rsidRDefault="00034E2C" w:rsidP="001B6FE0">
      <w:pPr>
        <w:suppressAutoHyphens/>
      </w:pPr>
      <w:r w:rsidRPr="004914A7">
        <w:t xml:space="preserve">Las economías o remanentes de recursos estatales de las </w:t>
      </w:r>
      <w:r w:rsidR="00C96577" w:rsidRPr="004914A7">
        <w:t>d</w:t>
      </w:r>
      <w:r w:rsidRPr="004914A7">
        <w:t xml:space="preserve">ependencias o </w:t>
      </w:r>
      <w:r w:rsidR="00C96577" w:rsidRPr="004914A7">
        <w:t>e</w:t>
      </w:r>
      <w:r w:rsidRPr="004914A7">
        <w:t>ntidades que estén establecidos en el Decreto 199/2020</w:t>
      </w:r>
      <w:r w:rsidR="004E1EF4" w:rsidRPr="004914A7">
        <w:t xml:space="preserve">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w:t>
      </w:r>
      <w:r w:rsidRPr="004914A7">
        <w:t>, publicado en el Diario Oficial del Gobierno del Estado de Yucatán el 1° de abril de 2020, podrán ser comprometidos y devengados en el ejercicio 2021, para tal efecto se deberá notificar a la Secretaría</w:t>
      </w:r>
      <w:r w:rsidR="00C96577" w:rsidRPr="004914A7">
        <w:t xml:space="preserve"> de Administración y Finanzas</w:t>
      </w:r>
      <w:r w:rsidRPr="004914A7">
        <w:t>, en los primeros quince días naturales del mes de enero los compromisos asumidos con cargo al citado decreto.</w:t>
      </w:r>
    </w:p>
    <w:p w:rsidR="006628A2" w:rsidRPr="004914A7" w:rsidRDefault="006628A2" w:rsidP="001B6FE0">
      <w:pPr>
        <w:suppressAutoHyphens/>
      </w:pPr>
    </w:p>
    <w:p w:rsidR="006628A2" w:rsidRPr="004914A7" w:rsidRDefault="00034E2C" w:rsidP="001B6FE0">
      <w:pPr>
        <w:suppressAutoHyphens/>
      </w:pPr>
      <w:r w:rsidRPr="004914A7">
        <w:rPr>
          <w:b/>
        </w:rPr>
        <w:t xml:space="preserve">Sexto. Modificaciones a la </w:t>
      </w:r>
      <w:r w:rsidR="00F656E7" w:rsidRPr="004914A7">
        <w:rPr>
          <w:b/>
        </w:rPr>
        <w:t>l</w:t>
      </w:r>
      <w:r w:rsidRPr="004914A7">
        <w:rPr>
          <w:b/>
        </w:rPr>
        <w:t xml:space="preserve">ey de </w:t>
      </w:r>
      <w:r w:rsidR="00F656E7" w:rsidRPr="004914A7">
        <w:rPr>
          <w:b/>
        </w:rPr>
        <w:t>d</w:t>
      </w:r>
      <w:r w:rsidRPr="004914A7">
        <w:rPr>
          <w:b/>
        </w:rPr>
        <w:t xml:space="preserve">isciplina </w:t>
      </w:r>
      <w:r w:rsidR="00F656E7" w:rsidRPr="004914A7">
        <w:rPr>
          <w:b/>
        </w:rPr>
        <w:t>f</w:t>
      </w:r>
      <w:r w:rsidRPr="004914A7">
        <w:rPr>
          <w:b/>
        </w:rPr>
        <w:t>inanciera</w:t>
      </w:r>
    </w:p>
    <w:p w:rsidR="006628A2" w:rsidRPr="004914A7" w:rsidRDefault="006628A2" w:rsidP="001B6FE0">
      <w:pPr>
        <w:suppressAutoHyphens/>
      </w:pPr>
    </w:p>
    <w:p w:rsidR="006628A2" w:rsidRPr="004914A7" w:rsidRDefault="00034E2C" w:rsidP="001B6FE0">
      <w:pPr>
        <w:suppressAutoHyphens/>
      </w:pPr>
      <w:r w:rsidRPr="004914A7">
        <w:t>En el caso de que</w:t>
      </w:r>
      <w:r w:rsidR="00190248" w:rsidRPr="004914A7">
        <w:t xml:space="preserve"> durante la vigencia del ejercicio existan reformas o modificaciones a la Ley de Disciplina Financiera</w:t>
      </w:r>
      <w:r w:rsidR="00867154" w:rsidRPr="004914A7">
        <w:t xml:space="preserve"> de las Entidades Federativas y los Municipios</w:t>
      </w:r>
      <w:r w:rsidRPr="004914A7">
        <w:t xml:space="preserve"> </w:t>
      </w:r>
      <w:r w:rsidR="00B43184" w:rsidRPr="004914A7">
        <w:t xml:space="preserve">los entes públicos deberán aplicar dichas disposiciones en el ejercicio </w:t>
      </w:r>
      <w:r w:rsidR="00B43184" w:rsidRPr="004914A7">
        <w:lastRenderedPageBreak/>
        <w:t>del presupuesto durante el año 2021, siempre y cuando su aplicación sea procedente</w:t>
      </w:r>
      <w:r w:rsidR="00867154" w:rsidRPr="004914A7">
        <w:t xml:space="preserve"> al caso en concreto</w:t>
      </w:r>
      <w:r w:rsidR="00B43184" w:rsidRPr="004914A7">
        <w:t>.</w:t>
      </w:r>
    </w:p>
    <w:p w:rsidR="006628A2" w:rsidRPr="004914A7" w:rsidRDefault="006628A2" w:rsidP="001B6FE0">
      <w:pPr>
        <w:suppressAutoHyphens/>
      </w:pPr>
    </w:p>
    <w:p w:rsidR="006628A2" w:rsidRPr="004914A7" w:rsidRDefault="00034E2C" w:rsidP="001B6FE0">
      <w:pPr>
        <w:pStyle w:val="Ttulo2"/>
        <w:suppressAutoHyphens/>
      </w:pPr>
      <w:bookmarkStart w:id="56" w:name="atentamente"/>
      <w:r w:rsidRPr="004914A7">
        <w:t>Atentamente</w:t>
      </w:r>
      <w:bookmarkEnd w:id="56"/>
    </w:p>
    <w:p w:rsidR="006628A2" w:rsidRPr="004914A7" w:rsidRDefault="006628A2" w:rsidP="001B6FE0">
      <w:pPr>
        <w:suppressAutoHyphens/>
      </w:pPr>
    </w:p>
    <w:p w:rsidR="006628A2" w:rsidRPr="004914A7" w:rsidRDefault="006628A2" w:rsidP="001B6FE0">
      <w:pPr>
        <w:suppressAutoHyphens/>
      </w:pPr>
    </w:p>
    <w:p w:rsidR="006628A2" w:rsidRPr="004914A7" w:rsidRDefault="006628A2" w:rsidP="001B6FE0">
      <w:pPr>
        <w:suppressAutoHyphens/>
      </w:pPr>
    </w:p>
    <w:p w:rsidR="006628A2" w:rsidRPr="004914A7" w:rsidRDefault="006628A2" w:rsidP="001B6FE0">
      <w:pPr>
        <w:suppressAutoHyphens/>
      </w:pPr>
    </w:p>
    <w:p w:rsidR="006628A2" w:rsidRPr="004914A7" w:rsidRDefault="006628A2" w:rsidP="001B6FE0">
      <w:pPr>
        <w:suppressAutoHyphens/>
      </w:pPr>
    </w:p>
    <w:p w:rsidR="006628A2" w:rsidRPr="004914A7" w:rsidRDefault="00034E2C" w:rsidP="001B6FE0">
      <w:pPr>
        <w:pStyle w:val="Ttulo2"/>
        <w:suppressAutoHyphens/>
      </w:pPr>
      <w:bookmarkStart w:id="57" w:name="lic.-mauricio-vila-dosal"/>
      <w:r w:rsidRPr="004914A7">
        <w:t xml:space="preserve">Lic. Mauricio Vila </w:t>
      </w:r>
      <w:proofErr w:type="spellStart"/>
      <w:r w:rsidRPr="004914A7">
        <w:t>Dosal</w:t>
      </w:r>
      <w:bookmarkEnd w:id="57"/>
      <w:proofErr w:type="spellEnd"/>
    </w:p>
    <w:p w:rsidR="006628A2" w:rsidRPr="004914A7" w:rsidRDefault="00034E2C" w:rsidP="001B6FE0">
      <w:pPr>
        <w:pStyle w:val="Ttulo2"/>
        <w:suppressAutoHyphens/>
      </w:pPr>
      <w:bookmarkStart w:id="58" w:name="gobernador-del-estado-de-yucatán"/>
      <w:r w:rsidRPr="004914A7">
        <w:t>Gobernador del Estado de Yucatán</w:t>
      </w:r>
      <w:bookmarkEnd w:id="58"/>
    </w:p>
    <w:p w:rsidR="006628A2" w:rsidRPr="004914A7" w:rsidRDefault="006628A2" w:rsidP="001B6FE0">
      <w:pPr>
        <w:suppressAutoHyphens/>
      </w:pPr>
    </w:p>
    <w:p w:rsidR="006628A2" w:rsidRPr="004914A7" w:rsidRDefault="006628A2" w:rsidP="001B6FE0">
      <w:pPr>
        <w:suppressAutoHyphens/>
      </w:pPr>
    </w:p>
    <w:p w:rsidR="006628A2" w:rsidRPr="004914A7" w:rsidRDefault="006628A2" w:rsidP="001B6FE0">
      <w:pPr>
        <w:suppressAutoHyphens/>
      </w:pPr>
    </w:p>
    <w:p w:rsidR="006628A2" w:rsidRPr="004914A7" w:rsidRDefault="006628A2" w:rsidP="001B6FE0">
      <w:pPr>
        <w:suppressAutoHyphens/>
      </w:pPr>
    </w:p>
    <w:p w:rsidR="006628A2" w:rsidRPr="004914A7" w:rsidRDefault="006628A2" w:rsidP="001B6FE0">
      <w:pPr>
        <w:suppressAutoHyphens/>
      </w:pPr>
    </w:p>
    <w:p w:rsidR="006628A2" w:rsidRPr="004914A7" w:rsidRDefault="00034E2C" w:rsidP="001B6FE0">
      <w:pPr>
        <w:suppressAutoHyphens/>
      </w:pPr>
      <w:proofErr w:type="spellStart"/>
      <w:r w:rsidRPr="004914A7">
        <w:rPr>
          <w:b/>
        </w:rPr>
        <w:t>Abog</w:t>
      </w:r>
      <w:proofErr w:type="spellEnd"/>
      <w:r w:rsidRPr="004914A7">
        <w:rPr>
          <w:b/>
        </w:rPr>
        <w:t>. María Dolores Fritz Sierra</w:t>
      </w:r>
    </w:p>
    <w:p w:rsidR="006628A2" w:rsidRPr="004914A7" w:rsidRDefault="00034E2C" w:rsidP="001B6FE0">
      <w:pPr>
        <w:suppressAutoHyphens/>
      </w:pPr>
      <w:r w:rsidRPr="004914A7">
        <w:rPr>
          <w:b/>
        </w:rPr>
        <w:t>Secretaria general de Gobierno</w:t>
      </w:r>
    </w:p>
    <w:p w:rsidR="006628A2" w:rsidRPr="004914A7" w:rsidRDefault="006628A2" w:rsidP="001B6FE0">
      <w:pPr>
        <w:suppressAutoHyphens/>
      </w:pPr>
    </w:p>
    <w:p w:rsidR="006628A2" w:rsidRDefault="006628A2" w:rsidP="00976C88">
      <w:pPr>
        <w:suppressAutoHyphens/>
      </w:pPr>
    </w:p>
    <w:sectPr w:rsidR="006628A2" w:rsidSect="00F16749">
      <w:headerReference w:type="default" r:id="rId33"/>
      <w:footerReference w:type="default" r:id="rId34"/>
      <w:pgSz w:w="12240" w:h="15840"/>
      <w:pgMar w:top="283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2CD" w:rsidRDefault="00AA32CD">
      <w:r>
        <w:separator/>
      </w:r>
    </w:p>
  </w:endnote>
  <w:endnote w:type="continuationSeparator" w:id="0">
    <w:p w:rsidR="00AA32CD" w:rsidRDefault="00AA32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Barlow">
    <w:altName w:val="Barlow"/>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Barlow Bold">
    <w:altName w:val="Calibri"/>
    <w:panose1 w:val="00000800000000000000"/>
    <w:charset w:val="4D"/>
    <w:family w:val="auto"/>
    <w:pitch w:val="variable"/>
    <w:sig w:usb0="00000007" w:usb1="00000000" w:usb2="00000000" w:usb3="00000000" w:csb0="00000093" w:csb1="00000000"/>
  </w:font>
  <w:font w:name="Barlow Medium">
    <w:panose1 w:val="00000600000000000000"/>
    <w:charset w:val="00"/>
    <w:family w:val="auto"/>
    <w:pitch w:val="variable"/>
    <w:sig w:usb0="00000007" w:usb1="00000000" w:usb2="00000000" w:usb3="00000000" w:csb0="00000093" w:csb1="00000000"/>
  </w:font>
  <w:font w:name="Soberana Titular">
    <w:altName w:val="Calibri"/>
    <w:charset w:val="4D"/>
    <w:family w:val="auto"/>
    <w:pitch w:val="variable"/>
    <w:sig w:usb0="800000AF" w:usb1="4000204A" w:usb2="00000000" w:usb3="00000000" w:csb0="00000001" w:csb1="00000000"/>
  </w:font>
  <w:font w:name="Yu Mincho">
    <w:altName w:val="游明朝"/>
    <w:charset w:val="80"/>
    <w:family w:val="roman"/>
    <w:pitch w:val="variable"/>
    <w:sig w:usb0="00000287" w:usb1="08070000" w:usb2="00000010" w:usb3="00000000" w:csb0="0002009F" w:csb1="00000000"/>
  </w:font>
  <w:font w:name="Barlow SemiBold">
    <w:panose1 w:val="00000700000000000000"/>
    <w:charset w:val="00"/>
    <w:family w:val="auto"/>
    <w:pitch w:val="variable"/>
    <w:sig w:usb0="00000007" w:usb1="00000000" w:usb2="00000000" w:usb3="00000000" w:csb0="00000093" w:csb1="00000000"/>
  </w:font>
  <w:font w:name="Univia Pro">
    <w:panose1 w:val="00000000000000000000"/>
    <w:charset w:val="00"/>
    <w:family w:val="modern"/>
    <w:notTrueType/>
    <w:pitch w:val="variable"/>
    <w:sig w:usb0="A00002EF" w:usb1="5000E47B" w:usb2="00000000" w:usb3="00000000" w:csb0="00000097" w:csb1="00000000"/>
  </w:font>
  <w:font w:name="Montserrat">
    <w:charset w:val="00"/>
    <w:family w:val="auto"/>
    <w:pitch w:val="variable"/>
    <w:sig w:usb0="20000207" w:usb1="00000000" w:usb2="00000000" w:usb3="00000000" w:csb0="000001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52674"/>
      <w:docPartObj>
        <w:docPartGallery w:val="Page Numbers (Bottom of Page)"/>
        <w:docPartUnique/>
      </w:docPartObj>
    </w:sdtPr>
    <w:sdtContent>
      <w:p w:rsidR="00923562" w:rsidRDefault="00923562">
        <w:pPr>
          <w:pStyle w:val="Piedepgina"/>
          <w:jc w:val="right"/>
        </w:pPr>
        <w:fldSimple w:instr=" PAGE   \* MERGEFORMAT ">
          <w:r w:rsidR="003F7BCD">
            <w:rPr>
              <w:noProof/>
            </w:rPr>
            <w:t>104</w:t>
          </w:r>
        </w:fldSimple>
      </w:p>
    </w:sdtContent>
  </w:sdt>
  <w:p w:rsidR="00923562" w:rsidRDefault="00923562" w:rsidP="00923562">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2CD" w:rsidRDefault="00AA32CD">
      <w:r>
        <w:separator/>
      </w:r>
    </w:p>
  </w:footnote>
  <w:footnote w:type="continuationSeparator" w:id="0">
    <w:p w:rsidR="00AA32CD" w:rsidRDefault="00AA32CD">
      <w:r>
        <w:continuationSeparator/>
      </w:r>
    </w:p>
  </w:footnote>
  <w:footnote w:id="1">
    <w:p w:rsidR="00923562" w:rsidRPr="00912F98" w:rsidRDefault="00923562" w:rsidP="007F6887">
      <w:pPr>
        <w:pStyle w:val="Textonotapie"/>
        <w:jc w:val="both"/>
        <w:rPr>
          <w:rFonts w:ascii="Arial" w:hAnsi="Arial" w:cs="Arial"/>
        </w:rPr>
      </w:pPr>
      <w:r w:rsidRPr="00912F98">
        <w:rPr>
          <w:rStyle w:val="Refdenotaalpie"/>
          <w:rFonts w:ascii="Arial" w:hAnsi="Arial" w:cs="Arial"/>
          <w:sz w:val="18"/>
        </w:rPr>
        <w:footnoteRef/>
      </w:r>
      <w:r w:rsidRPr="00912F98">
        <w:rPr>
          <w:rFonts w:ascii="Arial" w:hAnsi="Arial" w:cs="Arial"/>
          <w:sz w:val="18"/>
        </w:rPr>
        <w:t xml:space="preserve"> SHCP. (2014). Conceptos de Presupuesto basado en Resultados y de la Gestión para Resultados. Recuperado el 15 de septiembre de 2014 de: www.pbr.unam.mx/index.php?cursoid=166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562" w:rsidRDefault="00923562" w:rsidP="00F16749">
    <w:pPr>
      <w:pStyle w:val="Encabezado"/>
      <w:tabs>
        <w:tab w:val="clear" w:pos="4419"/>
      </w:tabs>
    </w:pP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7C6A"/>
    <w:multiLevelType w:val="hybridMultilevel"/>
    <w:tmpl w:val="9CD8A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3316DA"/>
    <w:multiLevelType w:val="hybridMultilevel"/>
    <w:tmpl w:val="E1EA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8C2A7F"/>
    <w:multiLevelType w:val="hybridMultilevel"/>
    <w:tmpl w:val="138C2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5D299D"/>
    <w:multiLevelType w:val="hybridMultilevel"/>
    <w:tmpl w:val="674C6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DF1770"/>
    <w:multiLevelType w:val="hybridMultilevel"/>
    <w:tmpl w:val="9BFCA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531E66"/>
    <w:multiLevelType w:val="hybridMultilevel"/>
    <w:tmpl w:val="C8FA9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0660B0"/>
    <w:multiLevelType w:val="hybridMultilevel"/>
    <w:tmpl w:val="8FCABAA8"/>
    <w:lvl w:ilvl="0" w:tplc="22D8175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4F33F2B"/>
    <w:multiLevelType w:val="hybridMultilevel"/>
    <w:tmpl w:val="48AA0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D437B4"/>
    <w:multiLevelType w:val="hybridMultilevel"/>
    <w:tmpl w:val="79A073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A0160B"/>
    <w:multiLevelType w:val="hybridMultilevel"/>
    <w:tmpl w:val="D03E5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E71253"/>
    <w:multiLevelType w:val="hybridMultilevel"/>
    <w:tmpl w:val="49CA2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20132B"/>
    <w:multiLevelType w:val="hybridMultilevel"/>
    <w:tmpl w:val="0C00C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FB4A7A"/>
    <w:multiLevelType w:val="hybridMultilevel"/>
    <w:tmpl w:val="C0B6B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67C00C7"/>
    <w:multiLevelType w:val="hybridMultilevel"/>
    <w:tmpl w:val="11ECEB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F0520D"/>
    <w:multiLevelType w:val="hybridMultilevel"/>
    <w:tmpl w:val="E73A6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2C8227B"/>
    <w:multiLevelType w:val="hybridMultilevel"/>
    <w:tmpl w:val="E3921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EFA1C10"/>
    <w:multiLevelType w:val="hybridMultilevel"/>
    <w:tmpl w:val="807EC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A404DA"/>
    <w:multiLevelType w:val="hybridMultilevel"/>
    <w:tmpl w:val="B2A63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1560A8E"/>
    <w:multiLevelType w:val="hybridMultilevel"/>
    <w:tmpl w:val="3B361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2967D51"/>
    <w:multiLevelType w:val="hybridMultilevel"/>
    <w:tmpl w:val="D10E9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8EF7EA3"/>
    <w:multiLevelType w:val="hybridMultilevel"/>
    <w:tmpl w:val="EB407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BDA06C2"/>
    <w:multiLevelType w:val="hybridMultilevel"/>
    <w:tmpl w:val="DC32F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C17180C"/>
    <w:multiLevelType w:val="hybridMultilevel"/>
    <w:tmpl w:val="8A14A1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5A06678"/>
    <w:multiLevelType w:val="hybridMultilevel"/>
    <w:tmpl w:val="9CE0E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81123EC"/>
    <w:multiLevelType w:val="hybridMultilevel"/>
    <w:tmpl w:val="BBC4FF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AA05BEA"/>
    <w:multiLevelType w:val="hybridMultilevel"/>
    <w:tmpl w:val="27BE0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BE20242"/>
    <w:multiLevelType w:val="hybridMultilevel"/>
    <w:tmpl w:val="96027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C902EA9"/>
    <w:multiLevelType w:val="hybridMultilevel"/>
    <w:tmpl w:val="93768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D6506B1"/>
    <w:multiLevelType w:val="hybridMultilevel"/>
    <w:tmpl w:val="EAE037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F596FED"/>
    <w:multiLevelType w:val="hybridMultilevel"/>
    <w:tmpl w:val="39C6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523216F"/>
    <w:multiLevelType w:val="hybridMultilevel"/>
    <w:tmpl w:val="B8AC0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7AE2A20"/>
    <w:multiLevelType w:val="hybridMultilevel"/>
    <w:tmpl w:val="8BC0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E4743D"/>
    <w:multiLevelType w:val="hybridMultilevel"/>
    <w:tmpl w:val="9F2846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A7119C7"/>
    <w:multiLevelType w:val="hybridMultilevel"/>
    <w:tmpl w:val="522CF8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777912"/>
    <w:multiLevelType w:val="hybridMultilevel"/>
    <w:tmpl w:val="D136B4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CEA7DDD"/>
    <w:multiLevelType w:val="hybridMultilevel"/>
    <w:tmpl w:val="BA70E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9"/>
  </w:num>
  <w:num w:numId="4">
    <w:abstractNumId w:val="28"/>
  </w:num>
  <w:num w:numId="5">
    <w:abstractNumId w:val="26"/>
  </w:num>
  <w:num w:numId="6">
    <w:abstractNumId w:val="17"/>
  </w:num>
  <w:num w:numId="7">
    <w:abstractNumId w:val="15"/>
  </w:num>
  <w:num w:numId="8">
    <w:abstractNumId w:val="1"/>
  </w:num>
  <w:num w:numId="9">
    <w:abstractNumId w:val="35"/>
  </w:num>
  <w:num w:numId="10">
    <w:abstractNumId w:val="31"/>
  </w:num>
  <w:num w:numId="11">
    <w:abstractNumId w:val="30"/>
  </w:num>
  <w:num w:numId="12">
    <w:abstractNumId w:val="10"/>
  </w:num>
  <w:num w:numId="13">
    <w:abstractNumId w:val="16"/>
  </w:num>
  <w:num w:numId="14">
    <w:abstractNumId w:val="34"/>
  </w:num>
  <w:num w:numId="15">
    <w:abstractNumId w:val="6"/>
  </w:num>
  <w:num w:numId="16">
    <w:abstractNumId w:val="29"/>
  </w:num>
  <w:num w:numId="17">
    <w:abstractNumId w:val="24"/>
  </w:num>
  <w:num w:numId="18">
    <w:abstractNumId w:val="33"/>
  </w:num>
  <w:num w:numId="19">
    <w:abstractNumId w:val="11"/>
  </w:num>
  <w:num w:numId="20">
    <w:abstractNumId w:val="12"/>
  </w:num>
  <w:num w:numId="21">
    <w:abstractNumId w:val="20"/>
  </w:num>
  <w:num w:numId="22">
    <w:abstractNumId w:val="7"/>
  </w:num>
  <w:num w:numId="23">
    <w:abstractNumId w:val="2"/>
  </w:num>
  <w:num w:numId="24">
    <w:abstractNumId w:val="23"/>
  </w:num>
  <w:num w:numId="25">
    <w:abstractNumId w:val="3"/>
  </w:num>
  <w:num w:numId="26">
    <w:abstractNumId w:val="9"/>
  </w:num>
  <w:num w:numId="27">
    <w:abstractNumId w:val="14"/>
  </w:num>
  <w:num w:numId="28">
    <w:abstractNumId w:val="32"/>
  </w:num>
  <w:num w:numId="29">
    <w:abstractNumId w:val="21"/>
  </w:num>
  <w:num w:numId="30">
    <w:abstractNumId w:val="4"/>
  </w:num>
  <w:num w:numId="31">
    <w:abstractNumId w:val="13"/>
  </w:num>
  <w:num w:numId="32">
    <w:abstractNumId w:val="0"/>
  </w:num>
  <w:num w:numId="33">
    <w:abstractNumId w:val="27"/>
  </w:num>
  <w:num w:numId="34">
    <w:abstractNumId w:val="22"/>
  </w:num>
  <w:num w:numId="35">
    <w:abstractNumId w:val="5"/>
  </w:num>
  <w:num w:numId="36">
    <w:abstractNumId w:val="2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0004"/>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590D07"/>
    <w:rsid w:val="00011C8B"/>
    <w:rsid w:val="00034E2C"/>
    <w:rsid w:val="000455BF"/>
    <w:rsid w:val="00061600"/>
    <w:rsid w:val="0006682D"/>
    <w:rsid w:val="00071EC9"/>
    <w:rsid w:val="000848D8"/>
    <w:rsid w:val="00086234"/>
    <w:rsid w:val="00097AE7"/>
    <w:rsid w:val="000C152F"/>
    <w:rsid w:val="000D5A91"/>
    <w:rsid w:val="000E776C"/>
    <w:rsid w:val="000F26DC"/>
    <w:rsid w:val="00123905"/>
    <w:rsid w:val="0014486F"/>
    <w:rsid w:val="0014696F"/>
    <w:rsid w:val="00163FDD"/>
    <w:rsid w:val="00164337"/>
    <w:rsid w:val="00170FAA"/>
    <w:rsid w:val="001817CF"/>
    <w:rsid w:val="001829E2"/>
    <w:rsid w:val="00186FC8"/>
    <w:rsid w:val="00190248"/>
    <w:rsid w:val="00194F2C"/>
    <w:rsid w:val="001B6FE0"/>
    <w:rsid w:val="001C62C3"/>
    <w:rsid w:val="001D28ED"/>
    <w:rsid w:val="001D2995"/>
    <w:rsid w:val="001D4FFE"/>
    <w:rsid w:val="001E79EB"/>
    <w:rsid w:val="00200547"/>
    <w:rsid w:val="002045DB"/>
    <w:rsid w:val="00211D44"/>
    <w:rsid w:val="00213EE8"/>
    <w:rsid w:val="00214D24"/>
    <w:rsid w:val="00215BFB"/>
    <w:rsid w:val="0022471C"/>
    <w:rsid w:val="00234DCF"/>
    <w:rsid w:val="00245F6B"/>
    <w:rsid w:val="0026171B"/>
    <w:rsid w:val="00263253"/>
    <w:rsid w:val="00267D37"/>
    <w:rsid w:val="00277CBE"/>
    <w:rsid w:val="002866D6"/>
    <w:rsid w:val="002B3549"/>
    <w:rsid w:val="00337BA2"/>
    <w:rsid w:val="003450C6"/>
    <w:rsid w:val="003538CD"/>
    <w:rsid w:val="00366016"/>
    <w:rsid w:val="0039515A"/>
    <w:rsid w:val="00396332"/>
    <w:rsid w:val="003963D2"/>
    <w:rsid w:val="003A25A2"/>
    <w:rsid w:val="003B21B5"/>
    <w:rsid w:val="003B4B70"/>
    <w:rsid w:val="003B5361"/>
    <w:rsid w:val="003B6540"/>
    <w:rsid w:val="003C5DD0"/>
    <w:rsid w:val="003D7137"/>
    <w:rsid w:val="003F57E0"/>
    <w:rsid w:val="003F7BCD"/>
    <w:rsid w:val="003F7FB5"/>
    <w:rsid w:val="00413DD2"/>
    <w:rsid w:val="00431737"/>
    <w:rsid w:val="00447039"/>
    <w:rsid w:val="00465F5B"/>
    <w:rsid w:val="004673F7"/>
    <w:rsid w:val="004706D1"/>
    <w:rsid w:val="00473657"/>
    <w:rsid w:val="0047663B"/>
    <w:rsid w:val="004845F0"/>
    <w:rsid w:val="004914A7"/>
    <w:rsid w:val="004A5B46"/>
    <w:rsid w:val="004A6172"/>
    <w:rsid w:val="004C6B89"/>
    <w:rsid w:val="004D73E2"/>
    <w:rsid w:val="004E1EF4"/>
    <w:rsid w:val="004E29B3"/>
    <w:rsid w:val="004E31C3"/>
    <w:rsid w:val="004E5F90"/>
    <w:rsid w:val="0050255C"/>
    <w:rsid w:val="005079E9"/>
    <w:rsid w:val="005111FE"/>
    <w:rsid w:val="0053402A"/>
    <w:rsid w:val="00535A9D"/>
    <w:rsid w:val="00537C81"/>
    <w:rsid w:val="00540E92"/>
    <w:rsid w:val="005613AC"/>
    <w:rsid w:val="0057696A"/>
    <w:rsid w:val="00590D07"/>
    <w:rsid w:val="00591232"/>
    <w:rsid w:val="00591647"/>
    <w:rsid w:val="005936C6"/>
    <w:rsid w:val="005966E4"/>
    <w:rsid w:val="005A05AE"/>
    <w:rsid w:val="005A1085"/>
    <w:rsid w:val="005A5E2F"/>
    <w:rsid w:val="005C6346"/>
    <w:rsid w:val="005E00BE"/>
    <w:rsid w:val="005F1E43"/>
    <w:rsid w:val="005F2A71"/>
    <w:rsid w:val="006162E4"/>
    <w:rsid w:val="0063579D"/>
    <w:rsid w:val="00655FF7"/>
    <w:rsid w:val="006628A2"/>
    <w:rsid w:val="00670BC0"/>
    <w:rsid w:val="00677209"/>
    <w:rsid w:val="00684A74"/>
    <w:rsid w:val="006A4797"/>
    <w:rsid w:val="006B251A"/>
    <w:rsid w:val="006B557B"/>
    <w:rsid w:val="006C2361"/>
    <w:rsid w:val="006C4C23"/>
    <w:rsid w:val="006E1C84"/>
    <w:rsid w:val="00704F41"/>
    <w:rsid w:val="00705481"/>
    <w:rsid w:val="00733761"/>
    <w:rsid w:val="007338E6"/>
    <w:rsid w:val="00741183"/>
    <w:rsid w:val="00744FCE"/>
    <w:rsid w:val="00761802"/>
    <w:rsid w:val="00776427"/>
    <w:rsid w:val="00780E9C"/>
    <w:rsid w:val="00784D58"/>
    <w:rsid w:val="007918BC"/>
    <w:rsid w:val="007A3CE5"/>
    <w:rsid w:val="007B44C8"/>
    <w:rsid w:val="007D0222"/>
    <w:rsid w:val="007E735C"/>
    <w:rsid w:val="007F0A33"/>
    <w:rsid w:val="007F2D55"/>
    <w:rsid w:val="007F6887"/>
    <w:rsid w:val="008014F6"/>
    <w:rsid w:val="00810768"/>
    <w:rsid w:val="00822C63"/>
    <w:rsid w:val="00842506"/>
    <w:rsid w:val="00850092"/>
    <w:rsid w:val="008656C9"/>
    <w:rsid w:val="00867154"/>
    <w:rsid w:val="00877E7E"/>
    <w:rsid w:val="0088414D"/>
    <w:rsid w:val="00891B2D"/>
    <w:rsid w:val="008A5885"/>
    <w:rsid w:val="008C48E8"/>
    <w:rsid w:val="008D3A83"/>
    <w:rsid w:val="008D6863"/>
    <w:rsid w:val="00904AAA"/>
    <w:rsid w:val="0091138C"/>
    <w:rsid w:val="009145B1"/>
    <w:rsid w:val="00923562"/>
    <w:rsid w:val="009369E3"/>
    <w:rsid w:val="00962F3A"/>
    <w:rsid w:val="00964B7E"/>
    <w:rsid w:val="00967EE1"/>
    <w:rsid w:val="00976C88"/>
    <w:rsid w:val="00981735"/>
    <w:rsid w:val="009952D7"/>
    <w:rsid w:val="009C2950"/>
    <w:rsid w:val="009E738E"/>
    <w:rsid w:val="00A0748E"/>
    <w:rsid w:val="00A10F1E"/>
    <w:rsid w:val="00A160CF"/>
    <w:rsid w:val="00A30F7E"/>
    <w:rsid w:val="00A36C0B"/>
    <w:rsid w:val="00A43B1E"/>
    <w:rsid w:val="00A51265"/>
    <w:rsid w:val="00A62232"/>
    <w:rsid w:val="00A6258D"/>
    <w:rsid w:val="00A640CA"/>
    <w:rsid w:val="00A6412F"/>
    <w:rsid w:val="00AA16C7"/>
    <w:rsid w:val="00AA32CD"/>
    <w:rsid w:val="00AB0DAB"/>
    <w:rsid w:val="00AB5B10"/>
    <w:rsid w:val="00B1260F"/>
    <w:rsid w:val="00B23012"/>
    <w:rsid w:val="00B26188"/>
    <w:rsid w:val="00B36B1D"/>
    <w:rsid w:val="00B42759"/>
    <w:rsid w:val="00B43184"/>
    <w:rsid w:val="00B462B7"/>
    <w:rsid w:val="00B60537"/>
    <w:rsid w:val="00B61088"/>
    <w:rsid w:val="00B76D63"/>
    <w:rsid w:val="00B80ED8"/>
    <w:rsid w:val="00B86B75"/>
    <w:rsid w:val="00BA241C"/>
    <w:rsid w:val="00BA3B20"/>
    <w:rsid w:val="00BA617D"/>
    <w:rsid w:val="00BC48D5"/>
    <w:rsid w:val="00BD1AF4"/>
    <w:rsid w:val="00BD5ACF"/>
    <w:rsid w:val="00BD7BAF"/>
    <w:rsid w:val="00BD7EA2"/>
    <w:rsid w:val="00BE288B"/>
    <w:rsid w:val="00BE55CF"/>
    <w:rsid w:val="00BF7359"/>
    <w:rsid w:val="00C15627"/>
    <w:rsid w:val="00C20E5D"/>
    <w:rsid w:val="00C275F7"/>
    <w:rsid w:val="00C36279"/>
    <w:rsid w:val="00C3656A"/>
    <w:rsid w:val="00C370CC"/>
    <w:rsid w:val="00C4458C"/>
    <w:rsid w:val="00C502A2"/>
    <w:rsid w:val="00C659BD"/>
    <w:rsid w:val="00C7753F"/>
    <w:rsid w:val="00C83BDF"/>
    <w:rsid w:val="00C96577"/>
    <w:rsid w:val="00CC28DB"/>
    <w:rsid w:val="00CE20C3"/>
    <w:rsid w:val="00CE324C"/>
    <w:rsid w:val="00CE6D6A"/>
    <w:rsid w:val="00CF57FF"/>
    <w:rsid w:val="00D111B4"/>
    <w:rsid w:val="00D15B8D"/>
    <w:rsid w:val="00D23C36"/>
    <w:rsid w:val="00D30B02"/>
    <w:rsid w:val="00D341F4"/>
    <w:rsid w:val="00D5198F"/>
    <w:rsid w:val="00D8439B"/>
    <w:rsid w:val="00D96367"/>
    <w:rsid w:val="00DA3049"/>
    <w:rsid w:val="00DA448E"/>
    <w:rsid w:val="00DA4928"/>
    <w:rsid w:val="00DB1BAB"/>
    <w:rsid w:val="00DC265A"/>
    <w:rsid w:val="00DE1660"/>
    <w:rsid w:val="00E11C92"/>
    <w:rsid w:val="00E24CCA"/>
    <w:rsid w:val="00E315A3"/>
    <w:rsid w:val="00E323D0"/>
    <w:rsid w:val="00E45507"/>
    <w:rsid w:val="00E478DB"/>
    <w:rsid w:val="00E62848"/>
    <w:rsid w:val="00E70192"/>
    <w:rsid w:val="00E73E79"/>
    <w:rsid w:val="00EA0907"/>
    <w:rsid w:val="00EB1FE8"/>
    <w:rsid w:val="00EC0745"/>
    <w:rsid w:val="00EC63C6"/>
    <w:rsid w:val="00ED1214"/>
    <w:rsid w:val="00ED2055"/>
    <w:rsid w:val="00EF03A3"/>
    <w:rsid w:val="00F11E51"/>
    <w:rsid w:val="00F16749"/>
    <w:rsid w:val="00F17C31"/>
    <w:rsid w:val="00F20C4C"/>
    <w:rsid w:val="00F22292"/>
    <w:rsid w:val="00F25414"/>
    <w:rsid w:val="00F30ABC"/>
    <w:rsid w:val="00F542FA"/>
    <w:rsid w:val="00F656E7"/>
    <w:rsid w:val="00F70E76"/>
    <w:rsid w:val="00FA056C"/>
    <w:rsid w:val="00FA46E1"/>
    <w:rsid w:val="00FB2731"/>
    <w:rsid w:val="00FF6E65"/>
  </w:rsids>
  <m:mathPr>
    <m:mathFont m:val="Cambria Math"/>
    <m:brkBin m:val="before"/>
    <m:brkBinSub m:val="--"/>
    <m:smallFrac m:val="off"/>
    <m:dispDef m:val="off"/>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ector recto de flecha 723408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E65"/>
    <w:pPr>
      <w:jc w:val="both"/>
    </w:pPr>
    <w:rPr>
      <w:rFonts w:ascii="Arial" w:hAnsi="Arial"/>
    </w:rPr>
  </w:style>
  <w:style w:type="paragraph" w:styleId="Ttulo1">
    <w:name w:val="heading 1"/>
    <w:basedOn w:val="Normal"/>
    <w:next w:val="Normal"/>
    <w:link w:val="Ttulo1Car"/>
    <w:uiPriority w:val="9"/>
    <w:qFormat/>
    <w:rsid w:val="005A4E65"/>
    <w:pPr>
      <w:keepNext/>
      <w:keepLines/>
      <w:spacing w:before="24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5A4E65"/>
    <w:pPr>
      <w:keepNext/>
      <w:keepLines/>
      <w:jc w:val="center"/>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5A4E65"/>
    <w:pPr>
      <w:keepNext/>
      <w:keepLines/>
      <w:jc w:val="center"/>
      <w:outlineLvl w:val="2"/>
    </w:pPr>
    <w:rPr>
      <w:rFonts w:eastAsiaTheme="majorEastAsia" w:cstheme="majorBidi"/>
      <w:b/>
      <w:color w:val="000000" w:themeColor="text1"/>
    </w:rPr>
  </w:style>
  <w:style w:type="paragraph" w:styleId="Ttulo4">
    <w:name w:val="heading 4"/>
    <w:basedOn w:val="Normal"/>
    <w:next w:val="Normal"/>
    <w:link w:val="Ttulo4Car"/>
    <w:uiPriority w:val="9"/>
    <w:unhideWhenUsed/>
    <w:qFormat/>
    <w:rsid w:val="00F566E7"/>
    <w:pPr>
      <w:keepNext/>
      <w:keepLines/>
      <w:jc w:val="center"/>
      <w:outlineLvl w:val="3"/>
    </w:pPr>
    <w:rPr>
      <w:rFonts w:eastAsiaTheme="majorEastAsia" w:cstheme="majorBidi"/>
      <w:b/>
      <w:iCs/>
      <w:color w:val="000000" w:themeColor="text1"/>
    </w:rPr>
  </w:style>
  <w:style w:type="paragraph" w:styleId="Ttulo5">
    <w:name w:val="heading 5"/>
    <w:basedOn w:val="Normal"/>
    <w:next w:val="Normal"/>
    <w:link w:val="Ttulo5Car"/>
    <w:uiPriority w:val="9"/>
    <w:unhideWhenUsed/>
    <w:qFormat/>
    <w:rsid w:val="00BA52E9"/>
    <w:pPr>
      <w:spacing w:before="100" w:beforeAutospacing="1" w:after="100" w:afterAutospacing="1"/>
      <w:jc w:val="right"/>
      <w:outlineLvl w:val="4"/>
    </w:pPr>
    <w:rPr>
      <w:rFonts w:cs="Arial"/>
    </w:rPr>
  </w:style>
  <w:style w:type="paragraph" w:styleId="Ttulo6">
    <w:name w:val="heading 6"/>
    <w:basedOn w:val="Normal"/>
    <w:next w:val="Normal"/>
    <w:link w:val="Ttulo6Car"/>
    <w:uiPriority w:val="9"/>
    <w:unhideWhenUsed/>
    <w:qFormat/>
    <w:rsid w:val="00B82FED"/>
    <w:pPr>
      <w:pageBreakBefore/>
      <w:framePr w:wrap="around" w:vAnchor="page" w:hAnchor="text" w:y="1"/>
      <w:spacing w:before="40"/>
      <w:jc w:val="center"/>
      <w:outlineLvl w:val="5"/>
    </w:pPr>
    <w:rPr>
      <w:rFonts w:eastAsiaTheme="majorEastAsia" w:cstheme="majorBidi"/>
      <w:b/>
      <w:color w:val="000000" w:themeColor="text1"/>
    </w:rPr>
  </w:style>
  <w:style w:type="paragraph" w:styleId="Ttulo7">
    <w:name w:val="heading 7"/>
    <w:basedOn w:val="Normal"/>
    <w:next w:val="Normal"/>
    <w:link w:val="Ttulo7Car"/>
    <w:uiPriority w:val="9"/>
    <w:semiHidden/>
    <w:unhideWhenUsed/>
    <w:qFormat/>
    <w:rsid w:val="007F6887"/>
    <w:pPr>
      <w:keepNext/>
      <w:keepLines/>
      <w:spacing w:before="200" w:line="276" w:lineRule="auto"/>
      <w:jc w:val="left"/>
      <w:outlineLvl w:val="6"/>
    </w:pPr>
    <w:rPr>
      <w:rFonts w:asciiTheme="majorHAnsi" w:eastAsiaTheme="majorEastAsia" w:hAnsiTheme="majorHAnsi" w:cstheme="majorBidi"/>
      <w:i/>
      <w:iCs/>
      <w:color w:val="404040" w:themeColor="text1" w:themeTint="BF"/>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B5080"/>
    <w:pPr>
      <w:tabs>
        <w:tab w:val="center" w:pos="4419"/>
        <w:tab w:val="right" w:pos="8838"/>
      </w:tabs>
    </w:pPr>
  </w:style>
  <w:style w:type="character" w:customStyle="1" w:styleId="PiedepginaCar">
    <w:name w:val="Pie de página Car"/>
    <w:basedOn w:val="Fuentedeprrafopredeter"/>
    <w:link w:val="Piedepgina"/>
    <w:uiPriority w:val="99"/>
    <w:rsid w:val="001B5080"/>
  </w:style>
  <w:style w:type="character" w:styleId="Nmerodepgina">
    <w:name w:val="page number"/>
    <w:basedOn w:val="Fuentedeprrafopredeter"/>
    <w:uiPriority w:val="99"/>
    <w:semiHidden/>
    <w:unhideWhenUsed/>
    <w:rsid w:val="001B5080"/>
  </w:style>
  <w:style w:type="paragraph" w:styleId="Encabezado">
    <w:name w:val="header"/>
    <w:basedOn w:val="Normal"/>
    <w:link w:val="EncabezadoCar"/>
    <w:uiPriority w:val="99"/>
    <w:unhideWhenUsed/>
    <w:rsid w:val="00B97640"/>
    <w:pPr>
      <w:tabs>
        <w:tab w:val="center" w:pos="4419"/>
        <w:tab w:val="right" w:pos="8838"/>
      </w:tabs>
    </w:pPr>
  </w:style>
  <w:style w:type="character" w:customStyle="1" w:styleId="EncabezadoCar">
    <w:name w:val="Encabezado Car"/>
    <w:basedOn w:val="Fuentedeprrafopredeter"/>
    <w:link w:val="Encabezado"/>
    <w:uiPriority w:val="99"/>
    <w:rsid w:val="00B97640"/>
  </w:style>
  <w:style w:type="character" w:customStyle="1" w:styleId="Ttulo1Car">
    <w:name w:val="Título 1 Car"/>
    <w:basedOn w:val="Fuentedeprrafopredeter"/>
    <w:link w:val="Ttulo1"/>
    <w:uiPriority w:val="9"/>
    <w:rsid w:val="005A4E65"/>
    <w:rPr>
      <w:rFonts w:ascii="Arial" w:eastAsiaTheme="majorEastAsia" w:hAnsi="Arial" w:cstheme="majorBidi"/>
      <w:b/>
      <w:color w:val="000000" w:themeColor="text1"/>
      <w:szCs w:val="32"/>
    </w:rPr>
  </w:style>
  <w:style w:type="paragraph" w:styleId="TtulodeTDC">
    <w:name w:val="TOC Heading"/>
    <w:basedOn w:val="Ttulo1"/>
    <w:next w:val="Normal"/>
    <w:uiPriority w:val="39"/>
    <w:unhideWhenUsed/>
    <w:qFormat/>
    <w:rsid w:val="00210E32"/>
    <w:pPr>
      <w:spacing w:line="259" w:lineRule="auto"/>
      <w:outlineLvl w:val="9"/>
    </w:pPr>
    <w:rPr>
      <w:lang w:eastAsia="es-MX"/>
    </w:rPr>
  </w:style>
  <w:style w:type="paragraph" w:styleId="Prrafodelista">
    <w:name w:val="List Paragraph"/>
    <w:basedOn w:val="Normal"/>
    <w:uiPriority w:val="34"/>
    <w:qFormat/>
    <w:rsid w:val="00D14BC9"/>
    <w:pPr>
      <w:spacing w:after="200" w:line="276" w:lineRule="auto"/>
      <w:ind w:left="720"/>
      <w:contextualSpacing/>
    </w:pPr>
    <w:rPr>
      <w:rFonts w:ascii="Calibri" w:eastAsia="Calibri" w:hAnsi="Calibri" w:cs="Times New Roman"/>
      <w:szCs w:val="22"/>
    </w:rPr>
  </w:style>
  <w:style w:type="paragraph" w:styleId="TDC1">
    <w:name w:val="toc 1"/>
    <w:basedOn w:val="Normal"/>
    <w:next w:val="Normal"/>
    <w:autoRedefine/>
    <w:uiPriority w:val="39"/>
    <w:unhideWhenUsed/>
    <w:rsid w:val="00395066"/>
    <w:pPr>
      <w:spacing w:after="100"/>
    </w:pPr>
  </w:style>
  <w:style w:type="character" w:styleId="Hipervnculo">
    <w:name w:val="Hyperlink"/>
    <w:basedOn w:val="Fuentedeprrafopredeter"/>
    <w:uiPriority w:val="99"/>
    <w:unhideWhenUsed/>
    <w:rsid w:val="002011FF"/>
    <w:rPr>
      <w:rFonts w:ascii="Barlow" w:hAnsi="Barlow"/>
      <w:color w:val="0563C1" w:themeColor="hyperlink"/>
      <w:u w:val="single"/>
    </w:rPr>
  </w:style>
  <w:style w:type="character" w:customStyle="1" w:styleId="Ttulo2Car">
    <w:name w:val="Título 2 Car"/>
    <w:basedOn w:val="Fuentedeprrafopredeter"/>
    <w:link w:val="Ttulo2"/>
    <w:uiPriority w:val="9"/>
    <w:rsid w:val="005A4E65"/>
    <w:rPr>
      <w:rFonts w:ascii="Arial" w:eastAsiaTheme="majorEastAsia" w:hAnsi="Arial" w:cstheme="majorBidi"/>
      <w:b/>
      <w:color w:val="000000" w:themeColor="text1"/>
      <w:szCs w:val="26"/>
    </w:rPr>
  </w:style>
  <w:style w:type="character" w:customStyle="1" w:styleId="Ttulo3Car">
    <w:name w:val="Título 3 Car"/>
    <w:basedOn w:val="Fuentedeprrafopredeter"/>
    <w:link w:val="Ttulo3"/>
    <w:uiPriority w:val="9"/>
    <w:rsid w:val="005A4E65"/>
    <w:rPr>
      <w:rFonts w:ascii="Arial" w:eastAsiaTheme="majorEastAsia" w:hAnsi="Arial" w:cstheme="majorBidi"/>
      <w:b/>
      <w:color w:val="000000" w:themeColor="text1"/>
    </w:rPr>
  </w:style>
  <w:style w:type="paragraph" w:styleId="TDC2">
    <w:name w:val="toc 2"/>
    <w:basedOn w:val="Normal"/>
    <w:next w:val="Normal"/>
    <w:autoRedefine/>
    <w:uiPriority w:val="39"/>
    <w:unhideWhenUsed/>
    <w:rsid w:val="00F864DA"/>
    <w:pPr>
      <w:spacing w:after="100"/>
      <w:ind w:left="240"/>
    </w:pPr>
  </w:style>
  <w:style w:type="paragraph" w:styleId="TDC3">
    <w:name w:val="toc 3"/>
    <w:basedOn w:val="Normal"/>
    <w:next w:val="Normal"/>
    <w:autoRedefine/>
    <w:uiPriority w:val="39"/>
    <w:unhideWhenUsed/>
    <w:rsid w:val="00F864DA"/>
    <w:pPr>
      <w:spacing w:after="100"/>
      <w:ind w:left="480"/>
    </w:pPr>
  </w:style>
  <w:style w:type="paragraph" w:styleId="Textodeglobo">
    <w:name w:val="Balloon Text"/>
    <w:basedOn w:val="Normal"/>
    <w:link w:val="TextodegloboCar"/>
    <w:uiPriority w:val="99"/>
    <w:semiHidden/>
    <w:unhideWhenUsed/>
    <w:rsid w:val="000564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64AC"/>
    <w:rPr>
      <w:rFonts w:ascii="Segoe UI" w:hAnsi="Segoe UI" w:cs="Segoe UI"/>
      <w:sz w:val="18"/>
      <w:szCs w:val="18"/>
    </w:rPr>
  </w:style>
  <w:style w:type="character" w:styleId="Hipervnculovisitado">
    <w:name w:val="FollowedHyperlink"/>
    <w:basedOn w:val="Fuentedeprrafopredeter"/>
    <w:uiPriority w:val="99"/>
    <w:semiHidden/>
    <w:unhideWhenUsed/>
    <w:rsid w:val="00F91495"/>
    <w:rPr>
      <w:color w:val="954F72"/>
      <w:u w:val="single"/>
    </w:rPr>
  </w:style>
  <w:style w:type="paragraph" w:customStyle="1" w:styleId="msonormal0">
    <w:name w:val="msonormal"/>
    <w:basedOn w:val="Normal"/>
    <w:rsid w:val="00F91495"/>
    <w:pPr>
      <w:spacing w:before="100" w:beforeAutospacing="1" w:after="100" w:afterAutospacing="1"/>
    </w:pPr>
    <w:rPr>
      <w:rFonts w:ascii="Times New Roman" w:eastAsia="Times New Roman" w:hAnsi="Times New Roman" w:cs="Times New Roman"/>
      <w:lang w:eastAsia="es-MX"/>
    </w:rPr>
  </w:style>
  <w:style w:type="paragraph" w:customStyle="1" w:styleId="xl66">
    <w:name w:val="xl66"/>
    <w:basedOn w:val="Normal"/>
    <w:rsid w:val="00F91495"/>
    <w:pPr>
      <w:spacing w:before="100" w:beforeAutospacing="1" w:after="100" w:afterAutospacing="1"/>
    </w:pPr>
    <w:rPr>
      <w:rFonts w:eastAsia="Times New Roman" w:cs="Times New Roman"/>
      <w:lang w:eastAsia="es-MX"/>
    </w:rPr>
  </w:style>
  <w:style w:type="paragraph" w:customStyle="1" w:styleId="xl67">
    <w:name w:val="xl67"/>
    <w:basedOn w:val="Normal"/>
    <w:rsid w:val="00F91495"/>
    <w:pPr>
      <w:pBdr>
        <w:top w:val="single" w:sz="4" w:space="0" w:color="auto"/>
        <w:bottom w:val="double" w:sz="6" w:space="0" w:color="auto"/>
      </w:pBdr>
      <w:shd w:val="clear" w:color="000000" w:fill="ACB9CA"/>
      <w:spacing w:before="100" w:beforeAutospacing="1" w:after="100" w:afterAutospacing="1"/>
      <w:textAlignment w:val="top"/>
    </w:pPr>
    <w:rPr>
      <w:rFonts w:eastAsia="Times New Roman" w:cs="Times New Roman"/>
      <w:lang w:eastAsia="es-MX"/>
    </w:rPr>
  </w:style>
  <w:style w:type="paragraph" w:customStyle="1" w:styleId="xl68">
    <w:name w:val="xl68"/>
    <w:basedOn w:val="Normal"/>
    <w:rsid w:val="00F91495"/>
    <w:pPr>
      <w:pBdr>
        <w:top w:val="single" w:sz="4" w:space="0" w:color="auto"/>
        <w:bottom w:val="double" w:sz="6" w:space="0" w:color="auto"/>
      </w:pBdr>
      <w:shd w:val="clear" w:color="000000" w:fill="ACB9CA"/>
      <w:spacing w:before="100" w:beforeAutospacing="1" w:after="100" w:afterAutospacing="1"/>
      <w:textAlignment w:val="center"/>
    </w:pPr>
    <w:rPr>
      <w:rFonts w:eastAsia="Times New Roman" w:cs="Times New Roman"/>
      <w:b/>
      <w:bCs/>
      <w:color w:val="000000"/>
      <w:lang w:eastAsia="es-MX"/>
    </w:rPr>
  </w:style>
  <w:style w:type="paragraph" w:customStyle="1" w:styleId="xl69">
    <w:name w:val="xl69"/>
    <w:basedOn w:val="Normal"/>
    <w:rsid w:val="00F91495"/>
    <w:pPr>
      <w:pBdr>
        <w:top w:val="single" w:sz="4" w:space="0" w:color="auto"/>
        <w:bottom w:val="double" w:sz="6" w:space="0" w:color="auto"/>
      </w:pBdr>
      <w:shd w:val="clear" w:color="000000" w:fill="ACB9CA"/>
      <w:spacing w:before="100" w:beforeAutospacing="1" w:after="100" w:afterAutospacing="1"/>
      <w:jc w:val="right"/>
      <w:textAlignment w:val="center"/>
    </w:pPr>
    <w:rPr>
      <w:rFonts w:eastAsia="Times New Roman" w:cs="Times New Roman"/>
      <w:b/>
      <w:bCs/>
      <w:color w:val="000000"/>
      <w:lang w:eastAsia="es-MX"/>
    </w:rPr>
  </w:style>
  <w:style w:type="paragraph" w:customStyle="1" w:styleId="xl70">
    <w:name w:val="xl70"/>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cs="Times New Roman"/>
      <w:b/>
      <w:bCs/>
      <w:color w:val="000000"/>
      <w:lang w:eastAsia="es-MX"/>
    </w:rPr>
  </w:style>
  <w:style w:type="paragraph" w:customStyle="1" w:styleId="xl71">
    <w:name w:val="xl71"/>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cs="Times New Roman"/>
      <w:b/>
      <w:bCs/>
      <w:color w:val="000000"/>
      <w:lang w:eastAsia="es-MX"/>
    </w:rPr>
  </w:style>
  <w:style w:type="paragraph" w:customStyle="1" w:styleId="xl72">
    <w:name w:val="xl72"/>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cs="Times New Roman"/>
      <w:color w:val="000000"/>
      <w:lang w:eastAsia="es-MX"/>
    </w:rPr>
  </w:style>
  <w:style w:type="paragraph" w:customStyle="1" w:styleId="xl73">
    <w:name w:val="xl73"/>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s="Times New Roman"/>
      <w:color w:val="000000"/>
      <w:lang w:eastAsia="es-MX"/>
    </w:rPr>
  </w:style>
  <w:style w:type="paragraph" w:customStyle="1" w:styleId="xl74">
    <w:name w:val="xl74"/>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cs="Times New Roman"/>
      <w:b/>
      <w:bCs/>
      <w:color w:val="000000"/>
      <w:lang w:eastAsia="es-MX"/>
    </w:rPr>
  </w:style>
  <w:style w:type="paragraph" w:customStyle="1" w:styleId="xl75">
    <w:name w:val="xl75"/>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cs="Times New Roman"/>
      <w:b/>
      <w:bCs/>
      <w:color w:val="000000"/>
      <w:lang w:eastAsia="es-MX"/>
    </w:rPr>
  </w:style>
  <w:style w:type="paragraph" w:customStyle="1" w:styleId="xl76">
    <w:name w:val="xl76"/>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eastAsia="Times New Roman" w:cs="Times New Roman"/>
      <w:color w:val="000000"/>
      <w:lang w:eastAsia="es-MX"/>
    </w:rPr>
  </w:style>
  <w:style w:type="paragraph" w:customStyle="1" w:styleId="xl77">
    <w:name w:val="xl77"/>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top"/>
    </w:pPr>
    <w:rPr>
      <w:rFonts w:eastAsia="Times New Roman" w:cs="Times New Roman"/>
      <w:color w:val="000000"/>
      <w:lang w:eastAsia="es-MX"/>
    </w:rPr>
  </w:style>
  <w:style w:type="paragraph" w:customStyle="1" w:styleId="xl78">
    <w:name w:val="xl78"/>
    <w:basedOn w:val="Normal"/>
    <w:rsid w:val="00F91495"/>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jc w:val="center"/>
      <w:textAlignment w:val="center"/>
    </w:pPr>
    <w:rPr>
      <w:rFonts w:ascii="Barlow Bold" w:eastAsia="Times New Roman" w:hAnsi="Barlow Bold" w:cs="Times New Roman"/>
      <w:color w:val="111B58"/>
      <w:lang w:eastAsia="es-MX"/>
    </w:rPr>
  </w:style>
  <w:style w:type="paragraph" w:customStyle="1" w:styleId="xl79">
    <w:name w:val="xl79"/>
    <w:basedOn w:val="Normal"/>
    <w:rsid w:val="00F91495"/>
    <w:pPr>
      <w:pBdr>
        <w:top w:val="single" w:sz="4" w:space="0" w:color="FFFFFF"/>
        <w:left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s="Times New Roman"/>
      <w:color w:val="FFFFFF"/>
      <w:lang w:eastAsia="es-MX"/>
    </w:rPr>
  </w:style>
  <w:style w:type="paragraph" w:customStyle="1" w:styleId="xl80">
    <w:name w:val="xl80"/>
    <w:basedOn w:val="Normal"/>
    <w:rsid w:val="00F91495"/>
    <w:pPr>
      <w:pBdr>
        <w:top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s="Times New Roman"/>
      <w:color w:val="FFFFFF"/>
      <w:lang w:eastAsia="es-MX"/>
    </w:rPr>
  </w:style>
  <w:style w:type="paragraph" w:customStyle="1" w:styleId="xl81">
    <w:name w:val="xl81"/>
    <w:basedOn w:val="Normal"/>
    <w:rsid w:val="00F91495"/>
    <w:pPr>
      <w:pBdr>
        <w:top w:val="single" w:sz="4" w:space="0" w:color="FFFFFF"/>
        <w:bottom w:val="single" w:sz="4" w:space="0" w:color="FFFFFF"/>
        <w:right w:val="single" w:sz="4" w:space="0" w:color="FFFFFF"/>
      </w:pBdr>
      <w:shd w:val="clear" w:color="000000" w:fill="111B58"/>
      <w:spacing w:before="100" w:beforeAutospacing="1" w:after="100" w:afterAutospacing="1"/>
      <w:jc w:val="center"/>
      <w:textAlignment w:val="center"/>
    </w:pPr>
    <w:rPr>
      <w:rFonts w:ascii="Barlow Medium" w:eastAsia="Times New Roman" w:hAnsi="Barlow Medium" w:cs="Times New Roman"/>
      <w:color w:val="FFFFFF"/>
      <w:lang w:eastAsia="es-MX"/>
    </w:rPr>
  </w:style>
  <w:style w:type="paragraph" w:customStyle="1" w:styleId="xl82">
    <w:name w:val="xl82"/>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textAlignment w:val="center"/>
    </w:pPr>
    <w:rPr>
      <w:rFonts w:ascii="Barlow Bold" w:eastAsia="Times New Roman" w:hAnsi="Barlow Bold" w:cs="Times New Roman"/>
      <w:color w:val="FFFFFF"/>
      <w:lang w:eastAsia="es-MX"/>
    </w:rPr>
  </w:style>
  <w:style w:type="paragraph" w:customStyle="1" w:styleId="xl83">
    <w:name w:val="xl83"/>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center"/>
      <w:textAlignment w:val="center"/>
    </w:pPr>
    <w:rPr>
      <w:rFonts w:ascii="Barlow Bold" w:eastAsia="Times New Roman" w:hAnsi="Barlow Bold" w:cs="Times New Roman"/>
      <w:color w:val="FFFFFF"/>
      <w:lang w:eastAsia="es-MX"/>
    </w:rPr>
  </w:style>
  <w:style w:type="paragraph" w:customStyle="1" w:styleId="xl84">
    <w:name w:val="xl84"/>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cs="Times New Roman"/>
      <w:b/>
      <w:bCs/>
      <w:color w:val="203764"/>
      <w:lang w:eastAsia="es-MX"/>
    </w:rPr>
  </w:style>
  <w:style w:type="paragraph" w:customStyle="1" w:styleId="xl85">
    <w:name w:val="xl85"/>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s="Times New Roman"/>
      <w:b/>
      <w:bCs/>
      <w:color w:val="203764"/>
      <w:lang w:eastAsia="es-MX"/>
    </w:rPr>
  </w:style>
  <w:style w:type="paragraph" w:customStyle="1" w:styleId="xl86">
    <w:name w:val="xl86"/>
    <w:basedOn w:val="Normal"/>
    <w:rsid w:val="006C282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s="Times New Roman"/>
      <w:b/>
      <w:bCs/>
      <w:color w:val="203764"/>
      <w:lang w:eastAsia="es-MX"/>
    </w:rPr>
  </w:style>
  <w:style w:type="paragraph" w:customStyle="1" w:styleId="xl87">
    <w:name w:val="xl87"/>
    <w:basedOn w:val="Normal"/>
    <w:rsid w:val="00F468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s="Times New Roman"/>
      <w:b/>
      <w:bCs/>
      <w:color w:val="203764"/>
      <w:lang w:eastAsia="es-MX"/>
    </w:rPr>
  </w:style>
  <w:style w:type="paragraph" w:customStyle="1" w:styleId="font5">
    <w:name w:val="font5"/>
    <w:basedOn w:val="Normal"/>
    <w:rsid w:val="008D6DF0"/>
    <w:pPr>
      <w:spacing w:before="100" w:beforeAutospacing="1" w:after="100" w:afterAutospacing="1"/>
    </w:pPr>
    <w:rPr>
      <w:rFonts w:eastAsia="Times New Roman" w:cs="Times New Roman"/>
      <w:b/>
      <w:bCs/>
      <w:color w:val="FFFFFF"/>
      <w:szCs w:val="22"/>
      <w:lang w:eastAsia="es-MX"/>
    </w:rPr>
  </w:style>
  <w:style w:type="paragraph" w:customStyle="1" w:styleId="font6">
    <w:name w:val="font6"/>
    <w:basedOn w:val="Normal"/>
    <w:rsid w:val="008D6DF0"/>
    <w:pPr>
      <w:spacing w:before="100" w:beforeAutospacing="1" w:after="100" w:afterAutospacing="1"/>
    </w:pPr>
    <w:rPr>
      <w:rFonts w:eastAsia="Times New Roman" w:cs="Times New Roman"/>
      <w:color w:val="FFFFFF"/>
      <w:szCs w:val="22"/>
      <w:lang w:eastAsia="es-MX"/>
    </w:rPr>
  </w:style>
  <w:style w:type="paragraph" w:customStyle="1" w:styleId="xl88">
    <w:name w:val="xl88"/>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color w:val="000000"/>
      <w:lang w:eastAsia="es-MX"/>
    </w:rPr>
  </w:style>
  <w:style w:type="paragraph" w:customStyle="1" w:styleId="xl89">
    <w:name w:val="xl89"/>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color w:val="002060"/>
      <w:lang w:eastAsia="es-MX"/>
    </w:rPr>
  </w:style>
  <w:style w:type="paragraph" w:customStyle="1" w:styleId="xl90">
    <w:name w:val="xl90"/>
    <w:basedOn w:val="Normal"/>
    <w:rsid w:val="008D6DF0"/>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eastAsia="Times New Roman" w:cs="Times New Roman"/>
      <w:color w:val="000000"/>
      <w:lang w:eastAsia="es-MX"/>
    </w:rPr>
  </w:style>
  <w:style w:type="paragraph" w:customStyle="1" w:styleId="xl91">
    <w:name w:val="xl91"/>
    <w:basedOn w:val="Normal"/>
    <w:rsid w:val="008D6DF0"/>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eastAsia="Times New Roman" w:cs="Times New Roman"/>
      <w:lang w:eastAsia="es-MX"/>
    </w:rPr>
  </w:style>
  <w:style w:type="paragraph" w:customStyle="1" w:styleId="xl92">
    <w:name w:val="xl92"/>
    <w:basedOn w:val="Normal"/>
    <w:rsid w:val="008D6DF0"/>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s="Times New Roman"/>
      <w:color w:val="000000"/>
      <w:lang w:eastAsia="es-MX"/>
    </w:rPr>
  </w:style>
  <w:style w:type="paragraph" w:customStyle="1" w:styleId="xl93">
    <w:name w:val="xl93"/>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textAlignment w:val="center"/>
    </w:pPr>
    <w:rPr>
      <w:rFonts w:eastAsia="Times New Roman" w:cs="Times New Roman"/>
      <w:b/>
      <w:bCs/>
      <w:color w:val="000000"/>
      <w:lang w:eastAsia="es-MX"/>
    </w:rPr>
  </w:style>
  <w:style w:type="paragraph" w:customStyle="1" w:styleId="xl94">
    <w:name w:val="xl94"/>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eastAsia="Times New Roman" w:cs="Times New Roman"/>
      <w:b/>
      <w:bCs/>
      <w:color w:val="000000"/>
      <w:lang w:eastAsia="es-MX"/>
    </w:rPr>
  </w:style>
  <w:style w:type="paragraph" w:customStyle="1" w:styleId="Default">
    <w:name w:val="Default"/>
    <w:uiPriority w:val="99"/>
    <w:rsid w:val="00764A04"/>
    <w:pPr>
      <w:widowControl w:val="0"/>
      <w:autoSpaceDE w:val="0"/>
      <w:autoSpaceDN w:val="0"/>
      <w:adjustRightInd w:val="0"/>
    </w:pPr>
    <w:rPr>
      <w:rFonts w:ascii="Soberana Titular" w:eastAsia="Times New Roman" w:hAnsi="Soberana Titular" w:cs="Soberana Titular"/>
      <w:color w:val="000000"/>
      <w:lang w:val="es-ES" w:eastAsia="es-ES"/>
    </w:rPr>
  </w:style>
  <w:style w:type="paragraph" w:customStyle="1" w:styleId="CM166">
    <w:name w:val="CM166"/>
    <w:basedOn w:val="Default"/>
    <w:next w:val="Default"/>
    <w:uiPriority w:val="99"/>
    <w:rsid w:val="00764A04"/>
    <w:rPr>
      <w:rFonts w:cs="Times New Roman"/>
      <w:color w:val="auto"/>
    </w:rPr>
  </w:style>
  <w:style w:type="paragraph" w:customStyle="1" w:styleId="xl63">
    <w:name w:val="xl63"/>
    <w:basedOn w:val="Normal"/>
    <w:rsid w:val="00413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Barlow Bold" w:eastAsia="Times New Roman" w:hAnsi="Barlow Bold" w:cs="Times New Roman"/>
      <w:color w:val="111B58"/>
      <w:sz w:val="18"/>
      <w:szCs w:val="18"/>
      <w:lang w:eastAsia="es-MX"/>
    </w:rPr>
  </w:style>
  <w:style w:type="paragraph" w:customStyle="1" w:styleId="xl64">
    <w:name w:val="xl64"/>
    <w:basedOn w:val="Normal"/>
    <w:rsid w:val="004133B4"/>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jc w:val="center"/>
      <w:textAlignment w:val="center"/>
    </w:pPr>
    <w:rPr>
      <w:rFonts w:ascii="Barlow Medium" w:eastAsia="Times New Roman" w:hAnsi="Barlow Medium" w:cs="Times New Roman"/>
      <w:color w:val="FFFFFF"/>
      <w:sz w:val="18"/>
      <w:szCs w:val="18"/>
      <w:lang w:eastAsia="es-MX"/>
    </w:rPr>
  </w:style>
  <w:style w:type="paragraph" w:customStyle="1" w:styleId="xl65">
    <w:name w:val="xl65"/>
    <w:basedOn w:val="Normal"/>
    <w:autoRedefine/>
    <w:rsid w:val="001F46CD"/>
    <w:pPr>
      <w:shd w:val="solid" w:color="2F75B5" w:fill="auto"/>
      <w:spacing w:before="100" w:beforeAutospacing="1" w:after="100" w:afterAutospacing="1" w:line="360" w:lineRule="auto"/>
      <w:jc w:val="center"/>
    </w:pPr>
    <w:rPr>
      <w:rFonts w:ascii="Barlow Medium" w:eastAsia="Times New Roman" w:hAnsi="Barlow Medium" w:cs="Times New Roman"/>
      <w:b/>
      <w:color w:val="FFFFFF" w:themeColor="background1"/>
      <w:szCs w:val="18"/>
      <w:lang w:eastAsia="es-MX"/>
    </w:rPr>
  </w:style>
  <w:style w:type="paragraph" w:customStyle="1" w:styleId="CM162">
    <w:name w:val="CM162"/>
    <w:basedOn w:val="Default"/>
    <w:next w:val="Default"/>
    <w:uiPriority w:val="99"/>
    <w:rsid w:val="002011FF"/>
    <w:rPr>
      <w:rFonts w:ascii="Barlow" w:hAnsi="Barlow" w:cs="Times New Roman"/>
      <w:color w:val="auto"/>
    </w:rPr>
  </w:style>
  <w:style w:type="paragraph" w:customStyle="1" w:styleId="xl95">
    <w:name w:val="xl95"/>
    <w:basedOn w:val="Normal"/>
    <w:rsid w:val="00CF5073"/>
    <w:pPr>
      <w:spacing w:before="100" w:beforeAutospacing="1" w:after="100" w:afterAutospacing="1"/>
    </w:pPr>
    <w:rPr>
      <w:rFonts w:eastAsia="Times New Roman" w:cs="Times New Roman"/>
      <w:sz w:val="20"/>
      <w:szCs w:val="20"/>
      <w:lang w:eastAsia="es-MX"/>
    </w:rPr>
  </w:style>
  <w:style w:type="paragraph" w:customStyle="1" w:styleId="xl96">
    <w:name w:val="xl96"/>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20"/>
      <w:szCs w:val="20"/>
      <w:lang w:eastAsia="es-MX"/>
    </w:rPr>
  </w:style>
  <w:style w:type="paragraph" w:customStyle="1" w:styleId="xl97">
    <w:name w:val="xl97"/>
    <w:basedOn w:val="Normal"/>
    <w:rsid w:val="00CF5073"/>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20"/>
      <w:szCs w:val="20"/>
      <w:lang w:eastAsia="es-MX"/>
    </w:rPr>
  </w:style>
  <w:style w:type="paragraph" w:customStyle="1" w:styleId="xl98">
    <w:name w:val="xl98"/>
    <w:basedOn w:val="Normal"/>
    <w:rsid w:val="00CF5073"/>
    <w:pPr>
      <w:pBdr>
        <w:top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20"/>
      <w:szCs w:val="20"/>
      <w:lang w:eastAsia="es-MX"/>
    </w:rPr>
  </w:style>
  <w:style w:type="paragraph" w:customStyle="1" w:styleId="Compacto">
    <w:name w:val="Compacto"/>
    <w:basedOn w:val="Normal"/>
    <w:qFormat/>
    <w:rsid w:val="00E822A2"/>
    <w:pPr>
      <w:shd w:val="clear" w:color="000000" w:fill="FFFFFF" w:themeFill="background1"/>
      <w:spacing w:before="100" w:beforeAutospacing="1" w:after="100" w:afterAutospacing="1"/>
      <w:textAlignment w:val="center"/>
    </w:pPr>
    <w:rPr>
      <w:rFonts w:eastAsia="Times New Roman" w:cs="Times New Roman"/>
      <w:color w:val="000000" w:themeColor="text1"/>
      <w:sz w:val="16"/>
      <w:szCs w:val="20"/>
      <w:lang w:eastAsia="es-MX"/>
    </w:rPr>
  </w:style>
  <w:style w:type="paragraph" w:customStyle="1" w:styleId="xl100">
    <w:name w:val="xl100"/>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Barlow Medium" w:eastAsia="Times New Roman" w:hAnsi="Barlow Medium" w:cs="Times New Roman"/>
      <w:color w:val="FFFFFF"/>
      <w:sz w:val="20"/>
      <w:szCs w:val="20"/>
      <w:lang w:eastAsia="es-MX"/>
    </w:rPr>
  </w:style>
  <w:style w:type="paragraph" w:customStyle="1" w:styleId="xl101">
    <w:name w:val="xl101"/>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16"/>
      <w:szCs w:val="16"/>
      <w:lang w:eastAsia="es-MX"/>
    </w:rPr>
  </w:style>
  <w:style w:type="paragraph" w:customStyle="1" w:styleId="xl102">
    <w:name w:val="xl102"/>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6"/>
      <w:szCs w:val="16"/>
      <w:lang w:eastAsia="es-MX"/>
    </w:rPr>
  </w:style>
  <w:style w:type="paragraph" w:customStyle="1" w:styleId="xl103">
    <w:name w:val="xl103"/>
    <w:basedOn w:val="Normal"/>
    <w:rsid w:val="00272EFE"/>
    <w:pPr>
      <w:spacing w:before="100" w:beforeAutospacing="1" w:after="100" w:afterAutospacing="1"/>
      <w:jc w:val="right"/>
      <w:textAlignment w:val="center"/>
    </w:pPr>
    <w:rPr>
      <w:rFonts w:eastAsia="Times New Roman" w:cs="Times New Roman"/>
      <w:sz w:val="16"/>
      <w:szCs w:val="16"/>
      <w:lang w:eastAsia="es-MX"/>
    </w:rPr>
  </w:style>
  <w:style w:type="paragraph" w:customStyle="1" w:styleId="xl104">
    <w:name w:val="xl104"/>
    <w:basedOn w:val="Normal"/>
    <w:rsid w:val="00272EFE"/>
    <w:pPr>
      <w:spacing w:before="100" w:beforeAutospacing="1" w:after="100" w:afterAutospacing="1"/>
      <w:jc w:val="right"/>
    </w:pPr>
    <w:rPr>
      <w:rFonts w:eastAsia="Times New Roman" w:cs="Times New Roman"/>
      <w:b/>
      <w:bCs/>
      <w:sz w:val="16"/>
      <w:szCs w:val="16"/>
      <w:lang w:eastAsia="es-MX"/>
    </w:rPr>
  </w:style>
  <w:style w:type="paragraph" w:customStyle="1" w:styleId="xl105">
    <w:name w:val="xl105"/>
    <w:basedOn w:val="Normal"/>
    <w:rsid w:val="00272EFE"/>
    <w:pPr>
      <w:pBdr>
        <w:top w:val="single" w:sz="4" w:space="0" w:color="auto"/>
        <w:bottom w:val="single" w:sz="4" w:space="0" w:color="auto"/>
      </w:pBdr>
      <w:spacing w:before="100" w:beforeAutospacing="1" w:after="100" w:afterAutospacing="1"/>
      <w:jc w:val="right"/>
      <w:textAlignment w:val="center"/>
    </w:pPr>
    <w:rPr>
      <w:rFonts w:eastAsia="Times New Roman" w:cs="Times New Roman"/>
      <w:sz w:val="16"/>
      <w:szCs w:val="16"/>
      <w:lang w:eastAsia="es-MX"/>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rsid w:val="007363DB"/>
    <w:pPr>
      <w:spacing w:before="100" w:beforeAutospacing="1" w:after="100" w:afterAutospacing="1"/>
    </w:pPr>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B217BD"/>
    <w:rPr>
      <w:sz w:val="16"/>
      <w:szCs w:val="16"/>
    </w:rPr>
  </w:style>
  <w:style w:type="paragraph" w:styleId="Textocomentario">
    <w:name w:val="annotation text"/>
    <w:basedOn w:val="Normal"/>
    <w:link w:val="TextocomentarioCar"/>
    <w:uiPriority w:val="99"/>
    <w:unhideWhenUsed/>
    <w:rsid w:val="00B217BD"/>
    <w:rPr>
      <w:sz w:val="20"/>
      <w:szCs w:val="20"/>
    </w:rPr>
  </w:style>
  <w:style w:type="character" w:customStyle="1" w:styleId="TextocomentarioCar">
    <w:name w:val="Texto comentario Car"/>
    <w:basedOn w:val="Fuentedeprrafopredeter"/>
    <w:link w:val="Textocomentario"/>
    <w:uiPriority w:val="99"/>
    <w:rsid w:val="00B217BD"/>
    <w:rPr>
      <w:sz w:val="20"/>
      <w:szCs w:val="20"/>
    </w:rPr>
  </w:style>
  <w:style w:type="paragraph" w:styleId="Asuntodelcomentario">
    <w:name w:val="annotation subject"/>
    <w:basedOn w:val="Textocomentario"/>
    <w:next w:val="Textocomentario"/>
    <w:link w:val="AsuntodelcomentarioCar"/>
    <w:uiPriority w:val="99"/>
    <w:semiHidden/>
    <w:unhideWhenUsed/>
    <w:rsid w:val="00B217BD"/>
    <w:rPr>
      <w:b/>
      <w:bCs/>
    </w:rPr>
  </w:style>
  <w:style w:type="character" w:customStyle="1" w:styleId="AsuntodelcomentarioCar">
    <w:name w:val="Asunto del comentario Car"/>
    <w:basedOn w:val="TextocomentarioCar"/>
    <w:link w:val="Asuntodelcomentario"/>
    <w:uiPriority w:val="99"/>
    <w:semiHidden/>
    <w:rsid w:val="00B217BD"/>
    <w:rPr>
      <w:b/>
      <w:bCs/>
      <w:sz w:val="20"/>
      <w:szCs w:val="20"/>
    </w:rPr>
  </w:style>
  <w:style w:type="paragraph" w:styleId="Revisin">
    <w:name w:val="Revision"/>
    <w:hidden/>
    <w:uiPriority w:val="99"/>
    <w:semiHidden/>
    <w:rsid w:val="00940CF7"/>
  </w:style>
  <w:style w:type="numbering" w:customStyle="1" w:styleId="Sinlista1">
    <w:name w:val="Sin lista1"/>
    <w:next w:val="Sinlista"/>
    <w:uiPriority w:val="99"/>
    <w:semiHidden/>
    <w:unhideWhenUsed/>
    <w:rsid w:val="00F6743F"/>
  </w:style>
  <w:style w:type="table" w:customStyle="1" w:styleId="TableNormal">
    <w:name w:val="TableNormal"/>
    <w:basedOn w:val="Tablanormal"/>
    <w:uiPriority w:val="99"/>
    <w:rsid w:val="00FD46F2"/>
    <w:tblPr>
      <w:tblStyleRowBandSize w:val="1"/>
      <w:tblInd w:w="0" w:type="dxa"/>
      <w:tblCellMar>
        <w:top w:w="0" w:type="dxa"/>
        <w:left w:w="108" w:type="dxa"/>
        <w:bottom w:w="0" w:type="dxa"/>
        <w:right w:w="108" w:type="dxa"/>
      </w:tblCellMar>
    </w:tblPr>
    <w:tblStylePr w:type="firstRow">
      <w:pPr>
        <w:jc w:val="center"/>
      </w:pPr>
      <w:rPr>
        <w:rFonts w:ascii="Barlow" w:hAnsi="Barlow"/>
        <w:b/>
        <w:color w:val="FFFFFF" w:themeColor="background1"/>
        <w:sz w:val="22"/>
      </w:rPr>
      <w:tblPr/>
      <w:tcPr>
        <w:shd w:val="clear" w:color="auto" w:fill="0070C0"/>
        <w:vAlign w:val="center"/>
      </w:tcPr>
    </w:tblStylePr>
    <w:tblStylePr w:type="firstCol">
      <w:rPr>
        <w:rFonts w:ascii="Barlow" w:hAnsi="Barlow"/>
        <w:color w:val="FFFFFF" w:themeColor="background1"/>
        <w:sz w:val="22"/>
      </w:rPr>
    </w:tblStylePr>
  </w:style>
  <w:style w:type="table" w:styleId="Tablaconcuadrcula">
    <w:name w:val="Table Grid"/>
    <w:basedOn w:val="Tablanormal"/>
    <w:uiPriority w:val="39"/>
    <w:rsid w:val="00E24E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3A45F8"/>
    <w:pPr>
      <w:contextualSpacing/>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3A45F8"/>
    <w:rPr>
      <w:rFonts w:ascii="Barlow" w:eastAsiaTheme="majorEastAsia" w:hAnsi="Barlow" w:cstheme="majorBidi"/>
      <w:spacing w:val="-10"/>
      <w:kern w:val="28"/>
      <w:sz w:val="56"/>
      <w:szCs w:val="56"/>
    </w:rPr>
  </w:style>
  <w:style w:type="paragraph" w:styleId="Subttulo">
    <w:name w:val="Subtitle"/>
    <w:basedOn w:val="Normal"/>
    <w:next w:val="Normal"/>
    <w:link w:val="SubttuloCar"/>
    <w:uiPriority w:val="11"/>
    <w:qFormat/>
    <w:rsid w:val="003A45F8"/>
    <w:pPr>
      <w:numPr>
        <w:ilvl w:val="1"/>
      </w:numPr>
      <w:spacing w:after="160"/>
    </w:pPr>
    <w:rPr>
      <w:rFonts w:eastAsiaTheme="minorEastAsia"/>
      <w:color w:val="5A5A5A" w:themeColor="text1" w:themeTint="A5"/>
      <w:spacing w:val="15"/>
      <w:szCs w:val="22"/>
    </w:rPr>
  </w:style>
  <w:style w:type="character" w:customStyle="1" w:styleId="SubttuloCar">
    <w:name w:val="Subtítulo Car"/>
    <w:basedOn w:val="Fuentedeprrafopredeter"/>
    <w:link w:val="Subttulo"/>
    <w:uiPriority w:val="11"/>
    <w:rsid w:val="003A45F8"/>
    <w:rPr>
      <w:rFonts w:ascii="Barlow" w:eastAsiaTheme="minorEastAsia" w:hAnsi="Barlow"/>
      <w:color w:val="5A5A5A" w:themeColor="text1" w:themeTint="A5"/>
      <w:spacing w:val="15"/>
      <w:sz w:val="22"/>
      <w:szCs w:val="22"/>
    </w:rPr>
  </w:style>
  <w:style w:type="character" w:styleId="nfasissutil">
    <w:name w:val="Subtle Emphasis"/>
    <w:basedOn w:val="Fuentedeprrafopredeter"/>
    <w:uiPriority w:val="19"/>
    <w:qFormat/>
    <w:rsid w:val="003A45F8"/>
    <w:rPr>
      <w:rFonts w:ascii="Barlow" w:hAnsi="Barlow"/>
      <w:i/>
      <w:iCs/>
      <w:color w:val="404040" w:themeColor="text1" w:themeTint="BF"/>
    </w:rPr>
  </w:style>
  <w:style w:type="character" w:styleId="nfasisintenso">
    <w:name w:val="Intense Emphasis"/>
    <w:basedOn w:val="Fuentedeprrafopredeter"/>
    <w:uiPriority w:val="21"/>
    <w:qFormat/>
    <w:rsid w:val="003A45F8"/>
    <w:rPr>
      <w:rFonts w:ascii="Barlow" w:hAnsi="Barlow"/>
      <w:i/>
      <w:iCs/>
      <w:color w:val="4472C4" w:themeColor="accent1"/>
    </w:rPr>
  </w:style>
  <w:style w:type="character" w:styleId="Textoennegrita">
    <w:name w:val="Strong"/>
    <w:basedOn w:val="Fuentedeprrafopredeter"/>
    <w:uiPriority w:val="22"/>
    <w:qFormat/>
    <w:rsid w:val="003A45F8"/>
    <w:rPr>
      <w:rFonts w:ascii="Barlow" w:hAnsi="Barlow"/>
      <w:b/>
      <w:bCs/>
    </w:rPr>
  </w:style>
  <w:style w:type="paragraph" w:styleId="Cita">
    <w:name w:val="Quote"/>
    <w:basedOn w:val="Normal"/>
    <w:next w:val="Normal"/>
    <w:link w:val="CitaCar"/>
    <w:uiPriority w:val="29"/>
    <w:qFormat/>
    <w:rsid w:val="003A45F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A45F8"/>
    <w:rPr>
      <w:rFonts w:ascii="Barlow" w:hAnsi="Barlow"/>
      <w:i/>
      <w:iCs/>
      <w:color w:val="404040" w:themeColor="text1" w:themeTint="BF"/>
      <w:sz w:val="22"/>
    </w:rPr>
  </w:style>
  <w:style w:type="character" w:styleId="Referenciasutil">
    <w:name w:val="Subtle Reference"/>
    <w:basedOn w:val="Fuentedeprrafopredeter"/>
    <w:uiPriority w:val="31"/>
    <w:qFormat/>
    <w:rsid w:val="003A45F8"/>
    <w:rPr>
      <w:rFonts w:ascii="Barlow" w:hAnsi="Barlow"/>
      <w:smallCaps/>
      <w:color w:val="5A5A5A" w:themeColor="text1" w:themeTint="A5"/>
    </w:rPr>
  </w:style>
  <w:style w:type="character" w:styleId="Referenciaintensa">
    <w:name w:val="Intense Reference"/>
    <w:basedOn w:val="Fuentedeprrafopredeter"/>
    <w:uiPriority w:val="32"/>
    <w:qFormat/>
    <w:rsid w:val="003A45F8"/>
    <w:rPr>
      <w:rFonts w:ascii="Barlow" w:hAnsi="Barlow"/>
      <w:b/>
      <w:bCs/>
      <w:smallCaps/>
      <w:color w:val="4472C4" w:themeColor="accent1"/>
      <w:spacing w:val="5"/>
    </w:rPr>
  </w:style>
  <w:style w:type="character" w:styleId="Ttulodellibro">
    <w:name w:val="Book Title"/>
    <w:basedOn w:val="Fuentedeprrafopredeter"/>
    <w:uiPriority w:val="33"/>
    <w:qFormat/>
    <w:rsid w:val="003A45F8"/>
    <w:rPr>
      <w:rFonts w:ascii="Barlow" w:hAnsi="Barlow"/>
      <w:b/>
      <w:bCs/>
      <w:i/>
      <w:iCs/>
      <w:spacing w:val="5"/>
    </w:rPr>
  </w:style>
  <w:style w:type="character" w:customStyle="1" w:styleId="Ttulo4Car">
    <w:name w:val="Título 4 Car"/>
    <w:basedOn w:val="Fuentedeprrafopredeter"/>
    <w:link w:val="Ttulo4"/>
    <w:uiPriority w:val="9"/>
    <w:rsid w:val="00F566E7"/>
    <w:rPr>
      <w:rFonts w:ascii="Arial" w:eastAsiaTheme="majorEastAsia" w:hAnsi="Arial" w:cstheme="majorBidi"/>
      <w:b/>
      <w:iCs/>
      <w:color w:val="000000" w:themeColor="text1"/>
    </w:rPr>
  </w:style>
  <w:style w:type="paragraph" w:styleId="Citadestacada">
    <w:name w:val="Intense Quote"/>
    <w:basedOn w:val="Normal"/>
    <w:next w:val="Normal"/>
    <w:link w:val="CitadestacadaCar"/>
    <w:uiPriority w:val="30"/>
    <w:qFormat/>
    <w:rsid w:val="002011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2011FF"/>
    <w:rPr>
      <w:rFonts w:ascii="Barlow" w:hAnsi="Barlow"/>
      <w:i/>
      <w:iCs/>
      <w:color w:val="4472C4" w:themeColor="accent1"/>
      <w:sz w:val="22"/>
    </w:rPr>
  </w:style>
  <w:style w:type="character" w:styleId="nfasis">
    <w:name w:val="Emphasis"/>
    <w:basedOn w:val="Fuentedeprrafopredeter"/>
    <w:uiPriority w:val="20"/>
    <w:qFormat/>
    <w:rsid w:val="002011FF"/>
    <w:rPr>
      <w:rFonts w:ascii="Barlow" w:hAnsi="Barlow"/>
      <w:i/>
      <w:iCs/>
    </w:rPr>
  </w:style>
  <w:style w:type="paragraph" w:customStyle="1" w:styleId="EstiloJustificadoDespus6pto">
    <w:name w:val="Estilo Justificado Después:  6 pto"/>
    <w:basedOn w:val="Normal"/>
    <w:rsid w:val="002011FF"/>
    <w:pPr>
      <w:spacing w:after="120"/>
    </w:pPr>
    <w:rPr>
      <w:rFonts w:eastAsia="Times New Roman" w:cs="Times New Roman"/>
      <w:szCs w:val="20"/>
    </w:rPr>
  </w:style>
  <w:style w:type="character" w:customStyle="1" w:styleId="Ttulo5Car">
    <w:name w:val="Título 5 Car"/>
    <w:basedOn w:val="Fuentedeprrafopredeter"/>
    <w:link w:val="Ttulo5"/>
    <w:uiPriority w:val="9"/>
    <w:rsid w:val="00BA52E9"/>
    <w:rPr>
      <w:rFonts w:ascii="Arial" w:hAnsi="Arial" w:cs="Arial"/>
    </w:rPr>
  </w:style>
  <w:style w:type="character" w:customStyle="1" w:styleId="Ttulo6Car">
    <w:name w:val="Título 6 Car"/>
    <w:basedOn w:val="Fuentedeprrafopredeter"/>
    <w:link w:val="Ttulo6"/>
    <w:uiPriority w:val="9"/>
    <w:rsid w:val="00B82FED"/>
    <w:rPr>
      <w:rFonts w:ascii="Arial" w:eastAsiaTheme="majorEastAsia" w:hAnsi="Arial" w:cstheme="majorBidi"/>
      <w:b/>
      <w:color w:val="000000" w:themeColor="text1"/>
    </w:rPr>
  </w:style>
  <w:style w:type="paragraph" w:customStyle="1" w:styleId="SourceCode">
    <w:name w:val="Source Code"/>
    <w:basedOn w:val="Normal"/>
    <w:rsid w:val="00473657"/>
    <w:pPr>
      <w:shd w:val="clear" w:color="auto" w:fill="F8F8F8"/>
      <w:wordWrap w:val="0"/>
    </w:pPr>
  </w:style>
  <w:style w:type="character" w:customStyle="1" w:styleId="KeywordTok">
    <w:name w:val="KeywordTok"/>
    <w:rsid w:val="00473657"/>
    <w:rPr>
      <w:b/>
      <w:color w:val="204A87"/>
      <w:shd w:val="clear" w:color="auto" w:fill="F8F8F8"/>
    </w:rPr>
  </w:style>
  <w:style w:type="character" w:customStyle="1" w:styleId="DataTypeTok">
    <w:name w:val="DataTypeTok"/>
    <w:rsid w:val="00473657"/>
    <w:rPr>
      <w:color w:val="204A87"/>
      <w:shd w:val="clear" w:color="auto" w:fill="F8F8F8"/>
    </w:rPr>
  </w:style>
  <w:style w:type="character" w:customStyle="1" w:styleId="DecValTok">
    <w:name w:val="DecValTok"/>
    <w:rsid w:val="00473657"/>
    <w:rPr>
      <w:color w:val="0000CF"/>
      <w:shd w:val="clear" w:color="auto" w:fill="F8F8F8"/>
    </w:rPr>
  </w:style>
  <w:style w:type="character" w:customStyle="1" w:styleId="BaseNTok">
    <w:name w:val="BaseNTok"/>
    <w:rsid w:val="00473657"/>
    <w:rPr>
      <w:color w:val="0000CF"/>
      <w:shd w:val="clear" w:color="auto" w:fill="F8F8F8"/>
    </w:rPr>
  </w:style>
  <w:style w:type="character" w:customStyle="1" w:styleId="FloatTok">
    <w:name w:val="FloatTok"/>
    <w:rsid w:val="00473657"/>
    <w:rPr>
      <w:color w:val="0000CF"/>
      <w:shd w:val="clear" w:color="auto" w:fill="F8F8F8"/>
    </w:rPr>
  </w:style>
  <w:style w:type="character" w:customStyle="1" w:styleId="ConstantTok">
    <w:name w:val="ConstantTok"/>
    <w:rsid w:val="00473657"/>
    <w:rPr>
      <w:color w:val="000000"/>
      <w:shd w:val="clear" w:color="auto" w:fill="F8F8F8"/>
    </w:rPr>
  </w:style>
  <w:style w:type="character" w:customStyle="1" w:styleId="CharTok">
    <w:name w:val="CharTok"/>
    <w:rsid w:val="00473657"/>
    <w:rPr>
      <w:color w:val="4E9A06"/>
      <w:shd w:val="clear" w:color="auto" w:fill="F8F8F8"/>
    </w:rPr>
  </w:style>
  <w:style w:type="character" w:customStyle="1" w:styleId="SpecialCharTok">
    <w:name w:val="SpecialCharTok"/>
    <w:rsid w:val="00473657"/>
    <w:rPr>
      <w:color w:val="000000"/>
      <w:shd w:val="clear" w:color="auto" w:fill="F8F8F8"/>
    </w:rPr>
  </w:style>
  <w:style w:type="character" w:customStyle="1" w:styleId="StringTok">
    <w:name w:val="StringTok"/>
    <w:rsid w:val="00473657"/>
    <w:rPr>
      <w:color w:val="4E9A06"/>
      <w:shd w:val="clear" w:color="auto" w:fill="F8F8F8"/>
    </w:rPr>
  </w:style>
  <w:style w:type="character" w:customStyle="1" w:styleId="VerbatimStringTok">
    <w:name w:val="VerbatimStringTok"/>
    <w:rsid w:val="00473657"/>
    <w:rPr>
      <w:color w:val="4E9A06"/>
      <w:shd w:val="clear" w:color="auto" w:fill="F8F8F8"/>
    </w:rPr>
  </w:style>
  <w:style w:type="character" w:customStyle="1" w:styleId="SpecialStringTok">
    <w:name w:val="SpecialStringTok"/>
    <w:rsid w:val="00473657"/>
    <w:rPr>
      <w:color w:val="4E9A06"/>
      <w:shd w:val="clear" w:color="auto" w:fill="F8F8F8"/>
    </w:rPr>
  </w:style>
  <w:style w:type="character" w:customStyle="1" w:styleId="ImportTok">
    <w:name w:val="ImportTok"/>
    <w:rsid w:val="00473657"/>
    <w:rPr>
      <w:shd w:val="clear" w:color="auto" w:fill="F8F8F8"/>
    </w:rPr>
  </w:style>
  <w:style w:type="character" w:customStyle="1" w:styleId="CommentTok">
    <w:name w:val="CommentTok"/>
    <w:rsid w:val="00473657"/>
    <w:rPr>
      <w:i/>
      <w:color w:val="8F5902"/>
      <w:shd w:val="clear" w:color="auto" w:fill="F8F8F8"/>
    </w:rPr>
  </w:style>
  <w:style w:type="character" w:customStyle="1" w:styleId="DocumentationTok">
    <w:name w:val="DocumentationTok"/>
    <w:rsid w:val="00473657"/>
    <w:rPr>
      <w:b/>
      <w:i/>
      <w:color w:val="8F5902"/>
      <w:shd w:val="clear" w:color="auto" w:fill="F8F8F8"/>
    </w:rPr>
  </w:style>
  <w:style w:type="character" w:customStyle="1" w:styleId="AnnotationTok">
    <w:name w:val="AnnotationTok"/>
    <w:rsid w:val="00473657"/>
    <w:rPr>
      <w:b/>
      <w:i/>
      <w:color w:val="8F5902"/>
      <w:shd w:val="clear" w:color="auto" w:fill="F8F8F8"/>
    </w:rPr>
  </w:style>
  <w:style w:type="character" w:customStyle="1" w:styleId="CommentVarTok">
    <w:name w:val="CommentVarTok"/>
    <w:rsid w:val="00473657"/>
    <w:rPr>
      <w:b/>
      <w:i/>
      <w:color w:val="8F5902"/>
      <w:shd w:val="clear" w:color="auto" w:fill="F8F8F8"/>
    </w:rPr>
  </w:style>
  <w:style w:type="character" w:customStyle="1" w:styleId="OtherTok">
    <w:name w:val="OtherTok"/>
    <w:rsid w:val="00473657"/>
    <w:rPr>
      <w:color w:val="8F5902"/>
      <w:shd w:val="clear" w:color="auto" w:fill="F8F8F8"/>
    </w:rPr>
  </w:style>
  <w:style w:type="character" w:customStyle="1" w:styleId="FunctionTok">
    <w:name w:val="FunctionTok"/>
    <w:rsid w:val="00473657"/>
    <w:rPr>
      <w:color w:val="000000"/>
      <w:shd w:val="clear" w:color="auto" w:fill="F8F8F8"/>
    </w:rPr>
  </w:style>
  <w:style w:type="character" w:customStyle="1" w:styleId="VariableTok">
    <w:name w:val="VariableTok"/>
    <w:rsid w:val="00473657"/>
    <w:rPr>
      <w:color w:val="000000"/>
      <w:shd w:val="clear" w:color="auto" w:fill="F8F8F8"/>
    </w:rPr>
  </w:style>
  <w:style w:type="character" w:customStyle="1" w:styleId="ControlFlowTok">
    <w:name w:val="ControlFlowTok"/>
    <w:rsid w:val="00473657"/>
    <w:rPr>
      <w:b/>
      <w:color w:val="204A87"/>
      <w:shd w:val="clear" w:color="auto" w:fill="F8F8F8"/>
    </w:rPr>
  </w:style>
  <w:style w:type="character" w:customStyle="1" w:styleId="OperatorTok">
    <w:name w:val="OperatorTok"/>
    <w:rsid w:val="00473657"/>
    <w:rPr>
      <w:b/>
      <w:color w:val="CE5C00"/>
      <w:shd w:val="clear" w:color="auto" w:fill="F8F8F8"/>
    </w:rPr>
  </w:style>
  <w:style w:type="character" w:customStyle="1" w:styleId="BuiltInTok">
    <w:name w:val="BuiltInTok"/>
    <w:rsid w:val="00473657"/>
    <w:rPr>
      <w:shd w:val="clear" w:color="auto" w:fill="F8F8F8"/>
    </w:rPr>
  </w:style>
  <w:style w:type="character" w:customStyle="1" w:styleId="ExtensionTok">
    <w:name w:val="ExtensionTok"/>
    <w:rsid w:val="00473657"/>
    <w:rPr>
      <w:shd w:val="clear" w:color="auto" w:fill="F8F8F8"/>
    </w:rPr>
  </w:style>
  <w:style w:type="character" w:customStyle="1" w:styleId="PreprocessorTok">
    <w:name w:val="PreprocessorTok"/>
    <w:rsid w:val="00473657"/>
    <w:rPr>
      <w:i/>
      <w:color w:val="8F5902"/>
      <w:shd w:val="clear" w:color="auto" w:fill="F8F8F8"/>
    </w:rPr>
  </w:style>
  <w:style w:type="character" w:customStyle="1" w:styleId="AttributeTok">
    <w:name w:val="AttributeTok"/>
    <w:rsid w:val="00473657"/>
    <w:rPr>
      <w:color w:val="C4A000"/>
      <w:shd w:val="clear" w:color="auto" w:fill="F8F8F8"/>
    </w:rPr>
  </w:style>
  <w:style w:type="character" w:customStyle="1" w:styleId="RegionMarkerTok">
    <w:name w:val="RegionMarkerTok"/>
    <w:rsid w:val="00473657"/>
    <w:rPr>
      <w:shd w:val="clear" w:color="auto" w:fill="F8F8F8"/>
    </w:rPr>
  </w:style>
  <w:style w:type="character" w:customStyle="1" w:styleId="InformationTok">
    <w:name w:val="InformationTok"/>
    <w:rsid w:val="00473657"/>
    <w:rPr>
      <w:b/>
      <w:i/>
      <w:color w:val="8F5902"/>
      <w:shd w:val="clear" w:color="auto" w:fill="F8F8F8"/>
    </w:rPr>
  </w:style>
  <w:style w:type="character" w:customStyle="1" w:styleId="WarningTok">
    <w:name w:val="WarningTok"/>
    <w:rsid w:val="00473657"/>
    <w:rPr>
      <w:b/>
      <w:i/>
      <w:color w:val="8F5902"/>
      <w:shd w:val="clear" w:color="auto" w:fill="F8F8F8"/>
    </w:rPr>
  </w:style>
  <w:style w:type="character" w:customStyle="1" w:styleId="AlertTok">
    <w:name w:val="AlertTok"/>
    <w:rsid w:val="00473657"/>
    <w:rPr>
      <w:color w:val="EF2929"/>
      <w:shd w:val="clear" w:color="auto" w:fill="F8F8F8"/>
    </w:rPr>
  </w:style>
  <w:style w:type="character" w:customStyle="1" w:styleId="ErrorTok">
    <w:name w:val="ErrorTok"/>
    <w:rsid w:val="00473657"/>
    <w:rPr>
      <w:b/>
      <w:color w:val="A40000"/>
      <w:shd w:val="clear" w:color="auto" w:fill="F8F8F8"/>
    </w:rPr>
  </w:style>
  <w:style w:type="character" w:customStyle="1" w:styleId="NormalTok">
    <w:name w:val="NormalTok"/>
    <w:rsid w:val="00473657"/>
    <w:rPr>
      <w:shd w:val="clear" w:color="auto" w:fill="F8F8F8"/>
    </w:rPr>
  </w:style>
  <w:style w:type="character" w:customStyle="1" w:styleId="highlight">
    <w:name w:val="highlight"/>
    <w:basedOn w:val="Fuentedeprrafopredeter"/>
    <w:rsid w:val="004673F7"/>
  </w:style>
  <w:style w:type="paragraph" w:styleId="Textoindependiente">
    <w:name w:val="Body Text"/>
    <w:basedOn w:val="Normal"/>
    <w:link w:val="TextoindependienteCar"/>
    <w:uiPriority w:val="1"/>
    <w:qFormat/>
    <w:rsid w:val="00F22292"/>
    <w:pPr>
      <w:widowControl w:val="0"/>
      <w:autoSpaceDE w:val="0"/>
      <w:autoSpaceDN w:val="0"/>
      <w:jc w:val="left"/>
    </w:pPr>
    <w:rPr>
      <w:rFonts w:ascii="Calibri" w:eastAsia="Calibri" w:hAnsi="Calibri" w:cs="Calibri"/>
      <w:sz w:val="22"/>
      <w:szCs w:val="22"/>
      <w:lang w:val="es-ES" w:eastAsia="es-ES" w:bidi="es-ES"/>
    </w:rPr>
  </w:style>
  <w:style w:type="character" w:customStyle="1" w:styleId="TextoindependienteCar">
    <w:name w:val="Texto independiente Car"/>
    <w:basedOn w:val="Fuentedeprrafopredeter"/>
    <w:link w:val="Textoindependiente"/>
    <w:uiPriority w:val="1"/>
    <w:rsid w:val="00F22292"/>
    <w:rPr>
      <w:rFonts w:ascii="Calibri" w:eastAsia="Calibri" w:hAnsi="Calibri" w:cs="Calibri"/>
      <w:sz w:val="22"/>
      <w:szCs w:val="22"/>
      <w:lang w:val="es-ES" w:eastAsia="es-ES" w:bidi="es-ES"/>
    </w:rPr>
  </w:style>
  <w:style w:type="character" w:customStyle="1" w:styleId="Ttulo7Car">
    <w:name w:val="Título 7 Car"/>
    <w:basedOn w:val="Fuentedeprrafopredeter"/>
    <w:link w:val="Ttulo7"/>
    <w:uiPriority w:val="9"/>
    <w:semiHidden/>
    <w:rsid w:val="007F6887"/>
    <w:rPr>
      <w:rFonts w:asciiTheme="majorHAnsi" w:eastAsiaTheme="majorEastAsia" w:hAnsiTheme="majorHAnsi" w:cstheme="majorBidi"/>
      <w:i/>
      <w:iCs/>
      <w:color w:val="404040" w:themeColor="text1" w:themeTint="BF"/>
      <w:sz w:val="22"/>
      <w:szCs w:val="22"/>
    </w:rPr>
  </w:style>
  <w:style w:type="paragraph" w:styleId="Sinespaciado">
    <w:name w:val="No Spacing"/>
    <w:uiPriority w:val="1"/>
    <w:qFormat/>
    <w:rsid w:val="007F6887"/>
    <w:pPr>
      <w:jc w:val="both"/>
    </w:pPr>
    <w:rPr>
      <w:rFonts w:ascii="Barlow Medium" w:eastAsia="Yu Mincho" w:hAnsi="Barlow Medium" w:cs="Arial"/>
      <w:color w:val="595959"/>
      <w:lang w:val="es-ES_tradnl" w:eastAsia="es-ES"/>
    </w:rPr>
  </w:style>
  <w:style w:type="paragraph" w:styleId="Textonotapie">
    <w:name w:val="footnote text"/>
    <w:basedOn w:val="Normal"/>
    <w:link w:val="TextonotapieCar"/>
    <w:uiPriority w:val="99"/>
    <w:semiHidden/>
    <w:unhideWhenUsed/>
    <w:rsid w:val="007F6887"/>
    <w:pPr>
      <w:jc w:val="left"/>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7F6887"/>
    <w:rPr>
      <w:sz w:val="20"/>
      <w:szCs w:val="20"/>
    </w:rPr>
  </w:style>
  <w:style w:type="character" w:styleId="Refdenotaalpie">
    <w:name w:val="footnote reference"/>
    <w:basedOn w:val="Fuentedeprrafopredeter"/>
    <w:uiPriority w:val="99"/>
    <w:semiHidden/>
    <w:unhideWhenUsed/>
    <w:rsid w:val="007F6887"/>
    <w:rPr>
      <w:vertAlign w:val="superscript"/>
    </w:r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7F6887"/>
    <w:rPr>
      <w:rFonts w:ascii="Times New Roman" w:eastAsia="Times New Roman" w:hAnsi="Times New Roman" w:cs="Times New Roman"/>
      <w:lang w:eastAsia="es-MX"/>
    </w:rPr>
  </w:style>
  <w:style w:type="paragraph" w:styleId="Lista">
    <w:name w:val="List"/>
    <w:basedOn w:val="Normal"/>
    <w:uiPriority w:val="99"/>
    <w:unhideWhenUsed/>
    <w:rsid w:val="00923562"/>
    <w:pPr>
      <w:ind w:left="283" w:hanging="283"/>
      <w:contextualSpacing/>
    </w:pPr>
  </w:style>
  <w:style w:type="paragraph" w:styleId="Lista2">
    <w:name w:val="List 2"/>
    <w:basedOn w:val="Normal"/>
    <w:uiPriority w:val="99"/>
    <w:unhideWhenUsed/>
    <w:rsid w:val="00923562"/>
    <w:pPr>
      <w:ind w:left="566" w:hanging="283"/>
      <w:contextualSpacing/>
    </w:pPr>
  </w:style>
  <w:style w:type="paragraph" w:styleId="Lista3">
    <w:name w:val="List 3"/>
    <w:basedOn w:val="Normal"/>
    <w:uiPriority w:val="99"/>
    <w:unhideWhenUsed/>
    <w:rsid w:val="00923562"/>
    <w:pPr>
      <w:ind w:left="849" w:hanging="283"/>
      <w:contextualSpacing/>
    </w:pPr>
  </w:style>
  <w:style w:type="paragraph" w:styleId="Lista4">
    <w:name w:val="List 4"/>
    <w:basedOn w:val="Normal"/>
    <w:uiPriority w:val="99"/>
    <w:unhideWhenUsed/>
    <w:rsid w:val="00923562"/>
    <w:pPr>
      <w:ind w:left="1132" w:hanging="283"/>
      <w:contextualSpacing/>
    </w:pPr>
  </w:style>
  <w:style w:type="paragraph" w:styleId="Saludo">
    <w:name w:val="Salutation"/>
    <w:basedOn w:val="Normal"/>
    <w:next w:val="Normal"/>
    <w:link w:val="SaludoCar"/>
    <w:uiPriority w:val="99"/>
    <w:unhideWhenUsed/>
    <w:rsid w:val="00923562"/>
  </w:style>
  <w:style w:type="character" w:customStyle="1" w:styleId="SaludoCar">
    <w:name w:val="Saludo Car"/>
    <w:basedOn w:val="Fuentedeprrafopredeter"/>
    <w:link w:val="Saludo"/>
    <w:uiPriority w:val="99"/>
    <w:rsid w:val="00923562"/>
    <w:rPr>
      <w:rFonts w:ascii="Arial" w:hAnsi="Arial"/>
    </w:rPr>
  </w:style>
  <w:style w:type="paragraph" w:styleId="Continuarlista">
    <w:name w:val="List Continue"/>
    <w:basedOn w:val="Normal"/>
    <w:uiPriority w:val="99"/>
    <w:unhideWhenUsed/>
    <w:rsid w:val="00923562"/>
    <w:pPr>
      <w:spacing w:after="120"/>
      <w:ind w:left="283"/>
      <w:contextualSpacing/>
    </w:pPr>
  </w:style>
  <w:style w:type="paragraph" w:styleId="Continuarlista2">
    <w:name w:val="List Continue 2"/>
    <w:basedOn w:val="Normal"/>
    <w:uiPriority w:val="99"/>
    <w:unhideWhenUsed/>
    <w:rsid w:val="00923562"/>
    <w:pPr>
      <w:spacing w:after="120"/>
      <w:ind w:left="566"/>
      <w:contextualSpacing/>
    </w:pPr>
  </w:style>
  <w:style w:type="paragraph" w:styleId="Continuarlista3">
    <w:name w:val="List Continue 3"/>
    <w:basedOn w:val="Normal"/>
    <w:uiPriority w:val="99"/>
    <w:unhideWhenUsed/>
    <w:rsid w:val="00923562"/>
    <w:pPr>
      <w:spacing w:after="120"/>
      <w:ind w:left="849"/>
      <w:contextualSpacing/>
    </w:pPr>
  </w:style>
  <w:style w:type="paragraph" w:styleId="Epgrafe">
    <w:name w:val="caption"/>
    <w:basedOn w:val="Normal"/>
    <w:next w:val="Normal"/>
    <w:uiPriority w:val="35"/>
    <w:unhideWhenUsed/>
    <w:qFormat/>
    <w:rsid w:val="00923562"/>
    <w:pPr>
      <w:spacing w:after="200"/>
    </w:pPr>
    <w:rPr>
      <w:b/>
      <w:bCs/>
      <w:color w:val="4472C4" w:themeColor="accent1"/>
      <w:sz w:val="18"/>
      <w:szCs w:val="18"/>
    </w:rPr>
  </w:style>
</w:styles>
</file>

<file path=word/webSettings.xml><?xml version="1.0" encoding="utf-8"?>
<w:webSettings xmlns:r="http://schemas.openxmlformats.org/officeDocument/2006/relationships" xmlns:w="http://schemas.openxmlformats.org/wordprocessingml/2006/main">
  <w:divs>
    <w:div w:id="2366378">
      <w:bodyDiv w:val="1"/>
      <w:marLeft w:val="0"/>
      <w:marRight w:val="0"/>
      <w:marTop w:val="0"/>
      <w:marBottom w:val="0"/>
      <w:divBdr>
        <w:top w:val="none" w:sz="0" w:space="0" w:color="auto"/>
        <w:left w:val="none" w:sz="0" w:space="0" w:color="auto"/>
        <w:bottom w:val="none" w:sz="0" w:space="0" w:color="auto"/>
        <w:right w:val="none" w:sz="0" w:space="0" w:color="auto"/>
      </w:divBdr>
    </w:div>
    <w:div w:id="35350041">
      <w:bodyDiv w:val="1"/>
      <w:marLeft w:val="0"/>
      <w:marRight w:val="0"/>
      <w:marTop w:val="0"/>
      <w:marBottom w:val="0"/>
      <w:divBdr>
        <w:top w:val="none" w:sz="0" w:space="0" w:color="auto"/>
        <w:left w:val="none" w:sz="0" w:space="0" w:color="auto"/>
        <w:bottom w:val="none" w:sz="0" w:space="0" w:color="auto"/>
        <w:right w:val="none" w:sz="0" w:space="0" w:color="auto"/>
      </w:divBdr>
    </w:div>
    <w:div w:id="39673524">
      <w:bodyDiv w:val="1"/>
      <w:marLeft w:val="0"/>
      <w:marRight w:val="0"/>
      <w:marTop w:val="0"/>
      <w:marBottom w:val="0"/>
      <w:divBdr>
        <w:top w:val="none" w:sz="0" w:space="0" w:color="auto"/>
        <w:left w:val="none" w:sz="0" w:space="0" w:color="auto"/>
        <w:bottom w:val="none" w:sz="0" w:space="0" w:color="auto"/>
        <w:right w:val="none" w:sz="0" w:space="0" w:color="auto"/>
      </w:divBdr>
    </w:div>
    <w:div w:id="49039730">
      <w:bodyDiv w:val="1"/>
      <w:marLeft w:val="0"/>
      <w:marRight w:val="0"/>
      <w:marTop w:val="0"/>
      <w:marBottom w:val="0"/>
      <w:divBdr>
        <w:top w:val="none" w:sz="0" w:space="0" w:color="auto"/>
        <w:left w:val="none" w:sz="0" w:space="0" w:color="auto"/>
        <w:bottom w:val="none" w:sz="0" w:space="0" w:color="auto"/>
        <w:right w:val="none" w:sz="0" w:space="0" w:color="auto"/>
      </w:divBdr>
    </w:div>
    <w:div w:id="54788465">
      <w:bodyDiv w:val="1"/>
      <w:marLeft w:val="0"/>
      <w:marRight w:val="0"/>
      <w:marTop w:val="0"/>
      <w:marBottom w:val="0"/>
      <w:divBdr>
        <w:top w:val="none" w:sz="0" w:space="0" w:color="auto"/>
        <w:left w:val="none" w:sz="0" w:space="0" w:color="auto"/>
        <w:bottom w:val="none" w:sz="0" w:space="0" w:color="auto"/>
        <w:right w:val="none" w:sz="0" w:space="0" w:color="auto"/>
      </w:divBdr>
    </w:div>
    <w:div w:id="58552073">
      <w:bodyDiv w:val="1"/>
      <w:marLeft w:val="0"/>
      <w:marRight w:val="0"/>
      <w:marTop w:val="0"/>
      <w:marBottom w:val="0"/>
      <w:divBdr>
        <w:top w:val="none" w:sz="0" w:space="0" w:color="auto"/>
        <w:left w:val="none" w:sz="0" w:space="0" w:color="auto"/>
        <w:bottom w:val="none" w:sz="0" w:space="0" w:color="auto"/>
        <w:right w:val="none" w:sz="0" w:space="0" w:color="auto"/>
      </w:divBdr>
    </w:div>
    <w:div w:id="80681257">
      <w:bodyDiv w:val="1"/>
      <w:marLeft w:val="0"/>
      <w:marRight w:val="0"/>
      <w:marTop w:val="0"/>
      <w:marBottom w:val="0"/>
      <w:divBdr>
        <w:top w:val="none" w:sz="0" w:space="0" w:color="auto"/>
        <w:left w:val="none" w:sz="0" w:space="0" w:color="auto"/>
        <w:bottom w:val="none" w:sz="0" w:space="0" w:color="auto"/>
        <w:right w:val="none" w:sz="0" w:space="0" w:color="auto"/>
      </w:divBdr>
    </w:div>
    <w:div w:id="87391701">
      <w:bodyDiv w:val="1"/>
      <w:marLeft w:val="0"/>
      <w:marRight w:val="0"/>
      <w:marTop w:val="0"/>
      <w:marBottom w:val="0"/>
      <w:divBdr>
        <w:top w:val="none" w:sz="0" w:space="0" w:color="auto"/>
        <w:left w:val="none" w:sz="0" w:space="0" w:color="auto"/>
        <w:bottom w:val="none" w:sz="0" w:space="0" w:color="auto"/>
        <w:right w:val="none" w:sz="0" w:space="0" w:color="auto"/>
      </w:divBdr>
    </w:div>
    <w:div w:id="150604590">
      <w:bodyDiv w:val="1"/>
      <w:marLeft w:val="0"/>
      <w:marRight w:val="0"/>
      <w:marTop w:val="0"/>
      <w:marBottom w:val="0"/>
      <w:divBdr>
        <w:top w:val="none" w:sz="0" w:space="0" w:color="auto"/>
        <w:left w:val="none" w:sz="0" w:space="0" w:color="auto"/>
        <w:bottom w:val="none" w:sz="0" w:space="0" w:color="auto"/>
        <w:right w:val="none" w:sz="0" w:space="0" w:color="auto"/>
      </w:divBdr>
    </w:div>
    <w:div w:id="157892719">
      <w:bodyDiv w:val="1"/>
      <w:marLeft w:val="0"/>
      <w:marRight w:val="0"/>
      <w:marTop w:val="0"/>
      <w:marBottom w:val="0"/>
      <w:divBdr>
        <w:top w:val="none" w:sz="0" w:space="0" w:color="auto"/>
        <w:left w:val="none" w:sz="0" w:space="0" w:color="auto"/>
        <w:bottom w:val="none" w:sz="0" w:space="0" w:color="auto"/>
        <w:right w:val="none" w:sz="0" w:space="0" w:color="auto"/>
      </w:divBdr>
    </w:div>
    <w:div w:id="159545996">
      <w:bodyDiv w:val="1"/>
      <w:marLeft w:val="0"/>
      <w:marRight w:val="0"/>
      <w:marTop w:val="0"/>
      <w:marBottom w:val="0"/>
      <w:divBdr>
        <w:top w:val="none" w:sz="0" w:space="0" w:color="auto"/>
        <w:left w:val="none" w:sz="0" w:space="0" w:color="auto"/>
        <w:bottom w:val="none" w:sz="0" w:space="0" w:color="auto"/>
        <w:right w:val="none" w:sz="0" w:space="0" w:color="auto"/>
      </w:divBdr>
    </w:div>
    <w:div w:id="164902048">
      <w:bodyDiv w:val="1"/>
      <w:marLeft w:val="0"/>
      <w:marRight w:val="0"/>
      <w:marTop w:val="0"/>
      <w:marBottom w:val="0"/>
      <w:divBdr>
        <w:top w:val="none" w:sz="0" w:space="0" w:color="auto"/>
        <w:left w:val="none" w:sz="0" w:space="0" w:color="auto"/>
        <w:bottom w:val="none" w:sz="0" w:space="0" w:color="auto"/>
        <w:right w:val="none" w:sz="0" w:space="0" w:color="auto"/>
      </w:divBdr>
    </w:div>
    <w:div w:id="181475397">
      <w:bodyDiv w:val="1"/>
      <w:marLeft w:val="0"/>
      <w:marRight w:val="0"/>
      <w:marTop w:val="0"/>
      <w:marBottom w:val="0"/>
      <w:divBdr>
        <w:top w:val="none" w:sz="0" w:space="0" w:color="auto"/>
        <w:left w:val="none" w:sz="0" w:space="0" w:color="auto"/>
        <w:bottom w:val="none" w:sz="0" w:space="0" w:color="auto"/>
        <w:right w:val="none" w:sz="0" w:space="0" w:color="auto"/>
      </w:divBdr>
    </w:div>
    <w:div w:id="201598273">
      <w:bodyDiv w:val="1"/>
      <w:marLeft w:val="0"/>
      <w:marRight w:val="0"/>
      <w:marTop w:val="0"/>
      <w:marBottom w:val="0"/>
      <w:divBdr>
        <w:top w:val="none" w:sz="0" w:space="0" w:color="auto"/>
        <w:left w:val="none" w:sz="0" w:space="0" w:color="auto"/>
        <w:bottom w:val="none" w:sz="0" w:space="0" w:color="auto"/>
        <w:right w:val="none" w:sz="0" w:space="0" w:color="auto"/>
      </w:divBdr>
    </w:div>
    <w:div w:id="204829371">
      <w:bodyDiv w:val="1"/>
      <w:marLeft w:val="0"/>
      <w:marRight w:val="0"/>
      <w:marTop w:val="0"/>
      <w:marBottom w:val="0"/>
      <w:divBdr>
        <w:top w:val="none" w:sz="0" w:space="0" w:color="auto"/>
        <w:left w:val="none" w:sz="0" w:space="0" w:color="auto"/>
        <w:bottom w:val="none" w:sz="0" w:space="0" w:color="auto"/>
        <w:right w:val="none" w:sz="0" w:space="0" w:color="auto"/>
      </w:divBdr>
    </w:div>
    <w:div w:id="211313088">
      <w:bodyDiv w:val="1"/>
      <w:marLeft w:val="0"/>
      <w:marRight w:val="0"/>
      <w:marTop w:val="0"/>
      <w:marBottom w:val="0"/>
      <w:divBdr>
        <w:top w:val="none" w:sz="0" w:space="0" w:color="auto"/>
        <w:left w:val="none" w:sz="0" w:space="0" w:color="auto"/>
        <w:bottom w:val="none" w:sz="0" w:space="0" w:color="auto"/>
        <w:right w:val="none" w:sz="0" w:space="0" w:color="auto"/>
      </w:divBdr>
    </w:div>
    <w:div w:id="235869734">
      <w:bodyDiv w:val="1"/>
      <w:marLeft w:val="0"/>
      <w:marRight w:val="0"/>
      <w:marTop w:val="0"/>
      <w:marBottom w:val="0"/>
      <w:divBdr>
        <w:top w:val="none" w:sz="0" w:space="0" w:color="auto"/>
        <w:left w:val="none" w:sz="0" w:space="0" w:color="auto"/>
        <w:bottom w:val="none" w:sz="0" w:space="0" w:color="auto"/>
        <w:right w:val="none" w:sz="0" w:space="0" w:color="auto"/>
      </w:divBdr>
    </w:div>
    <w:div w:id="242684253">
      <w:bodyDiv w:val="1"/>
      <w:marLeft w:val="0"/>
      <w:marRight w:val="0"/>
      <w:marTop w:val="0"/>
      <w:marBottom w:val="0"/>
      <w:divBdr>
        <w:top w:val="none" w:sz="0" w:space="0" w:color="auto"/>
        <w:left w:val="none" w:sz="0" w:space="0" w:color="auto"/>
        <w:bottom w:val="none" w:sz="0" w:space="0" w:color="auto"/>
        <w:right w:val="none" w:sz="0" w:space="0" w:color="auto"/>
      </w:divBdr>
    </w:div>
    <w:div w:id="247889281">
      <w:bodyDiv w:val="1"/>
      <w:marLeft w:val="0"/>
      <w:marRight w:val="0"/>
      <w:marTop w:val="0"/>
      <w:marBottom w:val="0"/>
      <w:divBdr>
        <w:top w:val="none" w:sz="0" w:space="0" w:color="auto"/>
        <w:left w:val="none" w:sz="0" w:space="0" w:color="auto"/>
        <w:bottom w:val="none" w:sz="0" w:space="0" w:color="auto"/>
        <w:right w:val="none" w:sz="0" w:space="0" w:color="auto"/>
      </w:divBdr>
    </w:div>
    <w:div w:id="266281692">
      <w:bodyDiv w:val="1"/>
      <w:marLeft w:val="0"/>
      <w:marRight w:val="0"/>
      <w:marTop w:val="0"/>
      <w:marBottom w:val="0"/>
      <w:divBdr>
        <w:top w:val="none" w:sz="0" w:space="0" w:color="auto"/>
        <w:left w:val="none" w:sz="0" w:space="0" w:color="auto"/>
        <w:bottom w:val="none" w:sz="0" w:space="0" w:color="auto"/>
        <w:right w:val="none" w:sz="0" w:space="0" w:color="auto"/>
      </w:divBdr>
    </w:div>
    <w:div w:id="274486314">
      <w:bodyDiv w:val="1"/>
      <w:marLeft w:val="0"/>
      <w:marRight w:val="0"/>
      <w:marTop w:val="0"/>
      <w:marBottom w:val="0"/>
      <w:divBdr>
        <w:top w:val="none" w:sz="0" w:space="0" w:color="auto"/>
        <w:left w:val="none" w:sz="0" w:space="0" w:color="auto"/>
        <w:bottom w:val="none" w:sz="0" w:space="0" w:color="auto"/>
        <w:right w:val="none" w:sz="0" w:space="0" w:color="auto"/>
      </w:divBdr>
    </w:div>
    <w:div w:id="289674593">
      <w:bodyDiv w:val="1"/>
      <w:marLeft w:val="0"/>
      <w:marRight w:val="0"/>
      <w:marTop w:val="0"/>
      <w:marBottom w:val="0"/>
      <w:divBdr>
        <w:top w:val="none" w:sz="0" w:space="0" w:color="auto"/>
        <w:left w:val="none" w:sz="0" w:space="0" w:color="auto"/>
        <w:bottom w:val="none" w:sz="0" w:space="0" w:color="auto"/>
        <w:right w:val="none" w:sz="0" w:space="0" w:color="auto"/>
      </w:divBdr>
    </w:div>
    <w:div w:id="322200385">
      <w:bodyDiv w:val="1"/>
      <w:marLeft w:val="0"/>
      <w:marRight w:val="0"/>
      <w:marTop w:val="0"/>
      <w:marBottom w:val="0"/>
      <w:divBdr>
        <w:top w:val="none" w:sz="0" w:space="0" w:color="auto"/>
        <w:left w:val="none" w:sz="0" w:space="0" w:color="auto"/>
        <w:bottom w:val="none" w:sz="0" w:space="0" w:color="auto"/>
        <w:right w:val="none" w:sz="0" w:space="0" w:color="auto"/>
      </w:divBdr>
    </w:div>
    <w:div w:id="323512575">
      <w:bodyDiv w:val="1"/>
      <w:marLeft w:val="0"/>
      <w:marRight w:val="0"/>
      <w:marTop w:val="0"/>
      <w:marBottom w:val="0"/>
      <w:divBdr>
        <w:top w:val="none" w:sz="0" w:space="0" w:color="auto"/>
        <w:left w:val="none" w:sz="0" w:space="0" w:color="auto"/>
        <w:bottom w:val="none" w:sz="0" w:space="0" w:color="auto"/>
        <w:right w:val="none" w:sz="0" w:space="0" w:color="auto"/>
      </w:divBdr>
    </w:div>
    <w:div w:id="345330308">
      <w:bodyDiv w:val="1"/>
      <w:marLeft w:val="0"/>
      <w:marRight w:val="0"/>
      <w:marTop w:val="0"/>
      <w:marBottom w:val="0"/>
      <w:divBdr>
        <w:top w:val="none" w:sz="0" w:space="0" w:color="auto"/>
        <w:left w:val="none" w:sz="0" w:space="0" w:color="auto"/>
        <w:bottom w:val="none" w:sz="0" w:space="0" w:color="auto"/>
        <w:right w:val="none" w:sz="0" w:space="0" w:color="auto"/>
      </w:divBdr>
    </w:div>
    <w:div w:id="391120132">
      <w:bodyDiv w:val="1"/>
      <w:marLeft w:val="0"/>
      <w:marRight w:val="0"/>
      <w:marTop w:val="0"/>
      <w:marBottom w:val="0"/>
      <w:divBdr>
        <w:top w:val="none" w:sz="0" w:space="0" w:color="auto"/>
        <w:left w:val="none" w:sz="0" w:space="0" w:color="auto"/>
        <w:bottom w:val="none" w:sz="0" w:space="0" w:color="auto"/>
        <w:right w:val="none" w:sz="0" w:space="0" w:color="auto"/>
      </w:divBdr>
    </w:div>
    <w:div w:id="396435638">
      <w:bodyDiv w:val="1"/>
      <w:marLeft w:val="0"/>
      <w:marRight w:val="0"/>
      <w:marTop w:val="0"/>
      <w:marBottom w:val="0"/>
      <w:divBdr>
        <w:top w:val="none" w:sz="0" w:space="0" w:color="auto"/>
        <w:left w:val="none" w:sz="0" w:space="0" w:color="auto"/>
        <w:bottom w:val="none" w:sz="0" w:space="0" w:color="auto"/>
        <w:right w:val="none" w:sz="0" w:space="0" w:color="auto"/>
      </w:divBdr>
    </w:div>
    <w:div w:id="418329739">
      <w:bodyDiv w:val="1"/>
      <w:marLeft w:val="0"/>
      <w:marRight w:val="0"/>
      <w:marTop w:val="0"/>
      <w:marBottom w:val="0"/>
      <w:divBdr>
        <w:top w:val="none" w:sz="0" w:space="0" w:color="auto"/>
        <w:left w:val="none" w:sz="0" w:space="0" w:color="auto"/>
        <w:bottom w:val="none" w:sz="0" w:space="0" w:color="auto"/>
        <w:right w:val="none" w:sz="0" w:space="0" w:color="auto"/>
      </w:divBdr>
    </w:div>
    <w:div w:id="482744499">
      <w:bodyDiv w:val="1"/>
      <w:marLeft w:val="0"/>
      <w:marRight w:val="0"/>
      <w:marTop w:val="0"/>
      <w:marBottom w:val="0"/>
      <w:divBdr>
        <w:top w:val="none" w:sz="0" w:space="0" w:color="auto"/>
        <w:left w:val="none" w:sz="0" w:space="0" w:color="auto"/>
        <w:bottom w:val="none" w:sz="0" w:space="0" w:color="auto"/>
        <w:right w:val="none" w:sz="0" w:space="0" w:color="auto"/>
      </w:divBdr>
    </w:div>
    <w:div w:id="485172379">
      <w:bodyDiv w:val="1"/>
      <w:marLeft w:val="0"/>
      <w:marRight w:val="0"/>
      <w:marTop w:val="0"/>
      <w:marBottom w:val="0"/>
      <w:divBdr>
        <w:top w:val="none" w:sz="0" w:space="0" w:color="auto"/>
        <w:left w:val="none" w:sz="0" w:space="0" w:color="auto"/>
        <w:bottom w:val="none" w:sz="0" w:space="0" w:color="auto"/>
        <w:right w:val="none" w:sz="0" w:space="0" w:color="auto"/>
      </w:divBdr>
    </w:div>
    <w:div w:id="485896508">
      <w:bodyDiv w:val="1"/>
      <w:marLeft w:val="0"/>
      <w:marRight w:val="0"/>
      <w:marTop w:val="0"/>
      <w:marBottom w:val="0"/>
      <w:divBdr>
        <w:top w:val="none" w:sz="0" w:space="0" w:color="auto"/>
        <w:left w:val="none" w:sz="0" w:space="0" w:color="auto"/>
        <w:bottom w:val="none" w:sz="0" w:space="0" w:color="auto"/>
        <w:right w:val="none" w:sz="0" w:space="0" w:color="auto"/>
      </w:divBdr>
    </w:div>
    <w:div w:id="514269449">
      <w:bodyDiv w:val="1"/>
      <w:marLeft w:val="0"/>
      <w:marRight w:val="0"/>
      <w:marTop w:val="0"/>
      <w:marBottom w:val="0"/>
      <w:divBdr>
        <w:top w:val="none" w:sz="0" w:space="0" w:color="auto"/>
        <w:left w:val="none" w:sz="0" w:space="0" w:color="auto"/>
        <w:bottom w:val="none" w:sz="0" w:space="0" w:color="auto"/>
        <w:right w:val="none" w:sz="0" w:space="0" w:color="auto"/>
      </w:divBdr>
    </w:div>
    <w:div w:id="534928304">
      <w:bodyDiv w:val="1"/>
      <w:marLeft w:val="0"/>
      <w:marRight w:val="0"/>
      <w:marTop w:val="0"/>
      <w:marBottom w:val="0"/>
      <w:divBdr>
        <w:top w:val="none" w:sz="0" w:space="0" w:color="auto"/>
        <w:left w:val="none" w:sz="0" w:space="0" w:color="auto"/>
        <w:bottom w:val="none" w:sz="0" w:space="0" w:color="auto"/>
        <w:right w:val="none" w:sz="0" w:space="0" w:color="auto"/>
      </w:divBdr>
    </w:div>
    <w:div w:id="539317733">
      <w:bodyDiv w:val="1"/>
      <w:marLeft w:val="0"/>
      <w:marRight w:val="0"/>
      <w:marTop w:val="0"/>
      <w:marBottom w:val="0"/>
      <w:divBdr>
        <w:top w:val="none" w:sz="0" w:space="0" w:color="auto"/>
        <w:left w:val="none" w:sz="0" w:space="0" w:color="auto"/>
        <w:bottom w:val="none" w:sz="0" w:space="0" w:color="auto"/>
        <w:right w:val="none" w:sz="0" w:space="0" w:color="auto"/>
      </w:divBdr>
    </w:div>
    <w:div w:id="566644354">
      <w:bodyDiv w:val="1"/>
      <w:marLeft w:val="0"/>
      <w:marRight w:val="0"/>
      <w:marTop w:val="0"/>
      <w:marBottom w:val="0"/>
      <w:divBdr>
        <w:top w:val="none" w:sz="0" w:space="0" w:color="auto"/>
        <w:left w:val="none" w:sz="0" w:space="0" w:color="auto"/>
        <w:bottom w:val="none" w:sz="0" w:space="0" w:color="auto"/>
        <w:right w:val="none" w:sz="0" w:space="0" w:color="auto"/>
      </w:divBdr>
    </w:div>
    <w:div w:id="572619519">
      <w:bodyDiv w:val="1"/>
      <w:marLeft w:val="0"/>
      <w:marRight w:val="0"/>
      <w:marTop w:val="0"/>
      <w:marBottom w:val="0"/>
      <w:divBdr>
        <w:top w:val="none" w:sz="0" w:space="0" w:color="auto"/>
        <w:left w:val="none" w:sz="0" w:space="0" w:color="auto"/>
        <w:bottom w:val="none" w:sz="0" w:space="0" w:color="auto"/>
        <w:right w:val="none" w:sz="0" w:space="0" w:color="auto"/>
      </w:divBdr>
    </w:div>
    <w:div w:id="610474326">
      <w:bodyDiv w:val="1"/>
      <w:marLeft w:val="0"/>
      <w:marRight w:val="0"/>
      <w:marTop w:val="0"/>
      <w:marBottom w:val="0"/>
      <w:divBdr>
        <w:top w:val="none" w:sz="0" w:space="0" w:color="auto"/>
        <w:left w:val="none" w:sz="0" w:space="0" w:color="auto"/>
        <w:bottom w:val="none" w:sz="0" w:space="0" w:color="auto"/>
        <w:right w:val="none" w:sz="0" w:space="0" w:color="auto"/>
      </w:divBdr>
    </w:div>
    <w:div w:id="619453301">
      <w:bodyDiv w:val="1"/>
      <w:marLeft w:val="0"/>
      <w:marRight w:val="0"/>
      <w:marTop w:val="0"/>
      <w:marBottom w:val="0"/>
      <w:divBdr>
        <w:top w:val="none" w:sz="0" w:space="0" w:color="auto"/>
        <w:left w:val="none" w:sz="0" w:space="0" w:color="auto"/>
        <w:bottom w:val="none" w:sz="0" w:space="0" w:color="auto"/>
        <w:right w:val="none" w:sz="0" w:space="0" w:color="auto"/>
      </w:divBdr>
    </w:div>
    <w:div w:id="620260374">
      <w:bodyDiv w:val="1"/>
      <w:marLeft w:val="0"/>
      <w:marRight w:val="0"/>
      <w:marTop w:val="0"/>
      <w:marBottom w:val="0"/>
      <w:divBdr>
        <w:top w:val="none" w:sz="0" w:space="0" w:color="auto"/>
        <w:left w:val="none" w:sz="0" w:space="0" w:color="auto"/>
        <w:bottom w:val="none" w:sz="0" w:space="0" w:color="auto"/>
        <w:right w:val="none" w:sz="0" w:space="0" w:color="auto"/>
      </w:divBdr>
    </w:div>
    <w:div w:id="623078049">
      <w:bodyDiv w:val="1"/>
      <w:marLeft w:val="0"/>
      <w:marRight w:val="0"/>
      <w:marTop w:val="0"/>
      <w:marBottom w:val="0"/>
      <w:divBdr>
        <w:top w:val="none" w:sz="0" w:space="0" w:color="auto"/>
        <w:left w:val="none" w:sz="0" w:space="0" w:color="auto"/>
        <w:bottom w:val="none" w:sz="0" w:space="0" w:color="auto"/>
        <w:right w:val="none" w:sz="0" w:space="0" w:color="auto"/>
      </w:divBdr>
    </w:div>
    <w:div w:id="624000038">
      <w:bodyDiv w:val="1"/>
      <w:marLeft w:val="0"/>
      <w:marRight w:val="0"/>
      <w:marTop w:val="0"/>
      <w:marBottom w:val="0"/>
      <w:divBdr>
        <w:top w:val="none" w:sz="0" w:space="0" w:color="auto"/>
        <w:left w:val="none" w:sz="0" w:space="0" w:color="auto"/>
        <w:bottom w:val="none" w:sz="0" w:space="0" w:color="auto"/>
        <w:right w:val="none" w:sz="0" w:space="0" w:color="auto"/>
      </w:divBdr>
    </w:div>
    <w:div w:id="669255368">
      <w:bodyDiv w:val="1"/>
      <w:marLeft w:val="0"/>
      <w:marRight w:val="0"/>
      <w:marTop w:val="0"/>
      <w:marBottom w:val="0"/>
      <w:divBdr>
        <w:top w:val="none" w:sz="0" w:space="0" w:color="auto"/>
        <w:left w:val="none" w:sz="0" w:space="0" w:color="auto"/>
        <w:bottom w:val="none" w:sz="0" w:space="0" w:color="auto"/>
        <w:right w:val="none" w:sz="0" w:space="0" w:color="auto"/>
      </w:divBdr>
    </w:div>
    <w:div w:id="734283276">
      <w:bodyDiv w:val="1"/>
      <w:marLeft w:val="0"/>
      <w:marRight w:val="0"/>
      <w:marTop w:val="0"/>
      <w:marBottom w:val="0"/>
      <w:divBdr>
        <w:top w:val="none" w:sz="0" w:space="0" w:color="auto"/>
        <w:left w:val="none" w:sz="0" w:space="0" w:color="auto"/>
        <w:bottom w:val="none" w:sz="0" w:space="0" w:color="auto"/>
        <w:right w:val="none" w:sz="0" w:space="0" w:color="auto"/>
      </w:divBdr>
    </w:div>
    <w:div w:id="778262221">
      <w:bodyDiv w:val="1"/>
      <w:marLeft w:val="0"/>
      <w:marRight w:val="0"/>
      <w:marTop w:val="0"/>
      <w:marBottom w:val="0"/>
      <w:divBdr>
        <w:top w:val="none" w:sz="0" w:space="0" w:color="auto"/>
        <w:left w:val="none" w:sz="0" w:space="0" w:color="auto"/>
        <w:bottom w:val="none" w:sz="0" w:space="0" w:color="auto"/>
        <w:right w:val="none" w:sz="0" w:space="0" w:color="auto"/>
      </w:divBdr>
    </w:div>
    <w:div w:id="778796879">
      <w:bodyDiv w:val="1"/>
      <w:marLeft w:val="0"/>
      <w:marRight w:val="0"/>
      <w:marTop w:val="0"/>
      <w:marBottom w:val="0"/>
      <w:divBdr>
        <w:top w:val="none" w:sz="0" w:space="0" w:color="auto"/>
        <w:left w:val="none" w:sz="0" w:space="0" w:color="auto"/>
        <w:bottom w:val="none" w:sz="0" w:space="0" w:color="auto"/>
        <w:right w:val="none" w:sz="0" w:space="0" w:color="auto"/>
      </w:divBdr>
    </w:div>
    <w:div w:id="828638547">
      <w:bodyDiv w:val="1"/>
      <w:marLeft w:val="0"/>
      <w:marRight w:val="0"/>
      <w:marTop w:val="0"/>
      <w:marBottom w:val="0"/>
      <w:divBdr>
        <w:top w:val="none" w:sz="0" w:space="0" w:color="auto"/>
        <w:left w:val="none" w:sz="0" w:space="0" w:color="auto"/>
        <w:bottom w:val="none" w:sz="0" w:space="0" w:color="auto"/>
        <w:right w:val="none" w:sz="0" w:space="0" w:color="auto"/>
      </w:divBdr>
    </w:div>
    <w:div w:id="838302485">
      <w:bodyDiv w:val="1"/>
      <w:marLeft w:val="0"/>
      <w:marRight w:val="0"/>
      <w:marTop w:val="0"/>
      <w:marBottom w:val="0"/>
      <w:divBdr>
        <w:top w:val="none" w:sz="0" w:space="0" w:color="auto"/>
        <w:left w:val="none" w:sz="0" w:space="0" w:color="auto"/>
        <w:bottom w:val="none" w:sz="0" w:space="0" w:color="auto"/>
        <w:right w:val="none" w:sz="0" w:space="0" w:color="auto"/>
      </w:divBdr>
    </w:div>
    <w:div w:id="843856411">
      <w:bodyDiv w:val="1"/>
      <w:marLeft w:val="0"/>
      <w:marRight w:val="0"/>
      <w:marTop w:val="0"/>
      <w:marBottom w:val="0"/>
      <w:divBdr>
        <w:top w:val="none" w:sz="0" w:space="0" w:color="auto"/>
        <w:left w:val="none" w:sz="0" w:space="0" w:color="auto"/>
        <w:bottom w:val="none" w:sz="0" w:space="0" w:color="auto"/>
        <w:right w:val="none" w:sz="0" w:space="0" w:color="auto"/>
      </w:divBdr>
    </w:div>
    <w:div w:id="844327009">
      <w:bodyDiv w:val="1"/>
      <w:marLeft w:val="0"/>
      <w:marRight w:val="0"/>
      <w:marTop w:val="0"/>
      <w:marBottom w:val="0"/>
      <w:divBdr>
        <w:top w:val="none" w:sz="0" w:space="0" w:color="auto"/>
        <w:left w:val="none" w:sz="0" w:space="0" w:color="auto"/>
        <w:bottom w:val="none" w:sz="0" w:space="0" w:color="auto"/>
        <w:right w:val="none" w:sz="0" w:space="0" w:color="auto"/>
      </w:divBdr>
    </w:div>
    <w:div w:id="846166584">
      <w:bodyDiv w:val="1"/>
      <w:marLeft w:val="0"/>
      <w:marRight w:val="0"/>
      <w:marTop w:val="0"/>
      <w:marBottom w:val="0"/>
      <w:divBdr>
        <w:top w:val="none" w:sz="0" w:space="0" w:color="auto"/>
        <w:left w:val="none" w:sz="0" w:space="0" w:color="auto"/>
        <w:bottom w:val="none" w:sz="0" w:space="0" w:color="auto"/>
        <w:right w:val="none" w:sz="0" w:space="0" w:color="auto"/>
      </w:divBdr>
    </w:div>
    <w:div w:id="849611906">
      <w:bodyDiv w:val="1"/>
      <w:marLeft w:val="0"/>
      <w:marRight w:val="0"/>
      <w:marTop w:val="0"/>
      <w:marBottom w:val="0"/>
      <w:divBdr>
        <w:top w:val="none" w:sz="0" w:space="0" w:color="auto"/>
        <w:left w:val="none" w:sz="0" w:space="0" w:color="auto"/>
        <w:bottom w:val="none" w:sz="0" w:space="0" w:color="auto"/>
        <w:right w:val="none" w:sz="0" w:space="0" w:color="auto"/>
      </w:divBdr>
    </w:div>
    <w:div w:id="875584646">
      <w:bodyDiv w:val="1"/>
      <w:marLeft w:val="0"/>
      <w:marRight w:val="0"/>
      <w:marTop w:val="0"/>
      <w:marBottom w:val="0"/>
      <w:divBdr>
        <w:top w:val="none" w:sz="0" w:space="0" w:color="auto"/>
        <w:left w:val="none" w:sz="0" w:space="0" w:color="auto"/>
        <w:bottom w:val="none" w:sz="0" w:space="0" w:color="auto"/>
        <w:right w:val="none" w:sz="0" w:space="0" w:color="auto"/>
      </w:divBdr>
    </w:div>
    <w:div w:id="899750663">
      <w:bodyDiv w:val="1"/>
      <w:marLeft w:val="0"/>
      <w:marRight w:val="0"/>
      <w:marTop w:val="0"/>
      <w:marBottom w:val="0"/>
      <w:divBdr>
        <w:top w:val="none" w:sz="0" w:space="0" w:color="auto"/>
        <w:left w:val="none" w:sz="0" w:space="0" w:color="auto"/>
        <w:bottom w:val="none" w:sz="0" w:space="0" w:color="auto"/>
        <w:right w:val="none" w:sz="0" w:space="0" w:color="auto"/>
      </w:divBdr>
    </w:div>
    <w:div w:id="907303471">
      <w:bodyDiv w:val="1"/>
      <w:marLeft w:val="0"/>
      <w:marRight w:val="0"/>
      <w:marTop w:val="0"/>
      <w:marBottom w:val="0"/>
      <w:divBdr>
        <w:top w:val="none" w:sz="0" w:space="0" w:color="auto"/>
        <w:left w:val="none" w:sz="0" w:space="0" w:color="auto"/>
        <w:bottom w:val="none" w:sz="0" w:space="0" w:color="auto"/>
        <w:right w:val="none" w:sz="0" w:space="0" w:color="auto"/>
      </w:divBdr>
    </w:div>
    <w:div w:id="909120009">
      <w:bodyDiv w:val="1"/>
      <w:marLeft w:val="0"/>
      <w:marRight w:val="0"/>
      <w:marTop w:val="0"/>
      <w:marBottom w:val="0"/>
      <w:divBdr>
        <w:top w:val="none" w:sz="0" w:space="0" w:color="auto"/>
        <w:left w:val="none" w:sz="0" w:space="0" w:color="auto"/>
        <w:bottom w:val="none" w:sz="0" w:space="0" w:color="auto"/>
        <w:right w:val="none" w:sz="0" w:space="0" w:color="auto"/>
      </w:divBdr>
    </w:div>
    <w:div w:id="910777934">
      <w:bodyDiv w:val="1"/>
      <w:marLeft w:val="0"/>
      <w:marRight w:val="0"/>
      <w:marTop w:val="0"/>
      <w:marBottom w:val="0"/>
      <w:divBdr>
        <w:top w:val="none" w:sz="0" w:space="0" w:color="auto"/>
        <w:left w:val="none" w:sz="0" w:space="0" w:color="auto"/>
        <w:bottom w:val="none" w:sz="0" w:space="0" w:color="auto"/>
        <w:right w:val="none" w:sz="0" w:space="0" w:color="auto"/>
      </w:divBdr>
    </w:div>
    <w:div w:id="920257746">
      <w:bodyDiv w:val="1"/>
      <w:marLeft w:val="0"/>
      <w:marRight w:val="0"/>
      <w:marTop w:val="0"/>
      <w:marBottom w:val="0"/>
      <w:divBdr>
        <w:top w:val="none" w:sz="0" w:space="0" w:color="auto"/>
        <w:left w:val="none" w:sz="0" w:space="0" w:color="auto"/>
        <w:bottom w:val="none" w:sz="0" w:space="0" w:color="auto"/>
        <w:right w:val="none" w:sz="0" w:space="0" w:color="auto"/>
      </w:divBdr>
    </w:div>
    <w:div w:id="933169207">
      <w:bodyDiv w:val="1"/>
      <w:marLeft w:val="0"/>
      <w:marRight w:val="0"/>
      <w:marTop w:val="0"/>
      <w:marBottom w:val="0"/>
      <w:divBdr>
        <w:top w:val="none" w:sz="0" w:space="0" w:color="auto"/>
        <w:left w:val="none" w:sz="0" w:space="0" w:color="auto"/>
        <w:bottom w:val="none" w:sz="0" w:space="0" w:color="auto"/>
        <w:right w:val="none" w:sz="0" w:space="0" w:color="auto"/>
      </w:divBdr>
    </w:div>
    <w:div w:id="935404984">
      <w:bodyDiv w:val="1"/>
      <w:marLeft w:val="0"/>
      <w:marRight w:val="0"/>
      <w:marTop w:val="0"/>
      <w:marBottom w:val="0"/>
      <w:divBdr>
        <w:top w:val="none" w:sz="0" w:space="0" w:color="auto"/>
        <w:left w:val="none" w:sz="0" w:space="0" w:color="auto"/>
        <w:bottom w:val="none" w:sz="0" w:space="0" w:color="auto"/>
        <w:right w:val="none" w:sz="0" w:space="0" w:color="auto"/>
      </w:divBdr>
    </w:div>
    <w:div w:id="941574753">
      <w:bodyDiv w:val="1"/>
      <w:marLeft w:val="0"/>
      <w:marRight w:val="0"/>
      <w:marTop w:val="0"/>
      <w:marBottom w:val="0"/>
      <w:divBdr>
        <w:top w:val="none" w:sz="0" w:space="0" w:color="auto"/>
        <w:left w:val="none" w:sz="0" w:space="0" w:color="auto"/>
        <w:bottom w:val="none" w:sz="0" w:space="0" w:color="auto"/>
        <w:right w:val="none" w:sz="0" w:space="0" w:color="auto"/>
      </w:divBdr>
    </w:div>
    <w:div w:id="956912763">
      <w:bodyDiv w:val="1"/>
      <w:marLeft w:val="0"/>
      <w:marRight w:val="0"/>
      <w:marTop w:val="0"/>
      <w:marBottom w:val="0"/>
      <w:divBdr>
        <w:top w:val="none" w:sz="0" w:space="0" w:color="auto"/>
        <w:left w:val="none" w:sz="0" w:space="0" w:color="auto"/>
        <w:bottom w:val="none" w:sz="0" w:space="0" w:color="auto"/>
        <w:right w:val="none" w:sz="0" w:space="0" w:color="auto"/>
      </w:divBdr>
    </w:div>
    <w:div w:id="962543670">
      <w:bodyDiv w:val="1"/>
      <w:marLeft w:val="0"/>
      <w:marRight w:val="0"/>
      <w:marTop w:val="0"/>
      <w:marBottom w:val="0"/>
      <w:divBdr>
        <w:top w:val="none" w:sz="0" w:space="0" w:color="auto"/>
        <w:left w:val="none" w:sz="0" w:space="0" w:color="auto"/>
        <w:bottom w:val="none" w:sz="0" w:space="0" w:color="auto"/>
        <w:right w:val="none" w:sz="0" w:space="0" w:color="auto"/>
      </w:divBdr>
    </w:div>
    <w:div w:id="1017384273">
      <w:bodyDiv w:val="1"/>
      <w:marLeft w:val="0"/>
      <w:marRight w:val="0"/>
      <w:marTop w:val="0"/>
      <w:marBottom w:val="0"/>
      <w:divBdr>
        <w:top w:val="none" w:sz="0" w:space="0" w:color="auto"/>
        <w:left w:val="none" w:sz="0" w:space="0" w:color="auto"/>
        <w:bottom w:val="none" w:sz="0" w:space="0" w:color="auto"/>
        <w:right w:val="none" w:sz="0" w:space="0" w:color="auto"/>
      </w:divBdr>
    </w:div>
    <w:div w:id="1054236748">
      <w:bodyDiv w:val="1"/>
      <w:marLeft w:val="0"/>
      <w:marRight w:val="0"/>
      <w:marTop w:val="0"/>
      <w:marBottom w:val="0"/>
      <w:divBdr>
        <w:top w:val="none" w:sz="0" w:space="0" w:color="auto"/>
        <w:left w:val="none" w:sz="0" w:space="0" w:color="auto"/>
        <w:bottom w:val="none" w:sz="0" w:space="0" w:color="auto"/>
        <w:right w:val="none" w:sz="0" w:space="0" w:color="auto"/>
      </w:divBdr>
    </w:div>
    <w:div w:id="1057439876">
      <w:bodyDiv w:val="1"/>
      <w:marLeft w:val="0"/>
      <w:marRight w:val="0"/>
      <w:marTop w:val="0"/>
      <w:marBottom w:val="0"/>
      <w:divBdr>
        <w:top w:val="none" w:sz="0" w:space="0" w:color="auto"/>
        <w:left w:val="none" w:sz="0" w:space="0" w:color="auto"/>
        <w:bottom w:val="none" w:sz="0" w:space="0" w:color="auto"/>
        <w:right w:val="none" w:sz="0" w:space="0" w:color="auto"/>
      </w:divBdr>
    </w:div>
    <w:div w:id="1067528898">
      <w:bodyDiv w:val="1"/>
      <w:marLeft w:val="0"/>
      <w:marRight w:val="0"/>
      <w:marTop w:val="0"/>
      <w:marBottom w:val="0"/>
      <w:divBdr>
        <w:top w:val="none" w:sz="0" w:space="0" w:color="auto"/>
        <w:left w:val="none" w:sz="0" w:space="0" w:color="auto"/>
        <w:bottom w:val="none" w:sz="0" w:space="0" w:color="auto"/>
        <w:right w:val="none" w:sz="0" w:space="0" w:color="auto"/>
      </w:divBdr>
    </w:div>
    <w:div w:id="1092316467">
      <w:bodyDiv w:val="1"/>
      <w:marLeft w:val="0"/>
      <w:marRight w:val="0"/>
      <w:marTop w:val="0"/>
      <w:marBottom w:val="0"/>
      <w:divBdr>
        <w:top w:val="none" w:sz="0" w:space="0" w:color="auto"/>
        <w:left w:val="none" w:sz="0" w:space="0" w:color="auto"/>
        <w:bottom w:val="none" w:sz="0" w:space="0" w:color="auto"/>
        <w:right w:val="none" w:sz="0" w:space="0" w:color="auto"/>
      </w:divBdr>
    </w:div>
    <w:div w:id="1094394778">
      <w:bodyDiv w:val="1"/>
      <w:marLeft w:val="0"/>
      <w:marRight w:val="0"/>
      <w:marTop w:val="0"/>
      <w:marBottom w:val="0"/>
      <w:divBdr>
        <w:top w:val="none" w:sz="0" w:space="0" w:color="auto"/>
        <w:left w:val="none" w:sz="0" w:space="0" w:color="auto"/>
        <w:bottom w:val="none" w:sz="0" w:space="0" w:color="auto"/>
        <w:right w:val="none" w:sz="0" w:space="0" w:color="auto"/>
      </w:divBdr>
    </w:div>
    <w:div w:id="1128666021">
      <w:bodyDiv w:val="1"/>
      <w:marLeft w:val="0"/>
      <w:marRight w:val="0"/>
      <w:marTop w:val="0"/>
      <w:marBottom w:val="0"/>
      <w:divBdr>
        <w:top w:val="none" w:sz="0" w:space="0" w:color="auto"/>
        <w:left w:val="none" w:sz="0" w:space="0" w:color="auto"/>
        <w:bottom w:val="none" w:sz="0" w:space="0" w:color="auto"/>
        <w:right w:val="none" w:sz="0" w:space="0" w:color="auto"/>
      </w:divBdr>
    </w:div>
    <w:div w:id="1136527856">
      <w:bodyDiv w:val="1"/>
      <w:marLeft w:val="0"/>
      <w:marRight w:val="0"/>
      <w:marTop w:val="0"/>
      <w:marBottom w:val="0"/>
      <w:divBdr>
        <w:top w:val="none" w:sz="0" w:space="0" w:color="auto"/>
        <w:left w:val="none" w:sz="0" w:space="0" w:color="auto"/>
        <w:bottom w:val="none" w:sz="0" w:space="0" w:color="auto"/>
        <w:right w:val="none" w:sz="0" w:space="0" w:color="auto"/>
      </w:divBdr>
    </w:div>
    <w:div w:id="1148547506">
      <w:bodyDiv w:val="1"/>
      <w:marLeft w:val="0"/>
      <w:marRight w:val="0"/>
      <w:marTop w:val="0"/>
      <w:marBottom w:val="0"/>
      <w:divBdr>
        <w:top w:val="none" w:sz="0" w:space="0" w:color="auto"/>
        <w:left w:val="none" w:sz="0" w:space="0" w:color="auto"/>
        <w:bottom w:val="none" w:sz="0" w:space="0" w:color="auto"/>
        <w:right w:val="none" w:sz="0" w:space="0" w:color="auto"/>
      </w:divBdr>
    </w:div>
    <w:div w:id="1150058162">
      <w:bodyDiv w:val="1"/>
      <w:marLeft w:val="0"/>
      <w:marRight w:val="0"/>
      <w:marTop w:val="0"/>
      <w:marBottom w:val="0"/>
      <w:divBdr>
        <w:top w:val="none" w:sz="0" w:space="0" w:color="auto"/>
        <w:left w:val="none" w:sz="0" w:space="0" w:color="auto"/>
        <w:bottom w:val="none" w:sz="0" w:space="0" w:color="auto"/>
        <w:right w:val="none" w:sz="0" w:space="0" w:color="auto"/>
      </w:divBdr>
    </w:div>
    <w:div w:id="1162963439">
      <w:bodyDiv w:val="1"/>
      <w:marLeft w:val="0"/>
      <w:marRight w:val="0"/>
      <w:marTop w:val="0"/>
      <w:marBottom w:val="0"/>
      <w:divBdr>
        <w:top w:val="none" w:sz="0" w:space="0" w:color="auto"/>
        <w:left w:val="none" w:sz="0" w:space="0" w:color="auto"/>
        <w:bottom w:val="none" w:sz="0" w:space="0" w:color="auto"/>
        <w:right w:val="none" w:sz="0" w:space="0" w:color="auto"/>
      </w:divBdr>
    </w:div>
    <w:div w:id="1182086592">
      <w:bodyDiv w:val="1"/>
      <w:marLeft w:val="0"/>
      <w:marRight w:val="0"/>
      <w:marTop w:val="0"/>
      <w:marBottom w:val="0"/>
      <w:divBdr>
        <w:top w:val="none" w:sz="0" w:space="0" w:color="auto"/>
        <w:left w:val="none" w:sz="0" w:space="0" w:color="auto"/>
        <w:bottom w:val="none" w:sz="0" w:space="0" w:color="auto"/>
        <w:right w:val="none" w:sz="0" w:space="0" w:color="auto"/>
      </w:divBdr>
    </w:div>
    <w:div w:id="1186822204">
      <w:bodyDiv w:val="1"/>
      <w:marLeft w:val="0"/>
      <w:marRight w:val="0"/>
      <w:marTop w:val="0"/>
      <w:marBottom w:val="0"/>
      <w:divBdr>
        <w:top w:val="none" w:sz="0" w:space="0" w:color="auto"/>
        <w:left w:val="none" w:sz="0" w:space="0" w:color="auto"/>
        <w:bottom w:val="none" w:sz="0" w:space="0" w:color="auto"/>
        <w:right w:val="none" w:sz="0" w:space="0" w:color="auto"/>
      </w:divBdr>
    </w:div>
    <w:div w:id="1193611656">
      <w:bodyDiv w:val="1"/>
      <w:marLeft w:val="0"/>
      <w:marRight w:val="0"/>
      <w:marTop w:val="0"/>
      <w:marBottom w:val="0"/>
      <w:divBdr>
        <w:top w:val="none" w:sz="0" w:space="0" w:color="auto"/>
        <w:left w:val="none" w:sz="0" w:space="0" w:color="auto"/>
        <w:bottom w:val="none" w:sz="0" w:space="0" w:color="auto"/>
        <w:right w:val="none" w:sz="0" w:space="0" w:color="auto"/>
      </w:divBdr>
    </w:div>
    <w:div w:id="1212038123">
      <w:bodyDiv w:val="1"/>
      <w:marLeft w:val="0"/>
      <w:marRight w:val="0"/>
      <w:marTop w:val="0"/>
      <w:marBottom w:val="0"/>
      <w:divBdr>
        <w:top w:val="none" w:sz="0" w:space="0" w:color="auto"/>
        <w:left w:val="none" w:sz="0" w:space="0" w:color="auto"/>
        <w:bottom w:val="none" w:sz="0" w:space="0" w:color="auto"/>
        <w:right w:val="none" w:sz="0" w:space="0" w:color="auto"/>
      </w:divBdr>
    </w:div>
    <w:div w:id="1217470175">
      <w:bodyDiv w:val="1"/>
      <w:marLeft w:val="0"/>
      <w:marRight w:val="0"/>
      <w:marTop w:val="0"/>
      <w:marBottom w:val="0"/>
      <w:divBdr>
        <w:top w:val="none" w:sz="0" w:space="0" w:color="auto"/>
        <w:left w:val="none" w:sz="0" w:space="0" w:color="auto"/>
        <w:bottom w:val="none" w:sz="0" w:space="0" w:color="auto"/>
        <w:right w:val="none" w:sz="0" w:space="0" w:color="auto"/>
      </w:divBdr>
    </w:div>
    <w:div w:id="1251892505">
      <w:bodyDiv w:val="1"/>
      <w:marLeft w:val="0"/>
      <w:marRight w:val="0"/>
      <w:marTop w:val="0"/>
      <w:marBottom w:val="0"/>
      <w:divBdr>
        <w:top w:val="none" w:sz="0" w:space="0" w:color="auto"/>
        <w:left w:val="none" w:sz="0" w:space="0" w:color="auto"/>
        <w:bottom w:val="none" w:sz="0" w:space="0" w:color="auto"/>
        <w:right w:val="none" w:sz="0" w:space="0" w:color="auto"/>
      </w:divBdr>
    </w:div>
    <w:div w:id="1299602720">
      <w:bodyDiv w:val="1"/>
      <w:marLeft w:val="0"/>
      <w:marRight w:val="0"/>
      <w:marTop w:val="0"/>
      <w:marBottom w:val="0"/>
      <w:divBdr>
        <w:top w:val="none" w:sz="0" w:space="0" w:color="auto"/>
        <w:left w:val="none" w:sz="0" w:space="0" w:color="auto"/>
        <w:bottom w:val="none" w:sz="0" w:space="0" w:color="auto"/>
        <w:right w:val="none" w:sz="0" w:space="0" w:color="auto"/>
      </w:divBdr>
    </w:div>
    <w:div w:id="1300040086">
      <w:bodyDiv w:val="1"/>
      <w:marLeft w:val="0"/>
      <w:marRight w:val="0"/>
      <w:marTop w:val="0"/>
      <w:marBottom w:val="0"/>
      <w:divBdr>
        <w:top w:val="none" w:sz="0" w:space="0" w:color="auto"/>
        <w:left w:val="none" w:sz="0" w:space="0" w:color="auto"/>
        <w:bottom w:val="none" w:sz="0" w:space="0" w:color="auto"/>
        <w:right w:val="none" w:sz="0" w:space="0" w:color="auto"/>
      </w:divBdr>
    </w:div>
    <w:div w:id="1306467370">
      <w:bodyDiv w:val="1"/>
      <w:marLeft w:val="0"/>
      <w:marRight w:val="0"/>
      <w:marTop w:val="0"/>
      <w:marBottom w:val="0"/>
      <w:divBdr>
        <w:top w:val="none" w:sz="0" w:space="0" w:color="auto"/>
        <w:left w:val="none" w:sz="0" w:space="0" w:color="auto"/>
        <w:bottom w:val="none" w:sz="0" w:space="0" w:color="auto"/>
        <w:right w:val="none" w:sz="0" w:space="0" w:color="auto"/>
      </w:divBdr>
    </w:div>
    <w:div w:id="1307934222">
      <w:bodyDiv w:val="1"/>
      <w:marLeft w:val="0"/>
      <w:marRight w:val="0"/>
      <w:marTop w:val="0"/>
      <w:marBottom w:val="0"/>
      <w:divBdr>
        <w:top w:val="none" w:sz="0" w:space="0" w:color="auto"/>
        <w:left w:val="none" w:sz="0" w:space="0" w:color="auto"/>
        <w:bottom w:val="none" w:sz="0" w:space="0" w:color="auto"/>
        <w:right w:val="none" w:sz="0" w:space="0" w:color="auto"/>
      </w:divBdr>
    </w:div>
    <w:div w:id="1315453125">
      <w:bodyDiv w:val="1"/>
      <w:marLeft w:val="0"/>
      <w:marRight w:val="0"/>
      <w:marTop w:val="0"/>
      <w:marBottom w:val="0"/>
      <w:divBdr>
        <w:top w:val="none" w:sz="0" w:space="0" w:color="auto"/>
        <w:left w:val="none" w:sz="0" w:space="0" w:color="auto"/>
        <w:bottom w:val="none" w:sz="0" w:space="0" w:color="auto"/>
        <w:right w:val="none" w:sz="0" w:space="0" w:color="auto"/>
      </w:divBdr>
    </w:div>
    <w:div w:id="1319921574">
      <w:bodyDiv w:val="1"/>
      <w:marLeft w:val="0"/>
      <w:marRight w:val="0"/>
      <w:marTop w:val="0"/>
      <w:marBottom w:val="0"/>
      <w:divBdr>
        <w:top w:val="none" w:sz="0" w:space="0" w:color="auto"/>
        <w:left w:val="none" w:sz="0" w:space="0" w:color="auto"/>
        <w:bottom w:val="none" w:sz="0" w:space="0" w:color="auto"/>
        <w:right w:val="none" w:sz="0" w:space="0" w:color="auto"/>
      </w:divBdr>
    </w:div>
    <w:div w:id="1323319233">
      <w:bodyDiv w:val="1"/>
      <w:marLeft w:val="0"/>
      <w:marRight w:val="0"/>
      <w:marTop w:val="0"/>
      <w:marBottom w:val="0"/>
      <w:divBdr>
        <w:top w:val="none" w:sz="0" w:space="0" w:color="auto"/>
        <w:left w:val="none" w:sz="0" w:space="0" w:color="auto"/>
        <w:bottom w:val="none" w:sz="0" w:space="0" w:color="auto"/>
        <w:right w:val="none" w:sz="0" w:space="0" w:color="auto"/>
      </w:divBdr>
    </w:div>
    <w:div w:id="1325666820">
      <w:bodyDiv w:val="1"/>
      <w:marLeft w:val="0"/>
      <w:marRight w:val="0"/>
      <w:marTop w:val="0"/>
      <w:marBottom w:val="0"/>
      <w:divBdr>
        <w:top w:val="none" w:sz="0" w:space="0" w:color="auto"/>
        <w:left w:val="none" w:sz="0" w:space="0" w:color="auto"/>
        <w:bottom w:val="none" w:sz="0" w:space="0" w:color="auto"/>
        <w:right w:val="none" w:sz="0" w:space="0" w:color="auto"/>
      </w:divBdr>
    </w:div>
    <w:div w:id="1337655658">
      <w:bodyDiv w:val="1"/>
      <w:marLeft w:val="0"/>
      <w:marRight w:val="0"/>
      <w:marTop w:val="0"/>
      <w:marBottom w:val="0"/>
      <w:divBdr>
        <w:top w:val="none" w:sz="0" w:space="0" w:color="auto"/>
        <w:left w:val="none" w:sz="0" w:space="0" w:color="auto"/>
        <w:bottom w:val="none" w:sz="0" w:space="0" w:color="auto"/>
        <w:right w:val="none" w:sz="0" w:space="0" w:color="auto"/>
      </w:divBdr>
    </w:div>
    <w:div w:id="1340700254">
      <w:bodyDiv w:val="1"/>
      <w:marLeft w:val="0"/>
      <w:marRight w:val="0"/>
      <w:marTop w:val="0"/>
      <w:marBottom w:val="0"/>
      <w:divBdr>
        <w:top w:val="none" w:sz="0" w:space="0" w:color="auto"/>
        <w:left w:val="none" w:sz="0" w:space="0" w:color="auto"/>
        <w:bottom w:val="none" w:sz="0" w:space="0" w:color="auto"/>
        <w:right w:val="none" w:sz="0" w:space="0" w:color="auto"/>
      </w:divBdr>
    </w:div>
    <w:div w:id="1343705118">
      <w:bodyDiv w:val="1"/>
      <w:marLeft w:val="0"/>
      <w:marRight w:val="0"/>
      <w:marTop w:val="0"/>
      <w:marBottom w:val="0"/>
      <w:divBdr>
        <w:top w:val="none" w:sz="0" w:space="0" w:color="auto"/>
        <w:left w:val="none" w:sz="0" w:space="0" w:color="auto"/>
        <w:bottom w:val="none" w:sz="0" w:space="0" w:color="auto"/>
        <w:right w:val="none" w:sz="0" w:space="0" w:color="auto"/>
      </w:divBdr>
    </w:div>
    <w:div w:id="1381249706">
      <w:bodyDiv w:val="1"/>
      <w:marLeft w:val="0"/>
      <w:marRight w:val="0"/>
      <w:marTop w:val="0"/>
      <w:marBottom w:val="0"/>
      <w:divBdr>
        <w:top w:val="none" w:sz="0" w:space="0" w:color="auto"/>
        <w:left w:val="none" w:sz="0" w:space="0" w:color="auto"/>
        <w:bottom w:val="none" w:sz="0" w:space="0" w:color="auto"/>
        <w:right w:val="none" w:sz="0" w:space="0" w:color="auto"/>
      </w:divBdr>
    </w:div>
    <w:div w:id="1412501675">
      <w:bodyDiv w:val="1"/>
      <w:marLeft w:val="0"/>
      <w:marRight w:val="0"/>
      <w:marTop w:val="0"/>
      <w:marBottom w:val="0"/>
      <w:divBdr>
        <w:top w:val="none" w:sz="0" w:space="0" w:color="auto"/>
        <w:left w:val="none" w:sz="0" w:space="0" w:color="auto"/>
        <w:bottom w:val="none" w:sz="0" w:space="0" w:color="auto"/>
        <w:right w:val="none" w:sz="0" w:space="0" w:color="auto"/>
      </w:divBdr>
    </w:div>
    <w:div w:id="1451703634">
      <w:bodyDiv w:val="1"/>
      <w:marLeft w:val="0"/>
      <w:marRight w:val="0"/>
      <w:marTop w:val="0"/>
      <w:marBottom w:val="0"/>
      <w:divBdr>
        <w:top w:val="none" w:sz="0" w:space="0" w:color="auto"/>
        <w:left w:val="none" w:sz="0" w:space="0" w:color="auto"/>
        <w:bottom w:val="none" w:sz="0" w:space="0" w:color="auto"/>
        <w:right w:val="none" w:sz="0" w:space="0" w:color="auto"/>
      </w:divBdr>
    </w:div>
    <w:div w:id="1484277568">
      <w:bodyDiv w:val="1"/>
      <w:marLeft w:val="0"/>
      <w:marRight w:val="0"/>
      <w:marTop w:val="0"/>
      <w:marBottom w:val="0"/>
      <w:divBdr>
        <w:top w:val="none" w:sz="0" w:space="0" w:color="auto"/>
        <w:left w:val="none" w:sz="0" w:space="0" w:color="auto"/>
        <w:bottom w:val="none" w:sz="0" w:space="0" w:color="auto"/>
        <w:right w:val="none" w:sz="0" w:space="0" w:color="auto"/>
      </w:divBdr>
    </w:div>
    <w:div w:id="1485928528">
      <w:bodyDiv w:val="1"/>
      <w:marLeft w:val="0"/>
      <w:marRight w:val="0"/>
      <w:marTop w:val="0"/>
      <w:marBottom w:val="0"/>
      <w:divBdr>
        <w:top w:val="none" w:sz="0" w:space="0" w:color="auto"/>
        <w:left w:val="none" w:sz="0" w:space="0" w:color="auto"/>
        <w:bottom w:val="none" w:sz="0" w:space="0" w:color="auto"/>
        <w:right w:val="none" w:sz="0" w:space="0" w:color="auto"/>
      </w:divBdr>
    </w:div>
    <w:div w:id="1507550196">
      <w:bodyDiv w:val="1"/>
      <w:marLeft w:val="0"/>
      <w:marRight w:val="0"/>
      <w:marTop w:val="0"/>
      <w:marBottom w:val="0"/>
      <w:divBdr>
        <w:top w:val="none" w:sz="0" w:space="0" w:color="auto"/>
        <w:left w:val="none" w:sz="0" w:space="0" w:color="auto"/>
        <w:bottom w:val="none" w:sz="0" w:space="0" w:color="auto"/>
        <w:right w:val="none" w:sz="0" w:space="0" w:color="auto"/>
      </w:divBdr>
    </w:div>
    <w:div w:id="1509061882">
      <w:bodyDiv w:val="1"/>
      <w:marLeft w:val="0"/>
      <w:marRight w:val="0"/>
      <w:marTop w:val="0"/>
      <w:marBottom w:val="0"/>
      <w:divBdr>
        <w:top w:val="none" w:sz="0" w:space="0" w:color="auto"/>
        <w:left w:val="none" w:sz="0" w:space="0" w:color="auto"/>
        <w:bottom w:val="none" w:sz="0" w:space="0" w:color="auto"/>
        <w:right w:val="none" w:sz="0" w:space="0" w:color="auto"/>
      </w:divBdr>
    </w:div>
    <w:div w:id="1509951583">
      <w:bodyDiv w:val="1"/>
      <w:marLeft w:val="0"/>
      <w:marRight w:val="0"/>
      <w:marTop w:val="0"/>
      <w:marBottom w:val="0"/>
      <w:divBdr>
        <w:top w:val="none" w:sz="0" w:space="0" w:color="auto"/>
        <w:left w:val="none" w:sz="0" w:space="0" w:color="auto"/>
        <w:bottom w:val="none" w:sz="0" w:space="0" w:color="auto"/>
        <w:right w:val="none" w:sz="0" w:space="0" w:color="auto"/>
      </w:divBdr>
    </w:div>
    <w:div w:id="1516993474">
      <w:bodyDiv w:val="1"/>
      <w:marLeft w:val="0"/>
      <w:marRight w:val="0"/>
      <w:marTop w:val="0"/>
      <w:marBottom w:val="0"/>
      <w:divBdr>
        <w:top w:val="none" w:sz="0" w:space="0" w:color="auto"/>
        <w:left w:val="none" w:sz="0" w:space="0" w:color="auto"/>
        <w:bottom w:val="none" w:sz="0" w:space="0" w:color="auto"/>
        <w:right w:val="none" w:sz="0" w:space="0" w:color="auto"/>
      </w:divBdr>
    </w:div>
    <w:div w:id="1553226672">
      <w:bodyDiv w:val="1"/>
      <w:marLeft w:val="0"/>
      <w:marRight w:val="0"/>
      <w:marTop w:val="0"/>
      <w:marBottom w:val="0"/>
      <w:divBdr>
        <w:top w:val="none" w:sz="0" w:space="0" w:color="auto"/>
        <w:left w:val="none" w:sz="0" w:space="0" w:color="auto"/>
        <w:bottom w:val="none" w:sz="0" w:space="0" w:color="auto"/>
        <w:right w:val="none" w:sz="0" w:space="0" w:color="auto"/>
      </w:divBdr>
    </w:div>
    <w:div w:id="1554350017">
      <w:bodyDiv w:val="1"/>
      <w:marLeft w:val="0"/>
      <w:marRight w:val="0"/>
      <w:marTop w:val="0"/>
      <w:marBottom w:val="0"/>
      <w:divBdr>
        <w:top w:val="none" w:sz="0" w:space="0" w:color="auto"/>
        <w:left w:val="none" w:sz="0" w:space="0" w:color="auto"/>
        <w:bottom w:val="none" w:sz="0" w:space="0" w:color="auto"/>
        <w:right w:val="none" w:sz="0" w:space="0" w:color="auto"/>
      </w:divBdr>
    </w:div>
    <w:div w:id="1576669288">
      <w:bodyDiv w:val="1"/>
      <w:marLeft w:val="0"/>
      <w:marRight w:val="0"/>
      <w:marTop w:val="0"/>
      <w:marBottom w:val="0"/>
      <w:divBdr>
        <w:top w:val="none" w:sz="0" w:space="0" w:color="auto"/>
        <w:left w:val="none" w:sz="0" w:space="0" w:color="auto"/>
        <w:bottom w:val="none" w:sz="0" w:space="0" w:color="auto"/>
        <w:right w:val="none" w:sz="0" w:space="0" w:color="auto"/>
      </w:divBdr>
    </w:div>
    <w:div w:id="1607498026">
      <w:bodyDiv w:val="1"/>
      <w:marLeft w:val="0"/>
      <w:marRight w:val="0"/>
      <w:marTop w:val="0"/>
      <w:marBottom w:val="0"/>
      <w:divBdr>
        <w:top w:val="none" w:sz="0" w:space="0" w:color="auto"/>
        <w:left w:val="none" w:sz="0" w:space="0" w:color="auto"/>
        <w:bottom w:val="none" w:sz="0" w:space="0" w:color="auto"/>
        <w:right w:val="none" w:sz="0" w:space="0" w:color="auto"/>
      </w:divBdr>
    </w:div>
    <w:div w:id="1614283322">
      <w:bodyDiv w:val="1"/>
      <w:marLeft w:val="0"/>
      <w:marRight w:val="0"/>
      <w:marTop w:val="0"/>
      <w:marBottom w:val="0"/>
      <w:divBdr>
        <w:top w:val="none" w:sz="0" w:space="0" w:color="auto"/>
        <w:left w:val="none" w:sz="0" w:space="0" w:color="auto"/>
        <w:bottom w:val="none" w:sz="0" w:space="0" w:color="auto"/>
        <w:right w:val="none" w:sz="0" w:space="0" w:color="auto"/>
      </w:divBdr>
    </w:div>
    <w:div w:id="1654487527">
      <w:bodyDiv w:val="1"/>
      <w:marLeft w:val="0"/>
      <w:marRight w:val="0"/>
      <w:marTop w:val="0"/>
      <w:marBottom w:val="0"/>
      <w:divBdr>
        <w:top w:val="none" w:sz="0" w:space="0" w:color="auto"/>
        <w:left w:val="none" w:sz="0" w:space="0" w:color="auto"/>
        <w:bottom w:val="none" w:sz="0" w:space="0" w:color="auto"/>
        <w:right w:val="none" w:sz="0" w:space="0" w:color="auto"/>
      </w:divBdr>
    </w:div>
    <w:div w:id="1659533394">
      <w:bodyDiv w:val="1"/>
      <w:marLeft w:val="0"/>
      <w:marRight w:val="0"/>
      <w:marTop w:val="0"/>
      <w:marBottom w:val="0"/>
      <w:divBdr>
        <w:top w:val="none" w:sz="0" w:space="0" w:color="auto"/>
        <w:left w:val="none" w:sz="0" w:space="0" w:color="auto"/>
        <w:bottom w:val="none" w:sz="0" w:space="0" w:color="auto"/>
        <w:right w:val="none" w:sz="0" w:space="0" w:color="auto"/>
      </w:divBdr>
    </w:div>
    <w:div w:id="1661808736">
      <w:bodyDiv w:val="1"/>
      <w:marLeft w:val="0"/>
      <w:marRight w:val="0"/>
      <w:marTop w:val="0"/>
      <w:marBottom w:val="0"/>
      <w:divBdr>
        <w:top w:val="none" w:sz="0" w:space="0" w:color="auto"/>
        <w:left w:val="none" w:sz="0" w:space="0" w:color="auto"/>
        <w:bottom w:val="none" w:sz="0" w:space="0" w:color="auto"/>
        <w:right w:val="none" w:sz="0" w:space="0" w:color="auto"/>
      </w:divBdr>
    </w:div>
    <w:div w:id="1667632141">
      <w:bodyDiv w:val="1"/>
      <w:marLeft w:val="0"/>
      <w:marRight w:val="0"/>
      <w:marTop w:val="0"/>
      <w:marBottom w:val="0"/>
      <w:divBdr>
        <w:top w:val="none" w:sz="0" w:space="0" w:color="auto"/>
        <w:left w:val="none" w:sz="0" w:space="0" w:color="auto"/>
        <w:bottom w:val="none" w:sz="0" w:space="0" w:color="auto"/>
        <w:right w:val="none" w:sz="0" w:space="0" w:color="auto"/>
      </w:divBdr>
    </w:div>
    <w:div w:id="1695225545">
      <w:bodyDiv w:val="1"/>
      <w:marLeft w:val="0"/>
      <w:marRight w:val="0"/>
      <w:marTop w:val="0"/>
      <w:marBottom w:val="0"/>
      <w:divBdr>
        <w:top w:val="none" w:sz="0" w:space="0" w:color="auto"/>
        <w:left w:val="none" w:sz="0" w:space="0" w:color="auto"/>
        <w:bottom w:val="none" w:sz="0" w:space="0" w:color="auto"/>
        <w:right w:val="none" w:sz="0" w:space="0" w:color="auto"/>
      </w:divBdr>
    </w:div>
    <w:div w:id="1701465542">
      <w:bodyDiv w:val="1"/>
      <w:marLeft w:val="0"/>
      <w:marRight w:val="0"/>
      <w:marTop w:val="0"/>
      <w:marBottom w:val="0"/>
      <w:divBdr>
        <w:top w:val="none" w:sz="0" w:space="0" w:color="auto"/>
        <w:left w:val="none" w:sz="0" w:space="0" w:color="auto"/>
        <w:bottom w:val="none" w:sz="0" w:space="0" w:color="auto"/>
        <w:right w:val="none" w:sz="0" w:space="0" w:color="auto"/>
      </w:divBdr>
    </w:div>
    <w:div w:id="1728648851">
      <w:bodyDiv w:val="1"/>
      <w:marLeft w:val="0"/>
      <w:marRight w:val="0"/>
      <w:marTop w:val="0"/>
      <w:marBottom w:val="0"/>
      <w:divBdr>
        <w:top w:val="none" w:sz="0" w:space="0" w:color="auto"/>
        <w:left w:val="none" w:sz="0" w:space="0" w:color="auto"/>
        <w:bottom w:val="none" w:sz="0" w:space="0" w:color="auto"/>
        <w:right w:val="none" w:sz="0" w:space="0" w:color="auto"/>
      </w:divBdr>
    </w:div>
    <w:div w:id="1734548717">
      <w:bodyDiv w:val="1"/>
      <w:marLeft w:val="0"/>
      <w:marRight w:val="0"/>
      <w:marTop w:val="0"/>
      <w:marBottom w:val="0"/>
      <w:divBdr>
        <w:top w:val="none" w:sz="0" w:space="0" w:color="auto"/>
        <w:left w:val="none" w:sz="0" w:space="0" w:color="auto"/>
        <w:bottom w:val="none" w:sz="0" w:space="0" w:color="auto"/>
        <w:right w:val="none" w:sz="0" w:space="0" w:color="auto"/>
      </w:divBdr>
    </w:div>
    <w:div w:id="1792935677">
      <w:bodyDiv w:val="1"/>
      <w:marLeft w:val="0"/>
      <w:marRight w:val="0"/>
      <w:marTop w:val="0"/>
      <w:marBottom w:val="0"/>
      <w:divBdr>
        <w:top w:val="none" w:sz="0" w:space="0" w:color="auto"/>
        <w:left w:val="none" w:sz="0" w:space="0" w:color="auto"/>
        <w:bottom w:val="none" w:sz="0" w:space="0" w:color="auto"/>
        <w:right w:val="none" w:sz="0" w:space="0" w:color="auto"/>
      </w:divBdr>
    </w:div>
    <w:div w:id="1803422092">
      <w:bodyDiv w:val="1"/>
      <w:marLeft w:val="0"/>
      <w:marRight w:val="0"/>
      <w:marTop w:val="0"/>
      <w:marBottom w:val="0"/>
      <w:divBdr>
        <w:top w:val="none" w:sz="0" w:space="0" w:color="auto"/>
        <w:left w:val="none" w:sz="0" w:space="0" w:color="auto"/>
        <w:bottom w:val="none" w:sz="0" w:space="0" w:color="auto"/>
        <w:right w:val="none" w:sz="0" w:space="0" w:color="auto"/>
      </w:divBdr>
    </w:div>
    <w:div w:id="1812016570">
      <w:bodyDiv w:val="1"/>
      <w:marLeft w:val="0"/>
      <w:marRight w:val="0"/>
      <w:marTop w:val="0"/>
      <w:marBottom w:val="0"/>
      <w:divBdr>
        <w:top w:val="none" w:sz="0" w:space="0" w:color="auto"/>
        <w:left w:val="none" w:sz="0" w:space="0" w:color="auto"/>
        <w:bottom w:val="none" w:sz="0" w:space="0" w:color="auto"/>
        <w:right w:val="none" w:sz="0" w:space="0" w:color="auto"/>
      </w:divBdr>
    </w:div>
    <w:div w:id="1853832987">
      <w:bodyDiv w:val="1"/>
      <w:marLeft w:val="0"/>
      <w:marRight w:val="0"/>
      <w:marTop w:val="0"/>
      <w:marBottom w:val="0"/>
      <w:divBdr>
        <w:top w:val="none" w:sz="0" w:space="0" w:color="auto"/>
        <w:left w:val="none" w:sz="0" w:space="0" w:color="auto"/>
        <w:bottom w:val="none" w:sz="0" w:space="0" w:color="auto"/>
        <w:right w:val="none" w:sz="0" w:space="0" w:color="auto"/>
      </w:divBdr>
    </w:div>
    <w:div w:id="1867061342">
      <w:bodyDiv w:val="1"/>
      <w:marLeft w:val="0"/>
      <w:marRight w:val="0"/>
      <w:marTop w:val="0"/>
      <w:marBottom w:val="0"/>
      <w:divBdr>
        <w:top w:val="none" w:sz="0" w:space="0" w:color="auto"/>
        <w:left w:val="none" w:sz="0" w:space="0" w:color="auto"/>
        <w:bottom w:val="none" w:sz="0" w:space="0" w:color="auto"/>
        <w:right w:val="none" w:sz="0" w:space="0" w:color="auto"/>
      </w:divBdr>
    </w:div>
    <w:div w:id="1887326790">
      <w:bodyDiv w:val="1"/>
      <w:marLeft w:val="0"/>
      <w:marRight w:val="0"/>
      <w:marTop w:val="0"/>
      <w:marBottom w:val="0"/>
      <w:divBdr>
        <w:top w:val="none" w:sz="0" w:space="0" w:color="auto"/>
        <w:left w:val="none" w:sz="0" w:space="0" w:color="auto"/>
        <w:bottom w:val="none" w:sz="0" w:space="0" w:color="auto"/>
        <w:right w:val="none" w:sz="0" w:space="0" w:color="auto"/>
      </w:divBdr>
    </w:div>
    <w:div w:id="1887638875">
      <w:bodyDiv w:val="1"/>
      <w:marLeft w:val="0"/>
      <w:marRight w:val="0"/>
      <w:marTop w:val="0"/>
      <w:marBottom w:val="0"/>
      <w:divBdr>
        <w:top w:val="none" w:sz="0" w:space="0" w:color="auto"/>
        <w:left w:val="none" w:sz="0" w:space="0" w:color="auto"/>
        <w:bottom w:val="none" w:sz="0" w:space="0" w:color="auto"/>
        <w:right w:val="none" w:sz="0" w:space="0" w:color="auto"/>
      </w:divBdr>
    </w:div>
    <w:div w:id="1891113732">
      <w:bodyDiv w:val="1"/>
      <w:marLeft w:val="0"/>
      <w:marRight w:val="0"/>
      <w:marTop w:val="0"/>
      <w:marBottom w:val="0"/>
      <w:divBdr>
        <w:top w:val="none" w:sz="0" w:space="0" w:color="auto"/>
        <w:left w:val="none" w:sz="0" w:space="0" w:color="auto"/>
        <w:bottom w:val="none" w:sz="0" w:space="0" w:color="auto"/>
        <w:right w:val="none" w:sz="0" w:space="0" w:color="auto"/>
      </w:divBdr>
    </w:div>
    <w:div w:id="1897272936">
      <w:bodyDiv w:val="1"/>
      <w:marLeft w:val="0"/>
      <w:marRight w:val="0"/>
      <w:marTop w:val="0"/>
      <w:marBottom w:val="0"/>
      <w:divBdr>
        <w:top w:val="none" w:sz="0" w:space="0" w:color="auto"/>
        <w:left w:val="none" w:sz="0" w:space="0" w:color="auto"/>
        <w:bottom w:val="none" w:sz="0" w:space="0" w:color="auto"/>
        <w:right w:val="none" w:sz="0" w:space="0" w:color="auto"/>
      </w:divBdr>
    </w:div>
    <w:div w:id="1903326972">
      <w:bodyDiv w:val="1"/>
      <w:marLeft w:val="0"/>
      <w:marRight w:val="0"/>
      <w:marTop w:val="0"/>
      <w:marBottom w:val="0"/>
      <w:divBdr>
        <w:top w:val="none" w:sz="0" w:space="0" w:color="auto"/>
        <w:left w:val="none" w:sz="0" w:space="0" w:color="auto"/>
        <w:bottom w:val="none" w:sz="0" w:space="0" w:color="auto"/>
        <w:right w:val="none" w:sz="0" w:space="0" w:color="auto"/>
      </w:divBdr>
    </w:div>
    <w:div w:id="1909069953">
      <w:bodyDiv w:val="1"/>
      <w:marLeft w:val="0"/>
      <w:marRight w:val="0"/>
      <w:marTop w:val="0"/>
      <w:marBottom w:val="0"/>
      <w:divBdr>
        <w:top w:val="none" w:sz="0" w:space="0" w:color="auto"/>
        <w:left w:val="none" w:sz="0" w:space="0" w:color="auto"/>
        <w:bottom w:val="none" w:sz="0" w:space="0" w:color="auto"/>
        <w:right w:val="none" w:sz="0" w:space="0" w:color="auto"/>
      </w:divBdr>
    </w:div>
    <w:div w:id="1936672236">
      <w:bodyDiv w:val="1"/>
      <w:marLeft w:val="0"/>
      <w:marRight w:val="0"/>
      <w:marTop w:val="0"/>
      <w:marBottom w:val="0"/>
      <w:divBdr>
        <w:top w:val="none" w:sz="0" w:space="0" w:color="auto"/>
        <w:left w:val="none" w:sz="0" w:space="0" w:color="auto"/>
        <w:bottom w:val="none" w:sz="0" w:space="0" w:color="auto"/>
        <w:right w:val="none" w:sz="0" w:space="0" w:color="auto"/>
      </w:divBdr>
    </w:div>
    <w:div w:id="1953854565">
      <w:bodyDiv w:val="1"/>
      <w:marLeft w:val="0"/>
      <w:marRight w:val="0"/>
      <w:marTop w:val="0"/>
      <w:marBottom w:val="0"/>
      <w:divBdr>
        <w:top w:val="none" w:sz="0" w:space="0" w:color="auto"/>
        <w:left w:val="none" w:sz="0" w:space="0" w:color="auto"/>
        <w:bottom w:val="none" w:sz="0" w:space="0" w:color="auto"/>
        <w:right w:val="none" w:sz="0" w:space="0" w:color="auto"/>
      </w:divBdr>
    </w:div>
    <w:div w:id="1972857933">
      <w:bodyDiv w:val="1"/>
      <w:marLeft w:val="0"/>
      <w:marRight w:val="0"/>
      <w:marTop w:val="0"/>
      <w:marBottom w:val="0"/>
      <w:divBdr>
        <w:top w:val="none" w:sz="0" w:space="0" w:color="auto"/>
        <w:left w:val="none" w:sz="0" w:space="0" w:color="auto"/>
        <w:bottom w:val="none" w:sz="0" w:space="0" w:color="auto"/>
        <w:right w:val="none" w:sz="0" w:space="0" w:color="auto"/>
      </w:divBdr>
    </w:div>
    <w:div w:id="1975065284">
      <w:bodyDiv w:val="1"/>
      <w:marLeft w:val="0"/>
      <w:marRight w:val="0"/>
      <w:marTop w:val="0"/>
      <w:marBottom w:val="0"/>
      <w:divBdr>
        <w:top w:val="none" w:sz="0" w:space="0" w:color="auto"/>
        <w:left w:val="none" w:sz="0" w:space="0" w:color="auto"/>
        <w:bottom w:val="none" w:sz="0" w:space="0" w:color="auto"/>
        <w:right w:val="none" w:sz="0" w:space="0" w:color="auto"/>
      </w:divBdr>
    </w:div>
    <w:div w:id="1986740866">
      <w:bodyDiv w:val="1"/>
      <w:marLeft w:val="0"/>
      <w:marRight w:val="0"/>
      <w:marTop w:val="0"/>
      <w:marBottom w:val="0"/>
      <w:divBdr>
        <w:top w:val="none" w:sz="0" w:space="0" w:color="auto"/>
        <w:left w:val="none" w:sz="0" w:space="0" w:color="auto"/>
        <w:bottom w:val="none" w:sz="0" w:space="0" w:color="auto"/>
        <w:right w:val="none" w:sz="0" w:space="0" w:color="auto"/>
      </w:divBdr>
    </w:div>
    <w:div w:id="2026789717">
      <w:bodyDiv w:val="1"/>
      <w:marLeft w:val="0"/>
      <w:marRight w:val="0"/>
      <w:marTop w:val="0"/>
      <w:marBottom w:val="0"/>
      <w:divBdr>
        <w:top w:val="none" w:sz="0" w:space="0" w:color="auto"/>
        <w:left w:val="none" w:sz="0" w:space="0" w:color="auto"/>
        <w:bottom w:val="none" w:sz="0" w:space="0" w:color="auto"/>
        <w:right w:val="none" w:sz="0" w:space="0" w:color="auto"/>
      </w:divBdr>
    </w:div>
    <w:div w:id="2039428416">
      <w:bodyDiv w:val="1"/>
      <w:marLeft w:val="0"/>
      <w:marRight w:val="0"/>
      <w:marTop w:val="0"/>
      <w:marBottom w:val="0"/>
      <w:divBdr>
        <w:top w:val="none" w:sz="0" w:space="0" w:color="auto"/>
        <w:left w:val="none" w:sz="0" w:space="0" w:color="auto"/>
        <w:bottom w:val="none" w:sz="0" w:space="0" w:color="auto"/>
        <w:right w:val="none" w:sz="0" w:space="0" w:color="auto"/>
      </w:divBdr>
    </w:div>
    <w:div w:id="2052924290">
      <w:bodyDiv w:val="1"/>
      <w:marLeft w:val="0"/>
      <w:marRight w:val="0"/>
      <w:marTop w:val="0"/>
      <w:marBottom w:val="0"/>
      <w:divBdr>
        <w:top w:val="none" w:sz="0" w:space="0" w:color="auto"/>
        <w:left w:val="none" w:sz="0" w:space="0" w:color="auto"/>
        <w:bottom w:val="none" w:sz="0" w:space="0" w:color="auto"/>
        <w:right w:val="none" w:sz="0" w:space="0" w:color="auto"/>
      </w:divBdr>
    </w:div>
    <w:div w:id="2055277006">
      <w:bodyDiv w:val="1"/>
      <w:marLeft w:val="0"/>
      <w:marRight w:val="0"/>
      <w:marTop w:val="0"/>
      <w:marBottom w:val="0"/>
      <w:divBdr>
        <w:top w:val="none" w:sz="0" w:space="0" w:color="auto"/>
        <w:left w:val="none" w:sz="0" w:space="0" w:color="auto"/>
        <w:bottom w:val="none" w:sz="0" w:space="0" w:color="auto"/>
        <w:right w:val="none" w:sz="0" w:space="0" w:color="auto"/>
      </w:divBdr>
    </w:div>
    <w:div w:id="2128044122">
      <w:bodyDiv w:val="1"/>
      <w:marLeft w:val="0"/>
      <w:marRight w:val="0"/>
      <w:marTop w:val="0"/>
      <w:marBottom w:val="0"/>
      <w:divBdr>
        <w:top w:val="none" w:sz="0" w:space="0" w:color="auto"/>
        <w:left w:val="none" w:sz="0" w:space="0" w:color="auto"/>
        <w:bottom w:val="none" w:sz="0" w:space="0" w:color="auto"/>
        <w:right w:val="none" w:sz="0" w:space="0" w:color="auto"/>
      </w:divBdr>
    </w:div>
    <w:div w:id="212850463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bernardo.garza\Documents\SAF\Asesores\Presupuesto%202021\PPEF%202021\Bandera_Libre%20Disposici&#243;n%202021_PLIEv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plotArea>
      <c:layout>
        <c:manualLayout>
          <c:layoutTarget val="inner"/>
          <c:xMode val="edge"/>
          <c:yMode val="edge"/>
          <c:x val="9.4192291309060455E-2"/>
          <c:y val="3.8128249566724455E-2"/>
          <c:w val="0.64933275413417513"/>
          <c:h val="0.88146181034129845"/>
        </c:manualLayout>
      </c:layout>
      <c:areaChart>
        <c:grouping val="stacked"/>
        <c:ser>
          <c:idx val="0"/>
          <c:order val="0"/>
          <c:tx>
            <c:strRef>
              <c:f>'Base sin U080'!$A$31</c:f>
              <c:strCache>
                <c:ptCount val="1"/>
                <c:pt idx="0">
                  <c:v>Poderes, autonomos, municipios</c:v>
                </c:pt>
              </c:strCache>
            </c:strRef>
          </c:tx>
          <c:spPr>
            <a:solidFill>
              <a:schemeClr val="bg1">
                <a:lumMod val="65000"/>
              </a:schemeClr>
            </a:solidFill>
            <a:ln w="25400">
              <a:noFill/>
            </a:ln>
            <a:effectLst/>
          </c:spPr>
          <c:dLbls>
            <c:dLbl>
              <c:idx val="0"/>
              <c:layout>
                <c:manualLayout>
                  <c:x val="3.1621479765738786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07-45ED-AC89-F1683079ABC9}"/>
                </c:ext>
              </c:extLst>
            </c:dLbl>
            <c:dLbl>
              <c:idx val="3"/>
              <c:layout>
                <c:manualLayout>
                  <c:x val="-4.2161973020985129E-2"/>
                  <c:y val="-1.2256124750395674E-1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07-45ED-AC89-F1683079ABC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arlow" panose="00000500000000000000" pitchFamily="2" charset="0"/>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sin U080'!$B$28:$G$28</c:f>
              <c:strCache>
                <c:ptCount val="4"/>
                <c:pt idx="0">
                  <c:v>2018 E</c:v>
                </c:pt>
                <c:pt idx="1">
                  <c:v>2019 E</c:v>
                </c:pt>
                <c:pt idx="2">
                  <c:v>2020 M</c:v>
                </c:pt>
                <c:pt idx="3">
                  <c:v>2021 P</c:v>
                </c:pt>
              </c:strCache>
            </c:strRef>
          </c:cat>
          <c:val>
            <c:numRef>
              <c:f>'Base sin U080'!$B$43:$G$43</c:f>
              <c:numCache>
                <c:formatCode>_-* #,##0_-;\-* #,##0_-;_-* "-"??_-;_-@_-</c:formatCode>
                <c:ptCount val="4"/>
                <c:pt idx="0">
                  <c:v>5672.6262261610518</c:v>
                </c:pt>
                <c:pt idx="1">
                  <c:v>5403.8032999960005</c:v>
                </c:pt>
                <c:pt idx="2">
                  <c:v>5343.3148486872014</c:v>
                </c:pt>
                <c:pt idx="3">
                  <c:v>5032.7317973999989</c:v>
                </c:pt>
              </c:numCache>
            </c:numRef>
          </c:val>
          <c:extLst xmlns:c16r2="http://schemas.microsoft.com/office/drawing/2015/06/chart">
            <c:ext xmlns:c16="http://schemas.microsoft.com/office/drawing/2014/chart" uri="{C3380CC4-5D6E-409C-BE32-E72D297353CC}">
              <c16:uniqueId val="{00000002-E807-45ED-AC89-F1683079ABC9}"/>
            </c:ext>
          </c:extLst>
        </c:ser>
        <c:ser>
          <c:idx val="1"/>
          <c:order val="1"/>
          <c:tx>
            <c:strRef>
              <c:f>'Base sin U080'!$A$30</c:f>
              <c:strCache>
                <c:ptCount val="1"/>
                <c:pt idx="0">
                  <c:v>Servicios Personales + Jubilaciones</c:v>
                </c:pt>
              </c:strCache>
            </c:strRef>
          </c:tx>
          <c:spPr>
            <a:solidFill>
              <a:srgbClr val="FFC000"/>
            </a:solidFill>
            <a:ln w="25400">
              <a:noFill/>
            </a:ln>
            <a:effectLst/>
          </c:spPr>
          <c:dLbls>
            <c:dLbl>
              <c:idx val="0"/>
              <c:layout>
                <c:manualLayout>
                  <c:x val="4.2161973020985087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07-45ED-AC89-F1683079ABC9}"/>
                </c:ext>
              </c:extLst>
            </c:dLbl>
            <c:dLbl>
              <c:idx val="3"/>
              <c:layout>
                <c:manualLayout>
                  <c:x val="-4.6378170323083626E-2"/>
                  <c:y val="-3.342618091143983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807-45ED-AC89-F1683079ABC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arlow" panose="00000500000000000000" pitchFamily="2" charset="0"/>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sin U080'!$B$28:$G$28</c:f>
              <c:strCache>
                <c:ptCount val="4"/>
                <c:pt idx="0">
                  <c:v>2018 E</c:v>
                </c:pt>
                <c:pt idx="1">
                  <c:v>2019 E</c:v>
                </c:pt>
                <c:pt idx="2">
                  <c:v>2020 M</c:v>
                </c:pt>
                <c:pt idx="3">
                  <c:v>2021 P</c:v>
                </c:pt>
              </c:strCache>
            </c:strRef>
          </c:cat>
          <c:val>
            <c:numRef>
              <c:f>'Base sin U080'!$B$42:$G$42</c:f>
              <c:numCache>
                <c:formatCode>_-* #,##0_-;\-* #,##0_-;_-* "-"??_-;_-@_-</c:formatCode>
                <c:ptCount val="4"/>
                <c:pt idx="0">
                  <c:v>9668.420772066971</c:v>
                </c:pt>
                <c:pt idx="1">
                  <c:v>9646.8095954192504</c:v>
                </c:pt>
                <c:pt idx="2">
                  <c:v>10323.333930000001</c:v>
                </c:pt>
                <c:pt idx="3">
                  <c:v>10256.699999999992</c:v>
                </c:pt>
              </c:numCache>
            </c:numRef>
          </c:val>
          <c:extLst xmlns:c16r2="http://schemas.microsoft.com/office/drawing/2015/06/chart">
            <c:ext xmlns:c16="http://schemas.microsoft.com/office/drawing/2014/chart" uri="{C3380CC4-5D6E-409C-BE32-E72D297353CC}">
              <c16:uniqueId val="{00000005-E807-45ED-AC89-F1683079ABC9}"/>
            </c:ext>
          </c:extLst>
        </c:ser>
        <c:ser>
          <c:idx val="2"/>
          <c:order val="2"/>
          <c:tx>
            <c:strRef>
              <c:f>'Base sin U080'!$A$32</c:f>
              <c:strCache>
                <c:ptCount val="1"/>
                <c:pt idx="0">
                  <c:v>Disponible Ejecutivo</c:v>
                </c:pt>
              </c:strCache>
            </c:strRef>
          </c:tx>
          <c:spPr>
            <a:solidFill>
              <a:srgbClr val="1B96C0"/>
            </a:solidFill>
            <a:ln w="25400">
              <a:noFill/>
            </a:ln>
            <a:effectLst/>
          </c:spPr>
          <c:dLbls>
            <c:dLbl>
              <c:idx val="0"/>
              <c:layout>
                <c:manualLayout>
                  <c:x val="4.6378170323083549E-2"/>
                  <c:y val="3.67687990025838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807-45ED-AC89-F1683079ABC9}"/>
                </c:ext>
              </c:extLst>
            </c:dLbl>
            <c:dLbl>
              <c:idx val="3"/>
              <c:layout>
                <c:manualLayout>
                  <c:x val="-3.7945775718886729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07-45ED-AC89-F1683079ABC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arlow" panose="00000500000000000000" pitchFamily="2" charset="0"/>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sin U080'!$B$28:$G$28</c:f>
              <c:strCache>
                <c:ptCount val="4"/>
                <c:pt idx="0">
                  <c:v>2018 E</c:v>
                </c:pt>
                <c:pt idx="1">
                  <c:v>2019 E</c:v>
                </c:pt>
                <c:pt idx="2">
                  <c:v>2020 M</c:v>
                </c:pt>
                <c:pt idx="3">
                  <c:v>2021 P</c:v>
                </c:pt>
              </c:strCache>
            </c:strRef>
          </c:cat>
          <c:val>
            <c:numRef>
              <c:f>'Base sin U080'!$B$46:$G$46</c:f>
              <c:numCache>
                <c:formatCode>_-* #,##0_-;\-* #,##0_-;_-* "-"??_-;_-@_-</c:formatCode>
                <c:ptCount val="4"/>
                <c:pt idx="0">
                  <c:v>9566.6444709642128</c:v>
                </c:pt>
                <c:pt idx="1">
                  <c:v>6754.0413743517611</c:v>
                </c:pt>
                <c:pt idx="2">
                  <c:v>4841.4974719341672</c:v>
                </c:pt>
                <c:pt idx="3">
                  <c:v>3808.8230086000021</c:v>
                </c:pt>
              </c:numCache>
            </c:numRef>
          </c:val>
          <c:extLst xmlns:c16r2="http://schemas.microsoft.com/office/drawing/2015/06/chart">
            <c:ext xmlns:c16="http://schemas.microsoft.com/office/drawing/2014/chart" uri="{C3380CC4-5D6E-409C-BE32-E72D297353CC}">
              <c16:uniqueId val="{00000008-E807-45ED-AC89-F1683079ABC9}"/>
            </c:ext>
          </c:extLst>
        </c:ser>
        <c:ser>
          <c:idx val="3"/>
          <c:order val="3"/>
          <c:tx>
            <c:strRef>
              <c:f>'Base sin U080'!$A$35</c:f>
              <c:strCache>
                <c:ptCount val="1"/>
                <c:pt idx="0">
                  <c:v>Ingresos Libre Disposición</c:v>
                </c:pt>
              </c:strCache>
            </c:strRef>
          </c:tx>
          <c:spPr>
            <a:solidFill>
              <a:schemeClr val="accent4"/>
            </a:solidFill>
            <a:ln w="25400">
              <a:noFill/>
            </a:ln>
            <a:effectLst/>
          </c:spPr>
          <c:cat>
            <c:strRef>
              <c:f>'Base sin U080'!$B$28:$G$28</c:f>
              <c:strCache>
                <c:ptCount val="4"/>
                <c:pt idx="0">
                  <c:v>2018 E</c:v>
                </c:pt>
                <c:pt idx="1">
                  <c:v>2019 E</c:v>
                </c:pt>
                <c:pt idx="2">
                  <c:v>2020 M</c:v>
                </c:pt>
                <c:pt idx="3">
                  <c:v>2021 P</c:v>
                </c:pt>
              </c:strCache>
            </c:strRef>
          </c:cat>
          <c:val>
            <c:numRef>
              <c:f>'Base sin U080'!$C$35:$G$35</c:f>
              <c:numCache>
                <c:formatCode>_-* #,##0_-;\-* #,##0_-;_-* "-"??_-;_-@_-</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E807-45ED-AC89-F1683079ABC9}"/>
            </c:ext>
          </c:extLst>
        </c:ser>
        <c:axId val="296497152"/>
        <c:axId val="296498688"/>
      </c:areaChart>
      <c:catAx>
        <c:axId val="296497152"/>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arlow" panose="00000500000000000000" pitchFamily="2" charset="0"/>
                <a:ea typeface="+mn-ea"/>
                <a:cs typeface="+mn-cs"/>
              </a:defRPr>
            </a:pPr>
            <a:endParaRPr lang="es-MX"/>
          </a:p>
        </c:txPr>
        <c:crossAx val="296498688"/>
        <c:crosses val="autoZero"/>
        <c:auto val="1"/>
        <c:lblAlgn val="ctr"/>
        <c:lblOffset val="100"/>
      </c:catAx>
      <c:valAx>
        <c:axId val="296498688"/>
        <c:scaling>
          <c:orientation val="minMax"/>
          <c:max val="26000"/>
          <c:min val="0"/>
        </c:scaling>
        <c:axPos val="l"/>
        <c:numFmt formatCode="_-* #,##0_-;\-* #,##0_-;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arlow" panose="00000500000000000000" pitchFamily="2" charset="0"/>
                <a:ea typeface="+mn-ea"/>
                <a:cs typeface="+mn-cs"/>
              </a:defRPr>
            </a:pPr>
            <a:endParaRPr lang="es-MX"/>
          </a:p>
        </c:txPr>
        <c:crossAx val="296497152"/>
        <c:crosses val="autoZero"/>
        <c:crossBetween val="midCat"/>
      </c:valAx>
      <c:spPr>
        <a:noFill/>
        <a:ln>
          <a:noFill/>
        </a:ln>
        <a:effectLst/>
      </c:spPr>
    </c:plotArea>
    <c:legend>
      <c:legendPos val="r"/>
      <c:legendEntry>
        <c:idx val="0"/>
        <c:delete val="1"/>
      </c:legendEntry>
      <c:layout>
        <c:manualLayout>
          <c:xMode val="edge"/>
          <c:yMode val="edge"/>
          <c:x val="0.7873654732633516"/>
          <c:y val="0.40329160947979764"/>
          <c:w val="0.19977967938796093"/>
          <c:h val="0.50949816021112249"/>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arlow" panose="00000500000000000000" pitchFamily="2" charset="0"/>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latin typeface="Barlow" panose="00000500000000000000" pitchFamily="2" charset="0"/>
        </a:defRPr>
      </a:pPr>
      <a:endParaRPr lang="es-MX"/>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44546A"/>
    </a:dk2>
    <a:lt2>
      <a:srgbClr val="E7E6E6"/>
    </a:lt2>
    <a:accent1>
      <a:srgbClr val="1A98C0"/>
    </a:accent1>
    <a:accent2>
      <a:srgbClr val="9BC2E6"/>
    </a:accent2>
    <a:accent3>
      <a:srgbClr val="EBB001"/>
    </a:accent3>
    <a:accent4>
      <a:srgbClr val="FFE699"/>
    </a:accent4>
    <a:accent5>
      <a:srgbClr val="F4F4F4"/>
    </a:accent5>
    <a:accent6>
      <a:srgbClr val="1BB683"/>
    </a:accent6>
    <a:hlink>
      <a:srgbClr val="EDEDED"/>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127</Pages>
  <Words>33636</Words>
  <Characters>185000</Characters>
  <Application>Microsoft Office Word</Application>
  <DocSecurity>0</DocSecurity>
  <Lines>1541</Lines>
  <Paragraphs>436</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218200</CharactersWithSpaces>
  <SharedDoc>false</SharedDoc>
  <HLinks>
    <vt:vector size="174" baseType="variant">
      <vt:variant>
        <vt:i4>1507382</vt:i4>
      </vt:variant>
      <vt:variant>
        <vt:i4>170</vt:i4>
      </vt:variant>
      <vt:variant>
        <vt:i4>0</vt:i4>
      </vt:variant>
      <vt:variant>
        <vt:i4>5</vt:i4>
      </vt:variant>
      <vt:variant>
        <vt:lpwstr/>
      </vt:variant>
      <vt:variant>
        <vt:lpwstr>_Toc41308998</vt:lpwstr>
      </vt:variant>
      <vt:variant>
        <vt:i4>1572918</vt:i4>
      </vt:variant>
      <vt:variant>
        <vt:i4>164</vt:i4>
      </vt:variant>
      <vt:variant>
        <vt:i4>0</vt:i4>
      </vt:variant>
      <vt:variant>
        <vt:i4>5</vt:i4>
      </vt:variant>
      <vt:variant>
        <vt:lpwstr/>
      </vt:variant>
      <vt:variant>
        <vt:lpwstr>_Toc41308997</vt:lpwstr>
      </vt:variant>
      <vt:variant>
        <vt:i4>1638454</vt:i4>
      </vt:variant>
      <vt:variant>
        <vt:i4>158</vt:i4>
      </vt:variant>
      <vt:variant>
        <vt:i4>0</vt:i4>
      </vt:variant>
      <vt:variant>
        <vt:i4>5</vt:i4>
      </vt:variant>
      <vt:variant>
        <vt:lpwstr/>
      </vt:variant>
      <vt:variant>
        <vt:lpwstr>_Toc41308996</vt:lpwstr>
      </vt:variant>
      <vt:variant>
        <vt:i4>1703990</vt:i4>
      </vt:variant>
      <vt:variant>
        <vt:i4>152</vt:i4>
      </vt:variant>
      <vt:variant>
        <vt:i4>0</vt:i4>
      </vt:variant>
      <vt:variant>
        <vt:i4>5</vt:i4>
      </vt:variant>
      <vt:variant>
        <vt:lpwstr/>
      </vt:variant>
      <vt:variant>
        <vt:lpwstr>_Toc41308995</vt:lpwstr>
      </vt:variant>
      <vt:variant>
        <vt:i4>1769526</vt:i4>
      </vt:variant>
      <vt:variant>
        <vt:i4>146</vt:i4>
      </vt:variant>
      <vt:variant>
        <vt:i4>0</vt:i4>
      </vt:variant>
      <vt:variant>
        <vt:i4>5</vt:i4>
      </vt:variant>
      <vt:variant>
        <vt:lpwstr/>
      </vt:variant>
      <vt:variant>
        <vt:lpwstr>_Toc41308994</vt:lpwstr>
      </vt:variant>
      <vt:variant>
        <vt:i4>1835062</vt:i4>
      </vt:variant>
      <vt:variant>
        <vt:i4>140</vt:i4>
      </vt:variant>
      <vt:variant>
        <vt:i4>0</vt:i4>
      </vt:variant>
      <vt:variant>
        <vt:i4>5</vt:i4>
      </vt:variant>
      <vt:variant>
        <vt:lpwstr/>
      </vt:variant>
      <vt:variant>
        <vt:lpwstr>_Toc41308993</vt:lpwstr>
      </vt:variant>
      <vt:variant>
        <vt:i4>1900598</vt:i4>
      </vt:variant>
      <vt:variant>
        <vt:i4>134</vt:i4>
      </vt:variant>
      <vt:variant>
        <vt:i4>0</vt:i4>
      </vt:variant>
      <vt:variant>
        <vt:i4>5</vt:i4>
      </vt:variant>
      <vt:variant>
        <vt:lpwstr/>
      </vt:variant>
      <vt:variant>
        <vt:lpwstr>_Toc41308992</vt:lpwstr>
      </vt:variant>
      <vt:variant>
        <vt:i4>1966134</vt:i4>
      </vt:variant>
      <vt:variant>
        <vt:i4>128</vt:i4>
      </vt:variant>
      <vt:variant>
        <vt:i4>0</vt:i4>
      </vt:variant>
      <vt:variant>
        <vt:i4>5</vt:i4>
      </vt:variant>
      <vt:variant>
        <vt:lpwstr/>
      </vt:variant>
      <vt:variant>
        <vt:lpwstr>_Toc41308991</vt:lpwstr>
      </vt:variant>
      <vt:variant>
        <vt:i4>2031670</vt:i4>
      </vt:variant>
      <vt:variant>
        <vt:i4>122</vt:i4>
      </vt:variant>
      <vt:variant>
        <vt:i4>0</vt:i4>
      </vt:variant>
      <vt:variant>
        <vt:i4>5</vt:i4>
      </vt:variant>
      <vt:variant>
        <vt:lpwstr/>
      </vt:variant>
      <vt:variant>
        <vt:lpwstr>_Toc41308990</vt:lpwstr>
      </vt:variant>
      <vt:variant>
        <vt:i4>1441847</vt:i4>
      </vt:variant>
      <vt:variant>
        <vt:i4>116</vt:i4>
      </vt:variant>
      <vt:variant>
        <vt:i4>0</vt:i4>
      </vt:variant>
      <vt:variant>
        <vt:i4>5</vt:i4>
      </vt:variant>
      <vt:variant>
        <vt:lpwstr/>
      </vt:variant>
      <vt:variant>
        <vt:lpwstr>_Toc41308989</vt:lpwstr>
      </vt:variant>
      <vt:variant>
        <vt:i4>1507383</vt:i4>
      </vt:variant>
      <vt:variant>
        <vt:i4>110</vt:i4>
      </vt:variant>
      <vt:variant>
        <vt:i4>0</vt:i4>
      </vt:variant>
      <vt:variant>
        <vt:i4>5</vt:i4>
      </vt:variant>
      <vt:variant>
        <vt:lpwstr/>
      </vt:variant>
      <vt:variant>
        <vt:lpwstr>_Toc41308988</vt:lpwstr>
      </vt:variant>
      <vt:variant>
        <vt:i4>1572919</vt:i4>
      </vt:variant>
      <vt:variant>
        <vt:i4>104</vt:i4>
      </vt:variant>
      <vt:variant>
        <vt:i4>0</vt:i4>
      </vt:variant>
      <vt:variant>
        <vt:i4>5</vt:i4>
      </vt:variant>
      <vt:variant>
        <vt:lpwstr/>
      </vt:variant>
      <vt:variant>
        <vt:lpwstr>_Toc41308987</vt:lpwstr>
      </vt:variant>
      <vt:variant>
        <vt:i4>1638455</vt:i4>
      </vt:variant>
      <vt:variant>
        <vt:i4>98</vt:i4>
      </vt:variant>
      <vt:variant>
        <vt:i4>0</vt:i4>
      </vt:variant>
      <vt:variant>
        <vt:i4>5</vt:i4>
      </vt:variant>
      <vt:variant>
        <vt:lpwstr/>
      </vt:variant>
      <vt:variant>
        <vt:lpwstr>_Toc41308986</vt:lpwstr>
      </vt:variant>
      <vt:variant>
        <vt:i4>1703991</vt:i4>
      </vt:variant>
      <vt:variant>
        <vt:i4>92</vt:i4>
      </vt:variant>
      <vt:variant>
        <vt:i4>0</vt:i4>
      </vt:variant>
      <vt:variant>
        <vt:i4>5</vt:i4>
      </vt:variant>
      <vt:variant>
        <vt:lpwstr/>
      </vt:variant>
      <vt:variant>
        <vt:lpwstr>_Toc41308985</vt:lpwstr>
      </vt:variant>
      <vt:variant>
        <vt:i4>1769527</vt:i4>
      </vt:variant>
      <vt:variant>
        <vt:i4>86</vt:i4>
      </vt:variant>
      <vt:variant>
        <vt:i4>0</vt:i4>
      </vt:variant>
      <vt:variant>
        <vt:i4>5</vt:i4>
      </vt:variant>
      <vt:variant>
        <vt:lpwstr/>
      </vt:variant>
      <vt:variant>
        <vt:lpwstr>_Toc41308984</vt:lpwstr>
      </vt:variant>
      <vt:variant>
        <vt:i4>1835063</vt:i4>
      </vt:variant>
      <vt:variant>
        <vt:i4>80</vt:i4>
      </vt:variant>
      <vt:variant>
        <vt:i4>0</vt:i4>
      </vt:variant>
      <vt:variant>
        <vt:i4>5</vt:i4>
      </vt:variant>
      <vt:variant>
        <vt:lpwstr/>
      </vt:variant>
      <vt:variant>
        <vt:lpwstr>_Toc41308983</vt:lpwstr>
      </vt:variant>
      <vt:variant>
        <vt:i4>1900599</vt:i4>
      </vt:variant>
      <vt:variant>
        <vt:i4>74</vt:i4>
      </vt:variant>
      <vt:variant>
        <vt:i4>0</vt:i4>
      </vt:variant>
      <vt:variant>
        <vt:i4>5</vt:i4>
      </vt:variant>
      <vt:variant>
        <vt:lpwstr/>
      </vt:variant>
      <vt:variant>
        <vt:lpwstr>_Toc41308982</vt:lpwstr>
      </vt:variant>
      <vt:variant>
        <vt:i4>1966135</vt:i4>
      </vt:variant>
      <vt:variant>
        <vt:i4>68</vt:i4>
      </vt:variant>
      <vt:variant>
        <vt:i4>0</vt:i4>
      </vt:variant>
      <vt:variant>
        <vt:i4>5</vt:i4>
      </vt:variant>
      <vt:variant>
        <vt:lpwstr/>
      </vt:variant>
      <vt:variant>
        <vt:lpwstr>_Toc41308981</vt:lpwstr>
      </vt:variant>
      <vt:variant>
        <vt:i4>2031671</vt:i4>
      </vt:variant>
      <vt:variant>
        <vt:i4>62</vt:i4>
      </vt:variant>
      <vt:variant>
        <vt:i4>0</vt:i4>
      </vt:variant>
      <vt:variant>
        <vt:i4>5</vt:i4>
      </vt:variant>
      <vt:variant>
        <vt:lpwstr/>
      </vt:variant>
      <vt:variant>
        <vt:lpwstr>_Toc41308980</vt:lpwstr>
      </vt:variant>
      <vt:variant>
        <vt:i4>1441848</vt:i4>
      </vt:variant>
      <vt:variant>
        <vt:i4>56</vt:i4>
      </vt:variant>
      <vt:variant>
        <vt:i4>0</vt:i4>
      </vt:variant>
      <vt:variant>
        <vt:i4>5</vt:i4>
      </vt:variant>
      <vt:variant>
        <vt:lpwstr/>
      </vt:variant>
      <vt:variant>
        <vt:lpwstr>_Toc41308979</vt:lpwstr>
      </vt:variant>
      <vt:variant>
        <vt:i4>1507384</vt:i4>
      </vt:variant>
      <vt:variant>
        <vt:i4>50</vt:i4>
      </vt:variant>
      <vt:variant>
        <vt:i4>0</vt:i4>
      </vt:variant>
      <vt:variant>
        <vt:i4>5</vt:i4>
      </vt:variant>
      <vt:variant>
        <vt:lpwstr/>
      </vt:variant>
      <vt:variant>
        <vt:lpwstr>_Toc41308978</vt:lpwstr>
      </vt:variant>
      <vt:variant>
        <vt:i4>1572920</vt:i4>
      </vt:variant>
      <vt:variant>
        <vt:i4>44</vt:i4>
      </vt:variant>
      <vt:variant>
        <vt:i4>0</vt:i4>
      </vt:variant>
      <vt:variant>
        <vt:i4>5</vt:i4>
      </vt:variant>
      <vt:variant>
        <vt:lpwstr/>
      </vt:variant>
      <vt:variant>
        <vt:lpwstr>_Toc41308977</vt:lpwstr>
      </vt:variant>
      <vt:variant>
        <vt:i4>1638456</vt:i4>
      </vt:variant>
      <vt:variant>
        <vt:i4>38</vt:i4>
      </vt:variant>
      <vt:variant>
        <vt:i4>0</vt:i4>
      </vt:variant>
      <vt:variant>
        <vt:i4>5</vt:i4>
      </vt:variant>
      <vt:variant>
        <vt:lpwstr/>
      </vt:variant>
      <vt:variant>
        <vt:lpwstr>_Toc41308976</vt:lpwstr>
      </vt:variant>
      <vt:variant>
        <vt:i4>1703992</vt:i4>
      </vt:variant>
      <vt:variant>
        <vt:i4>32</vt:i4>
      </vt:variant>
      <vt:variant>
        <vt:i4>0</vt:i4>
      </vt:variant>
      <vt:variant>
        <vt:i4>5</vt:i4>
      </vt:variant>
      <vt:variant>
        <vt:lpwstr/>
      </vt:variant>
      <vt:variant>
        <vt:lpwstr>_Toc41308975</vt:lpwstr>
      </vt:variant>
      <vt:variant>
        <vt:i4>1769528</vt:i4>
      </vt:variant>
      <vt:variant>
        <vt:i4>26</vt:i4>
      </vt:variant>
      <vt:variant>
        <vt:i4>0</vt:i4>
      </vt:variant>
      <vt:variant>
        <vt:i4>5</vt:i4>
      </vt:variant>
      <vt:variant>
        <vt:lpwstr/>
      </vt:variant>
      <vt:variant>
        <vt:lpwstr>_Toc41308974</vt:lpwstr>
      </vt:variant>
      <vt:variant>
        <vt:i4>1835064</vt:i4>
      </vt:variant>
      <vt:variant>
        <vt:i4>20</vt:i4>
      </vt:variant>
      <vt:variant>
        <vt:i4>0</vt:i4>
      </vt:variant>
      <vt:variant>
        <vt:i4>5</vt:i4>
      </vt:variant>
      <vt:variant>
        <vt:lpwstr/>
      </vt:variant>
      <vt:variant>
        <vt:lpwstr>_Toc41308973</vt:lpwstr>
      </vt:variant>
      <vt:variant>
        <vt:i4>1900600</vt:i4>
      </vt:variant>
      <vt:variant>
        <vt:i4>14</vt:i4>
      </vt:variant>
      <vt:variant>
        <vt:i4>0</vt:i4>
      </vt:variant>
      <vt:variant>
        <vt:i4>5</vt:i4>
      </vt:variant>
      <vt:variant>
        <vt:lpwstr/>
      </vt:variant>
      <vt:variant>
        <vt:lpwstr>_Toc41308972</vt:lpwstr>
      </vt:variant>
      <vt:variant>
        <vt:i4>1966136</vt:i4>
      </vt:variant>
      <vt:variant>
        <vt:i4>8</vt:i4>
      </vt:variant>
      <vt:variant>
        <vt:i4>0</vt:i4>
      </vt:variant>
      <vt:variant>
        <vt:i4>5</vt:i4>
      </vt:variant>
      <vt:variant>
        <vt:lpwstr/>
      </vt:variant>
      <vt:variant>
        <vt:lpwstr>_Toc41308971</vt:lpwstr>
      </vt:variant>
      <vt:variant>
        <vt:i4>2031672</vt:i4>
      </vt:variant>
      <vt:variant>
        <vt:i4>2</vt:i4>
      </vt:variant>
      <vt:variant>
        <vt:i4>0</vt:i4>
      </vt:variant>
      <vt:variant>
        <vt:i4>5</vt:i4>
      </vt:variant>
      <vt:variant>
        <vt:lpwstr/>
      </vt:variant>
      <vt:variant>
        <vt:lpwstr>_Toc41308970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Bri</dc:creator>
  <cp:lastModifiedBy>Centor</cp:lastModifiedBy>
  <cp:revision>2</cp:revision>
  <cp:lastPrinted>2020-11-25T23:43:00Z</cp:lastPrinted>
  <dcterms:created xsi:type="dcterms:W3CDTF">2020-11-25T23:44:00Z</dcterms:created>
  <dcterms:modified xsi:type="dcterms:W3CDTF">2020-11-25T23:44:00Z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