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83" w:rsidRPr="007B0283" w:rsidRDefault="003955CD" w:rsidP="007B0283">
      <w:pPr>
        <w:pStyle w:val="Ttulo5"/>
      </w:pPr>
      <w:bookmarkStart w:id="0" w:name="X03e5804d789499560cba0b5d8ad060b7ed0100d"/>
      <w:bookmarkStart w:id="1" w:name="X3ecf8846d581edc6735800b4d64e5d2a4c7f717"/>
      <w:bookmarkStart w:id="2" w:name="X59945af75d0d781e25feedd6b8d80ca896eb4cb"/>
      <w:bookmarkStart w:id="3" w:name="exposición-de-motivos"/>
      <w:bookmarkStart w:id="4" w:name="X54af404c960ce5ce47a766c87063f583f8993de"/>
      <w:bookmarkStart w:id="5" w:name="capítulo-iii-1"/>
      <w:r w:rsidRPr="007B0283">
        <w:t>Mérida, Yucatán, a 25 de noviembre de 2021.</w:t>
      </w:r>
      <w:bookmarkEnd w:id="0"/>
    </w:p>
    <w:p w:rsidR="00CC48AD" w:rsidRDefault="007B6BE9">
      <w:pPr>
        <w:spacing w:before="100" w:beforeAutospacing="1" w:after="100" w:afterAutospacing="1"/>
        <w:rPr>
          <w:rFonts w:cs="Arial"/>
          <w:b/>
        </w:rPr>
      </w:pPr>
      <w:r w:rsidRPr="007B6BE9">
        <w:rPr>
          <w:rFonts w:cs="Arial"/>
          <w:b/>
          <w:bCs/>
        </w:rPr>
        <w:t>H. Congreso del Estado de Yucatán:</w:t>
      </w:r>
      <w:bookmarkEnd w:id="1"/>
    </w:p>
    <w:p w:rsidR="00CC48AD" w:rsidRDefault="007B6BE9">
      <w:pPr>
        <w:pStyle w:val="Ttulo2"/>
        <w:spacing w:before="100" w:beforeAutospacing="1" w:after="100" w:afterAutospacing="1"/>
        <w:rPr>
          <w:rFonts w:cs="Arial"/>
          <w:szCs w:val="24"/>
        </w:rPr>
      </w:pPr>
      <w:r w:rsidRPr="007B6BE9">
        <w:rPr>
          <w:rFonts w:cs="Arial"/>
          <w:szCs w:val="24"/>
        </w:rPr>
        <w:t>Iniciativa para expedir el Presupuesto de Egresos del Gobierno del Estado de Yucatán para el Ejercicio Fiscal 2022</w:t>
      </w:r>
      <w:bookmarkEnd w:id="2"/>
    </w:p>
    <w:p w:rsidR="00CC48AD" w:rsidRDefault="007B6BE9">
      <w:pPr>
        <w:pStyle w:val="Ttulo2"/>
        <w:spacing w:before="100" w:beforeAutospacing="1" w:after="100" w:afterAutospacing="1"/>
        <w:rPr>
          <w:rFonts w:cs="Arial"/>
          <w:szCs w:val="24"/>
        </w:rPr>
      </w:pPr>
      <w:r w:rsidRPr="007B6BE9">
        <w:rPr>
          <w:rFonts w:cs="Arial"/>
          <w:szCs w:val="24"/>
        </w:rPr>
        <w:t>Exposición de motivos</w:t>
      </w:r>
    </w:p>
    <w:p w:rsidR="00CC48AD" w:rsidRDefault="007B6BE9">
      <w:pPr>
        <w:spacing w:before="100" w:beforeAutospacing="1" w:after="100" w:afterAutospacing="1"/>
        <w:rPr>
          <w:rFonts w:cs="Arial"/>
        </w:rPr>
      </w:pPr>
      <w:r w:rsidRPr="007B6BE9">
        <w:rPr>
          <w:rFonts w:cs="Arial"/>
        </w:rPr>
        <w:t xml:space="preserve">El Proyecto de Presupuesto de Egresos para el Ejercicio Fiscal 2022 tiene por objeto establecer la distribución los recursos que se estiman en la Ley de Ingresos del Estado de Yucatán. </w:t>
      </w:r>
    </w:p>
    <w:p w:rsidR="00CC48AD" w:rsidRDefault="007B6BE9">
      <w:pPr>
        <w:spacing w:before="100" w:beforeAutospacing="1" w:after="100" w:afterAutospacing="1"/>
        <w:rPr>
          <w:rFonts w:cs="Arial"/>
        </w:rPr>
      </w:pPr>
      <w:r w:rsidRPr="007B6BE9">
        <w:rPr>
          <w:rFonts w:cs="Arial"/>
        </w:rPr>
        <w:t>La importancia de la presente iniciativa radica en que la correcta asignación de los egresos permite mantener el balance presupuestario entre los ingresos estimados en la Ley de Ingresos y los gastos previstos en este proyecto.</w:t>
      </w:r>
    </w:p>
    <w:p w:rsidR="00CC48AD" w:rsidRDefault="007B6BE9">
      <w:pPr>
        <w:spacing w:before="100" w:beforeAutospacing="1" w:after="100" w:afterAutospacing="1"/>
        <w:rPr>
          <w:rFonts w:cs="Arial"/>
        </w:rPr>
      </w:pPr>
      <w:r w:rsidRPr="007B6BE9">
        <w:rPr>
          <w:rFonts w:cs="Arial"/>
        </w:rPr>
        <w:t>Para llevar a cabo los cálculos, proyecciones y establecer algunos de los riesgos relevantes de las finanzas públicas, se tomaron en consideración, entre otras variables, las establecidas en los “</w:t>
      </w:r>
      <w:r w:rsidRPr="007B6BE9">
        <w:rPr>
          <w:rFonts w:cs="Arial"/>
          <w:i/>
        </w:rPr>
        <w:t>Criterios Generales de Política Económica para la Iniciativa de Ley de Ingresos y el Proyecto de Presupuesto de Egresos de la Federación correspondientes al ejercicio fiscal 2022</w:t>
      </w:r>
      <w:r w:rsidRPr="007B6BE9">
        <w:rPr>
          <w:rFonts w:cs="Arial"/>
        </w:rPr>
        <w:t>”.</w:t>
      </w:r>
    </w:p>
    <w:p w:rsidR="00CC48AD" w:rsidRDefault="007B6BE9">
      <w:pPr>
        <w:spacing w:before="100" w:beforeAutospacing="1" w:after="100" w:afterAutospacing="1"/>
        <w:rPr>
          <w:rFonts w:cs="Arial"/>
          <w:b/>
        </w:rPr>
      </w:pPr>
      <w:r w:rsidRPr="007B6BE9">
        <w:rPr>
          <w:rFonts w:cs="Arial"/>
          <w:b/>
        </w:rPr>
        <w:t>1</w:t>
      </w:r>
      <w:r>
        <w:rPr>
          <w:rFonts w:cs="Arial"/>
          <w:b/>
          <w:bCs/>
        </w:rPr>
        <w:t>. Contexto económico estatal</w:t>
      </w:r>
    </w:p>
    <w:p w:rsidR="00CC48AD" w:rsidRDefault="007B6BE9">
      <w:pPr>
        <w:spacing w:before="100" w:beforeAutospacing="1" w:after="100" w:afterAutospacing="1"/>
        <w:rPr>
          <w:rFonts w:cs="Arial"/>
        </w:rPr>
      </w:pPr>
      <w:r>
        <w:rPr>
          <w:rFonts w:cs="Arial"/>
        </w:rPr>
        <w:t xml:space="preserve">Dentro de los trabajos para establecer la distribución de los recursos, se realiza el análisis del contexto macroeconómico nacional y la posición del Estado de Yucatán desde un punto de vista económico. </w:t>
      </w:r>
    </w:p>
    <w:p w:rsidR="00CC48AD" w:rsidRDefault="007B6BE9">
      <w:pPr>
        <w:spacing w:before="100" w:beforeAutospacing="1" w:after="100" w:afterAutospacing="1"/>
        <w:rPr>
          <w:rFonts w:cs="Arial"/>
        </w:rPr>
      </w:pPr>
      <w:r>
        <w:rPr>
          <w:rFonts w:cs="Arial"/>
        </w:rPr>
        <w:t xml:space="preserve">En términos generales, la actividad económica de Yucatán se ha recuperado durante 2021, producto de la reapertura de los negocios. Así lo confirma el Indicador trimestral de la actividad económica estatal (ITAEE) del INEGI, que muestra un crecimiento anual del 27% al segundo trimestre de 2021. </w:t>
      </w:r>
    </w:p>
    <w:p w:rsidR="00CC48AD" w:rsidRDefault="007B6BE9">
      <w:pPr>
        <w:spacing w:before="100" w:beforeAutospacing="1" w:after="100" w:afterAutospacing="1"/>
        <w:rPr>
          <w:rFonts w:cs="Arial"/>
        </w:rPr>
      </w:pPr>
      <w:r>
        <w:rPr>
          <w:rFonts w:cs="Arial"/>
        </w:rPr>
        <w:t xml:space="preserve">Este crecimiento fue producto, principalmente, del buen desempeño del sector secundario, que registró un incremento anual de 44.6%, impulsado por el sector de la construcción (+95.7%) y el de manufactura (+28.2%). Por su parte, el sector primario creció 9.7% y el sector terciario lo hizo en 22.2%. </w:t>
      </w:r>
    </w:p>
    <w:p w:rsidR="00CC48AD" w:rsidRDefault="007B6BE9">
      <w:pPr>
        <w:spacing w:before="100" w:beforeAutospacing="1" w:after="100" w:afterAutospacing="1"/>
        <w:rPr>
          <w:rFonts w:cs="Arial"/>
        </w:rPr>
      </w:pPr>
      <w:r>
        <w:rPr>
          <w:rFonts w:cs="Arial"/>
        </w:rPr>
        <w:t xml:space="preserve">La reactivación económica también mejoró los ingresos de los trabajadores del sector formal del estado, que crecieron 6.4% durante los primeros nueve meses </w:t>
      </w:r>
      <w:r>
        <w:rPr>
          <w:rFonts w:cs="Arial"/>
        </w:rPr>
        <w:lastRenderedPageBreak/>
        <w:t xml:space="preserve">de 2021. Este incremento fue mayor a la inflación (5.7%), por lo que refleja una recuperación del poder adquisitivo de las familias. </w:t>
      </w:r>
    </w:p>
    <w:p w:rsidR="00CC48AD" w:rsidRDefault="007B6BE9">
      <w:pPr>
        <w:spacing w:before="100" w:beforeAutospacing="1" w:after="100" w:afterAutospacing="1"/>
        <w:rPr>
          <w:rFonts w:cs="Arial"/>
        </w:rPr>
      </w:pPr>
      <w:r>
        <w:rPr>
          <w:rFonts w:cs="Arial"/>
        </w:rPr>
        <w:t>Tomando en cuenta todo lo anterior, el gobierno del estado pronostica cerrar 2021 con un crecimiento anual de 10.7% y para 2022 se espera que el crecimiento económico se regularice y presente un ritmo que oscile entre 2 y 4%.</w:t>
      </w:r>
    </w:p>
    <w:p w:rsidR="00CC48AD" w:rsidRDefault="007B6BE9">
      <w:pPr>
        <w:spacing w:before="100" w:beforeAutospacing="1" w:after="100" w:afterAutospacing="1"/>
        <w:rPr>
          <w:rFonts w:cs="Arial"/>
          <w:b/>
        </w:rPr>
      </w:pPr>
      <w:r>
        <w:rPr>
          <w:rFonts w:cs="Arial"/>
          <w:b/>
        </w:rPr>
        <w:t xml:space="preserve">2. Política del Gasto </w:t>
      </w:r>
    </w:p>
    <w:p w:rsidR="00CC48AD" w:rsidRDefault="007B6BE9">
      <w:pPr>
        <w:spacing w:before="100" w:beforeAutospacing="1" w:after="100" w:afterAutospacing="1"/>
        <w:rPr>
          <w:rFonts w:cs="Arial"/>
          <w:bCs/>
          <w:i/>
        </w:rPr>
      </w:pPr>
      <w:r>
        <w:rPr>
          <w:rFonts w:cs="Arial"/>
          <w:bCs/>
          <w:i/>
        </w:rPr>
        <w:t>2.1 Objetivos anuales, estrategias y metas</w:t>
      </w:r>
    </w:p>
    <w:p w:rsidR="00CC48AD" w:rsidRDefault="007B6BE9">
      <w:pPr>
        <w:spacing w:before="100" w:beforeAutospacing="1" w:after="100" w:afterAutospacing="1"/>
        <w:rPr>
          <w:rFonts w:cs="Arial"/>
        </w:rPr>
      </w:pPr>
      <w:r>
        <w:rPr>
          <w:rFonts w:cs="Arial"/>
        </w:rPr>
        <w:t>De conformidad con lo establecido en el Plan Estatal de Desarrollo 2018-2024 (en lo sucesivo PED) dentro del eje transversal “</w:t>
      </w:r>
      <w:r>
        <w:rPr>
          <w:rFonts w:cs="Arial"/>
          <w:i/>
        </w:rPr>
        <w:t>Gobierno Abierto, Eficiente y con Finanzas Sanas</w:t>
      </w:r>
      <w:r>
        <w:rPr>
          <w:rFonts w:cs="Arial"/>
        </w:rPr>
        <w:t xml:space="preserve">”, el proyecto de Paquete Fiscal 2022 se elaboró acorde a la política pública de mantener finanzas sanas y atender el objetivo de mejorar la sostenibilidad de las finanzas públicas. Es por ello que se presenta un Paquete Fiscal 2022 balanceado con ingresos iguales a los egresos. </w:t>
      </w:r>
    </w:p>
    <w:p w:rsidR="00CC48AD" w:rsidRDefault="007B6BE9">
      <w:pPr>
        <w:spacing w:before="100" w:beforeAutospacing="1" w:after="100" w:afterAutospacing="1"/>
        <w:rPr>
          <w:rFonts w:cs="Arial"/>
        </w:rPr>
      </w:pPr>
      <w:r>
        <w:rPr>
          <w:rFonts w:cs="Arial"/>
        </w:rPr>
        <w:t>La construcción de este paquete se apegó a los siguientes objetivos:</w:t>
      </w:r>
    </w:p>
    <w:p w:rsidR="00CC48AD" w:rsidRDefault="007B6BE9">
      <w:pPr>
        <w:pStyle w:val="Prrafodelista"/>
        <w:numPr>
          <w:ilvl w:val="0"/>
          <w:numId w:val="23"/>
        </w:numPr>
        <w:spacing w:before="100" w:beforeAutospacing="1" w:after="100" w:afterAutospacing="1" w:line="240" w:lineRule="auto"/>
        <w:contextualSpacing w:val="0"/>
        <w:rPr>
          <w:rFonts w:ascii="Arial" w:hAnsi="Arial" w:cs="Arial"/>
          <w:szCs w:val="24"/>
        </w:rPr>
      </w:pPr>
      <w:r>
        <w:rPr>
          <w:rFonts w:ascii="Arial" w:hAnsi="Arial" w:cs="Arial"/>
          <w:szCs w:val="24"/>
        </w:rPr>
        <w:t>Contribuir con la reactivación económica del Estado.</w:t>
      </w:r>
    </w:p>
    <w:p w:rsidR="00CC48AD" w:rsidRDefault="007B6BE9">
      <w:pPr>
        <w:pStyle w:val="Prrafodelista"/>
        <w:numPr>
          <w:ilvl w:val="0"/>
          <w:numId w:val="23"/>
        </w:numPr>
        <w:spacing w:before="100" w:beforeAutospacing="1" w:after="100" w:afterAutospacing="1" w:line="240" w:lineRule="auto"/>
        <w:contextualSpacing w:val="0"/>
        <w:rPr>
          <w:rFonts w:ascii="Arial" w:hAnsi="Arial" w:cs="Arial"/>
          <w:szCs w:val="24"/>
        </w:rPr>
      </w:pPr>
      <w:r>
        <w:rPr>
          <w:rFonts w:ascii="Arial" w:hAnsi="Arial" w:cs="Arial"/>
          <w:szCs w:val="24"/>
        </w:rPr>
        <w:t>Mejorar la calidad de vida de la población, aumentando el gasto en salud y el de protección social.</w:t>
      </w:r>
    </w:p>
    <w:p w:rsidR="00CC48AD" w:rsidRDefault="007B6BE9">
      <w:pPr>
        <w:pStyle w:val="Prrafodelista"/>
        <w:numPr>
          <w:ilvl w:val="0"/>
          <w:numId w:val="23"/>
        </w:numPr>
        <w:spacing w:before="100" w:beforeAutospacing="1" w:after="100" w:afterAutospacing="1" w:line="240" w:lineRule="auto"/>
        <w:contextualSpacing w:val="0"/>
        <w:rPr>
          <w:rFonts w:ascii="Arial" w:hAnsi="Arial" w:cs="Arial"/>
          <w:szCs w:val="24"/>
        </w:rPr>
      </w:pPr>
      <w:r>
        <w:rPr>
          <w:rFonts w:ascii="Arial" w:hAnsi="Arial" w:cs="Arial"/>
          <w:szCs w:val="24"/>
        </w:rPr>
        <w:t>Atender la presión financiera de la nómina educativa y del déficit estructural del ISSTEY. Gestionar la recuperación de los recursos federales.</w:t>
      </w:r>
    </w:p>
    <w:p w:rsidR="00CC48AD" w:rsidRDefault="007B6BE9">
      <w:pPr>
        <w:pStyle w:val="Prrafodelista"/>
        <w:numPr>
          <w:ilvl w:val="0"/>
          <w:numId w:val="23"/>
        </w:numPr>
        <w:spacing w:before="100" w:beforeAutospacing="1" w:after="100" w:afterAutospacing="1" w:line="240" w:lineRule="auto"/>
        <w:contextualSpacing w:val="0"/>
        <w:rPr>
          <w:rFonts w:ascii="Arial" w:hAnsi="Arial" w:cs="Arial"/>
          <w:szCs w:val="24"/>
        </w:rPr>
      </w:pPr>
      <w:r>
        <w:rPr>
          <w:rFonts w:ascii="Arial" w:hAnsi="Arial" w:cs="Arial"/>
          <w:szCs w:val="24"/>
        </w:rPr>
        <w:t xml:space="preserve">Continuar con las medidas de austeridad y de gestión eficiente de los recursos públicos, y </w:t>
      </w:r>
    </w:p>
    <w:p w:rsidR="00CC48AD" w:rsidRDefault="007B6BE9">
      <w:pPr>
        <w:pStyle w:val="Prrafodelista"/>
        <w:numPr>
          <w:ilvl w:val="0"/>
          <w:numId w:val="23"/>
        </w:numPr>
        <w:spacing w:before="100" w:beforeAutospacing="1" w:after="100" w:afterAutospacing="1" w:line="240" w:lineRule="auto"/>
        <w:contextualSpacing w:val="0"/>
        <w:rPr>
          <w:rFonts w:ascii="Arial" w:hAnsi="Arial" w:cs="Arial"/>
          <w:szCs w:val="24"/>
        </w:rPr>
      </w:pPr>
      <w:r>
        <w:rPr>
          <w:rFonts w:ascii="Arial" w:hAnsi="Arial" w:cs="Arial"/>
          <w:szCs w:val="24"/>
        </w:rPr>
        <w:t>Mantener la sostenibilidad de las finanzas públicas.</w:t>
      </w:r>
    </w:p>
    <w:p w:rsidR="00CC48AD" w:rsidRDefault="007B6BE9">
      <w:pPr>
        <w:spacing w:before="100" w:beforeAutospacing="1" w:after="100" w:afterAutospacing="1"/>
        <w:rPr>
          <w:rFonts w:cs="Arial"/>
        </w:rPr>
      </w:pPr>
      <w:r>
        <w:rPr>
          <w:rFonts w:cs="Arial"/>
        </w:rPr>
        <w:t>Para mayor detalle sobre los objetivos anuales, estrategias y metas consultar el Tomo V, Anexo 2.7 y Anexo 2.8 del decreto de presupuesto.</w:t>
      </w:r>
    </w:p>
    <w:p w:rsidR="00CC48AD" w:rsidRDefault="007B6BE9">
      <w:pPr>
        <w:spacing w:before="100" w:beforeAutospacing="1" w:after="100" w:afterAutospacing="1"/>
        <w:rPr>
          <w:rFonts w:cs="Arial"/>
          <w:i/>
        </w:rPr>
      </w:pPr>
      <w:r>
        <w:rPr>
          <w:rFonts w:cs="Arial"/>
          <w:i/>
        </w:rPr>
        <w:t>2.</w:t>
      </w:r>
      <w:r>
        <w:rPr>
          <w:rFonts w:cs="Arial"/>
          <w:bCs/>
          <w:i/>
        </w:rPr>
        <w:t>2</w:t>
      </w:r>
      <w:r>
        <w:rPr>
          <w:rFonts w:cs="Arial"/>
          <w:i/>
        </w:rPr>
        <w:t xml:space="preserve"> Cierre del ejercicio fiscal 2021</w:t>
      </w:r>
    </w:p>
    <w:p w:rsidR="00CC48AD" w:rsidRDefault="007B6BE9">
      <w:pPr>
        <w:spacing w:before="100" w:beforeAutospacing="1" w:after="100" w:afterAutospacing="1"/>
        <w:rPr>
          <w:rFonts w:cs="Arial"/>
        </w:rPr>
      </w:pPr>
      <w:r>
        <w:rPr>
          <w:rFonts w:cs="Arial"/>
        </w:rPr>
        <w:t xml:space="preserve">Durante el Ejercicio Fiscal 2021 se han realizado esfuerz7os para obtener mayores ingresos, tanto propios como etiquetados, para compensar la persistente reducción de recursos federales. Asimismo, en cuanto a los egresos, se ha continuado con la administración eficiente de los recursos públicos, privilegiando el cumplimiento de los compromisos del gobierno y los programas que tienen una mayor incidencia en la calidad de vida de la población. </w:t>
      </w:r>
    </w:p>
    <w:p w:rsidR="00CC48AD" w:rsidRDefault="007B6BE9">
      <w:pPr>
        <w:spacing w:before="100" w:beforeAutospacing="1" w:after="100" w:afterAutospacing="1"/>
        <w:rPr>
          <w:rFonts w:cs="Arial"/>
        </w:rPr>
      </w:pPr>
      <w:r>
        <w:rPr>
          <w:rFonts w:cs="Arial"/>
        </w:rPr>
        <w:lastRenderedPageBreak/>
        <w:t xml:space="preserve">De esta manera, se estima que los ingresos al cierre del ejercicio 2021 resulten iguales a los egresos. Lo anterior bajo el supuesto de que se cumpla el objetivo de recaudación de las Participaciones Federales y que se reciban los convenios federales presupuestados. Con todo lo anterior, el ingreso y gasto total esperado ascendería a aproximadamente 40 mil </w:t>
      </w:r>
      <w:proofErr w:type="spellStart"/>
      <w:r>
        <w:rPr>
          <w:rFonts w:cs="Arial"/>
        </w:rPr>
        <w:t>mdp</w:t>
      </w:r>
      <w:proofErr w:type="spellEnd"/>
      <w:r>
        <w:rPr>
          <w:rFonts w:cs="Arial"/>
        </w:rPr>
        <w:t>.</w:t>
      </w:r>
      <w:r>
        <w:rPr>
          <w:rStyle w:val="Refdenotaalpie"/>
          <w:rFonts w:cs="Arial"/>
        </w:rPr>
        <w:footnoteReference w:id="1"/>
      </w:r>
      <w:r w:rsidRPr="007B6BE9">
        <w:rPr>
          <w:rFonts w:cs="Arial"/>
        </w:rPr>
        <w:t xml:space="preserve"> </w:t>
      </w:r>
    </w:p>
    <w:p w:rsidR="00CC48AD" w:rsidRDefault="007B6BE9">
      <w:pPr>
        <w:spacing w:before="100" w:beforeAutospacing="1" w:after="100" w:afterAutospacing="1"/>
        <w:rPr>
          <w:rFonts w:cs="Arial"/>
        </w:rPr>
      </w:pPr>
      <w:r w:rsidRPr="007B6BE9">
        <w:rPr>
          <w:rFonts w:cs="Arial"/>
        </w:rPr>
        <w:t xml:space="preserve">La información detallada de los resultados de ingresos y egresos se </w:t>
      </w:r>
      <w:proofErr w:type="gramStart"/>
      <w:r w:rsidRPr="007B6BE9">
        <w:rPr>
          <w:rFonts w:cs="Arial"/>
        </w:rPr>
        <w:t>encuentran</w:t>
      </w:r>
      <w:proofErr w:type="gramEnd"/>
      <w:r w:rsidRPr="007B6BE9">
        <w:rPr>
          <w:rFonts w:cs="Arial"/>
        </w:rPr>
        <w:t xml:space="preserve"> en el Anexo 16.3 de este decreto y en el Anexo II de la Iniciativa de Ley de Ingresos del Estado.</w:t>
      </w:r>
    </w:p>
    <w:p w:rsidR="00CC48AD" w:rsidRDefault="007B6BE9">
      <w:pPr>
        <w:spacing w:before="100" w:beforeAutospacing="1" w:after="100" w:afterAutospacing="1"/>
        <w:rPr>
          <w:rFonts w:cs="Arial"/>
          <w:i/>
        </w:rPr>
      </w:pPr>
      <w:r w:rsidRPr="007B6BE9">
        <w:rPr>
          <w:rFonts w:cs="Arial"/>
          <w:i/>
        </w:rPr>
        <w:t>2.3 Estimación de los ingresos 2022</w:t>
      </w:r>
    </w:p>
    <w:p w:rsidR="00CC48AD" w:rsidRDefault="007B6BE9">
      <w:pPr>
        <w:spacing w:before="100" w:beforeAutospacing="1" w:after="100" w:afterAutospacing="1"/>
        <w:rPr>
          <w:rFonts w:eastAsia="Arial" w:cs="Arial"/>
        </w:rPr>
      </w:pPr>
      <w:r w:rsidRPr="007B6BE9">
        <w:rPr>
          <w:rFonts w:eastAsia="Arial" w:cs="Arial"/>
        </w:rPr>
        <w:t xml:space="preserve">Para el ejercicio fiscal 2022, se estima obtener ingresos totales para el estado por la cantidad de $46,038 </w:t>
      </w:r>
      <w:proofErr w:type="spellStart"/>
      <w:r w:rsidRPr="007B6BE9">
        <w:rPr>
          <w:rFonts w:eastAsia="Arial" w:cs="Arial"/>
        </w:rPr>
        <w:t>mdp</w:t>
      </w:r>
      <w:proofErr w:type="spellEnd"/>
      <w:r w:rsidRPr="007B6BE9">
        <w:rPr>
          <w:rFonts w:eastAsia="Arial" w:cs="Arial"/>
        </w:rPr>
        <w:t xml:space="preserve">. De este importe, 3,402 </w:t>
      </w:r>
      <w:proofErr w:type="spellStart"/>
      <w:r w:rsidRPr="007B6BE9">
        <w:rPr>
          <w:rFonts w:eastAsia="Arial" w:cs="Arial"/>
        </w:rPr>
        <w:t>mdp</w:t>
      </w:r>
      <w:proofErr w:type="spellEnd"/>
      <w:r w:rsidRPr="007B6BE9">
        <w:rPr>
          <w:rFonts w:eastAsia="Arial" w:cs="Arial"/>
        </w:rPr>
        <w:t xml:space="preserve"> son recaudados directamente por las entidades del sector público paraestatal a través de los conceptos de cuotas de aportación de seguridad social, por 1,376 </w:t>
      </w:r>
      <w:proofErr w:type="spellStart"/>
      <w:r w:rsidRPr="007B6BE9">
        <w:rPr>
          <w:rFonts w:eastAsia="Arial" w:cs="Arial"/>
        </w:rPr>
        <w:t>mdp</w:t>
      </w:r>
      <w:proofErr w:type="spellEnd"/>
      <w:r w:rsidRPr="007B6BE9">
        <w:rPr>
          <w:rFonts w:eastAsia="Arial" w:cs="Arial"/>
        </w:rPr>
        <w:t xml:space="preserve"> y de venta de bienes y servicios de las entidades, por 2,026 </w:t>
      </w:r>
      <w:proofErr w:type="spellStart"/>
      <w:r w:rsidRPr="007B6BE9">
        <w:rPr>
          <w:rFonts w:eastAsia="Arial" w:cs="Arial"/>
        </w:rPr>
        <w:t>mdp</w:t>
      </w:r>
      <w:proofErr w:type="spellEnd"/>
      <w:r w:rsidRPr="007B6BE9">
        <w:rPr>
          <w:rFonts w:eastAsia="Arial" w:cs="Arial"/>
        </w:rPr>
        <w:t>.</w:t>
      </w:r>
    </w:p>
    <w:p w:rsidR="00CC48AD" w:rsidRDefault="007B6BE9">
      <w:pPr>
        <w:spacing w:before="100" w:beforeAutospacing="1" w:after="100" w:afterAutospacing="1"/>
        <w:rPr>
          <w:rFonts w:eastAsia="Arial" w:cs="Arial"/>
        </w:rPr>
      </w:pPr>
      <w:r w:rsidRPr="007B6BE9">
        <w:rPr>
          <w:rFonts w:eastAsia="Arial" w:cs="Arial"/>
        </w:rPr>
        <w:t xml:space="preserve">Los ingresos recaudados por el sector central se presupuestan en 42,636 </w:t>
      </w:r>
      <w:proofErr w:type="spellStart"/>
      <w:r w:rsidRPr="007B6BE9">
        <w:rPr>
          <w:rFonts w:eastAsia="Arial" w:cs="Arial"/>
        </w:rPr>
        <w:t>mdp</w:t>
      </w:r>
      <w:proofErr w:type="spellEnd"/>
      <w:r w:rsidRPr="007B6BE9">
        <w:rPr>
          <w:rFonts w:eastAsia="Arial" w:cs="Arial"/>
        </w:rPr>
        <w:t xml:space="preserve"> y se dividen, por su fuente de financiamiento, de la siguiente manera:</w:t>
      </w:r>
    </w:p>
    <w:p w:rsidR="00CC48AD" w:rsidRDefault="007B6BE9">
      <w:pPr>
        <w:spacing w:before="100" w:beforeAutospacing="1" w:after="100" w:afterAutospacing="1"/>
        <w:ind w:firstLine="709"/>
        <w:rPr>
          <w:rFonts w:eastAsia="Arial" w:cs="Arial"/>
        </w:rPr>
      </w:pPr>
      <w:r w:rsidRPr="007B6BE9">
        <w:rPr>
          <w:rFonts w:eastAsia="Arial" w:cs="Arial"/>
        </w:rPr>
        <w:t xml:space="preserve">I. </w:t>
      </w:r>
      <w:r w:rsidRPr="007B6BE9">
        <w:rPr>
          <w:rFonts w:eastAsia="Arial" w:cs="Arial"/>
          <w:i/>
        </w:rPr>
        <w:t>Etiquetados (transferencias federales etiquetadas):</w:t>
      </w:r>
      <w:r w:rsidRPr="007B6BE9">
        <w:rPr>
          <w:rFonts w:eastAsia="Arial" w:cs="Arial"/>
        </w:rPr>
        <w:t xml:space="preserve"> se estiman en $20,237 </w:t>
      </w:r>
      <w:proofErr w:type="spellStart"/>
      <w:r w:rsidRPr="007B6BE9">
        <w:rPr>
          <w:rFonts w:eastAsia="Arial" w:cs="Arial"/>
        </w:rPr>
        <w:t>mdp</w:t>
      </w:r>
      <w:proofErr w:type="spellEnd"/>
      <w:r w:rsidRPr="007B6BE9">
        <w:rPr>
          <w:rFonts w:eastAsia="Arial" w:cs="Arial"/>
        </w:rPr>
        <w:t xml:space="preserve">. Cabe señalar que la mayor parte de los convenios y fondos del </w:t>
      </w:r>
      <w:r w:rsidRPr="007B6BE9">
        <w:rPr>
          <w:rFonts w:cs="Arial"/>
        </w:rPr>
        <w:br/>
      </w:r>
      <w:r w:rsidRPr="007B6BE9">
        <w:rPr>
          <w:rFonts w:eastAsia="Arial" w:cs="Arial"/>
        </w:rPr>
        <w:t>Ramo 33 considerados en estos ingresos serán definidos durante el primer trimestre del ejercicio, por lo que es probable que algunos de ellos presenten cambios en los montos o reglas de operación. Del mismo modo, es posible que surjan nuevos convenios no contemplados en la presente iniciativa.</w:t>
      </w:r>
    </w:p>
    <w:p w:rsidR="00CC48AD" w:rsidRDefault="007B6BE9">
      <w:pPr>
        <w:spacing w:before="100" w:beforeAutospacing="1" w:after="100" w:afterAutospacing="1"/>
        <w:ind w:firstLine="709"/>
        <w:rPr>
          <w:rFonts w:eastAsia="Arial" w:cs="Arial"/>
        </w:rPr>
      </w:pPr>
      <w:r w:rsidRPr="007B6BE9">
        <w:rPr>
          <w:rFonts w:eastAsia="Arial" w:cs="Arial"/>
        </w:rPr>
        <w:t xml:space="preserve">II. </w:t>
      </w:r>
      <w:r w:rsidRPr="007B6BE9">
        <w:rPr>
          <w:rFonts w:eastAsia="Arial" w:cs="Arial"/>
          <w:i/>
        </w:rPr>
        <w:t>No etiquetados (ingresos de libre disposición)</w:t>
      </w:r>
      <w:r w:rsidRPr="007B6BE9">
        <w:rPr>
          <w:rFonts w:eastAsia="Arial" w:cs="Arial"/>
        </w:rPr>
        <w:t xml:space="preserve">: compuestos por el </w:t>
      </w:r>
      <w:r w:rsidRPr="007B6BE9">
        <w:rPr>
          <w:rFonts w:cs="Arial"/>
        </w:rPr>
        <w:br/>
      </w:r>
      <w:r w:rsidRPr="007B6BE9">
        <w:rPr>
          <w:rFonts w:eastAsia="Arial" w:cs="Arial"/>
        </w:rPr>
        <w:t xml:space="preserve">Ramo 28 y los ingresos de recaudación fiscal local, están proyectados en 22,398 </w:t>
      </w:r>
      <w:proofErr w:type="spellStart"/>
      <w:r w:rsidRPr="007B6BE9">
        <w:rPr>
          <w:rFonts w:eastAsia="Arial" w:cs="Arial"/>
        </w:rPr>
        <w:t>mdp</w:t>
      </w:r>
      <w:proofErr w:type="spellEnd"/>
      <w:r w:rsidRPr="007B6BE9">
        <w:rPr>
          <w:rFonts w:eastAsia="Arial" w:cs="Arial"/>
        </w:rPr>
        <w:t>, lo cual implica una recuperación, en términos reales, correspondiente a los niveles de lo presupuestado en la iniciativa de ingresos 2020, antes del impacto de la pandemia.</w:t>
      </w:r>
    </w:p>
    <w:p w:rsidR="00CC48AD" w:rsidRDefault="007B6BE9">
      <w:pPr>
        <w:spacing w:before="100" w:beforeAutospacing="1" w:after="100" w:afterAutospacing="1"/>
        <w:rPr>
          <w:rFonts w:eastAsia="Arial" w:cs="Arial"/>
        </w:rPr>
      </w:pPr>
      <w:r w:rsidRPr="007B6BE9">
        <w:rPr>
          <w:rFonts w:eastAsia="Arial" w:cs="Arial"/>
        </w:rPr>
        <w:t xml:space="preserve">La estimación del Ramo 28 se realiza acorde a las cifras publicadas por la SHCP en el Proyecto de Presupuesto de Egresos de la Federación para el ejercicio fiscal 2022. Esta proyección, que incluye participaciones federales e incentivos de colaboración fiscal, considera 17,288 </w:t>
      </w:r>
      <w:proofErr w:type="spellStart"/>
      <w:r w:rsidRPr="007B6BE9">
        <w:rPr>
          <w:rFonts w:eastAsia="Arial" w:cs="Arial"/>
        </w:rPr>
        <w:t>mdp</w:t>
      </w:r>
      <w:proofErr w:type="spellEnd"/>
      <w:r w:rsidRPr="007B6BE9">
        <w:rPr>
          <w:rFonts w:eastAsia="Arial" w:cs="Arial"/>
        </w:rPr>
        <w:t>, lo que representa un incremento de 5.7% en términos reales respecto a lo estimado en 2021. No obstante, está por debajo de los recursos recibidos en 2018 y 2019.</w:t>
      </w:r>
    </w:p>
    <w:p w:rsidR="00CC48AD" w:rsidRDefault="007B6BE9">
      <w:pPr>
        <w:spacing w:before="100" w:beforeAutospacing="1" w:after="100" w:afterAutospacing="1"/>
        <w:rPr>
          <w:rFonts w:eastAsia="Arial" w:cs="Arial"/>
        </w:rPr>
      </w:pPr>
      <w:r w:rsidRPr="007B6BE9">
        <w:rPr>
          <w:rFonts w:eastAsia="Arial" w:cs="Arial"/>
        </w:rPr>
        <w:lastRenderedPageBreak/>
        <w:t xml:space="preserve">Los ingresos de recaudación fiscal local, por su parte, se componen de cuatro rubros y parten de las proyecciones de la Agencia de Administración Fiscal del Estado de Yucatán, mismas que contemplan: 2,786 </w:t>
      </w:r>
      <w:proofErr w:type="spellStart"/>
      <w:r w:rsidRPr="007B6BE9">
        <w:rPr>
          <w:rFonts w:eastAsia="Arial" w:cs="Arial"/>
        </w:rPr>
        <w:t>mdp</w:t>
      </w:r>
      <w:proofErr w:type="spellEnd"/>
      <w:r w:rsidRPr="007B6BE9">
        <w:rPr>
          <w:rFonts w:eastAsia="Arial" w:cs="Arial"/>
        </w:rPr>
        <w:t xml:space="preserve"> a ser captados a través de impuestos; 1,722 </w:t>
      </w:r>
      <w:proofErr w:type="spellStart"/>
      <w:r w:rsidRPr="007B6BE9">
        <w:rPr>
          <w:rFonts w:eastAsia="Arial" w:cs="Arial"/>
        </w:rPr>
        <w:t>mdp</w:t>
      </w:r>
      <w:proofErr w:type="spellEnd"/>
      <w:r w:rsidRPr="007B6BE9">
        <w:rPr>
          <w:rFonts w:eastAsia="Arial" w:cs="Arial"/>
        </w:rPr>
        <w:t xml:space="preserve"> que corresponden a derechos; 324 </w:t>
      </w:r>
      <w:proofErr w:type="spellStart"/>
      <w:r w:rsidRPr="007B6BE9">
        <w:rPr>
          <w:rFonts w:eastAsia="Arial" w:cs="Arial"/>
        </w:rPr>
        <w:t>mdp</w:t>
      </w:r>
      <w:proofErr w:type="spellEnd"/>
      <w:r w:rsidRPr="007B6BE9">
        <w:rPr>
          <w:rFonts w:eastAsia="Arial" w:cs="Arial"/>
        </w:rPr>
        <w:t xml:space="preserve"> a productos y 279 </w:t>
      </w:r>
      <w:proofErr w:type="spellStart"/>
      <w:r w:rsidRPr="007B6BE9">
        <w:rPr>
          <w:rFonts w:eastAsia="Arial" w:cs="Arial"/>
        </w:rPr>
        <w:t>mdp</w:t>
      </w:r>
      <w:proofErr w:type="spellEnd"/>
      <w:r w:rsidRPr="007B6BE9">
        <w:rPr>
          <w:rFonts w:eastAsia="Arial" w:cs="Arial"/>
        </w:rPr>
        <w:t xml:space="preserve"> que se recaudarán a través de los aprovechamientos. En total, esta iniciativa contempla 5,111 </w:t>
      </w:r>
      <w:proofErr w:type="spellStart"/>
      <w:r w:rsidRPr="007B6BE9">
        <w:rPr>
          <w:rFonts w:eastAsia="Arial" w:cs="Arial"/>
        </w:rPr>
        <w:t>mdp</w:t>
      </w:r>
      <w:proofErr w:type="spellEnd"/>
      <w:r w:rsidRPr="007B6BE9">
        <w:rPr>
          <w:rFonts w:eastAsia="Arial" w:cs="Arial"/>
        </w:rPr>
        <w:t xml:space="preserve"> a recaudar por estos conceptos.</w:t>
      </w:r>
    </w:p>
    <w:p w:rsidR="00CC48AD" w:rsidRDefault="007B6BE9">
      <w:pPr>
        <w:spacing w:before="100" w:beforeAutospacing="1" w:after="100" w:afterAutospacing="1"/>
        <w:rPr>
          <w:rFonts w:cs="Arial"/>
          <w:bCs/>
          <w:i/>
        </w:rPr>
      </w:pPr>
      <w:r w:rsidRPr="007B6BE9">
        <w:rPr>
          <w:rFonts w:cs="Arial"/>
          <w:bCs/>
          <w:i/>
        </w:rPr>
        <w:t>2.4 Estimación de los egresos 2022</w:t>
      </w:r>
    </w:p>
    <w:p w:rsidR="00CC48AD" w:rsidRDefault="007B6BE9">
      <w:pPr>
        <w:spacing w:before="100" w:beforeAutospacing="1" w:after="100" w:afterAutospacing="1"/>
        <w:rPr>
          <w:rFonts w:cs="Arial"/>
        </w:rPr>
      </w:pPr>
      <w:r w:rsidRPr="007B6BE9">
        <w:rPr>
          <w:rFonts w:cs="Arial"/>
        </w:rPr>
        <w:t>El Proyecto de Presupuesto se elaboró reconociendo la necesidad de mantener un gobierno austero, eficiente y con finanzas sanas, centrado en el logro de objetivos que mejoren directamente las condiciones y calidad de vida de la población, así como en la reactivación económica del estado. Lo anterior bajo la premisa de promover en todo momento la transparencia y participación ciudadana, que esta administración ha establecido como prioridad. En este contexto, el Consejo Consultivo de Presupuesto y Ejercicio del Gasto, conformado en su mayoría por ciudadanos, aprobó por unanimidad este Proyecto de Presupuesto de Egresos.</w:t>
      </w:r>
    </w:p>
    <w:p w:rsidR="00CC48AD" w:rsidRDefault="007B6BE9">
      <w:pPr>
        <w:spacing w:before="100" w:beforeAutospacing="1" w:after="100" w:afterAutospacing="1"/>
        <w:rPr>
          <w:rFonts w:cs="Arial"/>
          <w:lang w:val="es-ES"/>
        </w:rPr>
      </w:pPr>
      <w:r w:rsidRPr="007B6BE9">
        <w:rPr>
          <w:rFonts w:cs="Arial"/>
        </w:rPr>
        <w:t xml:space="preserve">El Proyecto de Presupuesto 2022 integra un gasto de 42,635 </w:t>
      </w:r>
      <w:proofErr w:type="spellStart"/>
      <w:r w:rsidRPr="007B6BE9">
        <w:rPr>
          <w:rFonts w:cs="Arial"/>
        </w:rPr>
        <w:t>mdp</w:t>
      </w:r>
      <w:proofErr w:type="spellEnd"/>
      <w:r w:rsidRPr="007B6BE9">
        <w:rPr>
          <w:rFonts w:cs="Arial"/>
        </w:rPr>
        <w:t xml:space="preserve">, 22,398 </w:t>
      </w:r>
      <w:proofErr w:type="spellStart"/>
      <w:r w:rsidRPr="007B6BE9">
        <w:rPr>
          <w:rFonts w:cs="Arial"/>
        </w:rPr>
        <w:t>mdp</w:t>
      </w:r>
      <w:proofErr w:type="spellEnd"/>
      <w:r w:rsidRPr="007B6BE9">
        <w:rPr>
          <w:rFonts w:cs="Arial"/>
        </w:rPr>
        <w:t xml:space="preserve"> correspondientes al Gasto No Etiquetado y 20,237 </w:t>
      </w:r>
      <w:proofErr w:type="spellStart"/>
      <w:r w:rsidRPr="007B6BE9">
        <w:rPr>
          <w:rFonts w:cs="Arial"/>
        </w:rPr>
        <w:t>mdp</w:t>
      </w:r>
      <w:proofErr w:type="spellEnd"/>
      <w:r w:rsidRPr="007B6BE9">
        <w:rPr>
          <w:rFonts w:cs="Arial"/>
        </w:rPr>
        <w:t xml:space="preserve"> del Gasto Etiquetado</w:t>
      </w:r>
      <w:r>
        <w:rPr>
          <w:rStyle w:val="Refdenotaalpie"/>
          <w:rFonts w:cs="Arial"/>
        </w:rPr>
        <w:footnoteReference w:id="2"/>
      </w:r>
      <w:r w:rsidRPr="007B6BE9">
        <w:rPr>
          <w:rFonts w:cs="Arial"/>
        </w:rPr>
        <w:t xml:space="preserve">. </w:t>
      </w:r>
      <w:r w:rsidRPr="007B6BE9">
        <w:rPr>
          <w:rFonts w:cs="Arial"/>
          <w:lang w:val="es-ES"/>
        </w:rPr>
        <w:t>El sector con mayor crecimiento en el gasto no etiquetado es el de reactivación económica, seguido del sector de protección social y el de salud.</w:t>
      </w:r>
      <w:r w:rsidRPr="007B6BE9">
        <w:rPr>
          <w:rFonts w:cs="Arial"/>
        </w:rPr>
        <w:t xml:space="preserve"> </w:t>
      </w:r>
      <w:r w:rsidRPr="007B6BE9">
        <w:rPr>
          <w:rFonts w:cs="Arial"/>
          <w:lang w:val="es-ES"/>
        </w:rPr>
        <w:t xml:space="preserve">Incluso crecimientos como el del sector gobierno se explican por gasto que contribuirá con la reactivación económica, como inversiones y mantenimientos. </w:t>
      </w:r>
    </w:p>
    <w:tbl>
      <w:tblPr>
        <w:tblW w:w="5000" w:type="pct"/>
        <w:tblCellMar>
          <w:left w:w="0" w:type="dxa"/>
          <w:right w:w="0" w:type="dxa"/>
        </w:tblCellMar>
        <w:tblLook w:val="0600"/>
      </w:tblPr>
      <w:tblGrid>
        <w:gridCol w:w="3528"/>
        <w:gridCol w:w="1247"/>
        <w:gridCol w:w="992"/>
        <w:gridCol w:w="1400"/>
        <w:gridCol w:w="988"/>
        <w:gridCol w:w="945"/>
      </w:tblGrid>
      <w:tr w:rsidR="003955CD" w:rsidRPr="007B0283" w:rsidTr="003955CD">
        <w:trPr>
          <w:trHeight w:val="795"/>
        </w:trPr>
        <w:tc>
          <w:tcPr>
            <w:tcW w:w="1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9B92"/>
            <w:tcMar>
              <w:top w:w="12" w:type="dxa"/>
              <w:left w:w="131" w:type="dxa"/>
              <w:bottom w:w="0" w:type="dxa"/>
              <w:right w:w="131" w:type="dxa"/>
            </w:tcMar>
            <w:vAlign w:val="center"/>
            <w:hideMark/>
          </w:tcPr>
          <w:p w:rsidR="00CC48AD" w:rsidRDefault="007B6BE9">
            <w:pPr>
              <w:spacing w:before="100" w:beforeAutospacing="1" w:after="100" w:afterAutospacing="1"/>
              <w:rPr>
                <w:rFonts w:cs="Arial"/>
              </w:rPr>
            </w:pPr>
            <w:r w:rsidRPr="007B6BE9">
              <w:rPr>
                <w:rFonts w:cs="Arial"/>
                <w:b/>
                <w:bCs/>
              </w:rPr>
              <w:t>Sector</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9B92"/>
            <w:tcMar>
              <w:top w:w="12" w:type="dxa"/>
              <w:left w:w="12" w:type="dxa"/>
              <w:bottom w:w="0" w:type="dxa"/>
              <w:right w:w="12" w:type="dxa"/>
            </w:tcMar>
            <w:vAlign w:val="center"/>
            <w:hideMark/>
          </w:tcPr>
          <w:p w:rsidR="00CC48AD" w:rsidRDefault="007B6BE9">
            <w:pPr>
              <w:spacing w:before="100" w:beforeAutospacing="1" w:after="100" w:afterAutospacing="1"/>
              <w:jc w:val="center"/>
              <w:rPr>
                <w:rFonts w:cs="Arial"/>
                <w:b/>
                <w:bCs/>
              </w:rPr>
            </w:pPr>
            <w:r w:rsidRPr="007B6BE9">
              <w:rPr>
                <w:rFonts w:cs="Arial"/>
                <w:b/>
                <w:bCs/>
              </w:rPr>
              <w:t xml:space="preserve">AUT </w:t>
            </w:r>
          </w:p>
          <w:p w:rsidR="00CC48AD" w:rsidRDefault="007B6BE9">
            <w:pPr>
              <w:spacing w:before="100" w:beforeAutospacing="1" w:after="100" w:afterAutospacing="1"/>
              <w:jc w:val="center"/>
              <w:rPr>
                <w:rFonts w:cs="Arial"/>
              </w:rPr>
            </w:pPr>
            <w:r w:rsidRPr="007B6BE9">
              <w:rPr>
                <w:rFonts w:cs="Arial"/>
                <w:b/>
                <w:bCs/>
              </w:rPr>
              <w:t>2020</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9B92"/>
            <w:tcMar>
              <w:top w:w="12" w:type="dxa"/>
              <w:left w:w="12" w:type="dxa"/>
              <w:bottom w:w="0" w:type="dxa"/>
              <w:right w:w="12" w:type="dxa"/>
            </w:tcMar>
            <w:vAlign w:val="center"/>
            <w:hideMark/>
          </w:tcPr>
          <w:p w:rsidR="00CC48AD" w:rsidRDefault="007B6BE9">
            <w:pPr>
              <w:spacing w:before="100" w:beforeAutospacing="1" w:after="100" w:afterAutospacing="1"/>
              <w:jc w:val="center"/>
              <w:rPr>
                <w:rFonts w:cs="Arial"/>
              </w:rPr>
            </w:pPr>
            <w:r w:rsidRPr="007B6BE9">
              <w:rPr>
                <w:rFonts w:cs="Arial"/>
                <w:b/>
                <w:bCs/>
              </w:rPr>
              <w:t>AUT 2021</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9B92"/>
            <w:tcMar>
              <w:top w:w="12" w:type="dxa"/>
              <w:left w:w="12" w:type="dxa"/>
              <w:bottom w:w="0" w:type="dxa"/>
              <w:right w:w="12" w:type="dxa"/>
            </w:tcMar>
            <w:vAlign w:val="center"/>
            <w:hideMark/>
          </w:tcPr>
          <w:p w:rsidR="00CC48AD" w:rsidRDefault="007B6BE9">
            <w:pPr>
              <w:spacing w:before="100" w:beforeAutospacing="1" w:after="100" w:afterAutospacing="1"/>
              <w:jc w:val="center"/>
              <w:rPr>
                <w:rFonts w:cs="Arial"/>
              </w:rPr>
            </w:pPr>
            <w:r w:rsidRPr="007B6BE9">
              <w:rPr>
                <w:rFonts w:cs="Arial"/>
                <w:b/>
                <w:bCs/>
              </w:rPr>
              <w:t>ANTEPROY 2022</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1D3CA"/>
            <w:tcMar>
              <w:top w:w="12" w:type="dxa"/>
              <w:left w:w="131" w:type="dxa"/>
              <w:bottom w:w="0" w:type="dxa"/>
              <w:right w:w="131" w:type="dxa"/>
            </w:tcMar>
            <w:vAlign w:val="center"/>
            <w:hideMark/>
          </w:tcPr>
          <w:p w:rsidR="00CC48AD" w:rsidRDefault="007B6BE9">
            <w:pPr>
              <w:spacing w:before="100" w:beforeAutospacing="1" w:after="100" w:afterAutospacing="1"/>
              <w:jc w:val="center"/>
              <w:rPr>
                <w:rFonts w:cs="Arial"/>
              </w:rPr>
            </w:pPr>
            <w:r w:rsidRPr="007B6BE9">
              <w:rPr>
                <w:rFonts w:cs="Arial"/>
                <w:b/>
                <w:bCs/>
              </w:rPr>
              <w:t>$DIF vs 2021</w:t>
            </w:r>
          </w:p>
        </w:tc>
        <w:tc>
          <w:tcPr>
            <w:tcW w:w="5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1D3CA"/>
            <w:tcMar>
              <w:top w:w="12" w:type="dxa"/>
              <w:left w:w="131" w:type="dxa"/>
              <w:bottom w:w="0" w:type="dxa"/>
              <w:right w:w="131" w:type="dxa"/>
            </w:tcMar>
            <w:vAlign w:val="center"/>
            <w:hideMark/>
          </w:tcPr>
          <w:p w:rsidR="00CC48AD" w:rsidRDefault="007B6BE9">
            <w:pPr>
              <w:spacing w:before="100" w:beforeAutospacing="1" w:after="100" w:afterAutospacing="1"/>
              <w:jc w:val="center"/>
              <w:rPr>
                <w:rFonts w:cs="Arial"/>
              </w:rPr>
            </w:pPr>
            <w:r w:rsidRPr="007B6BE9">
              <w:rPr>
                <w:rFonts w:cs="Arial"/>
                <w:b/>
                <w:bCs/>
              </w:rPr>
              <w:t>%DIF REAL vs 2021</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268DAD"/>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b/>
                <w:bCs/>
              </w:rPr>
              <w:t>I. Gasto No Etiquetado​</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8DAD"/>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20,464.9</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8DAD"/>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18,975.2</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8DAD"/>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22,398.4</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9C8E1"/>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3,423.1</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79C8E1"/>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11.7%</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b/>
                <w:bCs/>
              </w:rPr>
              <w:t>Poderes y autónomos</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1,362.1</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1,545.6</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1,472.8</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-72.8</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-9.8%</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b/>
                <w:bCs/>
              </w:rPr>
              <w:t>Municipios</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3,698.4</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3,658.1</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4,092.2</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434.1</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5.8%</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b/>
                <w:bCs/>
              </w:rPr>
              <w:t>Jubilados SAF</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831.9</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808.3</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803.9</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-4.4</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-5.9%</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b/>
                <w:bCs/>
              </w:rPr>
              <w:t>Deuda Pública</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240.4</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478.1</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562.9</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84.8</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11.4%</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b/>
                <w:bCs/>
              </w:rPr>
              <w:t>Poder Ejecutivo</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14,332.1</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12,485.1</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ABABA"/>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15,466.6</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2,981.5</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D7D7D7"/>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b/>
                <w:bCs/>
              </w:rPr>
              <w:t>17.2%</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rPr>
              <w:t xml:space="preserve">Seguridad      </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3,307.0</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2,990.4</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3,533.2</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542.7</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11.8%</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rPr>
              <w:t>Educación</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3,562.7</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3,100.9</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3,441.7</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340.8</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5.0%</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rPr>
              <w:lastRenderedPageBreak/>
              <w:t>Reactivación Económica</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2,360.6</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1,785.2</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2,705.5</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920.3</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43.4%</w:t>
            </w:r>
          </w:p>
        </w:tc>
      </w:tr>
      <w:tr w:rsidR="003955CD" w:rsidRPr="007B0283" w:rsidTr="003955CD">
        <w:trPr>
          <w:trHeight w:val="310"/>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Mar>
              <w:top w:w="12" w:type="dxa"/>
              <w:left w:w="43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i/>
                <w:iCs/>
              </w:rPr>
              <w:t>Económico</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1,341.9</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1,194.0</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1,529.3</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335.3</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21.2%</w:t>
            </w:r>
          </w:p>
        </w:tc>
      </w:tr>
      <w:tr w:rsidR="003955CD" w:rsidRPr="007B0283" w:rsidTr="003955CD">
        <w:trPr>
          <w:trHeight w:val="310"/>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Mar>
              <w:top w:w="12" w:type="dxa"/>
              <w:left w:w="43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i/>
                <w:iCs/>
              </w:rPr>
              <w:t>Obra Pública</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658.4</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304.5</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710.6</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406.2</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&gt;100%</w:t>
            </w:r>
          </w:p>
        </w:tc>
      </w:tr>
      <w:tr w:rsidR="003955CD" w:rsidRPr="007B0283" w:rsidTr="003955CD">
        <w:trPr>
          <w:trHeight w:val="322"/>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Mar>
              <w:top w:w="12" w:type="dxa"/>
              <w:left w:w="43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i/>
                <w:iCs/>
              </w:rPr>
              <w:t>Económico (Campo y Pesca)</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360.3</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286.7</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465.6</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178.9</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i/>
                <w:iCs/>
              </w:rPr>
              <w:t>53.6%</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rPr>
              <w:t>Salud</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1,990.2</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1,780.3</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2,150.5</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370.2</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14.3%</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rPr>
              <w:t xml:space="preserve">Gobierno        </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1,830.8</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1,699.6</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2,003.7</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304.1</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F2F2F2" w:themeFill="background1" w:themeFillShade="F2"/>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11.5%</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rPr>
                <w:rFonts w:cs="Arial"/>
              </w:rPr>
            </w:pPr>
            <w:r w:rsidRPr="007B6BE9">
              <w:rPr>
                <w:rFonts w:cs="Arial"/>
              </w:rPr>
              <w:t>Protección Social</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1,280.8</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1,128.8</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1,632.1</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503.3</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auto"/>
            <w:tcMar>
              <w:top w:w="12" w:type="dxa"/>
              <w:left w:w="12" w:type="dxa"/>
              <w:bottom w:w="0" w:type="dxa"/>
              <w:right w:w="12" w:type="dxa"/>
            </w:tcMar>
            <w:vAlign w:val="center"/>
            <w:hideMark/>
          </w:tcPr>
          <w:p w:rsidR="00CC48AD" w:rsidRDefault="007B6BE9">
            <w:pPr>
              <w:spacing w:before="100" w:beforeAutospacing="1" w:after="100" w:afterAutospacing="1"/>
              <w:jc w:val="right"/>
              <w:rPr>
                <w:rFonts w:cs="Arial"/>
              </w:rPr>
            </w:pPr>
            <w:r w:rsidRPr="007B6BE9">
              <w:rPr>
                <w:rFonts w:cs="Arial"/>
              </w:rPr>
              <w:t>36.8%</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268DAD"/>
            <w:tcMar>
              <w:top w:w="12" w:type="dxa"/>
              <w:left w:w="12" w:type="dxa"/>
              <w:bottom w:w="0" w:type="dxa"/>
              <w:right w:w="12" w:type="dxa"/>
            </w:tcMar>
            <w:vAlign w:val="center"/>
          </w:tcPr>
          <w:p w:rsidR="00CC48AD" w:rsidRDefault="007B6BE9">
            <w:pPr>
              <w:spacing w:before="100" w:beforeAutospacing="1" w:after="100" w:afterAutospacing="1"/>
              <w:rPr>
                <w:rFonts w:cs="Arial"/>
              </w:rPr>
            </w:pPr>
            <w:r w:rsidRPr="007B6BE9">
              <w:rPr>
                <w:rFonts w:cs="Arial"/>
                <w:b/>
                <w:bCs/>
              </w:rPr>
              <w:t>II. Gasto Etiquetado​</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8DAD"/>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18,610.7</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8DAD"/>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19,106.5</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8DAD"/>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20,237.4</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9C8E1"/>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1,130.9</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79C8E1"/>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0.2%</w:t>
            </w:r>
          </w:p>
        </w:tc>
      </w:tr>
      <w:tr w:rsidR="003955CD" w:rsidRPr="007B0283" w:rsidTr="003955CD">
        <w:trPr>
          <w:trHeight w:val="356"/>
        </w:trPr>
        <w:tc>
          <w:tcPr>
            <w:tcW w:w="1939" w:type="pct"/>
            <w:tcBorders>
              <w:top w:val="single" w:sz="4" w:space="0" w:color="FFFFFF" w:themeColor="background1"/>
              <w:left w:val="nil"/>
              <w:bottom w:val="single" w:sz="4" w:space="0" w:color="FFFFFF" w:themeColor="background1"/>
              <w:right w:val="single" w:sz="4" w:space="0" w:color="FFFFFF" w:themeColor="background1"/>
            </w:tcBorders>
            <w:shd w:val="clear" w:color="auto" w:fill="BFBFBF" w:themeFill="background1" w:themeFillShade="BF"/>
            <w:tcMar>
              <w:top w:w="12" w:type="dxa"/>
              <w:left w:w="12" w:type="dxa"/>
              <w:bottom w:w="0" w:type="dxa"/>
              <w:right w:w="12" w:type="dxa"/>
            </w:tcMar>
            <w:vAlign w:val="center"/>
          </w:tcPr>
          <w:p w:rsidR="00CC48AD" w:rsidRDefault="007B6BE9">
            <w:pPr>
              <w:spacing w:before="100" w:beforeAutospacing="1" w:after="100" w:afterAutospacing="1"/>
              <w:rPr>
                <w:rFonts w:cs="Arial"/>
              </w:rPr>
            </w:pPr>
            <w:r w:rsidRPr="007B6BE9">
              <w:rPr>
                <w:rFonts w:cs="Arial"/>
                <w:b/>
                <w:bCs/>
              </w:rPr>
              <w:t>Total​</w:t>
            </w:r>
          </w:p>
        </w:tc>
        <w:tc>
          <w:tcPr>
            <w:tcW w:w="6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39,075.5</w:t>
            </w:r>
          </w:p>
        </w:tc>
        <w:tc>
          <w:tcPr>
            <w:tcW w:w="5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38,081.7</w:t>
            </w:r>
          </w:p>
        </w:tc>
        <w:tc>
          <w:tcPr>
            <w:tcW w:w="76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42,635.7</w:t>
            </w:r>
          </w:p>
        </w:tc>
        <w:tc>
          <w:tcPr>
            <w:tcW w:w="54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4,554.0</w:t>
            </w:r>
          </w:p>
        </w:tc>
        <w:tc>
          <w:tcPr>
            <w:tcW w:w="519" w:type="pct"/>
            <w:tcBorders>
              <w:top w:val="single" w:sz="4" w:space="0" w:color="FFFFFF" w:themeColor="background1"/>
              <w:left w:val="single" w:sz="4" w:space="0" w:color="FFFFFF" w:themeColor="background1"/>
              <w:bottom w:val="single" w:sz="4" w:space="0" w:color="FFFFFF" w:themeColor="background1"/>
              <w:right w:val="nil"/>
            </w:tcBorders>
            <w:shd w:val="clear" w:color="auto" w:fill="BFBFBF" w:themeFill="background1" w:themeFillShade="BF"/>
            <w:tcMar>
              <w:top w:w="12" w:type="dxa"/>
              <w:left w:w="12" w:type="dxa"/>
              <w:bottom w:w="0" w:type="dxa"/>
              <w:right w:w="12" w:type="dxa"/>
            </w:tcMar>
            <w:vAlign w:val="center"/>
          </w:tcPr>
          <w:p w:rsidR="00CC48AD" w:rsidRDefault="007B6BE9">
            <w:pPr>
              <w:spacing w:before="100" w:beforeAutospacing="1" w:after="100" w:afterAutospacing="1"/>
              <w:jc w:val="right"/>
              <w:rPr>
                <w:rFonts w:cs="Arial"/>
              </w:rPr>
            </w:pPr>
            <w:r w:rsidRPr="007B6BE9">
              <w:rPr>
                <w:rFonts w:cs="Arial"/>
                <w:b/>
                <w:bCs/>
              </w:rPr>
              <w:t>5.9%</w:t>
            </w:r>
          </w:p>
        </w:tc>
      </w:tr>
      <w:tr w:rsidR="003955CD" w:rsidRPr="007B0283" w:rsidTr="003955CD">
        <w:trPr>
          <w:trHeight w:val="287"/>
        </w:trPr>
        <w:tc>
          <w:tcPr>
            <w:tcW w:w="5000" w:type="pct"/>
            <w:gridSpan w:val="6"/>
            <w:tcBorders>
              <w:top w:val="single" w:sz="4" w:space="0" w:color="FFFFFF" w:themeColor="background1"/>
              <w:left w:val="nil"/>
              <w:bottom w:val="nil"/>
              <w:right w:val="nil"/>
            </w:tcBorders>
            <w:shd w:val="clear" w:color="auto" w:fill="auto"/>
            <w:tcMar>
              <w:top w:w="12" w:type="dxa"/>
              <w:left w:w="131" w:type="dxa"/>
              <w:bottom w:w="0" w:type="dxa"/>
              <w:right w:w="131" w:type="dxa"/>
            </w:tcMar>
            <w:vAlign w:val="center"/>
            <w:hideMark/>
          </w:tcPr>
          <w:p w:rsidR="00CC48AD" w:rsidRDefault="007B6BE9">
            <w:pPr>
              <w:spacing w:before="100" w:beforeAutospacing="1" w:after="100" w:afterAutospacing="1"/>
              <w:rPr>
                <w:rFonts w:cs="Arial"/>
              </w:rPr>
            </w:pPr>
            <w:r w:rsidRPr="007B6BE9">
              <w:rPr>
                <w:rFonts w:cs="Arial"/>
                <w:lang w:val="es-ES"/>
              </w:rPr>
              <w:t>*Excluye el gasto por financiamientos así como por venta de bienes y servicios</w:t>
            </w:r>
          </w:p>
        </w:tc>
      </w:tr>
    </w:tbl>
    <w:p w:rsidR="00CC48AD" w:rsidRDefault="007B6BE9">
      <w:pPr>
        <w:spacing w:before="100" w:beforeAutospacing="1" w:after="100" w:afterAutospacing="1"/>
        <w:rPr>
          <w:rFonts w:cs="Arial"/>
          <w:lang w:val="es-ES"/>
        </w:rPr>
      </w:pPr>
      <w:r w:rsidRPr="007B6BE9">
        <w:rPr>
          <w:rFonts w:cs="Arial"/>
        </w:rPr>
        <w:t xml:space="preserve">A pesar del crecimiento proyectado de los egresos 2022, </w:t>
      </w:r>
      <w:r w:rsidRPr="007B6BE9">
        <w:rPr>
          <w:rFonts w:cs="Arial"/>
          <w:lang w:val="es-ES"/>
        </w:rPr>
        <w:t xml:space="preserve">el gasto no etiquetado del Poder Ejecutivo sigue sin recuperar el nivel estimado en 2020. </w:t>
      </w:r>
      <w:r w:rsidRPr="007B6BE9">
        <w:rPr>
          <w:rFonts w:cs="Arial"/>
        </w:rPr>
        <w:t xml:space="preserve">Destaca que </w:t>
      </w:r>
      <w:r w:rsidRPr="007B6BE9">
        <w:rPr>
          <w:rFonts w:cs="Arial"/>
          <w:lang w:val="es-ES"/>
        </w:rPr>
        <w:t>el único capítulo del gasto sin crecimiento real en el gasto no etiquetado es el de nómina. Para contribuir con la reactivación económica, la inversión pública crece 133%.</w:t>
      </w:r>
    </w:p>
    <w:tbl>
      <w:tblPr>
        <w:tblW w:w="5000" w:type="pct"/>
        <w:tblCellMar>
          <w:left w:w="0" w:type="dxa"/>
          <w:right w:w="0" w:type="dxa"/>
        </w:tblCellMar>
        <w:tblLook w:val="0600"/>
      </w:tblPr>
      <w:tblGrid>
        <w:gridCol w:w="1988"/>
        <w:gridCol w:w="992"/>
        <w:gridCol w:w="992"/>
        <w:gridCol w:w="1406"/>
        <w:gridCol w:w="881"/>
        <w:gridCol w:w="1005"/>
        <w:gridCol w:w="881"/>
        <w:gridCol w:w="1009"/>
      </w:tblGrid>
      <w:tr w:rsidR="003955CD" w:rsidRPr="007B0283" w:rsidTr="003955CD">
        <w:trPr>
          <w:trHeight w:val="410"/>
        </w:trPr>
        <w:tc>
          <w:tcPr>
            <w:tcW w:w="108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9B92"/>
            <w:tcMar>
              <w:top w:w="10" w:type="dxa"/>
              <w:left w:w="158" w:type="dxa"/>
              <w:bottom w:w="0" w:type="dxa"/>
              <w:right w:w="158" w:type="dxa"/>
            </w:tcMar>
            <w:vAlign w:val="center"/>
            <w:hideMark/>
          </w:tcPr>
          <w:p w:rsidR="00CC48AD" w:rsidRDefault="007B6BE9">
            <w:pPr>
              <w:spacing w:before="100" w:beforeAutospacing="1" w:after="100" w:afterAutospacing="1"/>
              <w:jc w:val="center"/>
              <w:rPr>
                <w:rFonts w:cs="Arial"/>
              </w:rPr>
            </w:pPr>
            <w:r w:rsidRPr="007B6BE9">
              <w:rPr>
                <w:rFonts w:cs="Arial"/>
                <w:b/>
                <w:bCs/>
              </w:rPr>
              <w:t>Objeto del Gasto​</w:t>
            </w:r>
          </w:p>
        </w:tc>
        <w:tc>
          <w:tcPr>
            <w:tcW w:w="5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9B92"/>
            <w:tcMar>
              <w:top w:w="10" w:type="dxa"/>
              <w:left w:w="11" w:type="dxa"/>
              <w:bottom w:w="0" w:type="dxa"/>
              <w:right w:w="11" w:type="dxa"/>
            </w:tcMar>
            <w:vAlign w:val="center"/>
            <w:hideMark/>
          </w:tcPr>
          <w:p w:rsidR="00CC48AD" w:rsidRDefault="007B6BE9">
            <w:pPr>
              <w:spacing w:before="100" w:beforeAutospacing="1" w:after="100" w:afterAutospacing="1"/>
              <w:jc w:val="center"/>
              <w:rPr>
                <w:rFonts w:cs="Arial"/>
              </w:rPr>
            </w:pPr>
            <w:r w:rsidRPr="007B6BE9">
              <w:rPr>
                <w:rFonts w:cs="Arial"/>
                <w:b/>
                <w:bCs/>
              </w:rPr>
              <w:t>AUT 2020</w:t>
            </w:r>
          </w:p>
        </w:tc>
        <w:tc>
          <w:tcPr>
            <w:tcW w:w="54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9B92"/>
            <w:tcMar>
              <w:top w:w="10" w:type="dxa"/>
              <w:left w:w="11" w:type="dxa"/>
              <w:bottom w:w="0" w:type="dxa"/>
              <w:right w:w="11" w:type="dxa"/>
            </w:tcMar>
            <w:vAlign w:val="center"/>
            <w:hideMark/>
          </w:tcPr>
          <w:p w:rsidR="00CC48AD" w:rsidRDefault="007B6BE9">
            <w:pPr>
              <w:spacing w:before="100" w:beforeAutospacing="1" w:after="100" w:afterAutospacing="1"/>
              <w:jc w:val="center"/>
              <w:rPr>
                <w:rFonts w:cs="Arial"/>
              </w:rPr>
            </w:pPr>
            <w:r w:rsidRPr="007B6BE9">
              <w:rPr>
                <w:rFonts w:cs="Arial"/>
                <w:b/>
                <w:bCs/>
              </w:rPr>
              <w:t>AUT 2021</w:t>
            </w:r>
          </w:p>
        </w:tc>
        <w:tc>
          <w:tcPr>
            <w:tcW w:w="7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9B92"/>
            <w:tcMar>
              <w:top w:w="10" w:type="dxa"/>
              <w:left w:w="11" w:type="dxa"/>
              <w:bottom w:w="0" w:type="dxa"/>
              <w:right w:w="11" w:type="dxa"/>
            </w:tcMar>
            <w:vAlign w:val="center"/>
            <w:hideMark/>
          </w:tcPr>
          <w:p w:rsidR="00CC48AD" w:rsidRDefault="007B6BE9">
            <w:pPr>
              <w:spacing w:before="100" w:beforeAutospacing="1" w:after="100" w:afterAutospacing="1"/>
              <w:jc w:val="center"/>
              <w:rPr>
                <w:rFonts w:cs="Arial"/>
              </w:rPr>
            </w:pPr>
            <w:r w:rsidRPr="007B6BE9">
              <w:rPr>
                <w:rFonts w:cs="Arial"/>
                <w:b/>
                <w:bCs/>
              </w:rPr>
              <w:t>ANTEPROY 2022</w:t>
            </w:r>
          </w:p>
        </w:tc>
        <w:tc>
          <w:tcPr>
            <w:tcW w:w="4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B4AA"/>
            <w:tcMar>
              <w:top w:w="10" w:type="dxa"/>
              <w:left w:w="158" w:type="dxa"/>
              <w:bottom w:w="0" w:type="dxa"/>
              <w:right w:w="158" w:type="dxa"/>
            </w:tcMar>
            <w:vAlign w:val="center"/>
            <w:hideMark/>
          </w:tcPr>
          <w:p w:rsidR="00CC48AD" w:rsidRDefault="007B6BE9">
            <w:pPr>
              <w:spacing w:before="100" w:beforeAutospacing="1" w:after="100" w:afterAutospacing="1"/>
              <w:jc w:val="center"/>
              <w:rPr>
                <w:rFonts w:cs="Arial"/>
              </w:rPr>
            </w:pPr>
            <w:r w:rsidRPr="007B6BE9">
              <w:rPr>
                <w:rFonts w:cs="Arial"/>
                <w:b/>
                <w:bCs/>
              </w:rPr>
              <w:t>$DIF vs 2020</w:t>
            </w:r>
          </w:p>
        </w:tc>
        <w:tc>
          <w:tcPr>
            <w:tcW w:w="5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EB4AA"/>
            <w:tcMar>
              <w:top w:w="10" w:type="dxa"/>
              <w:left w:w="158" w:type="dxa"/>
              <w:bottom w:w="0" w:type="dxa"/>
              <w:right w:w="158" w:type="dxa"/>
            </w:tcMar>
            <w:vAlign w:val="center"/>
            <w:hideMark/>
          </w:tcPr>
          <w:p w:rsidR="00CC48AD" w:rsidRDefault="007B6BE9">
            <w:pPr>
              <w:spacing w:before="100" w:beforeAutospacing="1" w:after="100" w:afterAutospacing="1"/>
              <w:jc w:val="center"/>
              <w:rPr>
                <w:rFonts w:cs="Arial"/>
              </w:rPr>
            </w:pPr>
            <w:r w:rsidRPr="007B6BE9">
              <w:rPr>
                <w:rFonts w:cs="Arial"/>
                <w:b/>
                <w:bCs/>
              </w:rPr>
              <w:t>%DIF REAL vs 2020</w:t>
            </w:r>
          </w:p>
        </w:tc>
        <w:tc>
          <w:tcPr>
            <w:tcW w:w="4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1D3CA"/>
            <w:tcMar>
              <w:top w:w="10" w:type="dxa"/>
              <w:left w:w="158" w:type="dxa"/>
              <w:bottom w:w="0" w:type="dxa"/>
              <w:right w:w="158" w:type="dxa"/>
            </w:tcMar>
            <w:vAlign w:val="center"/>
            <w:hideMark/>
          </w:tcPr>
          <w:p w:rsidR="00CC48AD" w:rsidRDefault="007B6BE9">
            <w:pPr>
              <w:spacing w:before="100" w:beforeAutospacing="1" w:after="100" w:afterAutospacing="1"/>
              <w:jc w:val="center"/>
              <w:rPr>
                <w:rFonts w:cs="Arial"/>
              </w:rPr>
            </w:pPr>
            <w:r w:rsidRPr="007B6BE9">
              <w:rPr>
                <w:rFonts w:cs="Arial"/>
                <w:b/>
                <w:bCs/>
              </w:rPr>
              <w:t>$DIF vs 2021</w:t>
            </w:r>
          </w:p>
        </w:tc>
        <w:tc>
          <w:tcPr>
            <w:tcW w:w="55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1D3CA"/>
            <w:tcMar>
              <w:top w:w="10" w:type="dxa"/>
              <w:left w:w="158" w:type="dxa"/>
              <w:bottom w:w="0" w:type="dxa"/>
              <w:right w:w="158" w:type="dxa"/>
            </w:tcMar>
            <w:vAlign w:val="center"/>
            <w:hideMark/>
          </w:tcPr>
          <w:p w:rsidR="00CC48AD" w:rsidRDefault="007B6BE9">
            <w:pPr>
              <w:spacing w:before="100" w:beforeAutospacing="1" w:after="100" w:afterAutospacing="1"/>
              <w:jc w:val="center"/>
              <w:rPr>
                <w:rFonts w:cs="Arial"/>
              </w:rPr>
            </w:pPr>
            <w:r w:rsidRPr="007B6BE9">
              <w:rPr>
                <w:rFonts w:cs="Arial"/>
                <w:b/>
                <w:bCs/>
              </w:rPr>
              <w:t>%DIF REAL vs 2021</w:t>
            </w:r>
          </w:p>
        </w:tc>
      </w:tr>
      <w:tr w:rsidR="003955CD" w:rsidRPr="007B0283" w:rsidTr="003955CD">
        <w:trPr>
          <w:trHeight w:val="410"/>
        </w:trPr>
        <w:tc>
          <w:tcPr>
            <w:tcW w:w="1086" w:type="pct"/>
            <w:tcBorders>
              <w:top w:val="single" w:sz="4" w:space="0" w:color="FFFFFF" w:themeColor="background1"/>
              <w:left w:val="nil"/>
              <w:bottom w:val="single" w:sz="4" w:space="0" w:color="FFFFFF"/>
              <w:right w:val="single" w:sz="4" w:space="0" w:color="FFFFFF"/>
            </w:tcBorders>
            <w:shd w:val="clear" w:color="auto" w:fill="268DAD"/>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b/>
                <w:bCs/>
              </w:rPr>
              <w:t>I. Gasto No Etiquetado​</w:t>
            </w:r>
          </w:p>
        </w:tc>
        <w:tc>
          <w:tcPr>
            <w:tcW w:w="542" w:type="pct"/>
            <w:tcBorders>
              <w:top w:val="single" w:sz="4" w:space="0" w:color="FFFFFF" w:themeColor="background1"/>
              <w:left w:val="single" w:sz="4" w:space="0" w:color="FFFFFF"/>
              <w:bottom w:val="single" w:sz="4" w:space="0" w:color="FFFFFF"/>
              <w:right w:val="single" w:sz="4" w:space="0" w:color="FFFFFF"/>
            </w:tcBorders>
            <w:shd w:val="clear" w:color="auto" w:fill="268DAD"/>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20,464.9</w:t>
            </w:r>
          </w:p>
        </w:tc>
        <w:tc>
          <w:tcPr>
            <w:tcW w:w="542" w:type="pct"/>
            <w:tcBorders>
              <w:top w:val="single" w:sz="4" w:space="0" w:color="FFFFFF" w:themeColor="background1"/>
              <w:left w:val="single" w:sz="4" w:space="0" w:color="FFFFFF"/>
              <w:bottom w:val="single" w:sz="4" w:space="0" w:color="FFFFFF"/>
              <w:right w:val="single" w:sz="4" w:space="0" w:color="FFFFFF"/>
            </w:tcBorders>
            <w:shd w:val="clear" w:color="auto" w:fill="268DAD"/>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18,975.2</w:t>
            </w:r>
          </w:p>
        </w:tc>
        <w:tc>
          <w:tcPr>
            <w:tcW w:w="768" w:type="pct"/>
            <w:tcBorders>
              <w:top w:val="single" w:sz="4" w:space="0" w:color="FFFFFF" w:themeColor="background1"/>
              <w:left w:val="single" w:sz="4" w:space="0" w:color="FFFFFF"/>
              <w:bottom w:val="single" w:sz="4" w:space="0" w:color="FFFFFF"/>
              <w:right w:val="single" w:sz="4" w:space="0" w:color="FFFFFF"/>
            </w:tcBorders>
            <w:shd w:val="clear" w:color="auto" w:fill="268DAD"/>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22,398.4</w:t>
            </w:r>
          </w:p>
        </w:tc>
        <w:tc>
          <w:tcPr>
            <w:tcW w:w="481" w:type="pct"/>
            <w:tcBorders>
              <w:top w:val="single" w:sz="4" w:space="0" w:color="FFFFFF" w:themeColor="background1"/>
              <w:left w:val="single" w:sz="4" w:space="0" w:color="FFFFFF"/>
              <w:bottom w:val="single" w:sz="4" w:space="0" w:color="FFFFFF"/>
              <w:right w:val="single" w:sz="4" w:space="0" w:color="FFFFFF"/>
            </w:tcBorders>
            <w:shd w:val="clear" w:color="auto" w:fill="46B4D6"/>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1,933.5</w:t>
            </w:r>
          </w:p>
        </w:tc>
        <w:tc>
          <w:tcPr>
            <w:tcW w:w="549" w:type="pct"/>
            <w:tcBorders>
              <w:top w:val="single" w:sz="4" w:space="0" w:color="FFFFFF" w:themeColor="background1"/>
              <w:left w:val="single" w:sz="4" w:space="0" w:color="FFFFFF"/>
              <w:bottom w:val="single" w:sz="4" w:space="0" w:color="FFFFFF"/>
              <w:right w:val="single" w:sz="4" w:space="0" w:color="FFFFFF"/>
            </w:tcBorders>
            <w:shd w:val="clear" w:color="auto" w:fill="46B4D6"/>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0.4%</w:t>
            </w:r>
          </w:p>
        </w:tc>
        <w:tc>
          <w:tcPr>
            <w:tcW w:w="481" w:type="pct"/>
            <w:tcBorders>
              <w:top w:val="single" w:sz="4" w:space="0" w:color="FFFFFF" w:themeColor="background1"/>
              <w:left w:val="single" w:sz="4" w:space="0" w:color="FFFFFF"/>
              <w:bottom w:val="single" w:sz="4" w:space="0" w:color="FFFFFF"/>
              <w:right w:val="single" w:sz="4" w:space="0" w:color="FFFFFF"/>
            </w:tcBorders>
            <w:shd w:val="clear" w:color="auto" w:fill="79C8E1"/>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3,423.2</w:t>
            </w:r>
          </w:p>
        </w:tc>
        <w:tc>
          <w:tcPr>
            <w:tcW w:w="551" w:type="pct"/>
            <w:tcBorders>
              <w:top w:val="single" w:sz="4" w:space="0" w:color="FFFFFF" w:themeColor="background1"/>
              <w:left w:val="single" w:sz="4" w:space="0" w:color="FFFFFF"/>
              <w:bottom w:val="single" w:sz="4" w:space="0" w:color="FFFFFF"/>
              <w:right w:val="nil"/>
            </w:tcBorders>
            <w:shd w:val="clear" w:color="auto" w:fill="79C8E1"/>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11.7%</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b/>
                <w:bCs/>
              </w:rPr>
              <w:t>Poderes y autónomos</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1,362.1</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1,545.6</w:t>
            </w:r>
          </w:p>
        </w:tc>
        <w:tc>
          <w:tcPr>
            <w:tcW w:w="768"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1,472.8</w:t>
            </w:r>
          </w:p>
        </w:tc>
        <w:tc>
          <w:tcPr>
            <w:tcW w:w="481"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110.7</w:t>
            </w:r>
          </w:p>
        </w:tc>
        <w:tc>
          <w:tcPr>
            <w:tcW w:w="549"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-0.8%</w:t>
            </w:r>
          </w:p>
        </w:tc>
        <w:tc>
          <w:tcPr>
            <w:tcW w:w="481" w:type="pct"/>
            <w:tcBorders>
              <w:top w:val="single" w:sz="4" w:space="0" w:color="FFFFFF"/>
              <w:left w:val="single" w:sz="4" w:space="0" w:color="FFFFFF"/>
              <w:bottom w:val="single" w:sz="4" w:space="0" w:color="FFFFFF"/>
              <w:right w:val="single" w:sz="4" w:space="0" w:color="FFFFFF"/>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-72.8</w:t>
            </w:r>
          </w:p>
        </w:tc>
        <w:tc>
          <w:tcPr>
            <w:tcW w:w="551" w:type="pct"/>
            <w:tcBorders>
              <w:top w:val="single" w:sz="4" w:space="0" w:color="FFFFFF"/>
              <w:left w:val="single" w:sz="4" w:space="0" w:color="FFFFFF"/>
              <w:bottom w:val="single" w:sz="4" w:space="0" w:color="FFFFFF"/>
              <w:right w:val="nil"/>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-9.8%</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b/>
                <w:bCs/>
              </w:rPr>
              <w:t>Municipios</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3,698.4</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3,658.1</w:t>
            </w:r>
          </w:p>
        </w:tc>
        <w:tc>
          <w:tcPr>
            <w:tcW w:w="768"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4,092.2</w:t>
            </w:r>
          </w:p>
        </w:tc>
        <w:tc>
          <w:tcPr>
            <w:tcW w:w="481"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393.8</w:t>
            </w:r>
          </w:p>
        </w:tc>
        <w:tc>
          <w:tcPr>
            <w:tcW w:w="549"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1.5%</w:t>
            </w:r>
          </w:p>
        </w:tc>
        <w:tc>
          <w:tcPr>
            <w:tcW w:w="481" w:type="pct"/>
            <w:tcBorders>
              <w:top w:val="single" w:sz="4" w:space="0" w:color="FFFFFF"/>
              <w:left w:val="single" w:sz="4" w:space="0" w:color="FFFFFF"/>
              <w:bottom w:val="single" w:sz="4" w:space="0" w:color="FFFFFF"/>
              <w:right w:val="single" w:sz="4" w:space="0" w:color="FFFFFF"/>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434.1</w:t>
            </w:r>
          </w:p>
        </w:tc>
        <w:tc>
          <w:tcPr>
            <w:tcW w:w="551" w:type="pct"/>
            <w:tcBorders>
              <w:top w:val="single" w:sz="4" w:space="0" w:color="FFFFFF"/>
              <w:left w:val="single" w:sz="4" w:space="0" w:color="FFFFFF"/>
              <w:bottom w:val="single" w:sz="4" w:space="0" w:color="FFFFFF"/>
              <w:right w:val="nil"/>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5.8%</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b/>
                <w:bCs/>
              </w:rPr>
              <w:t>Jubilados SAF</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831.9</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808.3</w:t>
            </w:r>
          </w:p>
        </w:tc>
        <w:tc>
          <w:tcPr>
            <w:tcW w:w="768"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803.9</w:t>
            </w:r>
          </w:p>
        </w:tc>
        <w:tc>
          <w:tcPr>
            <w:tcW w:w="481"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-28.1</w:t>
            </w:r>
          </w:p>
        </w:tc>
        <w:tc>
          <w:tcPr>
            <w:tcW w:w="549"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-11.4%</w:t>
            </w:r>
          </w:p>
        </w:tc>
        <w:tc>
          <w:tcPr>
            <w:tcW w:w="481" w:type="pct"/>
            <w:tcBorders>
              <w:top w:val="single" w:sz="4" w:space="0" w:color="FFFFFF"/>
              <w:left w:val="single" w:sz="4" w:space="0" w:color="FFFFFF"/>
              <w:bottom w:val="single" w:sz="4" w:space="0" w:color="FFFFFF"/>
              <w:right w:val="single" w:sz="4" w:space="0" w:color="FFFFFF"/>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-4.4</w:t>
            </w:r>
          </w:p>
        </w:tc>
        <w:tc>
          <w:tcPr>
            <w:tcW w:w="551" w:type="pct"/>
            <w:tcBorders>
              <w:top w:val="single" w:sz="4" w:space="0" w:color="FFFFFF"/>
              <w:left w:val="single" w:sz="4" w:space="0" w:color="FFFFFF"/>
              <w:bottom w:val="single" w:sz="4" w:space="0" w:color="FFFFFF"/>
              <w:right w:val="nil"/>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-5.9%</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b/>
                <w:bCs/>
              </w:rPr>
              <w:t>Deuda Pública</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240.4</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478.1</w:t>
            </w:r>
          </w:p>
        </w:tc>
        <w:tc>
          <w:tcPr>
            <w:tcW w:w="768"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562.9</w:t>
            </w:r>
          </w:p>
        </w:tc>
        <w:tc>
          <w:tcPr>
            <w:tcW w:w="481"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322.5</w:t>
            </w:r>
          </w:p>
        </w:tc>
        <w:tc>
          <w:tcPr>
            <w:tcW w:w="549"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&gt;100%</w:t>
            </w:r>
          </w:p>
        </w:tc>
        <w:tc>
          <w:tcPr>
            <w:tcW w:w="481" w:type="pct"/>
            <w:tcBorders>
              <w:top w:val="single" w:sz="4" w:space="0" w:color="FFFFFF"/>
              <w:left w:val="single" w:sz="4" w:space="0" w:color="FFFFFF"/>
              <w:bottom w:val="single" w:sz="4" w:space="0" w:color="FFFFFF"/>
              <w:right w:val="single" w:sz="4" w:space="0" w:color="FFFFFF"/>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84.8</w:t>
            </w:r>
          </w:p>
        </w:tc>
        <w:tc>
          <w:tcPr>
            <w:tcW w:w="551" w:type="pct"/>
            <w:tcBorders>
              <w:top w:val="single" w:sz="4" w:space="0" w:color="FFFFFF"/>
              <w:left w:val="single" w:sz="4" w:space="0" w:color="FFFFFF"/>
              <w:bottom w:val="single" w:sz="4" w:space="0" w:color="FFFFFF"/>
              <w:right w:val="nil"/>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11.4%</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b/>
                <w:bCs/>
              </w:rPr>
              <w:t>Poder Ejecutivo</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14,332.1</w:t>
            </w:r>
          </w:p>
        </w:tc>
        <w:tc>
          <w:tcPr>
            <w:tcW w:w="542"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12,485.1</w:t>
            </w:r>
          </w:p>
        </w:tc>
        <w:tc>
          <w:tcPr>
            <w:tcW w:w="768" w:type="pct"/>
            <w:tcBorders>
              <w:top w:val="single" w:sz="4" w:space="0" w:color="FFFFFF"/>
              <w:left w:val="single" w:sz="4" w:space="0" w:color="FFFFFF"/>
              <w:bottom w:val="single" w:sz="4" w:space="0" w:color="FFFFFF"/>
              <w:right w:val="single" w:sz="4" w:space="0" w:color="FFFFFF"/>
            </w:tcBorders>
            <w:shd w:val="clear" w:color="auto" w:fill="BABABA"/>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15,466.6</w:t>
            </w:r>
          </w:p>
        </w:tc>
        <w:tc>
          <w:tcPr>
            <w:tcW w:w="481"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1,134.5</w:t>
            </w:r>
          </w:p>
        </w:tc>
        <w:tc>
          <w:tcPr>
            <w:tcW w:w="549" w:type="pct"/>
            <w:tcBorders>
              <w:top w:val="single" w:sz="4" w:space="0" w:color="FFFFFF"/>
              <w:left w:val="single" w:sz="4" w:space="0" w:color="FFFFFF"/>
              <w:bottom w:val="single" w:sz="4" w:space="0" w:color="FFFFFF"/>
              <w:right w:val="single" w:sz="4" w:space="0" w:color="FFFFFF"/>
            </w:tcBorders>
            <w:shd w:val="clear" w:color="auto" w:fill="CFCFCF"/>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-1.0%</w:t>
            </w:r>
          </w:p>
        </w:tc>
        <w:tc>
          <w:tcPr>
            <w:tcW w:w="481" w:type="pct"/>
            <w:tcBorders>
              <w:top w:val="single" w:sz="4" w:space="0" w:color="FFFFFF"/>
              <w:left w:val="single" w:sz="4" w:space="0" w:color="FFFFFF"/>
              <w:bottom w:val="single" w:sz="4" w:space="0" w:color="FFFFFF"/>
              <w:right w:val="single" w:sz="4" w:space="0" w:color="FFFFFF"/>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2,981.5</w:t>
            </w:r>
          </w:p>
        </w:tc>
        <w:tc>
          <w:tcPr>
            <w:tcW w:w="551" w:type="pct"/>
            <w:tcBorders>
              <w:top w:val="single" w:sz="4" w:space="0" w:color="FFFFFF"/>
              <w:left w:val="single" w:sz="4" w:space="0" w:color="FFFFFF"/>
              <w:bottom w:val="single" w:sz="4" w:space="0" w:color="FFFFFF"/>
              <w:right w:val="nil"/>
            </w:tcBorders>
            <w:shd w:val="clear" w:color="auto" w:fill="D7D7D7"/>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b/>
                <w:bCs/>
              </w:rPr>
              <w:t>17.2%</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t>Servicios personales​</w:t>
            </w:r>
          </w:p>
        </w:tc>
        <w:tc>
          <w:tcPr>
            <w:tcW w:w="542"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7,536.3</w:t>
            </w:r>
          </w:p>
        </w:tc>
        <w:tc>
          <w:tcPr>
            <w:tcW w:w="542"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7,462.7</w:t>
            </w:r>
          </w:p>
        </w:tc>
        <w:tc>
          <w:tcPr>
            <w:tcW w:w="768"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7,915.4</w:t>
            </w:r>
          </w:p>
        </w:tc>
        <w:tc>
          <w:tcPr>
            <w:tcW w:w="481"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379.2</w:t>
            </w:r>
          </w:p>
        </w:tc>
        <w:tc>
          <w:tcPr>
            <w:tcW w:w="549"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-3.7%</w:t>
            </w:r>
          </w:p>
        </w:tc>
        <w:tc>
          <w:tcPr>
            <w:tcW w:w="481"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452.7</w:t>
            </w:r>
          </w:p>
        </w:tc>
        <w:tc>
          <w:tcPr>
            <w:tcW w:w="551" w:type="pct"/>
            <w:tcBorders>
              <w:top w:val="single" w:sz="4" w:space="0" w:color="FFFFFF"/>
              <w:left w:val="single" w:sz="4" w:space="0" w:color="FFFFFF"/>
              <w:bottom w:val="single" w:sz="4" w:space="0" w:color="FFFFFF"/>
              <w:right w:val="nil"/>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0.3%</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t>Materiales y suministros​</w:t>
            </w:r>
          </w:p>
        </w:tc>
        <w:tc>
          <w:tcPr>
            <w:tcW w:w="542"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1,847.8</w:t>
            </w:r>
          </w:p>
        </w:tc>
        <w:tc>
          <w:tcPr>
            <w:tcW w:w="542"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1,333.6</w:t>
            </w:r>
          </w:p>
        </w:tc>
        <w:tc>
          <w:tcPr>
            <w:tcW w:w="768"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1,983.5</w:t>
            </w:r>
          </w:p>
        </w:tc>
        <w:tc>
          <w:tcPr>
            <w:tcW w:w="481"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135.7</w:t>
            </w:r>
          </w:p>
        </w:tc>
        <w:tc>
          <w:tcPr>
            <w:tcW w:w="549"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-1.5%</w:t>
            </w:r>
          </w:p>
        </w:tc>
        <w:tc>
          <w:tcPr>
            <w:tcW w:w="481"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650.0</w:t>
            </w:r>
          </w:p>
        </w:tc>
        <w:tc>
          <w:tcPr>
            <w:tcW w:w="551" w:type="pct"/>
            <w:tcBorders>
              <w:top w:val="single" w:sz="4" w:space="0" w:color="FFFFFF"/>
              <w:left w:val="single" w:sz="4" w:space="0" w:color="FFFFFF"/>
              <w:bottom w:val="single" w:sz="4" w:space="0" w:color="FFFFFF"/>
              <w:right w:val="nil"/>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40.7%</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t>Servicios generales​</w:t>
            </w:r>
          </w:p>
        </w:tc>
        <w:tc>
          <w:tcPr>
            <w:tcW w:w="542"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3,226.7</w:t>
            </w:r>
          </w:p>
        </w:tc>
        <w:tc>
          <w:tcPr>
            <w:tcW w:w="542"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2,741.6</w:t>
            </w:r>
          </w:p>
        </w:tc>
        <w:tc>
          <w:tcPr>
            <w:tcW w:w="768"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3,877.7</w:t>
            </w:r>
          </w:p>
        </w:tc>
        <w:tc>
          <w:tcPr>
            <w:tcW w:w="481"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651.0</w:t>
            </w:r>
          </w:p>
        </w:tc>
        <w:tc>
          <w:tcPr>
            <w:tcW w:w="549"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10.2%</w:t>
            </w:r>
          </w:p>
        </w:tc>
        <w:tc>
          <w:tcPr>
            <w:tcW w:w="481"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1,136.1</w:t>
            </w:r>
          </w:p>
        </w:tc>
        <w:tc>
          <w:tcPr>
            <w:tcW w:w="551" w:type="pct"/>
            <w:tcBorders>
              <w:top w:val="single" w:sz="4" w:space="0" w:color="FFFFFF"/>
              <w:left w:val="single" w:sz="4" w:space="0" w:color="FFFFFF"/>
              <w:bottom w:val="single" w:sz="4" w:space="0" w:color="FFFFFF"/>
              <w:right w:val="nil"/>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33.8%</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lastRenderedPageBreak/>
              <w:t>Apoyos y subsidios​</w:t>
            </w:r>
          </w:p>
        </w:tc>
        <w:tc>
          <w:tcPr>
            <w:tcW w:w="542"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1,212.3</w:t>
            </w:r>
          </w:p>
        </w:tc>
        <w:tc>
          <w:tcPr>
            <w:tcW w:w="542"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790.6</w:t>
            </w:r>
          </w:p>
        </w:tc>
        <w:tc>
          <w:tcPr>
            <w:tcW w:w="768"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970.3</w:t>
            </w:r>
          </w:p>
        </w:tc>
        <w:tc>
          <w:tcPr>
            <w:tcW w:w="481"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-242.0</w:t>
            </w:r>
          </w:p>
        </w:tc>
        <w:tc>
          <w:tcPr>
            <w:tcW w:w="549"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-26.6%</w:t>
            </w:r>
          </w:p>
        </w:tc>
        <w:tc>
          <w:tcPr>
            <w:tcW w:w="481"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179.8</w:t>
            </w:r>
          </w:p>
        </w:tc>
        <w:tc>
          <w:tcPr>
            <w:tcW w:w="551" w:type="pct"/>
            <w:tcBorders>
              <w:top w:val="single" w:sz="4" w:space="0" w:color="FFFFFF"/>
              <w:left w:val="single" w:sz="4" w:space="0" w:color="FFFFFF"/>
              <w:bottom w:val="single" w:sz="4" w:space="0" w:color="FFFFFF"/>
              <w:right w:val="nil"/>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16.1%</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t>Bienes muebles e inmuebles​</w:t>
            </w:r>
          </w:p>
        </w:tc>
        <w:tc>
          <w:tcPr>
            <w:tcW w:w="542"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44.0</w:t>
            </w:r>
          </w:p>
        </w:tc>
        <w:tc>
          <w:tcPr>
            <w:tcW w:w="542"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3.2</w:t>
            </w:r>
          </w:p>
        </w:tc>
        <w:tc>
          <w:tcPr>
            <w:tcW w:w="768"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134.2</w:t>
            </w:r>
          </w:p>
        </w:tc>
        <w:tc>
          <w:tcPr>
            <w:tcW w:w="481"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90.2</w:t>
            </w:r>
          </w:p>
        </w:tc>
        <w:tc>
          <w:tcPr>
            <w:tcW w:w="549"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&gt;100%</w:t>
            </w:r>
          </w:p>
        </w:tc>
        <w:tc>
          <w:tcPr>
            <w:tcW w:w="481"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131.0</w:t>
            </w:r>
          </w:p>
        </w:tc>
        <w:tc>
          <w:tcPr>
            <w:tcW w:w="551" w:type="pct"/>
            <w:tcBorders>
              <w:top w:val="single" w:sz="4" w:space="0" w:color="FFFFFF"/>
              <w:left w:val="single" w:sz="4" w:space="0" w:color="FFFFFF"/>
              <w:bottom w:val="single" w:sz="4" w:space="0" w:color="FFFFFF"/>
              <w:right w:val="nil"/>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&gt;100%</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t>Inversión pública​</w:t>
            </w:r>
          </w:p>
        </w:tc>
        <w:tc>
          <w:tcPr>
            <w:tcW w:w="542"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442.4</w:t>
            </w:r>
          </w:p>
        </w:tc>
        <w:tc>
          <w:tcPr>
            <w:tcW w:w="542"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145.2</w:t>
            </w:r>
          </w:p>
        </w:tc>
        <w:tc>
          <w:tcPr>
            <w:tcW w:w="768"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409.1</w:t>
            </w:r>
          </w:p>
        </w:tc>
        <w:tc>
          <w:tcPr>
            <w:tcW w:w="481"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-33.2</w:t>
            </w:r>
          </w:p>
        </w:tc>
        <w:tc>
          <w:tcPr>
            <w:tcW w:w="549"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-15.2%</w:t>
            </w:r>
          </w:p>
        </w:tc>
        <w:tc>
          <w:tcPr>
            <w:tcW w:w="481" w:type="pct"/>
            <w:tcBorders>
              <w:top w:val="single" w:sz="4" w:space="0" w:color="FFFFFF"/>
              <w:left w:val="single" w:sz="4" w:space="0" w:color="FFFFFF"/>
              <w:bottom w:val="single" w:sz="4" w:space="0" w:color="FFFFFF"/>
              <w:right w:val="single" w:sz="4" w:space="0" w:color="FFFFFF"/>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263.9</w:t>
            </w:r>
          </w:p>
        </w:tc>
        <w:tc>
          <w:tcPr>
            <w:tcW w:w="551" w:type="pct"/>
            <w:tcBorders>
              <w:top w:val="single" w:sz="4" w:space="0" w:color="FFFFFF"/>
              <w:left w:val="single" w:sz="4" w:space="0" w:color="FFFFFF"/>
              <w:bottom w:val="single" w:sz="4" w:space="0" w:color="FFFFFF"/>
              <w:right w:val="nil"/>
            </w:tcBorders>
            <w:shd w:val="clear" w:color="auto" w:fill="F2F2F2"/>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&gt;100%</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t>Inversión financiera​</w:t>
            </w:r>
          </w:p>
        </w:tc>
        <w:tc>
          <w:tcPr>
            <w:tcW w:w="542"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22.6</w:t>
            </w:r>
          </w:p>
        </w:tc>
        <w:tc>
          <w:tcPr>
            <w:tcW w:w="542"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8.3</w:t>
            </w:r>
          </w:p>
        </w:tc>
        <w:tc>
          <w:tcPr>
            <w:tcW w:w="768"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176.3</w:t>
            </w:r>
          </w:p>
        </w:tc>
        <w:tc>
          <w:tcPr>
            <w:tcW w:w="481"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153.7</w:t>
            </w:r>
          </w:p>
        </w:tc>
        <w:tc>
          <w:tcPr>
            <w:tcW w:w="549"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&gt;100%</w:t>
            </w:r>
          </w:p>
        </w:tc>
        <w:tc>
          <w:tcPr>
            <w:tcW w:w="481" w:type="pct"/>
            <w:tcBorders>
              <w:top w:val="single" w:sz="4" w:space="0" w:color="FFFFFF"/>
              <w:left w:val="single" w:sz="4" w:space="0" w:color="FFFFFF"/>
              <w:bottom w:val="single" w:sz="4" w:space="0" w:color="FFFFFF"/>
              <w:right w:val="single" w:sz="4" w:space="0" w:color="FFFFFF"/>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168.0</w:t>
            </w:r>
          </w:p>
        </w:tc>
        <w:tc>
          <w:tcPr>
            <w:tcW w:w="551" w:type="pct"/>
            <w:tcBorders>
              <w:top w:val="single" w:sz="4" w:space="0" w:color="FFFFFF"/>
              <w:left w:val="single" w:sz="4" w:space="0" w:color="FFFFFF"/>
              <w:bottom w:val="single" w:sz="4" w:space="0" w:color="FFFFFF"/>
              <w:right w:val="nil"/>
            </w:tcBorders>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&gt;100%</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268DAD"/>
            <w:tcMar>
              <w:top w:w="10" w:type="dxa"/>
              <w:left w:w="11" w:type="dxa"/>
              <w:bottom w:w="0" w:type="dxa"/>
              <w:right w:w="11" w:type="dxa"/>
            </w:tcMar>
            <w:vAlign w:val="center"/>
          </w:tcPr>
          <w:p w:rsidR="00CC48AD" w:rsidRDefault="007B6BE9">
            <w:pPr>
              <w:spacing w:before="100" w:beforeAutospacing="1" w:after="100" w:afterAutospacing="1"/>
              <w:rPr>
                <w:rFonts w:cs="Arial"/>
              </w:rPr>
            </w:pPr>
            <w:r w:rsidRPr="007B6BE9">
              <w:rPr>
                <w:rFonts w:cs="Arial"/>
                <w:b/>
                <w:bCs/>
              </w:rPr>
              <w:t>II. Gasto Etiquetado​</w:t>
            </w:r>
          </w:p>
        </w:tc>
        <w:tc>
          <w:tcPr>
            <w:tcW w:w="542" w:type="pct"/>
            <w:tcBorders>
              <w:top w:val="single" w:sz="4" w:space="0" w:color="FFFFFF"/>
              <w:left w:val="single" w:sz="4" w:space="0" w:color="FFFFFF"/>
              <w:bottom w:val="single" w:sz="4" w:space="0" w:color="FFFFFF"/>
              <w:right w:val="single" w:sz="4" w:space="0" w:color="FFFFFF"/>
            </w:tcBorders>
            <w:shd w:val="clear" w:color="auto" w:fill="268DAD"/>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18,610.7</w:t>
            </w:r>
          </w:p>
        </w:tc>
        <w:tc>
          <w:tcPr>
            <w:tcW w:w="542" w:type="pct"/>
            <w:tcBorders>
              <w:top w:val="single" w:sz="4" w:space="0" w:color="FFFFFF"/>
              <w:left w:val="single" w:sz="4" w:space="0" w:color="FFFFFF"/>
              <w:bottom w:val="single" w:sz="4" w:space="0" w:color="FFFFFF"/>
              <w:right w:val="single" w:sz="4" w:space="0" w:color="FFFFFF"/>
            </w:tcBorders>
            <w:shd w:val="clear" w:color="auto" w:fill="268DAD"/>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19,106.5</w:t>
            </w:r>
          </w:p>
        </w:tc>
        <w:tc>
          <w:tcPr>
            <w:tcW w:w="768" w:type="pct"/>
            <w:tcBorders>
              <w:top w:val="single" w:sz="4" w:space="0" w:color="FFFFFF"/>
              <w:left w:val="single" w:sz="4" w:space="0" w:color="FFFFFF"/>
              <w:bottom w:val="single" w:sz="4" w:space="0" w:color="FFFFFF"/>
              <w:right w:val="single" w:sz="4" w:space="0" w:color="FFFFFF"/>
            </w:tcBorders>
            <w:shd w:val="clear" w:color="auto" w:fill="268DAD"/>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20,237.4</w:t>
            </w:r>
          </w:p>
        </w:tc>
        <w:tc>
          <w:tcPr>
            <w:tcW w:w="481" w:type="pct"/>
            <w:tcBorders>
              <w:top w:val="single" w:sz="4" w:space="0" w:color="FFFFFF"/>
              <w:left w:val="single" w:sz="4" w:space="0" w:color="FFFFFF"/>
              <w:bottom w:val="single" w:sz="4" w:space="0" w:color="FFFFFF"/>
              <w:right w:val="single" w:sz="4" w:space="0" w:color="FFFFFF"/>
            </w:tcBorders>
            <w:shd w:val="clear" w:color="auto" w:fill="46B4D6"/>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1,626.7</w:t>
            </w:r>
          </w:p>
        </w:tc>
        <w:tc>
          <w:tcPr>
            <w:tcW w:w="549" w:type="pct"/>
            <w:tcBorders>
              <w:top w:val="single" w:sz="4" w:space="0" w:color="FFFFFF"/>
              <w:left w:val="single" w:sz="4" w:space="0" w:color="FFFFFF"/>
              <w:bottom w:val="single" w:sz="4" w:space="0" w:color="FFFFFF"/>
              <w:right w:val="single" w:sz="4" w:space="0" w:color="FFFFFF"/>
            </w:tcBorders>
            <w:shd w:val="clear" w:color="auto" w:fill="46B4D6"/>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-0.3%</w:t>
            </w:r>
          </w:p>
        </w:tc>
        <w:tc>
          <w:tcPr>
            <w:tcW w:w="481" w:type="pct"/>
            <w:tcBorders>
              <w:top w:val="single" w:sz="4" w:space="0" w:color="FFFFFF"/>
              <w:left w:val="single" w:sz="4" w:space="0" w:color="FFFFFF"/>
              <w:bottom w:val="single" w:sz="4" w:space="0" w:color="FFFFFF"/>
              <w:right w:val="single" w:sz="4" w:space="0" w:color="FFFFFF"/>
            </w:tcBorders>
            <w:shd w:val="clear" w:color="auto" w:fill="79C8E1"/>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1,130.9</w:t>
            </w:r>
          </w:p>
        </w:tc>
        <w:tc>
          <w:tcPr>
            <w:tcW w:w="551" w:type="pct"/>
            <w:tcBorders>
              <w:top w:val="single" w:sz="4" w:space="0" w:color="FFFFFF"/>
              <w:left w:val="single" w:sz="4" w:space="0" w:color="FFFFFF"/>
              <w:bottom w:val="single" w:sz="4" w:space="0" w:color="FFFFFF"/>
              <w:right w:val="nil"/>
            </w:tcBorders>
            <w:shd w:val="clear" w:color="auto" w:fill="79C8E1"/>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0.2%</w:t>
            </w:r>
          </w:p>
        </w:tc>
      </w:tr>
      <w:tr w:rsidR="003955CD" w:rsidRPr="007B0283" w:rsidTr="003955CD">
        <w:trPr>
          <w:trHeight w:val="434"/>
        </w:trPr>
        <w:tc>
          <w:tcPr>
            <w:tcW w:w="1086" w:type="pct"/>
            <w:tcBorders>
              <w:top w:val="single" w:sz="4" w:space="0" w:color="FFFFFF"/>
              <w:left w:val="nil"/>
              <w:bottom w:val="single" w:sz="4" w:space="0" w:color="FFFFFF"/>
              <w:right w:val="single" w:sz="4" w:space="0" w:color="FFFFFF"/>
            </w:tcBorders>
            <w:shd w:val="clear" w:color="auto" w:fill="AEAAAA" w:themeFill="background2" w:themeFillShade="BF"/>
            <w:tcMar>
              <w:top w:w="10" w:type="dxa"/>
              <w:left w:w="11" w:type="dxa"/>
              <w:bottom w:w="0" w:type="dxa"/>
              <w:right w:w="11" w:type="dxa"/>
            </w:tcMar>
            <w:vAlign w:val="center"/>
          </w:tcPr>
          <w:p w:rsidR="00CC48AD" w:rsidRDefault="007B6BE9">
            <w:pPr>
              <w:spacing w:before="100" w:beforeAutospacing="1" w:after="100" w:afterAutospacing="1"/>
              <w:rPr>
                <w:rFonts w:cs="Arial"/>
              </w:rPr>
            </w:pPr>
            <w:r w:rsidRPr="007B6BE9">
              <w:rPr>
                <w:rFonts w:cs="Arial"/>
                <w:b/>
                <w:bCs/>
              </w:rPr>
              <w:t>Total​</w:t>
            </w:r>
          </w:p>
        </w:tc>
        <w:tc>
          <w:tcPr>
            <w:tcW w:w="542" w:type="pct"/>
            <w:tcBorders>
              <w:top w:val="single" w:sz="4" w:space="0" w:color="FFFFFF"/>
              <w:left w:val="single" w:sz="4" w:space="0" w:color="FFFFFF"/>
              <w:bottom w:val="single" w:sz="4" w:space="0" w:color="FFFFFF"/>
              <w:right w:val="single" w:sz="4" w:space="0" w:color="FFFFFF"/>
            </w:tcBorders>
            <w:shd w:val="clear" w:color="auto" w:fill="AEAAAA" w:themeFill="background2" w:themeFillShade="BF"/>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39,075.5</w:t>
            </w:r>
          </w:p>
        </w:tc>
        <w:tc>
          <w:tcPr>
            <w:tcW w:w="542" w:type="pct"/>
            <w:tcBorders>
              <w:top w:val="single" w:sz="4" w:space="0" w:color="FFFFFF"/>
              <w:left w:val="single" w:sz="4" w:space="0" w:color="FFFFFF"/>
              <w:bottom w:val="single" w:sz="4" w:space="0" w:color="FFFFFF"/>
              <w:right w:val="single" w:sz="4" w:space="0" w:color="FFFFFF"/>
            </w:tcBorders>
            <w:shd w:val="clear" w:color="auto" w:fill="AEAAAA" w:themeFill="background2" w:themeFillShade="BF"/>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38,081.7</w:t>
            </w:r>
          </w:p>
        </w:tc>
        <w:tc>
          <w:tcPr>
            <w:tcW w:w="768" w:type="pct"/>
            <w:tcBorders>
              <w:top w:val="single" w:sz="4" w:space="0" w:color="FFFFFF"/>
              <w:left w:val="single" w:sz="4" w:space="0" w:color="FFFFFF"/>
              <w:bottom w:val="single" w:sz="4" w:space="0" w:color="FFFFFF"/>
              <w:right w:val="single" w:sz="4" w:space="0" w:color="FFFFFF"/>
            </w:tcBorders>
            <w:shd w:val="clear" w:color="auto" w:fill="AEAAAA" w:themeFill="background2" w:themeFillShade="BF"/>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42,635.7</w:t>
            </w:r>
          </w:p>
        </w:tc>
        <w:tc>
          <w:tcPr>
            <w:tcW w:w="481" w:type="pct"/>
            <w:tcBorders>
              <w:top w:val="single" w:sz="4" w:space="0" w:color="FFFFFF"/>
              <w:left w:val="single" w:sz="4" w:space="0" w:color="FFFFFF"/>
              <w:bottom w:val="single" w:sz="4" w:space="0" w:color="FFFFFF"/>
              <w:right w:val="single" w:sz="4" w:space="0" w:color="FFFFFF"/>
            </w:tcBorders>
            <w:shd w:val="clear" w:color="auto" w:fill="AEAAAA" w:themeFill="background2" w:themeFillShade="BF"/>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3,560.2</w:t>
            </w:r>
          </w:p>
        </w:tc>
        <w:tc>
          <w:tcPr>
            <w:tcW w:w="549" w:type="pct"/>
            <w:tcBorders>
              <w:top w:val="single" w:sz="4" w:space="0" w:color="FFFFFF"/>
              <w:left w:val="single" w:sz="4" w:space="0" w:color="FFFFFF"/>
              <w:bottom w:val="single" w:sz="4" w:space="0" w:color="FFFFFF"/>
              <w:right w:val="single" w:sz="4" w:space="0" w:color="FFFFFF"/>
            </w:tcBorders>
            <w:shd w:val="clear" w:color="auto" w:fill="AEAAAA" w:themeFill="background2" w:themeFillShade="BF"/>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0.1%</w:t>
            </w:r>
          </w:p>
        </w:tc>
        <w:tc>
          <w:tcPr>
            <w:tcW w:w="481" w:type="pct"/>
            <w:tcBorders>
              <w:top w:val="single" w:sz="4" w:space="0" w:color="FFFFFF"/>
              <w:left w:val="single" w:sz="4" w:space="0" w:color="FFFFFF"/>
              <w:bottom w:val="single" w:sz="4" w:space="0" w:color="FFFFFF"/>
              <w:right w:val="single" w:sz="4" w:space="0" w:color="FFFFFF"/>
            </w:tcBorders>
            <w:shd w:val="clear" w:color="auto" w:fill="AEAAAA" w:themeFill="background2" w:themeFillShade="BF"/>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4,554.0</w:t>
            </w:r>
          </w:p>
        </w:tc>
        <w:tc>
          <w:tcPr>
            <w:tcW w:w="551" w:type="pct"/>
            <w:tcBorders>
              <w:top w:val="single" w:sz="4" w:space="0" w:color="FFFFFF"/>
              <w:left w:val="single" w:sz="4" w:space="0" w:color="FFFFFF"/>
              <w:bottom w:val="single" w:sz="4" w:space="0" w:color="FFFFFF"/>
              <w:right w:val="nil"/>
            </w:tcBorders>
            <w:shd w:val="clear" w:color="auto" w:fill="AEAAAA" w:themeFill="background2" w:themeFillShade="BF"/>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b/>
                <w:bCs/>
              </w:rPr>
              <w:t>5.9%</w:t>
            </w:r>
          </w:p>
        </w:tc>
      </w:tr>
      <w:tr w:rsidR="003955CD" w:rsidRPr="007B0283" w:rsidTr="003955CD">
        <w:trPr>
          <w:trHeight w:val="378"/>
        </w:trPr>
        <w:tc>
          <w:tcPr>
            <w:tcW w:w="5000" w:type="pct"/>
            <w:gridSpan w:val="8"/>
            <w:tcBorders>
              <w:top w:val="single" w:sz="4" w:space="0" w:color="FFFFFF"/>
              <w:left w:val="nil"/>
              <w:bottom w:val="nil"/>
              <w:right w:val="nil"/>
            </w:tcBorders>
            <w:shd w:val="clear" w:color="auto" w:fill="auto"/>
            <w:tcMar>
              <w:top w:w="10" w:type="dxa"/>
              <w:left w:w="158" w:type="dxa"/>
              <w:bottom w:w="0" w:type="dxa"/>
              <w:right w:w="158" w:type="dxa"/>
            </w:tcMar>
            <w:vAlign w:val="center"/>
            <w:hideMark/>
          </w:tcPr>
          <w:p w:rsidR="00CC48AD" w:rsidRDefault="007B6BE9">
            <w:pPr>
              <w:spacing w:before="100" w:beforeAutospacing="1" w:after="100" w:afterAutospacing="1"/>
              <w:rPr>
                <w:rFonts w:cs="Arial"/>
              </w:rPr>
            </w:pPr>
            <w:r w:rsidRPr="007B6BE9">
              <w:rPr>
                <w:rFonts w:cs="Arial"/>
              </w:rPr>
              <w:t>*Excluye el gasto por financiamientos así como por venta de bienes y servicios</w:t>
            </w:r>
          </w:p>
        </w:tc>
      </w:tr>
    </w:tbl>
    <w:p w:rsidR="00CC48AD" w:rsidRDefault="007B6BE9">
      <w:pPr>
        <w:spacing w:before="100" w:beforeAutospacing="1" w:after="100" w:afterAutospacing="1"/>
        <w:rPr>
          <w:rFonts w:cs="Arial"/>
        </w:rPr>
      </w:pPr>
      <w:r w:rsidRPr="007B6BE9">
        <w:rPr>
          <w:rFonts w:cs="Arial"/>
        </w:rPr>
        <w:t>Los egresos proyectados para el ejercicio 2022 se pueden analizar con mayor detalle en los siguientes apartados del Proyecto:</w:t>
      </w:r>
    </w:p>
    <w:tbl>
      <w:tblPr>
        <w:tblW w:w="70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4425"/>
        <w:gridCol w:w="2582"/>
      </w:tblGrid>
      <w:tr w:rsidR="003955CD" w:rsidRPr="007B0283" w:rsidTr="003955CD">
        <w:trPr>
          <w:trHeight w:val="594"/>
          <w:jc w:val="center"/>
        </w:trPr>
        <w:tc>
          <w:tcPr>
            <w:tcW w:w="4425" w:type="dxa"/>
            <w:shd w:val="clear" w:color="auto" w:fill="279B92"/>
            <w:tcMar>
              <w:top w:w="10" w:type="dxa"/>
              <w:left w:w="158" w:type="dxa"/>
              <w:bottom w:w="0" w:type="dxa"/>
              <w:right w:w="158" w:type="dxa"/>
            </w:tcMar>
            <w:vAlign w:val="center"/>
            <w:hideMark/>
          </w:tcPr>
          <w:p w:rsidR="00CC48AD" w:rsidRDefault="007B6BE9">
            <w:pPr>
              <w:spacing w:before="100" w:beforeAutospacing="1" w:after="100" w:afterAutospacing="1"/>
              <w:jc w:val="center"/>
              <w:rPr>
                <w:rFonts w:cs="Arial"/>
              </w:rPr>
            </w:pPr>
            <w:r w:rsidRPr="007B6BE9">
              <w:rPr>
                <w:rFonts w:cs="Arial"/>
                <w:b/>
                <w:bCs/>
              </w:rPr>
              <w:t>Clasificación</w:t>
            </w:r>
          </w:p>
        </w:tc>
        <w:tc>
          <w:tcPr>
            <w:tcW w:w="2582" w:type="dxa"/>
            <w:shd w:val="clear" w:color="auto" w:fill="279B92"/>
            <w:tcMar>
              <w:top w:w="10" w:type="dxa"/>
              <w:left w:w="11" w:type="dxa"/>
              <w:bottom w:w="0" w:type="dxa"/>
              <w:right w:w="11" w:type="dxa"/>
            </w:tcMar>
            <w:vAlign w:val="center"/>
            <w:hideMark/>
          </w:tcPr>
          <w:p w:rsidR="00CC48AD" w:rsidRDefault="007B6BE9">
            <w:pPr>
              <w:spacing w:before="100" w:beforeAutospacing="1" w:after="100" w:afterAutospacing="1"/>
              <w:jc w:val="center"/>
              <w:rPr>
                <w:rFonts w:cs="Arial"/>
              </w:rPr>
            </w:pPr>
            <w:r w:rsidRPr="007B6BE9">
              <w:rPr>
                <w:rFonts w:cs="Arial"/>
                <w:b/>
                <w:bCs/>
              </w:rPr>
              <w:t>Apartado</w:t>
            </w:r>
          </w:p>
        </w:tc>
      </w:tr>
      <w:tr w:rsidR="003955CD" w:rsidRPr="007B0283" w:rsidTr="003955CD">
        <w:trPr>
          <w:trHeight w:val="443"/>
          <w:jc w:val="center"/>
        </w:trPr>
        <w:tc>
          <w:tcPr>
            <w:tcW w:w="4425" w:type="dxa"/>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t>Clasificación administrativa</w:t>
            </w:r>
          </w:p>
        </w:tc>
        <w:tc>
          <w:tcPr>
            <w:tcW w:w="2582" w:type="dxa"/>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 xml:space="preserve">Anexos 2.1 y 16.6 </w:t>
            </w:r>
          </w:p>
          <w:p w:rsidR="00CC48AD" w:rsidRDefault="007B6BE9">
            <w:pPr>
              <w:spacing w:before="100" w:beforeAutospacing="1" w:after="100" w:afterAutospacing="1"/>
              <w:jc w:val="right"/>
              <w:rPr>
                <w:rFonts w:cs="Arial"/>
              </w:rPr>
            </w:pPr>
            <w:r w:rsidRPr="007B6BE9">
              <w:rPr>
                <w:rFonts w:cs="Arial"/>
              </w:rPr>
              <w:t xml:space="preserve">Tomos I, II, III y IV </w:t>
            </w:r>
          </w:p>
        </w:tc>
      </w:tr>
      <w:tr w:rsidR="003955CD" w:rsidRPr="007B0283" w:rsidTr="003955CD">
        <w:trPr>
          <w:trHeight w:val="309"/>
          <w:jc w:val="center"/>
        </w:trPr>
        <w:tc>
          <w:tcPr>
            <w:tcW w:w="4425" w:type="dxa"/>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t>Clasificación por objeto del gasto</w:t>
            </w:r>
          </w:p>
        </w:tc>
        <w:tc>
          <w:tcPr>
            <w:tcW w:w="2582" w:type="dxa"/>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Anexos 2.6, 16.4 y 16.5</w:t>
            </w:r>
          </w:p>
          <w:p w:rsidR="00CC48AD" w:rsidRDefault="007B6BE9">
            <w:pPr>
              <w:spacing w:before="100" w:beforeAutospacing="1" w:after="100" w:afterAutospacing="1"/>
              <w:jc w:val="right"/>
              <w:rPr>
                <w:rFonts w:cs="Arial"/>
              </w:rPr>
            </w:pPr>
            <w:r w:rsidRPr="007B6BE9">
              <w:rPr>
                <w:rFonts w:cs="Arial"/>
              </w:rPr>
              <w:t>Tomos I, II, III y IV</w:t>
            </w:r>
          </w:p>
        </w:tc>
      </w:tr>
      <w:tr w:rsidR="003955CD" w:rsidRPr="007B0283" w:rsidTr="003955CD">
        <w:trPr>
          <w:trHeight w:val="309"/>
          <w:jc w:val="center"/>
        </w:trPr>
        <w:tc>
          <w:tcPr>
            <w:tcW w:w="4425" w:type="dxa"/>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rPr>
                <w:rFonts w:cs="Arial"/>
              </w:rPr>
            </w:pPr>
            <w:r w:rsidRPr="007B6BE9">
              <w:rPr>
                <w:rFonts w:cs="Arial"/>
              </w:rPr>
              <w:t>Clasificación por Tipo de Gasto</w:t>
            </w:r>
          </w:p>
        </w:tc>
        <w:tc>
          <w:tcPr>
            <w:tcW w:w="2582" w:type="dxa"/>
            <w:shd w:val="clear" w:color="auto" w:fill="auto"/>
            <w:tcMar>
              <w:top w:w="10" w:type="dxa"/>
              <w:left w:w="11" w:type="dxa"/>
              <w:bottom w:w="0" w:type="dxa"/>
              <w:right w:w="11" w:type="dxa"/>
            </w:tcMar>
            <w:vAlign w:val="center"/>
            <w:hideMark/>
          </w:tcPr>
          <w:p w:rsidR="00CC48AD" w:rsidRDefault="007B6BE9">
            <w:pPr>
              <w:spacing w:before="100" w:beforeAutospacing="1" w:after="100" w:afterAutospacing="1"/>
              <w:jc w:val="right"/>
              <w:rPr>
                <w:rFonts w:cs="Arial"/>
              </w:rPr>
            </w:pPr>
            <w:r w:rsidRPr="007B6BE9">
              <w:rPr>
                <w:rFonts w:cs="Arial"/>
              </w:rPr>
              <w:t>Anexo 2.5</w:t>
            </w:r>
          </w:p>
          <w:p w:rsidR="00CC48AD" w:rsidRDefault="007B6BE9">
            <w:pPr>
              <w:spacing w:before="100" w:beforeAutospacing="1" w:after="100" w:afterAutospacing="1"/>
              <w:jc w:val="right"/>
              <w:rPr>
                <w:rFonts w:cs="Arial"/>
              </w:rPr>
            </w:pPr>
            <w:r w:rsidRPr="007B6BE9">
              <w:rPr>
                <w:rFonts w:cs="Arial"/>
              </w:rPr>
              <w:t xml:space="preserve">Tomos I, II, III y IV </w:t>
            </w:r>
          </w:p>
        </w:tc>
      </w:tr>
      <w:tr w:rsidR="003955CD" w:rsidRPr="007B0283" w:rsidTr="003955CD">
        <w:trPr>
          <w:trHeight w:val="309"/>
          <w:jc w:val="center"/>
        </w:trPr>
        <w:tc>
          <w:tcPr>
            <w:tcW w:w="4425" w:type="dxa"/>
            <w:shd w:val="clear" w:color="auto" w:fill="auto"/>
            <w:tcMar>
              <w:top w:w="10" w:type="dxa"/>
              <w:left w:w="11" w:type="dxa"/>
              <w:bottom w:w="0" w:type="dxa"/>
              <w:right w:w="11" w:type="dxa"/>
            </w:tcMar>
            <w:vAlign w:val="center"/>
          </w:tcPr>
          <w:p w:rsidR="00CC48AD" w:rsidRDefault="007B6BE9">
            <w:pPr>
              <w:spacing w:before="100" w:beforeAutospacing="1" w:after="100" w:afterAutospacing="1"/>
              <w:rPr>
                <w:rFonts w:cs="Arial"/>
              </w:rPr>
            </w:pPr>
            <w:r w:rsidRPr="007B6BE9">
              <w:rPr>
                <w:rFonts w:cs="Arial"/>
              </w:rPr>
              <w:t>Gasto programable y no programable</w:t>
            </w:r>
          </w:p>
        </w:tc>
        <w:tc>
          <w:tcPr>
            <w:tcW w:w="2582" w:type="dxa"/>
            <w:shd w:val="clear" w:color="auto" w:fill="auto"/>
            <w:tcMar>
              <w:top w:w="10" w:type="dxa"/>
              <w:left w:w="11" w:type="dxa"/>
              <w:bottom w:w="0" w:type="dxa"/>
              <w:right w:w="11" w:type="dxa"/>
            </w:tcMar>
            <w:vAlign w:val="center"/>
          </w:tcPr>
          <w:p w:rsidR="00CC48AD" w:rsidRDefault="007B6BE9">
            <w:pPr>
              <w:spacing w:before="100" w:beforeAutospacing="1" w:after="100" w:afterAutospacing="1"/>
              <w:jc w:val="right"/>
              <w:rPr>
                <w:rFonts w:cs="Arial"/>
                <w:lang w:val="es-ES"/>
              </w:rPr>
            </w:pPr>
            <w:r w:rsidRPr="007B6BE9">
              <w:rPr>
                <w:rFonts w:cs="Arial"/>
                <w:lang w:val="es-ES"/>
              </w:rPr>
              <w:t>Tomos I, II, III y IV</w:t>
            </w:r>
          </w:p>
        </w:tc>
      </w:tr>
      <w:tr w:rsidR="003955CD" w:rsidRPr="007B0283" w:rsidTr="003955CD">
        <w:trPr>
          <w:trHeight w:val="309"/>
          <w:jc w:val="center"/>
        </w:trPr>
        <w:tc>
          <w:tcPr>
            <w:tcW w:w="4425" w:type="dxa"/>
            <w:shd w:val="clear" w:color="auto" w:fill="auto"/>
            <w:tcMar>
              <w:top w:w="10" w:type="dxa"/>
              <w:left w:w="11" w:type="dxa"/>
              <w:bottom w:w="0" w:type="dxa"/>
              <w:right w:w="11" w:type="dxa"/>
            </w:tcMar>
            <w:vAlign w:val="center"/>
          </w:tcPr>
          <w:p w:rsidR="00CC48AD" w:rsidRDefault="007B6BE9">
            <w:pPr>
              <w:spacing w:before="100" w:beforeAutospacing="1" w:after="100" w:afterAutospacing="1"/>
              <w:rPr>
                <w:rFonts w:cs="Arial"/>
              </w:rPr>
            </w:pPr>
            <w:r w:rsidRPr="007B6BE9">
              <w:rPr>
                <w:rFonts w:cs="Arial"/>
              </w:rPr>
              <w:t>Estructura funcional programática</w:t>
            </w:r>
          </w:p>
        </w:tc>
        <w:tc>
          <w:tcPr>
            <w:tcW w:w="2582" w:type="dxa"/>
            <w:shd w:val="clear" w:color="auto" w:fill="auto"/>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rPr>
              <w:t xml:space="preserve">Tomos I, II, III y IV </w:t>
            </w:r>
          </w:p>
        </w:tc>
      </w:tr>
      <w:tr w:rsidR="003955CD" w:rsidRPr="007B0283" w:rsidTr="003955CD">
        <w:trPr>
          <w:trHeight w:val="309"/>
          <w:jc w:val="center"/>
        </w:trPr>
        <w:tc>
          <w:tcPr>
            <w:tcW w:w="4425" w:type="dxa"/>
            <w:shd w:val="clear" w:color="auto" w:fill="auto"/>
            <w:tcMar>
              <w:top w:w="10" w:type="dxa"/>
              <w:left w:w="11" w:type="dxa"/>
              <w:bottom w:w="0" w:type="dxa"/>
              <w:right w:w="11" w:type="dxa"/>
            </w:tcMar>
            <w:vAlign w:val="center"/>
          </w:tcPr>
          <w:p w:rsidR="00CC48AD" w:rsidRDefault="007B6BE9">
            <w:pPr>
              <w:spacing w:before="100" w:beforeAutospacing="1" w:after="100" w:afterAutospacing="1"/>
              <w:rPr>
                <w:rFonts w:cs="Arial"/>
              </w:rPr>
            </w:pPr>
            <w:r w:rsidRPr="007B6BE9">
              <w:rPr>
                <w:rFonts w:cs="Arial"/>
              </w:rPr>
              <w:t>Alineación con el Plan Estatal de Desarrollo (PED 2018-2024)</w:t>
            </w:r>
          </w:p>
        </w:tc>
        <w:tc>
          <w:tcPr>
            <w:tcW w:w="2582" w:type="dxa"/>
            <w:shd w:val="clear" w:color="auto" w:fill="auto"/>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rPr>
              <w:t>Anexo 2.7</w:t>
            </w:r>
          </w:p>
        </w:tc>
      </w:tr>
      <w:tr w:rsidR="003955CD" w:rsidRPr="007B0283" w:rsidTr="003955CD">
        <w:trPr>
          <w:trHeight w:val="705"/>
          <w:jc w:val="center"/>
        </w:trPr>
        <w:tc>
          <w:tcPr>
            <w:tcW w:w="4425" w:type="dxa"/>
            <w:shd w:val="clear" w:color="auto" w:fill="auto"/>
            <w:tcMar>
              <w:top w:w="10" w:type="dxa"/>
              <w:left w:w="11" w:type="dxa"/>
              <w:bottom w:w="0" w:type="dxa"/>
              <w:right w:w="11" w:type="dxa"/>
            </w:tcMar>
            <w:vAlign w:val="center"/>
          </w:tcPr>
          <w:p w:rsidR="00CC48AD" w:rsidRDefault="007B6BE9">
            <w:pPr>
              <w:spacing w:before="100" w:beforeAutospacing="1" w:after="100" w:afterAutospacing="1"/>
              <w:rPr>
                <w:rFonts w:cs="Arial"/>
              </w:rPr>
            </w:pPr>
            <w:r w:rsidRPr="007B6BE9">
              <w:rPr>
                <w:rFonts w:cs="Arial"/>
              </w:rPr>
              <w:t>Alineación con los Objetivos de Desarrollo Sostenible</w:t>
            </w:r>
          </w:p>
        </w:tc>
        <w:tc>
          <w:tcPr>
            <w:tcW w:w="2582" w:type="dxa"/>
            <w:shd w:val="clear" w:color="auto" w:fill="auto"/>
            <w:tcMar>
              <w:top w:w="10" w:type="dxa"/>
              <w:left w:w="11" w:type="dxa"/>
              <w:bottom w:w="0" w:type="dxa"/>
              <w:right w:w="11" w:type="dxa"/>
            </w:tcMar>
            <w:vAlign w:val="center"/>
          </w:tcPr>
          <w:p w:rsidR="00CC48AD" w:rsidRDefault="007B6BE9">
            <w:pPr>
              <w:spacing w:before="100" w:beforeAutospacing="1" w:after="100" w:afterAutospacing="1"/>
              <w:jc w:val="right"/>
              <w:rPr>
                <w:rFonts w:cs="Arial"/>
              </w:rPr>
            </w:pPr>
            <w:r w:rsidRPr="007B6BE9">
              <w:rPr>
                <w:rFonts w:cs="Arial"/>
              </w:rPr>
              <w:t>Anexo 2.8</w:t>
            </w:r>
          </w:p>
        </w:tc>
      </w:tr>
    </w:tbl>
    <w:p w:rsidR="00CC48AD" w:rsidRDefault="00CC48AD">
      <w:pPr>
        <w:spacing w:before="100" w:beforeAutospacing="1" w:after="100" w:afterAutospacing="1"/>
        <w:rPr>
          <w:rFonts w:cs="Arial"/>
        </w:rPr>
      </w:pPr>
    </w:p>
    <w:p w:rsidR="00CC48AD" w:rsidRDefault="007B6BE9">
      <w:pPr>
        <w:spacing w:before="100" w:beforeAutospacing="1" w:after="100" w:afterAutospacing="1"/>
        <w:rPr>
          <w:rFonts w:cs="Arial"/>
        </w:rPr>
      </w:pPr>
      <w:r w:rsidRPr="007B6BE9">
        <w:rPr>
          <w:rFonts w:cs="Arial"/>
        </w:rPr>
        <w:t>La información detallada de la proyección de los egresos se encuentra en el Anexo 16.2 de este decreto.</w:t>
      </w:r>
    </w:p>
    <w:p w:rsidR="00CC48AD" w:rsidRDefault="007B6BE9">
      <w:pPr>
        <w:spacing w:before="100" w:beforeAutospacing="1" w:after="100" w:afterAutospacing="1"/>
        <w:rPr>
          <w:rFonts w:cs="Arial"/>
          <w:bCs/>
          <w:i/>
        </w:rPr>
      </w:pPr>
      <w:r w:rsidRPr="007B6BE9">
        <w:rPr>
          <w:rFonts w:cs="Arial"/>
          <w:bCs/>
          <w:i/>
        </w:rPr>
        <w:lastRenderedPageBreak/>
        <w:t>2.5 Riesgos relevantes para las finanzas públicas 2022</w:t>
      </w:r>
    </w:p>
    <w:p w:rsidR="00CC48AD" w:rsidRDefault="007B6BE9">
      <w:pPr>
        <w:spacing w:before="100" w:beforeAutospacing="1" w:after="100" w:afterAutospacing="1"/>
        <w:rPr>
          <w:rFonts w:cs="Arial"/>
        </w:rPr>
      </w:pPr>
      <w:r w:rsidRPr="007B6BE9">
        <w:rPr>
          <w:rFonts w:cs="Arial"/>
        </w:rPr>
        <w:t>De conformidad con el análisis descrito en los Criterios Generales de Política Económica para la Iniciativa de Ley de Ingresos y el Proyecto de Presupuesto de Egresos de la Federación para el Ejercicio Fiscal 2022, el escenario macroeconómico de mediano plazo está sujeto a riesgos que podrían modificar las trayectorias anticipadas en la evolución de la economía, de las finanzas públicas federales y en consecuencia de las estatales.</w:t>
      </w:r>
    </w:p>
    <w:p w:rsidR="00CC48AD" w:rsidRDefault="007B6BE9">
      <w:pPr>
        <w:spacing w:before="100" w:beforeAutospacing="1" w:after="100" w:afterAutospacing="1"/>
        <w:rPr>
          <w:rFonts w:cs="Arial"/>
        </w:rPr>
      </w:pPr>
      <w:r w:rsidRPr="007B6BE9">
        <w:rPr>
          <w:rFonts w:cs="Arial"/>
        </w:rPr>
        <w:t xml:space="preserve">Para realizar las estimaciones se toma en cuenta la evolución de las principales variables económicas, así como la incertidumbre que prevalece tras el impacto de la pandemia ocasionada por el virus COVID-19. En este marco, es importante considerar que durante el ejercicio fiscal se pueden presentar desviaciones con respecto a lo esperado en el momento de elaborar y aprobar el Paquete Fiscal 2022, como resultado de choques macroeconómicos de distinta índole. </w:t>
      </w:r>
    </w:p>
    <w:p w:rsidR="00CC48AD" w:rsidRDefault="007B6BE9">
      <w:pPr>
        <w:spacing w:before="100" w:beforeAutospacing="1" w:after="100" w:afterAutospacing="1"/>
        <w:rPr>
          <w:rFonts w:cs="Arial"/>
        </w:rPr>
      </w:pPr>
      <w:r w:rsidRPr="007B6BE9">
        <w:rPr>
          <w:rFonts w:cs="Arial"/>
        </w:rPr>
        <w:t>Con base en lo antes mencionado, destacan los siguientes riesgos:</w:t>
      </w:r>
    </w:p>
    <w:p w:rsidR="00CC48AD" w:rsidRDefault="007B6BE9">
      <w:pPr>
        <w:pStyle w:val="Prrafodelista"/>
        <w:numPr>
          <w:ilvl w:val="0"/>
          <w:numId w:val="24"/>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Riesgos asociados al cambio climático, en especial potenciales desastres naturales con su respectivo impacto sobre la población y sus bienes, los servicios públicos y el medio ambiente.</w:t>
      </w:r>
    </w:p>
    <w:p w:rsidR="00CC48AD" w:rsidRDefault="007B6BE9">
      <w:pPr>
        <w:pStyle w:val="Prrafodelista"/>
        <w:numPr>
          <w:ilvl w:val="0"/>
          <w:numId w:val="24"/>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Impredecible duración y severidad de los efectos de la pandemia ocasionada por el virus COVID-19 y su impacto en la oferta y demanda de bienes y servicios.</w:t>
      </w:r>
    </w:p>
    <w:p w:rsidR="00CC48AD" w:rsidRDefault="007B6BE9">
      <w:pPr>
        <w:pStyle w:val="Prrafodelista"/>
        <w:numPr>
          <w:ilvl w:val="0"/>
          <w:numId w:val="24"/>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Riesgos de requerir medidas de apoyo adicionales a las previstas para atender los brotes de la pandemia global.</w:t>
      </w:r>
    </w:p>
    <w:p w:rsidR="00CC48AD" w:rsidRDefault="007B6BE9">
      <w:pPr>
        <w:pStyle w:val="Prrafodelista"/>
        <w:numPr>
          <w:ilvl w:val="0"/>
          <w:numId w:val="24"/>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Debilitamiento de la economía mundial.</w:t>
      </w:r>
    </w:p>
    <w:p w:rsidR="00CC48AD" w:rsidRDefault="007B6BE9">
      <w:pPr>
        <w:pStyle w:val="Prrafodelista"/>
        <w:numPr>
          <w:ilvl w:val="0"/>
          <w:numId w:val="24"/>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Elevada volatilidad en los mercados financieros internacionales.</w:t>
      </w:r>
    </w:p>
    <w:p w:rsidR="00CC48AD" w:rsidRDefault="007B6BE9">
      <w:pPr>
        <w:pStyle w:val="Prrafodelista"/>
        <w:numPr>
          <w:ilvl w:val="0"/>
          <w:numId w:val="24"/>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Volatilidad en la producción, distribución y venta del petróleo.</w:t>
      </w:r>
    </w:p>
    <w:p w:rsidR="00CC48AD" w:rsidRDefault="007B6BE9">
      <w:pPr>
        <w:spacing w:before="100" w:beforeAutospacing="1" w:after="100" w:afterAutospacing="1"/>
        <w:rPr>
          <w:rFonts w:cs="Arial"/>
        </w:rPr>
      </w:pPr>
      <w:r w:rsidRPr="007B6BE9">
        <w:rPr>
          <w:rFonts w:cs="Arial"/>
        </w:rPr>
        <w:t>En este sentido, de materializarse alguno de los riesgos antes señalados, los egresos podrían afectarse de la siguiente manera:</w:t>
      </w:r>
    </w:p>
    <w:p w:rsidR="00CC48AD" w:rsidRDefault="007B6BE9">
      <w:pPr>
        <w:pStyle w:val="Prrafodelista"/>
        <w:numPr>
          <w:ilvl w:val="0"/>
          <w:numId w:val="25"/>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Requerimientos de recursos adicionales para la atención prioritaria de desastres naturales o de contingencias derivadas de la pandemia.</w:t>
      </w:r>
    </w:p>
    <w:p w:rsidR="00CC48AD" w:rsidRDefault="007B6BE9">
      <w:pPr>
        <w:pStyle w:val="Prrafodelista"/>
        <w:numPr>
          <w:ilvl w:val="0"/>
          <w:numId w:val="25"/>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Potencial degradación de la calificación crediticia de México, de los estados o municipios, derivada del crecimiento del nivel del riesgo país, resultando en el incremento de tasas y encarecimiento de la deuda.</w:t>
      </w:r>
    </w:p>
    <w:p w:rsidR="00CC48AD" w:rsidRDefault="007B6BE9">
      <w:pPr>
        <w:spacing w:before="100" w:beforeAutospacing="1" w:after="100" w:afterAutospacing="1"/>
        <w:rPr>
          <w:rFonts w:cs="Arial"/>
        </w:rPr>
      </w:pPr>
      <w:r w:rsidRPr="007B6BE9">
        <w:rPr>
          <w:rFonts w:cs="Arial"/>
        </w:rPr>
        <w:t>Ante la materialización de alguno de los riesgos, el estado podría tomar alguna de las siguientes medidas pare enfrentarlos:</w:t>
      </w:r>
    </w:p>
    <w:p w:rsidR="00CC48AD" w:rsidRDefault="007B6BE9">
      <w:pPr>
        <w:pStyle w:val="Prrafodelista"/>
        <w:numPr>
          <w:ilvl w:val="0"/>
          <w:numId w:val="26"/>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lastRenderedPageBreak/>
        <w:t>Utilizar de forma prioritaria el Fondo para la Atención de Desastres Naturales (FAED), para realizar las primeras acciones de auxilio a la población.</w:t>
      </w:r>
    </w:p>
    <w:p w:rsidR="00CC48AD" w:rsidRDefault="007B6BE9">
      <w:pPr>
        <w:pStyle w:val="Prrafodelista"/>
        <w:numPr>
          <w:ilvl w:val="0"/>
          <w:numId w:val="26"/>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Solicitar recursos de los fondos de cobertura y/o desastres naturales suscritos por el gobierno federal.</w:t>
      </w:r>
    </w:p>
    <w:p w:rsidR="00CC48AD" w:rsidRDefault="007B6BE9">
      <w:pPr>
        <w:pStyle w:val="Prrafodelista"/>
        <w:numPr>
          <w:ilvl w:val="0"/>
          <w:numId w:val="26"/>
        </w:numPr>
        <w:spacing w:before="100" w:beforeAutospacing="1" w:after="100" w:afterAutospacing="1" w:line="240" w:lineRule="auto"/>
        <w:ind w:left="714" w:hanging="357"/>
        <w:contextualSpacing w:val="0"/>
        <w:rPr>
          <w:rFonts w:ascii="Arial" w:hAnsi="Arial" w:cs="Arial"/>
          <w:szCs w:val="24"/>
        </w:rPr>
      </w:pPr>
      <w:r w:rsidRPr="007B6BE9">
        <w:rPr>
          <w:rFonts w:ascii="Arial" w:hAnsi="Arial" w:cs="Arial"/>
          <w:szCs w:val="24"/>
        </w:rPr>
        <w:t>De manera excepcional, tal como lo establece el artículo 6 de la Ley de Disciplina Financiera de las Entidades Federativas y los Municipios, se solicitará autorización al Congreso para la justificación de un balance presupuestario de recursos disponibles negativo.</w:t>
      </w:r>
    </w:p>
    <w:p w:rsidR="00CC48AD" w:rsidRDefault="007B6BE9">
      <w:pPr>
        <w:spacing w:before="100" w:beforeAutospacing="1" w:after="100" w:afterAutospacing="1"/>
        <w:rPr>
          <w:rFonts w:cs="Arial"/>
          <w:b/>
        </w:rPr>
      </w:pPr>
      <w:r w:rsidRPr="007B6BE9">
        <w:rPr>
          <w:rFonts w:cs="Arial"/>
          <w:b/>
        </w:rPr>
        <w:t>3. Gestión para Resultados en el Desarrollo</w:t>
      </w:r>
    </w:p>
    <w:p w:rsidR="00CC48AD" w:rsidRDefault="007B6BE9">
      <w:pPr>
        <w:spacing w:before="100" w:beforeAutospacing="1" w:after="100" w:afterAutospacing="1"/>
        <w:rPr>
          <w:rFonts w:cs="Arial"/>
          <w:i/>
          <w:lang w:val="es-ES"/>
        </w:rPr>
      </w:pPr>
      <w:r w:rsidRPr="007B6BE9">
        <w:rPr>
          <w:rFonts w:cs="Arial"/>
          <w:i/>
          <w:lang w:val="es-ES"/>
        </w:rPr>
        <w:t>3.1 Avance en la implementación del Presupuesto Basado en Resultados</w:t>
      </w:r>
      <w:r w:rsidRPr="007B6BE9">
        <w:rPr>
          <w:rFonts w:cs="Arial"/>
          <w:bCs/>
          <w:i/>
          <w:lang w:val="es-ES"/>
        </w:rPr>
        <w:t>.</w:t>
      </w:r>
    </w:p>
    <w:p w:rsidR="00CC48AD" w:rsidRDefault="007B6BE9">
      <w:pPr>
        <w:spacing w:before="100" w:beforeAutospacing="1" w:after="100" w:afterAutospacing="1"/>
        <w:rPr>
          <w:rFonts w:cs="Arial"/>
          <w:lang w:val="es-ES"/>
        </w:rPr>
      </w:pPr>
      <w:r w:rsidRPr="007B6BE9">
        <w:rPr>
          <w:rFonts w:cs="Arial"/>
          <w:lang w:val="es-ES"/>
        </w:rPr>
        <w:t>El estado de Yucatán destaca a nivel nacional, en la implementación del modelo de Gestión para Resultados en el Desarrollo (</w:t>
      </w:r>
      <w:proofErr w:type="spellStart"/>
      <w:r w:rsidRPr="007B6BE9">
        <w:rPr>
          <w:rFonts w:cs="Arial"/>
          <w:lang w:val="es-ES"/>
        </w:rPr>
        <w:t>GpRD</w:t>
      </w:r>
      <w:proofErr w:type="spellEnd"/>
      <w:r w:rsidRPr="007B6BE9">
        <w:rPr>
          <w:rFonts w:cs="Arial"/>
          <w:lang w:val="es-ES"/>
        </w:rPr>
        <w:t xml:space="preserve">). Este modelo prioriza la creación de valor público, es decir, la atención y solución de los problemas económicos, sociales, culturales y ambientales que padece la población. </w:t>
      </w:r>
    </w:p>
    <w:p w:rsidR="00CC48AD" w:rsidRDefault="007B6BE9">
      <w:pPr>
        <w:spacing w:before="100" w:beforeAutospacing="1" w:after="100" w:afterAutospacing="1"/>
        <w:rPr>
          <w:rFonts w:cs="Arial"/>
          <w:lang w:val="es-ES"/>
        </w:rPr>
      </w:pPr>
      <w:r w:rsidRPr="007B6BE9">
        <w:rPr>
          <w:rFonts w:cs="Arial"/>
          <w:lang w:val="es-ES"/>
        </w:rPr>
        <w:t>La adopción, implementación y consolidación de este modelo le ha permitido al Gobierno del Estado hacer frente a los retos ocasionados por la contingencia del coronavirus COVID-19, así como de los desastres naturales, los cuales han planteado retos en la optimización de los recursos y en la priorización de la atención de grupos en situación de vulnerabilidad.</w:t>
      </w:r>
    </w:p>
    <w:p w:rsidR="00CC48AD" w:rsidRDefault="007B6BE9">
      <w:pPr>
        <w:spacing w:before="100" w:beforeAutospacing="1" w:after="100" w:afterAutospacing="1"/>
        <w:rPr>
          <w:rFonts w:cs="Arial"/>
          <w:lang w:val="es-ES"/>
        </w:rPr>
      </w:pPr>
      <w:r w:rsidRPr="007B6BE9">
        <w:rPr>
          <w:rFonts w:cs="Arial"/>
          <w:lang w:val="es-ES"/>
        </w:rPr>
        <w:t>Evidencia de lo anterior son los resultados obtenidos en los diferentes diagnósticos y estudios realizados por instancias tanto gubernamentales como de organizaciones de la sociedad civil.</w:t>
      </w:r>
    </w:p>
    <w:p w:rsidR="00CC48AD" w:rsidRDefault="007B6BE9">
      <w:pPr>
        <w:spacing w:before="100" w:beforeAutospacing="1" w:after="100" w:afterAutospacing="1"/>
        <w:rPr>
          <w:rFonts w:cs="Arial"/>
          <w:lang w:val="es-ES"/>
        </w:rPr>
      </w:pPr>
      <w:r w:rsidRPr="007B6BE9">
        <w:rPr>
          <w:rFonts w:cs="Arial"/>
          <w:lang w:val="es-ES"/>
        </w:rPr>
        <w:t>La Secretaría de Hacienda y Crédito Público (SHCP) realiza anualmente el diagnóstico que permite conocer el avance alcanzado en la implementación y operación del Presupuesto Basado en Resultados (</w:t>
      </w:r>
      <w:proofErr w:type="spellStart"/>
      <w:r w:rsidRPr="007B6BE9">
        <w:rPr>
          <w:rFonts w:cs="Arial"/>
          <w:lang w:val="es-ES"/>
        </w:rPr>
        <w:t>PbR</w:t>
      </w:r>
      <w:proofErr w:type="spellEnd"/>
      <w:r w:rsidRPr="007B6BE9">
        <w:rPr>
          <w:rFonts w:cs="Arial"/>
          <w:lang w:val="es-ES"/>
        </w:rPr>
        <w:t>) y del Sistema de Evaluación del Desempeño (SED). En 2021, Yucatán obtuvo una calificación global de 90.5%, ubicándose en el segundo lugar a nivel nacional.</w:t>
      </w:r>
    </w:p>
    <w:p w:rsidR="00CC48AD" w:rsidRDefault="00E17AA0">
      <w:pPr>
        <w:spacing w:before="100" w:beforeAutospacing="1" w:after="100" w:afterAutospacing="1"/>
        <w:rPr>
          <w:rFonts w:cs="Arial"/>
          <w:lang w:val="es-ES"/>
        </w:rPr>
      </w:pPr>
      <w:r>
        <w:rPr>
          <w:rFonts w:cs="Arial"/>
          <w:noProof/>
          <w:lang w:eastAsia="es-MX"/>
        </w:rPr>
        <w:lastRenderedPageBreak/>
        <w:drawing>
          <wp:inline distT="0" distB="0" distL="0" distR="0">
            <wp:extent cx="5219700" cy="2371725"/>
            <wp:effectExtent l="0" t="0" r="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48AD" w:rsidRDefault="007B6BE9">
      <w:pPr>
        <w:spacing w:before="100" w:beforeAutospacing="1" w:after="100" w:afterAutospacing="1"/>
        <w:rPr>
          <w:rFonts w:cs="Arial"/>
          <w:lang w:val="es-ES"/>
        </w:rPr>
      </w:pPr>
      <w:r w:rsidRPr="007B6BE9">
        <w:rPr>
          <w:rFonts w:cs="Arial"/>
          <w:lang w:val="es-ES"/>
        </w:rPr>
        <w:t xml:space="preserve">Fuente: Elaboración </w:t>
      </w:r>
      <w:proofErr w:type="spellStart"/>
      <w:r w:rsidRPr="007B6BE9">
        <w:rPr>
          <w:rFonts w:cs="Arial"/>
          <w:lang w:val="es-ES"/>
        </w:rPr>
        <w:t>Seplan</w:t>
      </w:r>
      <w:proofErr w:type="spellEnd"/>
      <w:r w:rsidRPr="007B6BE9">
        <w:rPr>
          <w:rFonts w:cs="Arial"/>
          <w:lang w:val="es-ES"/>
        </w:rPr>
        <w:t xml:space="preserve"> con datos de la SHCP, 2021.</w:t>
      </w:r>
    </w:p>
    <w:p w:rsidR="00CC48AD" w:rsidRDefault="007B6BE9">
      <w:pPr>
        <w:spacing w:before="100" w:beforeAutospacing="1" w:after="100" w:afterAutospacing="1"/>
        <w:rPr>
          <w:rFonts w:cs="Arial"/>
        </w:rPr>
      </w:pPr>
      <w:r w:rsidRPr="007B6BE9">
        <w:rPr>
          <w:rFonts w:cs="Arial"/>
        </w:rPr>
        <w:t xml:space="preserve">Destacan los resultados en las secciones de Evaluación y Rendición de Cuentas, en los que el Estado alcanzó resultados históricos. En la sección de Evaluación, la entidad alcanzó una valoración de 100%, lo que la ubicó en la primera posición en el Diagnóstico 2021. Y en la sección de Rendición de cuentas, la entidad también alcanzó una valoración de 100%, lo que la ubicó en la primera posición en el Diagnóstico 2021. </w:t>
      </w:r>
    </w:p>
    <w:p w:rsidR="00CC48AD" w:rsidRDefault="007B6BE9">
      <w:pPr>
        <w:spacing w:before="100" w:beforeAutospacing="1" w:after="100" w:afterAutospacing="1"/>
        <w:rPr>
          <w:rFonts w:cs="Arial"/>
          <w:lang w:val="es-ES"/>
        </w:rPr>
      </w:pPr>
      <w:r w:rsidRPr="007B6BE9">
        <w:rPr>
          <w:rFonts w:cs="Arial"/>
          <w:lang w:val="es-ES"/>
        </w:rPr>
        <w:t xml:space="preserve">Para avanzar en la institucionalización de la </w:t>
      </w:r>
      <w:proofErr w:type="spellStart"/>
      <w:r w:rsidRPr="007B6BE9">
        <w:rPr>
          <w:rFonts w:cs="Arial"/>
          <w:lang w:val="es-ES"/>
        </w:rPr>
        <w:t>GpRD</w:t>
      </w:r>
      <w:proofErr w:type="spellEnd"/>
      <w:r w:rsidRPr="007B6BE9">
        <w:rPr>
          <w:rFonts w:cs="Arial"/>
          <w:lang w:val="es-ES"/>
        </w:rPr>
        <w:t>, en el año de 2022 se trabajará en las siguientes actividades:</w:t>
      </w:r>
    </w:p>
    <w:p w:rsidR="00CC48AD" w:rsidRDefault="007B6BE9">
      <w:pPr>
        <w:pStyle w:val="Prrafodelista"/>
        <w:numPr>
          <w:ilvl w:val="0"/>
          <w:numId w:val="22"/>
        </w:numPr>
        <w:spacing w:before="100" w:beforeAutospacing="1" w:after="100" w:afterAutospacing="1" w:line="240" w:lineRule="auto"/>
        <w:ind w:left="714" w:hanging="357"/>
        <w:contextualSpacing w:val="0"/>
        <w:rPr>
          <w:rFonts w:ascii="Arial" w:hAnsi="Arial" w:cs="Arial"/>
          <w:szCs w:val="24"/>
          <w:lang w:val="es-ES"/>
        </w:rPr>
      </w:pPr>
      <w:r w:rsidRPr="007B6BE9">
        <w:rPr>
          <w:rFonts w:ascii="Arial" w:hAnsi="Arial" w:cs="Arial"/>
          <w:szCs w:val="24"/>
          <w:lang w:val="es-ES"/>
        </w:rPr>
        <w:t xml:space="preserve">Fortalecer el marco normativo que regula la </w:t>
      </w:r>
      <w:proofErr w:type="spellStart"/>
      <w:r w:rsidRPr="007B6BE9">
        <w:rPr>
          <w:rFonts w:ascii="Arial" w:hAnsi="Arial" w:cs="Arial"/>
          <w:szCs w:val="24"/>
          <w:lang w:val="es-ES"/>
        </w:rPr>
        <w:t>GpRD</w:t>
      </w:r>
      <w:proofErr w:type="spellEnd"/>
      <w:r w:rsidRPr="007B6BE9">
        <w:rPr>
          <w:rFonts w:ascii="Arial" w:hAnsi="Arial" w:cs="Arial"/>
          <w:szCs w:val="24"/>
          <w:lang w:val="es-ES"/>
        </w:rPr>
        <w:t>, procurando la integralidad de las etapas del ciclo presupuestario, delimitando responsables de los procesos y clarificando las estructuras de los diversos documentos y herramientas que forman parte del modelo.</w:t>
      </w:r>
    </w:p>
    <w:p w:rsidR="00CC48AD" w:rsidRDefault="007B6BE9">
      <w:pPr>
        <w:pStyle w:val="Prrafodelista"/>
        <w:numPr>
          <w:ilvl w:val="0"/>
          <w:numId w:val="22"/>
        </w:numPr>
        <w:spacing w:before="100" w:beforeAutospacing="1" w:after="100" w:afterAutospacing="1" w:line="240" w:lineRule="auto"/>
        <w:ind w:left="714" w:hanging="357"/>
        <w:contextualSpacing w:val="0"/>
        <w:rPr>
          <w:rFonts w:ascii="Arial" w:hAnsi="Arial" w:cs="Arial"/>
          <w:szCs w:val="24"/>
          <w:lang w:val="es-ES"/>
        </w:rPr>
      </w:pPr>
      <w:r w:rsidRPr="007B6BE9">
        <w:rPr>
          <w:rFonts w:ascii="Arial" w:hAnsi="Arial" w:cs="Arial"/>
          <w:szCs w:val="24"/>
          <w:lang w:val="es-ES"/>
        </w:rPr>
        <w:t>Afianzar la generación de información estadística y geográfica proveniente de registros administrativos para facilitar la toma de decisiones.</w:t>
      </w:r>
    </w:p>
    <w:p w:rsidR="00CC48AD" w:rsidRDefault="007B6BE9">
      <w:pPr>
        <w:pStyle w:val="Prrafodelista"/>
        <w:numPr>
          <w:ilvl w:val="0"/>
          <w:numId w:val="22"/>
        </w:numPr>
        <w:spacing w:before="100" w:beforeAutospacing="1" w:after="100" w:afterAutospacing="1" w:line="240" w:lineRule="auto"/>
        <w:ind w:left="714" w:hanging="357"/>
        <w:contextualSpacing w:val="0"/>
        <w:rPr>
          <w:rFonts w:ascii="Arial" w:hAnsi="Arial" w:cs="Arial"/>
          <w:szCs w:val="24"/>
          <w:lang w:val="es-ES"/>
        </w:rPr>
      </w:pPr>
      <w:r w:rsidRPr="007B6BE9">
        <w:rPr>
          <w:rFonts w:ascii="Arial" w:hAnsi="Arial" w:cs="Arial"/>
          <w:szCs w:val="24"/>
          <w:lang w:val="es-ES"/>
        </w:rPr>
        <w:t>Implementar nuevas herramientas y mecanismos de seguimiento y evaluación que permitan la generación de evidencia oportuna y de calidad para mejorar la calidad del gasto público y la generación de valor público.</w:t>
      </w:r>
    </w:p>
    <w:p w:rsidR="00CC48AD" w:rsidRDefault="007B6BE9">
      <w:pPr>
        <w:spacing w:before="100" w:beforeAutospacing="1" w:after="100" w:afterAutospacing="1"/>
        <w:rPr>
          <w:rFonts w:cs="Arial"/>
          <w:i/>
          <w:lang w:val="es-ES"/>
        </w:rPr>
      </w:pPr>
      <w:r w:rsidRPr="007B6BE9">
        <w:rPr>
          <w:rFonts w:cs="Arial"/>
          <w:i/>
          <w:lang w:val="es-ES"/>
        </w:rPr>
        <w:t>3.2 Atención a los compromisos de gobierno</w:t>
      </w:r>
    </w:p>
    <w:p w:rsidR="00CC48AD" w:rsidRDefault="007B6BE9">
      <w:pPr>
        <w:spacing w:before="100" w:beforeAutospacing="1" w:after="100" w:afterAutospacing="1"/>
        <w:rPr>
          <w:rFonts w:eastAsia="Yu Mincho" w:cs="Arial"/>
          <w:lang w:val="es-ES"/>
        </w:rPr>
      </w:pPr>
      <w:r w:rsidRPr="007B6BE9">
        <w:rPr>
          <w:rFonts w:cs="Arial"/>
          <w:lang w:val="es-ES"/>
        </w:rPr>
        <w:t xml:space="preserve">Como parte del Plan Estatal de Desarrollo 2018-2024, se establecieron 136 compromisos de gobierno, los cuales tienen su origen en demandas sociales y económicas. </w:t>
      </w:r>
    </w:p>
    <w:p w:rsidR="00CC48AD" w:rsidRDefault="007B6BE9">
      <w:pPr>
        <w:spacing w:before="100" w:beforeAutospacing="1" w:after="100" w:afterAutospacing="1"/>
        <w:rPr>
          <w:rFonts w:cs="Arial"/>
          <w:lang w:val="es-ES"/>
        </w:rPr>
      </w:pPr>
      <w:r w:rsidRPr="007B6BE9">
        <w:rPr>
          <w:rFonts w:cs="Arial"/>
          <w:lang w:val="es-ES"/>
        </w:rPr>
        <w:lastRenderedPageBreak/>
        <w:t>En este sentido, el promedio de avance es de 81.4%; lo anterior derivado de que 72 compromisos ya se encuentran cumplidos y 61 presentan un avance superior al 25%. De igual forma, destaca que cinco dependencias ya tienen todos sus compromisos cumplidos (IIPEDEY, SECOGEY, FGE, IDEY, y SEPASY).</w:t>
      </w:r>
    </w:p>
    <w:p w:rsidR="00CC48AD" w:rsidRDefault="007B6BE9">
      <w:pPr>
        <w:spacing w:before="100" w:beforeAutospacing="1" w:after="100" w:afterAutospacing="1"/>
        <w:rPr>
          <w:rFonts w:cs="Arial"/>
          <w:b/>
          <w:bCs/>
          <w:lang w:val="es-ES"/>
        </w:rPr>
      </w:pPr>
      <w:r w:rsidRPr="007B6BE9">
        <w:rPr>
          <w:rFonts w:cs="Arial"/>
          <w:b/>
          <w:bCs/>
          <w:lang w:val="es-ES"/>
        </w:rPr>
        <w:t xml:space="preserve">4. Contenido del Proyecto del Presupuesto de Egresos </w:t>
      </w:r>
    </w:p>
    <w:p w:rsidR="00CC48AD" w:rsidRDefault="007B6BE9">
      <w:pPr>
        <w:spacing w:before="100" w:beforeAutospacing="1" w:after="100" w:afterAutospacing="1"/>
        <w:rPr>
          <w:rFonts w:cs="Arial"/>
          <w:lang w:val="es-ES"/>
        </w:rPr>
      </w:pPr>
      <w:r w:rsidRPr="007B6BE9">
        <w:rPr>
          <w:rFonts w:cs="Arial"/>
          <w:lang w:val="es-ES"/>
        </w:rPr>
        <w:t xml:space="preserve">El proyecto de decreto de presupuesto se conforma por 118 artículos y 5 artículos transitorios, divididos en 22 Capítulos y 6 Títulos. El Titulo primero, denominado “Asignaciones del presupuesto de egresos del estado”, establece los principios para la aplicación del presupuesto, la clasificación del gasto según los formatos establecidos por la CONAC y el total de las asignaciones presupuestales y erogaciones para el ejercicio fiscal 2022. El Título segundo, denominado “Recursos federales”, refiere al ingreso, ministración y ejercicio de los recursos federales transferidos al estado y los municipios. El Título tercero, denominado “Disciplina presupuestal en el ejercicio del gasto público”, contiene las acciones y medidas que las dependencias y entidades atenderán para generar un balance presupuestario sostenible. </w:t>
      </w:r>
    </w:p>
    <w:p w:rsidR="00CC48AD" w:rsidRDefault="007B6BE9">
      <w:pPr>
        <w:spacing w:before="100" w:beforeAutospacing="1" w:after="100" w:afterAutospacing="1"/>
        <w:rPr>
          <w:rFonts w:cs="Arial"/>
          <w:lang w:val="es-ES"/>
        </w:rPr>
      </w:pPr>
      <w:r w:rsidRPr="007B6BE9">
        <w:rPr>
          <w:rFonts w:cs="Arial"/>
          <w:lang w:val="es-ES"/>
        </w:rPr>
        <w:t>El Título cuarto, denominado “Ejercicio del gasto”, señala los criterios generales aplicables para un adecuado manejo sostenible de las finanzas públicas en el ejercicio del gasto público. El Título quinto denominado “Premisas para las contrataciones y adquisiciones” establece las estrategias generales para la inversión en obra pública y para la contratación de adquisiciones o arrendamientos de bienes y prestación de servicios. Por último, el Título sexto denominado “Seguimiento y evaluación del desempeño” refiere a las directrices generales que permitirán evaluar el gasto público para una adecuada rendición de cuentas. Finalmente, se incluyen cinco artículos transitorios con disposiciones que permitirán una efectiva entrada en vigor y aplicación del Presupuesto.</w:t>
      </w:r>
    </w:p>
    <w:p w:rsidR="00CC48AD" w:rsidRDefault="007B6BE9">
      <w:pPr>
        <w:spacing w:before="100" w:beforeAutospacing="1" w:after="100" w:afterAutospacing="1"/>
        <w:rPr>
          <w:rFonts w:cs="Arial"/>
          <w:bCs/>
          <w:i/>
          <w:iCs/>
          <w:lang w:val="es-ES"/>
        </w:rPr>
      </w:pPr>
      <w:r w:rsidRPr="007B6BE9">
        <w:rPr>
          <w:rFonts w:cs="Arial"/>
          <w:bCs/>
          <w:i/>
          <w:lang w:val="es-ES"/>
        </w:rPr>
        <w:t xml:space="preserve">4.1 </w:t>
      </w:r>
      <w:proofErr w:type="spellStart"/>
      <w:r w:rsidRPr="007B6BE9">
        <w:rPr>
          <w:rFonts w:cs="Arial"/>
          <w:bCs/>
          <w:i/>
          <w:lang w:val="es-ES"/>
        </w:rPr>
        <w:t>Restructura</w:t>
      </w:r>
      <w:proofErr w:type="spellEnd"/>
      <w:r w:rsidRPr="007B6BE9">
        <w:rPr>
          <w:rFonts w:cs="Arial"/>
          <w:bCs/>
          <w:i/>
          <w:lang w:val="es-ES"/>
        </w:rPr>
        <w:t xml:space="preserve"> administrativa</w:t>
      </w:r>
    </w:p>
    <w:p w:rsidR="00CC48AD" w:rsidRDefault="007B6BE9">
      <w:pPr>
        <w:spacing w:before="100" w:beforeAutospacing="1" w:after="100" w:afterAutospacing="1"/>
        <w:rPr>
          <w:rFonts w:eastAsia="Arial" w:cs="Arial"/>
          <w:lang w:val="es-ES"/>
        </w:rPr>
      </w:pPr>
      <w:r w:rsidRPr="007B6BE9">
        <w:rPr>
          <w:rFonts w:eastAsia="Arial" w:cs="Arial"/>
          <w:lang w:val="es-ES"/>
        </w:rPr>
        <w:t>Finalmente, cabe mencionar que conforme al Decreto 432/2021 por el que se establece la sectorización de las entidades paraestatales a las dependencias coordinadoras de sector de la Administración Pública estatal, el presente proyecto de presupuesto distribuye los recursos entre las dependencias y entidades activas sin considerar aquellas que se encuentran o encontrarán en proceso de extinción o liquidación durante el ejercicio 2022.</w:t>
      </w:r>
    </w:p>
    <w:p w:rsidR="00CC48AD" w:rsidRDefault="007B6BE9">
      <w:pPr>
        <w:spacing w:before="100" w:beforeAutospacing="1" w:after="100" w:afterAutospacing="1"/>
        <w:rPr>
          <w:rFonts w:cs="Arial"/>
          <w:i/>
          <w:lang w:val="es-ES"/>
        </w:rPr>
      </w:pPr>
      <w:r w:rsidRPr="007B6BE9">
        <w:rPr>
          <w:rFonts w:eastAsia="Arial" w:cs="Arial"/>
          <w:bCs/>
          <w:i/>
          <w:lang w:val="es-ES"/>
        </w:rPr>
        <w:t>4.2</w:t>
      </w:r>
      <w:r w:rsidRPr="007B6BE9">
        <w:rPr>
          <w:rFonts w:cs="Arial"/>
          <w:i/>
          <w:lang w:val="es-ES"/>
        </w:rPr>
        <w:t xml:space="preserve"> Impacto presupuestario.</w:t>
      </w:r>
    </w:p>
    <w:p w:rsidR="00CC48AD" w:rsidRDefault="007B6BE9">
      <w:pPr>
        <w:spacing w:before="100" w:beforeAutospacing="1" w:after="100" w:afterAutospacing="1"/>
        <w:rPr>
          <w:rFonts w:cs="Arial"/>
          <w:lang w:val="es-ES"/>
        </w:rPr>
      </w:pPr>
      <w:r w:rsidRPr="007B6BE9">
        <w:rPr>
          <w:rFonts w:cs="Arial"/>
          <w:lang w:val="es-ES"/>
        </w:rPr>
        <w:lastRenderedPageBreak/>
        <w:t>Conforme a lo establecido en el artículo 16 de la Ley de Disciplina Financiera de las Entidad Federativas y los Municipios, se señala que esta iniciativa de decreto de presupuesto como punto de inicio del presupuesto del ejercicio fiscal 2022, no genera impacto presupuestario al ser el punto de partida, de toda acción que se pretende realizar en el siguiente ejercicio fiscal. En sí misma, proyecta tanto los ingresos que estima recaudar como su aplicación, a su vez el costo de implementación está inmerso en el ejercicio del gasto. Lo anterior, considerando que esta iniciativa tiene por objeto regular la asignación, ejercicio, control y evaluación del gasto público estatal para el ejercicio fiscal 2022 en relación con el total de ingresos que el estado estima obtener conforme a la iniciativa de la Ley de Ingresos del estado de Yucatán para el ejercicio fiscal 2022.</w:t>
      </w:r>
    </w:p>
    <w:p w:rsidR="00CC48AD" w:rsidRDefault="007B6BE9">
      <w:pPr>
        <w:spacing w:before="100" w:beforeAutospacing="1" w:after="100" w:afterAutospacing="1"/>
        <w:rPr>
          <w:rFonts w:cs="Arial"/>
          <w:lang w:val="es-ES"/>
        </w:rPr>
      </w:pPr>
      <w:r w:rsidRPr="007B6BE9">
        <w:rPr>
          <w:rFonts w:cs="Arial"/>
          <w:lang w:val="es-ES"/>
        </w:rPr>
        <w:t>La iniciativa de decreto se presenta sobre la base del principio fundamental de balance presupuestario sostenible. En relación con la Iniciativa para expedir la Ley de Ingresos del Estado de Yucatán para el Ejercicio Fiscal 2022 se presenta un presupuesto balanceado, sujetando el gasto a la estimación de ingresos establecida en la iniciativa de la Ley de ingresos.</w:t>
      </w:r>
    </w:p>
    <w:p w:rsidR="00CC48AD" w:rsidRDefault="007B6BE9">
      <w:pPr>
        <w:spacing w:before="100" w:beforeAutospacing="1" w:after="100" w:afterAutospacing="1"/>
        <w:rPr>
          <w:rFonts w:cs="Arial"/>
        </w:rPr>
      </w:pPr>
      <w:r w:rsidRPr="007B6BE9">
        <w:rPr>
          <w:rFonts w:cs="Arial"/>
          <w:lang w:val="es-ES"/>
        </w:rPr>
        <w:t>En virtud de lo anterior, y en ejercicio de la facultad que me confieren los artículos 35, fracción II, y 55, fracción XIV de la Constitución Política del Estado de Yucatán, someto a su consideración la siguiente:</w:t>
      </w:r>
      <w:bookmarkEnd w:id="3"/>
    </w:p>
    <w:p w:rsidR="00CC48AD" w:rsidRDefault="007B6BE9">
      <w:pPr>
        <w:pStyle w:val="Ttulo2"/>
        <w:spacing w:before="100" w:beforeAutospacing="1" w:after="100" w:afterAutospacing="1"/>
        <w:rPr>
          <w:rFonts w:cs="Arial"/>
          <w:szCs w:val="24"/>
        </w:rPr>
      </w:pPr>
      <w:r w:rsidRPr="007B6BE9">
        <w:rPr>
          <w:rFonts w:cs="Arial"/>
          <w:b w:val="0"/>
          <w:szCs w:val="24"/>
        </w:rPr>
        <w:t>Iniciativa para expedir el Presupuesto de Egresos del Gobierno del Estado de Yucatán para el Ejercicio Fiscal 2022</w:t>
      </w:r>
    </w:p>
    <w:p w:rsidR="00CC48AD" w:rsidRDefault="007B6BE9">
      <w:pPr>
        <w:spacing w:before="100" w:beforeAutospacing="1" w:after="100" w:afterAutospacing="1"/>
        <w:rPr>
          <w:rFonts w:cs="Arial"/>
        </w:rPr>
      </w:pPr>
      <w:r w:rsidRPr="007B6BE9">
        <w:rPr>
          <w:rFonts w:cs="Arial"/>
          <w:b/>
          <w:bCs/>
        </w:rPr>
        <w:t>Artículo único.</w:t>
      </w:r>
      <w:r w:rsidRPr="007B6BE9">
        <w:rPr>
          <w:rFonts w:cs="Arial"/>
        </w:rPr>
        <w:t xml:space="preserve"> Se expide el Presupuesto de Egresos del Gobierno del Estado de Yucatán para el Ejercicio Fiscal 2022.</w:t>
      </w:r>
      <w:bookmarkStart w:id="6" w:name="X8006ccea140f82ce1374d14a106677450fbbf19"/>
      <w:bookmarkEnd w:id="4"/>
    </w:p>
    <w:p w:rsidR="00CC48AD" w:rsidRDefault="007B6BE9">
      <w:pPr>
        <w:pStyle w:val="Ttulo2"/>
        <w:spacing w:before="100" w:beforeAutospacing="1" w:after="100" w:afterAutospacing="1"/>
        <w:rPr>
          <w:rFonts w:cs="Arial"/>
          <w:szCs w:val="24"/>
        </w:rPr>
      </w:pPr>
      <w:r w:rsidRPr="007B6BE9">
        <w:rPr>
          <w:rFonts w:cs="Arial"/>
          <w:b w:val="0"/>
          <w:szCs w:val="24"/>
        </w:rPr>
        <w:t>Presupuesto de Egresos del Gobierno del Estado de Yucatán para el Ejercicio Fiscal 2022</w:t>
      </w:r>
      <w:bookmarkStart w:id="7" w:name="título-primero"/>
      <w:bookmarkEnd w:id="6"/>
    </w:p>
    <w:p w:rsidR="00CC48AD" w:rsidRDefault="007B6BE9">
      <w:pPr>
        <w:pStyle w:val="Ttulo2"/>
        <w:spacing w:before="100" w:beforeAutospacing="1" w:after="100" w:afterAutospacing="1"/>
        <w:rPr>
          <w:rFonts w:cs="Arial"/>
          <w:szCs w:val="24"/>
        </w:rPr>
      </w:pPr>
      <w:r w:rsidRPr="007B6BE9">
        <w:rPr>
          <w:rFonts w:cs="Arial"/>
          <w:szCs w:val="24"/>
        </w:rPr>
        <w:t>Título primero</w:t>
      </w:r>
    </w:p>
    <w:p w:rsidR="00CC48AD" w:rsidRDefault="007B6BE9">
      <w:pPr>
        <w:pStyle w:val="Ttulo2"/>
        <w:spacing w:before="100" w:beforeAutospacing="1" w:after="100" w:afterAutospacing="1"/>
        <w:rPr>
          <w:rFonts w:cs="Arial"/>
          <w:szCs w:val="24"/>
        </w:rPr>
      </w:pPr>
      <w:bookmarkStart w:id="8" w:name="X0f78ea44907197c160483948b838be423ef6fc2"/>
      <w:bookmarkEnd w:id="7"/>
      <w:r w:rsidRPr="007B6BE9">
        <w:rPr>
          <w:rFonts w:cs="Arial"/>
          <w:b w:val="0"/>
          <w:szCs w:val="24"/>
        </w:rPr>
        <w:t>Asignaciones del presupuesto de egresos del estado</w:t>
      </w:r>
      <w:bookmarkStart w:id="9" w:name="capítulo-i"/>
      <w:bookmarkEnd w:id="8"/>
    </w:p>
    <w:p w:rsidR="00CC48AD" w:rsidRDefault="007B6BE9">
      <w:pPr>
        <w:pStyle w:val="Ttulo2"/>
        <w:spacing w:before="100" w:beforeAutospacing="1" w:after="100" w:afterAutospacing="1"/>
        <w:rPr>
          <w:rFonts w:cs="Arial"/>
          <w:szCs w:val="24"/>
        </w:rPr>
      </w:pPr>
      <w:r w:rsidRPr="007B6BE9">
        <w:rPr>
          <w:rFonts w:cs="Arial"/>
          <w:szCs w:val="24"/>
        </w:rPr>
        <w:t>Capítulo I</w:t>
      </w:r>
    </w:p>
    <w:p w:rsidR="00CC48AD" w:rsidRDefault="007B6BE9">
      <w:pPr>
        <w:pStyle w:val="Ttulo2"/>
        <w:spacing w:before="100" w:beforeAutospacing="1" w:after="100" w:afterAutospacing="1"/>
        <w:rPr>
          <w:rFonts w:cs="Arial"/>
          <w:szCs w:val="24"/>
        </w:rPr>
      </w:pPr>
      <w:bookmarkStart w:id="10" w:name="disposiciones-generales"/>
      <w:bookmarkEnd w:id="9"/>
      <w:r w:rsidRPr="007B6BE9">
        <w:rPr>
          <w:rFonts w:cs="Arial"/>
          <w:b w:val="0"/>
          <w:szCs w:val="24"/>
        </w:rPr>
        <w:t>Disposiciones generales</w:t>
      </w:r>
    </w:p>
    <w:p w:rsidR="00CC48AD" w:rsidRDefault="007B6BE9">
      <w:pPr>
        <w:spacing w:before="100" w:beforeAutospacing="1" w:after="100" w:afterAutospacing="1"/>
        <w:rPr>
          <w:rFonts w:cs="Arial"/>
        </w:rPr>
      </w:pPr>
      <w:r w:rsidRPr="007B6BE9">
        <w:rPr>
          <w:rFonts w:cs="Arial"/>
          <w:b/>
          <w:bCs/>
        </w:rPr>
        <w:t>Artículo 1. Objeto y marco normativo aplicable</w:t>
      </w:r>
    </w:p>
    <w:p w:rsidR="00CC48AD" w:rsidRDefault="007B6BE9">
      <w:pPr>
        <w:spacing w:before="100" w:beforeAutospacing="1" w:after="100" w:afterAutospacing="1"/>
        <w:rPr>
          <w:rFonts w:cs="Arial"/>
        </w:rPr>
      </w:pPr>
      <w:r w:rsidRPr="007B6BE9">
        <w:rPr>
          <w:rFonts w:cs="Arial"/>
        </w:rPr>
        <w:lastRenderedPageBreak/>
        <w:t>Este decreto tiene por objeto regular la asignación, ejercicio, control y evaluación del gasto público estatal para el ejercicio fiscal 2022, de conformidad con la Constitución Política del Estado de Yucatán, la Ley del Presupuesto y Contabilidad Gubernamental del Estado de Yucatán y su reglamento, la Ley de Coordinación Fiscal del Estado de Yucatán, la Ley de Deuda Pública del Estado de Yucatán, la Ley de Adquisiciones, Arrendamientos y Prestación de Servicios Relacionados con Bienes Muebles, la Ley de Obra Pública y Servicios Conexos del Estado de Yucatán y su reglamento, la Ley de Fiscalización de la Cuenta Pública del Estado de Yucatán, la Ley General de Contabilidad Gubernamental, la Ley de Coordinación Fiscal, la Ley de Disciplina Financiera de las Entidades Federativas y los Municipios, las disposiciones del Consejo Nacional de Armonización Contable, las disposiciones en materia de remuneración de los servidores públicos de los diferentes entes públicos y las demás disposiciones aplicables en la materia.</w:t>
      </w:r>
    </w:p>
    <w:p w:rsidR="00CC48AD" w:rsidRDefault="007B6BE9">
      <w:pPr>
        <w:spacing w:before="100" w:beforeAutospacing="1" w:after="100" w:afterAutospacing="1"/>
        <w:rPr>
          <w:rFonts w:cs="Arial"/>
        </w:rPr>
      </w:pPr>
      <w:r w:rsidRPr="007B6BE9">
        <w:rPr>
          <w:rFonts w:cs="Arial"/>
        </w:rPr>
        <w:t>En la ejecución del gasto público las dependencias y entidades deben considerar como eje articulador el Plan Estatal de Desarrollo 2018-2024, tomando en cuenta los cuatro ejes rectores y los cinco ejes transversales sobre los que se construye el referido plan estatal.</w:t>
      </w:r>
    </w:p>
    <w:p w:rsidR="00CC48AD" w:rsidRDefault="007B6BE9">
      <w:pPr>
        <w:spacing w:before="100" w:beforeAutospacing="1" w:after="100" w:afterAutospacing="1"/>
        <w:rPr>
          <w:rFonts w:cs="Arial"/>
        </w:rPr>
      </w:pPr>
      <w:r w:rsidRPr="007B6BE9">
        <w:rPr>
          <w:rFonts w:cs="Arial"/>
          <w:b/>
          <w:bCs/>
        </w:rPr>
        <w:t>Artículo 2. Interpretación de este presupuesto y expedición de normativa</w:t>
      </w:r>
    </w:p>
    <w:p w:rsidR="00CC48AD" w:rsidRDefault="007B6BE9">
      <w:pPr>
        <w:spacing w:before="100" w:beforeAutospacing="1" w:after="100" w:afterAutospacing="1"/>
        <w:rPr>
          <w:rFonts w:cs="Arial"/>
        </w:rPr>
      </w:pPr>
      <w:r w:rsidRPr="007B6BE9">
        <w:rPr>
          <w:rFonts w:cs="Arial"/>
        </w:rPr>
        <w:t>La interpretación de este decreto para efectos administrativos, y exclusivamente en el ámbito de la competencia del Poder Ejecutivo estatal, corresponde a las secretarías de Administración y Finanzas y de la Contraloría General, en el ámbito de sus atribuciones, conforme a las disposiciones y definiciones que establezca la Ley del Presupuesto y Contabilidad Gubernamental del Estado de Yucatán y demás normativa aplicable.</w:t>
      </w:r>
    </w:p>
    <w:p w:rsidR="00CC48AD" w:rsidRDefault="007B6BE9">
      <w:pPr>
        <w:spacing w:before="100" w:beforeAutospacing="1" w:after="100" w:afterAutospacing="1"/>
        <w:rPr>
          <w:rFonts w:cs="Arial"/>
        </w:rPr>
      </w:pPr>
      <w:r w:rsidRPr="007B6BE9">
        <w:rPr>
          <w:rFonts w:cs="Arial"/>
        </w:rPr>
        <w:t>En el caso de los poderes Legislativo y Judicial y de los organismos autónomos las facultades de interpretación estarán a cargo de las instancias administrativas competentes.</w:t>
      </w:r>
    </w:p>
    <w:p w:rsidR="00CC48AD" w:rsidRDefault="007B6BE9">
      <w:pPr>
        <w:spacing w:before="100" w:beforeAutospacing="1" w:after="100" w:afterAutospacing="1"/>
        <w:rPr>
          <w:rFonts w:cs="Arial"/>
        </w:rPr>
      </w:pPr>
      <w:r w:rsidRPr="007B6BE9">
        <w:rPr>
          <w:rFonts w:cs="Arial"/>
        </w:rPr>
        <w:t>Será responsabilidad de las secretarías de Administración y Finanzas y de la Contraloría General, en el ámbito de sus respectivas competencias, cumplir y hacer cumplir las disposiciones establecidas en este decreto, así como determinar las normas y procedimientos administrativos tendientes a armonizar, transparentar, racionalizar y controlar el gasto público estatal.</w:t>
      </w:r>
    </w:p>
    <w:p w:rsidR="00CC48AD" w:rsidRDefault="007B6BE9">
      <w:pPr>
        <w:spacing w:before="100" w:beforeAutospacing="1" w:after="100" w:afterAutospacing="1"/>
        <w:rPr>
          <w:rFonts w:cs="Arial"/>
        </w:rPr>
      </w:pPr>
      <w:r w:rsidRPr="007B6BE9">
        <w:rPr>
          <w:rFonts w:cs="Arial"/>
          <w:b/>
          <w:bCs/>
        </w:rPr>
        <w:t>Artículo 3. Definiciones</w:t>
      </w:r>
    </w:p>
    <w:p w:rsidR="00CC48AD" w:rsidRDefault="007B6BE9">
      <w:pPr>
        <w:spacing w:before="100" w:beforeAutospacing="1" w:after="100" w:afterAutospacing="1"/>
        <w:rPr>
          <w:rFonts w:cs="Arial"/>
        </w:rPr>
      </w:pPr>
      <w:r w:rsidRPr="007B6BE9">
        <w:rPr>
          <w:rFonts w:cs="Arial"/>
        </w:rPr>
        <w:lastRenderedPageBreak/>
        <w:t>Para efectos de este decreto, adicionalmente a las definiciones contenidas en la Ley del Presupuesto y Contabilidad Gubernamental del Estado de Yucatán y su reglamento, se entenderá por:</w:t>
      </w:r>
    </w:p>
    <w:p w:rsidR="00CC48AD" w:rsidRDefault="007B6BE9">
      <w:pPr>
        <w:spacing w:before="100" w:beforeAutospacing="1" w:after="100" w:afterAutospacing="1"/>
        <w:rPr>
          <w:rFonts w:cs="Arial"/>
        </w:rPr>
      </w:pPr>
      <w:r w:rsidRPr="007B6BE9">
        <w:rPr>
          <w:rFonts w:cs="Arial"/>
        </w:rPr>
        <w:t>      I. Actividades sustantivas: las tareas o actividades que realiza una dependencia o entidad para cumplir con su misión y objetivos fundamentales.</w:t>
      </w:r>
    </w:p>
    <w:p w:rsidR="00CC48AD" w:rsidRDefault="007B6BE9">
      <w:pPr>
        <w:spacing w:before="100" w:beforeAutospacing="1" w:after="100" w:afterAutospacing="1"/>
        <w:rPr>
          <w:rFonts w:cs="Arial"/>
        </w:rPr>
      </w:pPr>
      <w:r w:rsidRPr="007B6BE9">
        <w:rPr>
          <w:rFonts w:cs="Arial"/>
        </w:rPr>
        <w:t>      II. ADEFAS: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rsidR="00CC48AD" w:rsidRDefault="007B6BE9">
      <w:pPr>
        <w:spacing w:before="100" w:beforeAutospacing="1" w:after="100" w:afterAutospacing="1"/>
        <w:rPr>
          <w:rFonts w:cs="Arial"/>
        </w:rPr>
      </w:pPr>
      <w:r w:rsidRPr="007B6BE9">
        <w:rPr>
          <w:rFonts w:cs="Arial"/>
        </w:rPr>
        <w:t>      III. Administración Pública centralizada: el Despacho del Gobernador y las dependencias contempladas en el artículo 22 del Código de la Administración Pública de Yucatán.</w:t>
      </w:r>
    </w:p>
    <w:p w:rsidR="00CC48AD" w:rsidRDefault="007B6BE9">
      <w:pPr>
        <w:spacing w:before="100" w:beforeAutospacing="1" w:after="100" w:afterAutospacing="1"/>
        <w:rPr>
          <w:rFonts w:cs="Arial"/>
        </w:rPr>
      </w:pPr>
      <w:r w:rsidRPr="007B6BE9">
        <w:rPr>
          <w:rFonts w:cs="Arial"/>
        </w:rPr>
        <w:t>      IV. Amortización de la deuda: la liquidación parcial o total del saldo insoluto de la deuda, mediante pago o cualquier forma por la cual se extinga la obligación principal de los pasivos contraídos por el Gobierno del estado, organismos y empresas a favor de otros agentes económicos.</w:t>
      </w:r>
    </w:p>
    <w:p w:rsidR="00CC48AD" w:rsidRDefault="007B6BE9">
      <w:pPr>
        <w:spacing w:before="100" w:beforeAutospacing="1" w:after="100" w:afterAutospacing="1"/>
        <w:rPr>
          <w:rFonts w:cs="Arial"/>
        </w:rPr>
      </w:pPr>
      <w:r w:rsidRPr="007B6BE9">
        <w:rPr>
          <w:rFonts w:cs="Arial"/>
        </w:rPr>
        <w:t>      V. Asignación presupuestal: la transferencia de los recursos públicos que realiza el Ejecutivo estatal a través de la Secretaría de Administración y Finanzas a los ejecutores de gasto, que se destina a cubrir determinado gasto o inversión reflejado en el presupuesto, para cumplir los objetivos del Plan Estatal de Desarrollo.</w:t>
      </w:r>
    </w:p>
    <w:p w:rsidR="00CC48AD" w:rsidRDefault="007B6BE9">
      <w:pPr>
        <w:spacing w:before="100" w:beforeAutospacing="1" w:after="100" w:afterAutospacing="1"/>
        <w:rPr>
          <w:rFonts w:cs="Arial"/>
        </w:rPr>
      </w:pPr>
      <w:r w:rsidRPr="007B6BE9">
        <w:rPr>
          <w:rFonts w:cs="Arial"/>
        </w:rPr>
        <w:t>      VI. Ayudas: la asignación de recursos presupuestales en numerario o en especie otorgados por el Gobierno del estado sujetos a reglas de operación y aplicada con base en los objetivos y metas de los programas presupuestarios.</w:t>
      </w:r>
    </w:p>
    <w:p w:rsidR="00CC48AD" w:rsidRDefault="007B6BE9">
      <w:pPr>
        <w:spacing w:before="100" w:beforeAutospacing="1" w:after="100" w:afterAutospacing="1"/>
        <w:rPr>
          <w:rFonts w:cs="Arial"/>
        </w:rPr>
      </w:pPr>
      <w:r w:rsidRPr="007B6BE9">
        <w:rPr>
          <w:rFonts w:cs="Arial"/>
        </w:rPr>
        <w:t>      VII. Balance de operación: la diferencia entre el ingreso de operación y el gasto de operación.</w:t>
      </w:r>
    </w:p>
    <w:p w:rsidR="00CC48AD" w:rsidRDefault="007B6BE9">
      <w:pPr>
        <w:spacing w:before="100" w:beforeAutospacing="1" w:after="100" w:afterAutospacing="1"/>
        <w:rPr>
          <w:rFonts w:cs="Arial"/>
        </w:rPr>
      </w:pPr>
      <w:r w:rsidRPr="007B6BE9">
        <w:rPr>
          <w:rFonts w:cs="Arial"/>
        </w:rPr>
        <w:t>      VIII. Balance financiero: el balance primario menos el costo financiero.</w:t>
      </w:r>
    </w:p>
    <w:p w:rsidR="00CC48AD" w:rsidRDefault="007B6BE9">
      <w:pPr>
        <w:spacing w:before="100" w:beforeAutospacing="1" w:after="100" w:afterAutospacing="1"/>
        <w:rPr>
          <w:rFonts w:cs="Arial"/>
        </w:rPr>
      </w:pPr>
      <w:r w:rsidRPr="007B6BE9">
        <w:rPr>
          <w:rFonts w:cs="Arial"/>
        </w:rPr>
        <w:t>      IX. Balance primario: el balance de operación más las transferencias.</w:t>
      </w:r>
    </w:p>
    <w:p w:rsidR="00CC48AD" w:rsidRDefault="007B6BE9">
      <w:pPr>
        <w:spacing w:before="100" w:beforeAutospacing="1" w:after="100" w:afterAutospacing="1"/>
        <w:rPr>
          <w:rFonts w:cs="Arial"/>
        </w:rPr>
      </w:pPr>
      <w:r w:rsidRPr="007B6BE9">
        <w:rPr>
          <w:rFonts w:cs="Arial"/>
        </w:rPr>
        <w:t xml:space="preserve">      X. Clasificación administrativa: la presentación del Presupuesto de Egresos que tiene por objeto agrupar las previsiones de gasto conforme a sus ejecutores, </w:t>
      </w:r>
      <w:r w:rsidRPr="007B6BE9">
        <w:rPr>
          <w:rFonts w:cs="Arial"/>
        </w:rPr>
        <w:lastRenderedPageBreak/>
        <w:t xml:space="preserve">en sus diferentes tipos de ramos presupuestales: i) Autónomos, que incluyen a los Poderes Legislativo y Judicial, y a los entes autónomos; </w:t>
      </w:r>
      <w:proofErr w:type="spellStart"/>
      <w:r w:rsidRPr="007B6BE9">
        <w:rPr>
          <w:rFonts w:cs="Arial"/>
        </w:rPr>
        <w:t>ii</w:t>
      </w:r>
      <w:proofErr w:type="spellEnd"/>
      <w:r w:rsidRPr="007B6BE9">
        <w:rPr>
          <w:rFonts w:cs="Arial"/>
        </w:rPr>
        <w:t xml:space="preserve">) Administrativos, que comprende el gasto a las dependencias y entidades del gobierno estatal; y </w:t>
      </w:r>
      <w:proofErr w:type="spellStart"/>
      <w:r w:rsidRPr="007B6BE9">
        <w:rPr>
          <w:rFonts w:cs="Arial"/>
        </w:rPr>
        <w:t>iii</w:t>
      </w:r>
      <w:proofErr w:type="spellEnd"/>
      <w:r w:rsidRPr="007B6BE9">
        <w:rPr>
          <w:rFonts w:cs="Arial"/>
        </w:rPr>
        <w:t>) Generales, en los que se incluyen los conceptos de gasto asociado a la deuda pública, jubilaciones y pensiones, así como participaciones, aportaciones y transferencias a municipios.</w:t>
      </w:r>
    </w:p>
    <w:p w:rsidR="00CC48AD" w:rsidRDefault="007B6BE9">
      <w:pPr>
        <w:spacing w:before="100" w:beforeAutospacing="1" w:after="100" w:afterAutospacing="1"/>
        <w:rPr>
          <w:rFonts w:cs="Arial"/>
        </w:rPr>
      </w:pPr>
      <w:r w:rsidRPr="007B6BE9">
        <w:rPr>
          <w:rFonts w:cs="Arial"/>
        </w:rPr>
        <w:t>      XI. Clasificación económica: la que permite ordenar a los entes públicos de acuerdo con su naturaleza económica, con el propósito general de analizar y evaluar el impacto de la política y gestión fiscal y sus componentes sobre la economía en general.</w:t>
      </w:r>
    </w:p>
    <w:p w:rsidR="00CC48AD" w:rsidRDefault="007B6BE9">
      <w:pPr>
        <w:spacing w:before="100" w:beforeAutospacing="1" w:after="100" w:afterAutospacing="1"/>
        <w:rPr>
          <w:rFonts w:cs="Arial"/>
        </w:rPr>
      </w:pPr>
      <w:r w:rsidRPr="007B6BE9">
        <w:rPr>
          <w:rFonts w:cs="Arial"/>
        </w:rPr>
        <w:t>      XII. 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lo que permite dar seguimiento a los objetivos generales de las políticas públicas y los recursos financieros que se asignan para alcanzarlos.</w:t>
      </w:r>
    </w:p>
    <w:p w:rsidR="00CC48AD" w:rsidRDefault="007B6BE9">
      <w:pPr>
        <w:spacing w:before="100" w:beforeAutospacing="1" w:after="100" w:afterAutospacing="1"/>
        <w:rPr>
          <w:rFonts w:cs="Arial"/>
        </w:rPr>
      </w:pPr>
      <w:r w:rsidRPr="007B6BE9">
        <w:rPr>
          <w:rFonts w:cs="Arial"/>
        </w:rPr>
        <w:t>      XIII. Clasificación por fuentes de financiamiento: la que presentan los gastos públicos según los agregados genéricos de los recursos empleados para su financiamiento para identificar las fuentes u orígenes de los ingresos que financian los egresos y precisar la orientación específica de cada fuente, a efecto de controlar su aplicación.</w:t>
      </w:r>
    </w:p>
    <w:p w:rsidR="00CC48AD" w:rsidRDefault="007B6BE9">
      <w:pPr>
        <w:spacing w:before="100" w:beforeAutospacing="1" w:after="100" w:afterAutospacing="1"/>
        <w:rPr>
          <w:rFonts w:cs="Arial"/>
        </w:rPr>
      </w:pPr>
      <w:r w:rsidRPr="007B6BE9">
        <w:rPr>
          <w:rFonts w:cs="Arial"/>
        </w:rPr>
        <w:t>      XIV. 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rsidR="00CC48AD" w:rsidRDefault="007B6BE9">
      <w:pPr>
        <w:spacing w:before="100" w:beforeAutospacing="1" w:after="100" w:afterAutospacing="1"/>
        <w:rPr>
          <w:rFonts w:cs="Arial"/>
        </w:rPr>
      </w:pPr>
      <w:r w:rsidRPr="007B6BE9">
        <w:rPr>
          <w:rFonts w:cs="Arial"/>
        </w:rPr>
        <w:t>      XV. Clasificación programática: la clasificación de los programas presupuestarios de los entes públicos, que permite organizar, en forma representativa y homogénea, las asignaciones de recursos de los programas presupuestarios, proyectos, actividades y fondos.</w:t>
      </w:r>
    </w:p>
    <w:p w:rsidR="00CC48AD" w:rsidRDefault="007B6BE9">
      <w:pPr>
        <w:spacing w:before="100" w:beforeAutospacing="1" w:after="100" w:afterAutospacing="1"/>
        <w:rPr>
          <w:rFonts w:cs="Arial"/>
        </w:rPr>
      </w:pPr>
      <w:r w:rsidRPr="007B6BE9">
        <w:rPr>
          <w:rFonts w:cs="Arial"/>
        </w:rPr>
        <w:t>      XVI. Decreto: el Decreto del Presupuesto de Egresos del Gobierno del Estado de Yucatán para el Ejercicio Fiscal 2022.</w:t>
      </w:r>
    </w:p>
    <w:p w:rsidR="00CC48AD" w:rsidRDefault="007B6BE9">
      <w:pPr>
        <w:spacing w:before="100" w:beforeAutospacing="1" w:after="100" w:afterAutospacing="1"/>
        <w:rPr>
          <w:rFonts w:cs="Arial"/>
        </w:rPr>
      </w:pPr>
      <w:r w:rsidRPr="007B6BE9">
        <w:rPr>
          <w:rFonts w:cs="Arial"/>
        </w:rPr>
        <w:lastRenderedPageBreak/>
        <w:t>      XVII. Gasto de inversión o capital: las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rsidR="00CC48AD" w:rsidRDefault="007B6BE9">
      <w:pPr>
        <w:spacing w:before="100" w:beforeAutospacing="1" w:after="100" w:afterAutospacing="1"/>
        <w:rPr>
          <w:rFonts w:cs="Arial"/>
        </w:rPr>
      </w:pPr>
      <w:r w:rsidRPr="007B6BE9">
        <w:rPr>
          <w:rFonts w:cs="Arial"/>
        </w:rPr>
        <w:t>      XVIII. Gasto federalizado: los recursos públicos que el Gobierno federal transfiere a los estados y municipios del país para que estos afronten sus necesidades de gasto en materia de educación, salud, infraestructura e inversión social y seguridad pública, entre otros rubros.</w:t>
      </w:r>
    </w:p>
    <w:p w:rsidR="00CC48AD" w:rsidRDefault="007B6BE9">
      <w:pPr>
        <w:spacing w:before="100" w:beforeAutospacing="1" w:after="100" w:afterAutospacing="1"/>
        <w:ind w:firstLine="709"/>
        <w:rPr>
          <w:rFonts w:cs="Arial"/>
        </w:rPr>
      </w:pPr>
      <w:r w:rsidRPr="007B6BE9">
        <w:rPr>
          <w:rFonts w:cs="Arial"/>
        </w:rPr>
        <w:t xml:space="preserve">XIX. Ley de disciplina financiera: la Ley de Disciplina Financiera de las Entidades Federativas y los Municipios </w:t>
      </w:r>
    </w:p>
    <w:p w:rsidR="00CC48AD" w:rsidRDefault="007B6BE9">
      <w:pPr>
        <w:spacing w:before="100" w:beforeAutospacing="1" w:after="100" w:afterAutospacing="1"/>
        <w:rPr>
          <w:rFonts w:cs="Arial"/>
        </w:rPr>
      </w:pPr>
      <w:r w:rsidRPr="007B6BE9">
        <w:rPr>
          <w:rFonts w:cs="Arial"/>
        </w:rPr>
        <w:t>      XX. Ley de ingresos: la Ley de Ingresos del Estado de Yucatán para el Ejercicio Fiscal 2022.</w:t>
      </w:r>
    </w:p>
    <w:p w:rsidR="00CC48AD" w:rsidRDefault="007B6BE9">
      <w:pPr>
        <w:spacing w:before="100" w:beforeAutospacing="1" w:after="100" w:afterAutospacing="1"/>
        <w:rPr>
          <w:rFonts w:cs="Arial"/>
        </w:rPr>
      </w:pPr>
      <w:r w:rsidRPr="007B6BE9">
        <w:rPr>
          <w:rFonts w:cs="Arial"/>
        </w:rPr>
        <w:t>      XXI. Matriz de indicadores para resultados: la herramienta de planeación estratégica que, en forma resumida, sencilla y armónica, establece con claridad los objetivos del programa presupuestario y su alineación con aquellos de la planeación estatal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rsidR="00CC48AD" w:rsidRDefault="007B6BE9">
      <w:pPr>
        <w:spacing w:before="100" w:beforeAutospacing="1" w:after="100" w:afterAutospacing="1"/>
        <w:rPr>
          <w:rFonts w:cs="Arial"/>
        </w:rPr>
      </w:pPr>
      <w:r w:rsidRPr="007B6BE9">
        <w:rPr>
          <w:rFonts w:cs="Arial"/>
        </w:rPr>
        <w:t>      XXII. Poderes: el Poder Legislativo del estado de Yucatán y el Poder Judicial del estado de Yucatán.</w:t>
      </w:r>
    </w:p>
    <w:p w:rsidR="00CC48AD" w:rsidRDefault="007B6BE9">
      <w:pPr>
        <w:spacing w:before="100" w:beforeAutospacing="1" w:after="100" w:afterAutospacing="1"/>
        <w:rPr>
          <w:rFonts w:cs="Arial"/>
        </w:rPr>
      </w:pPr>
      <w:r w:rsidRPr="007B6BE9">
        <w:rPr>
          <w:rFonts w:cs="Arial"/>
        </w:rPr>
        <w:t>      XXIII. Secretaría: la Secretaría de Administración y Finanzas del Gobierno del Estado.</w:t>
      </w:r>
    </w:p>
    <w:p w:rsidR="00CC48AD" w:rsidRDefault="007B6BE9">
      <w:pPr>
        <w:spacing w:before="100" w:beforeAutospacing="1" w:after="100" w:afterAutospacing="1"/>
        <w:rPr>
          <w:rFonts w:cs="Arial"/>
        </w:rPr>
      </w:pPr>
      <w:r w:rsidRPr="007B6BE9">
        <w:rPr>
          <w:rFonts w:cs="Arial"/>
        </w:rPr>
        <w:t>      XXIV. SEPLAN: la Secretaría Técnica de Planeación y Evaluación.</w:t>
      </w:r>
    </w:p>
    <w:p w:rsidR="00CC48AD" w:rsidRDefault="007B6BE9">
      <w:pPr>
        <w:spacing w:before="100" w:beforeAutospacing="1" w:after="100" w:afterAutospacing="1"/>
        <w:rPr>
          <w:rFonts w:cs="Arial"/>
        </w:rPr>
      </w:pPr>
      <w:r w:rsidRPr="007B6BE9">
        <w:rPr>
          <w:rFonts w:cs="Arial"/>
        </w:rPr>
        <w:t>Cualquier otro término no definido en el presente artículo, se deberá entender conforme al glosario establecido en la Ley General de Contabilidad Gubernamental y las demás leyes de la materia.</w:t>
      </w:r>
    </w:p>
    <w:p w:rsidR="00CC48AD" w:rsidRDefault="007B6BE9">
      <w:pPr>
        <w:spacing w:before="100" w:beforeAutospacing="1" w:after="100" w:afterAutospacing="1"/>
        <w:rPr>
          <w:rFonts w:cs="Arial"/>
        </w:rPr>
      </w:pPr>
      <w:r w:rsidRPr="007B6BE9">
        <w:rPr>
          <w:rFonts w:cs="Arial"/>
          <w:b/>
          <w:bCs/>
        </w:rPr>
        <w:t>Artículo 4. Características de la información presupuestal que se envíe al Congreso</w:t>
      </w:r>
    </w:p>
    <w:p w:rsidR="00CC48AD" w:rsidRDefault="007B6BE9">
      <w:pPr>
        <w:spacing w:before="100" w:beforeAutospacing="1" w:after="100" w:afterAutospacing="1"/>
        <w:rPr>
          <w:rFonts w:cs="Arial"/>
        </w:rPr>
      </w:pPr>
      <w:r w:rsidRPr="007B6BE9">
        <w:rPr>
          <w:rFonts w:cs="Arial"/>
        </w:rPr>
        <w:lastRenderedPageBreak/>
        <w:t>La información que, en términos de este decreto, se remite al Congreso del estado por conducto de su mesa directiva, se presentará en forma impresa y en formato electrónico de texto modificable con, por lo menos, el nivel mínimo de desagregación que establecen las normas del Consejo Nacional de Armonización Contable, la Ley del Presupuesto y Contabilidad Gubernamental del Estado de Yucatán y las demás disposiciones normativas aplicables.</w:t>
      </w:r>
    </w:p>
    <w:p w:rsidR="00CC48AD" w:rsidRDefault="007B6BE9">
      <w:pPr>
        <w:spacing w:before="100" w:beforeAutospacing="1" w:after="100" w:afterAutospacing="1"/>
        <w:rPr>
          <w:rFonts w:cs="Arial"/>
        </w:rPr>
      </w:pPr>
      <w:r w:rsidRPr="007B6BE9">
        <w:rPr>
          <w:rFonts w:cs="Arial"/>
        </w:rPr>
        <w:t>En caso de que la fecha límite para proporcionar la información sea un día inhábil, la fecha de entrega se recorrerá al día hábil siguiente.</w:t>
      </w:r>
    </w:p>
    <w:p w:rsidR="00CC48AD" w:rsidRDefault="007B6BE9">
      <w:pPr>
        <w:spacing w:before="100" w:beforeAutospacing="1" w:after="100" w:afterAutospacing="1"/>
        <w:rPr>
          <w:rFonts w:cs="Arial"/>
        </w:rPr>
      </w:pPr>
      <w:r w:rsidRPr="007B6BE9">
        <w:rPr>
          <w:rFonts w:cs="Arial"/>
          <w:b/>
          <w:bCs/>
        </w:rPr>
        <w:t>Artículo 5. Intervención de la secretaría en convenios o acuerdos</w:t>
      </w:r>
    </w:p>
    <w:p w:rsidR="00CC48AD" w:rsidRDefault="007B6BE9">
      <w:pPr>
        <w:spacing w:before="100" w:beforeAutospacing="1" w:after="100" w:afterAutospacing="1"/>
        <w:rPr>
          <w:rFonts w:cs="Arial"/>
        </w:rPr>
      </w:pPr>
      <w:r w:rsidRPr="007B6BE9">
        <w:rPr>
          <w:rFonts w:cs="Arial"/>
        </w:rPr>
        <w:t>La secretaría intervendrá en el proceso de control del gasto de todos los convenios o acuerdos, en los que se comprometa el patrimonio económico o el erario del estado, tomando conocimiento o en su caso, según corresponda, dando su visto bueno para su celebración. La ministración de recursos estatales de esos convenios dependerá de la disponibilidad financiera al momento de su ejecución. La celebración de estos convenios o acuerdos deberá apegarse a la normativa aplicable.</w:t>
      </w:r>
    </w:p>
    <w:p w:rsidR="00CC48AD" w:rsidRDefault="007B6BE9">
      <w:pPr>
        <w:spacing w:before="100" w:beforeAutospacing="1" w:after="100" w:afterAutospacing="1"/>
        <w:rPr>
          <w:rFonts w:cs="Arial"/>
        </w:rPr>
      </w:pPr>
      <w:r w:rsidRPr="007B6BE9">
        <w:rPr>
          <w:rFonts w:cs="Arial"/>
          <w:b/>
          <w:bCs/>
        </w:rPr>
        <w:t>Artículo 6. Principios para el ejercicio del presupuesto</w:t>
      </w:r>
    </w:p>
    <w:p w:rsidR="00CC48AD" w:rsidRDefault="007B6BE9">
      <w:pPr>
        <w:spacing w:before="100" w:beforeAutospacing="1" w:after="100" w:afterAutospacing="1"/>
        <w:rPr>
          <w:rFonts w:cs="Arial"/>
        </w:rPr>
      </w:pPr>
      <w:r w:rsidRPr="007B6BE9">
        <w:rPr>
          <w:rFonts w:cs="Arial"/>
        </w:rPr>
        <w:t>El ejercicio del presupuesto se apegará a los principios de eficiencia, eficacia, economía, transparencia y honradez para satisfacer los objetivos a los que están destinados, con base en lo siguiente:</w:t>
      </w:r>
    </w:p>
    <w:p w:rsidR="00CC48AD" w:rsidRDefault="007B6BE9">
      <w:pPr>
        <w:spacing w:before="100" w:beforeAutospacing="1" w:after="100" w:afterAutospacing="1"/>
        <w:rPr>
          <w:rFonts w:cs="Arial"/>
        </w:rPr>
      </w:pPr>
      <w:r w:rsidRPr="007B6BE9">
        <w:rPr>
          <w:rFonts w:cs="Arial"/>
        </w:rPr>
        <w:t>      I. Priorizar la asignación de los recursos a los programas, obras y acciones de alto impacto y beneficio social que incidan en el desarrollo económico y social.</w:t>
      </w:r>
    </w:p>
    <w:p w:rsidR="00CC48AD" w:rsidRDefault="007B6BE9">
      <w:pPr>
        <w:spacing w:before="100" w:beforeAutospacing="1" w:after="100" w:afterAutospacing="1"/>
        <w:rPr>
          <w:rFonts w:cs="Arial"/>
        </w:rPr>
      </w:pPr>
      <w:r w:rsidRPr="007B6BE9">
        <w:rPr>
          <w:rFonts w:cs="Arial"/>
        </w:rPr>
        <w:t>      II. Garantizar la elevación de los niveles de calidad de vida de la población.</w:t>
      </w:r>
    </w:p>
    <w:p w:rsidR="00CC48AD" w:rsidRDefault="007B6BE9">
      <w:pPr>
        <w:spacing w:before="100" w:beforeAutospacing="1" w:after="100" w:afterAutospacing="1"/>
        <w:rPr>
          <w:rFonts w:cs="Arial"/>
        </w:rPr>
      </w:pPr>
      <w:r w:rsidRPr="007B6BE9">
        <w:rPr>
          <w:rFonts w:cs="Arial"/>
        </w:rPr>
        <w:t>      III. Identificar a la población objetivo, procurando atender a la de menor ingreso.</w:t>
      </w:r>
    </w:p>
    <w:p w:rsidR="00CC48AD" w:rsidRDefault="007B6BE9">
      <w:pPr>
        <w:spacing w:before="100" w:beforeAutospacing="1" w:after="100" w:afterAutospacing="1"/>
        <w:rPr>
          <w:rFonts w:cs="Arial"/>
        </w:rPr>
      </w:pPr>
      <w:r w:rsidRPr="007B6BE9">
        <w:rPr>
          <w:rFonts w:cs="Arial"/>
        </w:rPr>
        <w:t>      IV. Consolidar la estructura presupuestaria que facilite la ejecución de los programas.</w:t>
      </w:r>
    </w:p>
    <w:p w:rsidR="00CC48AD" w:rsidRDefault="007B6BE9">
      <w:pPr>
        <w:spacing w:before="100" w:beforeAutospacing="1" w:after="100" w:afterAutospacing="1"/>
        <w:rPr>
          <w:rFonts w:cs="Arial"/>
        </w:rPr>
      </w:pPr>
      <w:r w:rsidRPr="007B6BE9">
        <w:rPr>
          <w:rFonts w:cs="Arial"/>
        </w:rPr>
        <w:t>      V. Consolidar el presupuesto basado en resultados.</w:t>
      </w:r>
    </w:p>
    <w:p w:rsidR="00CC48AD" w:rsidRDefault="007B6BE9">
      <w:pPr>
        <w:spacing w:before="100" w:beforeAutospacing="1" w:after="100" w:afterAutospacing="1"/>
        <w:rPr>
          <w:rFonts w:cs="Arial"/>
        </w:rPr>
      </w:pPr>
      <w:r w:rsidRPr="007B6BE9">
        <w:rPr>
          <w:rFonts w:cs="Arial"/>
        </w:rPr>
        <w:lastRenderedPageBreak/>
        <w:t>      VI. La aplicación del presupuesto será siempre conforme a su capacidad financiera al momento del ejercicio del gasto, privilegiando la sostenibilidad financiera del Estado.</w:t>
      </w:r>
    </w:p>
    <w:p w:rsidR="00CC48AD" w:rsidRDefault="007B6BE9">
      <w:pPr>
        <w:spacing w:before="100" w:beforeAutospacing="1" w:after="100" w:afterAutospacing="1"/>
        <w:rPr>
          <w:rFonts w:cs="Arial"/>
        </w:rPr>
      </w:pPr>
      <w:r w:rsidRPr="007B6BE9">
        <w:rPr>
          <w:rFonts w:cs="Arial"/>
        </w:rPr>
        <w:t>      VII. Impulsar el cumplimiento de los principios de no discriminación, del interés superior de la niñez, de la igualdad de género, de un medio ambiente sano y de los derechos humanos previstos en los tratados internacionales, en la Constitución Política de los Estados Unidos Mexicanos, en la Constitución Política del Estado de Yucatán, y en la legislación y normativa vigente.</w:t>
      </w:r>
    </w:p>
    <w:p w:rsidR="00CC48AD" w:rsidRDefault="007B6BE9">
      <w:pPr>
        <w:spacing w:before="100" w:beforeAutospacing="1" w:after="100" w:afterAutospacing="1"/>
        <w:rPr>
          <w:rFonts w:cs="Arial"/>
        </w:rPr>
      </w:pPr>
      <w:r w:rsidRPr="007B6BE9">
        <w:rPr>
          <w:rFonts w:cs="Arial"/>
          <w:b/>
          <w:bCs/>
        </w:rPr>
        <w:t>Artículo 7. Apego a la legalidad de la información presupuestal y de ingresos</w:t>
      </w:r>
    </w:p>
    <w:p w:rsidR="00CC48AD" w:rsidRDefault="007B6BE9">
      <w:pPr>
        <w:spacing w:before="100" w:beforeAutospacing="1" w:after="100" w:afterAutospacing="1"/>
        <w:rPr>
          <w:rFonts w:cs="Arial"/>
        </w:rPr>
      </w:pPr>
      <w:r w:rsidRPr="007B6BE9">
        <w:rPr>
          <w:rFonts w:cs="Arial"/>
        </w:rPr>
        <w:t>La secretaría supervisará que toda la información presupuestaria y de ingresos cumpla con lo establecido en la Ley del Presupuesto y Contabilidad Gubernamental del Estado de Yucatán, así como en la Ley General de Contabilidad Gubernamental.</w:t>
      </w:r>
    </w:p>
    <w:p w:rsidR="00CC48AD" w:rsidRDefault="007B6BE9">
      <w:pPr>
        <w:spacing w:before="100" w:beforeAutospacing="1" w:after="100" w:afterAutospacing="1"/>
        <w:rPr>
          <w:rFonts w:cs="Arial"/>
        </w:rPr>
      </w:pPr>
      <w:r w:rsidRPr="007B6BE9">
        <w:rPr>
          <w:rFonts w:cs="Arial"/>
        </w:rPr>
        <w:t>Todas las asignaciones presupuestales de este decreto y de los demás documentos en la materia, deberán cumplir con las disposiciones, requisitos y estar disponibles en términos de la Ley General de Transparencia y Acceso a la Información Pública y la Ley de Transparencia y Acceso a la Información Pública del Estado de Yucatán.</w:t>
      </w:r>
    </w:p>
    <w:p w:rsidR="00CC48AD" w:rsidRDefault="007B6BE9">
      <w:pPr>
        <w:spacing w:before="100" w:beforeAutospacing="1" w:after="100" w:afterAutospacing="1"/>
        <w:rPr>
          <w:rFonts w:cs="Arial"/>
        </w:rPr>
      </w:pPr>
      <w:r w:rsidRPr="007B6BE9">
        <w:rPr>
          <w:rFonts w:cs="Arial"/>
        </w:rPr>
        <w:t>Las dependencias y entidades deberán registrar ante la secretaría todas las operaciones que involucren compromisos financieros con recursos públicos estatales, los cuales solo podrán erogar si se encuentran autorizados en el presupuesto respectivo.</w:t>
      </w:r>
    </w:p>
    <w:p w:rsidR="00CC48AD" w:rsidRDefault="007B6BE9">
      <w:pPr>
        <w:spacing w:before="100" w:beforeAutospacing="1" w:after="100" w:afterAutospacing="1"/>
        <w:rPr>
          <w:rFonts w:cs="Arial"/>
        </w:rPr>
      </w:pPr>
      <w:r w:rsidRPr="007B6BE9">
        <w:rPr>
          <w:rFonts w:cs="Arial"/>
          <w:b/>
          <w:bCs/>
        </w:rPr>
        <w:t>Artículo 8. Calendarización para el ejercicio del presupuesto</w:t>
      </w:r>
    </w:p>
    <w:p w:rsidR="00CC48AD" w:rsidRDefault="007B6BE9">
      <w:pPr>
        <w:spacing w:before="100" w:beforeAutospacing="1" w:after="100" w:afterAutospacing="1"/>
        <w:rPr>
          <w:rFonts w:cs="Arial"/>
        </w:rPr>
      </w:pPr>
      <w:r w:rsidRPr="007B6BE9">
        <w:rPr>
          <w:rFonts w:cs="Arial"/>
        </w:rPr>
        <w:t>Los entes públicos que ejerzan recursos del gasto total deberán formular su calendario de egresos con base mensual, en los formatos que determine el Consejo Nacional de Armonización Contable y remitirlo a la secretaría durante los primeros quince días de enero.</w:t>
      </w:r>
    </w:p>
    <w:p w:rsidR="00CC48AD" w:rsidRDefault="007B6BE9">
      <w:pPr>
        <w:spacing w:before="100" w:beforeAutospacing="1" w:after="100" w:afterAutospacing="1"/>
        <w:rPr>
          <w:rFonts w:cs="Arial"/>
        </w:rPr>
      </w:pPr>
      <w:r w:rsidRPr="007B6BE9">
        <w:rPr>
          <w:rFonts w:cs="Arial"/>
        </w:rPr>
        <w:t>La secretaría publicará, a más tardar el último día de enero, en su sitio web, el calendario de presupuesto de egresos con base mensual a que se refiere el párrafo segundo del artículo 66 de la Ley General de Contabilidad Gubernamental.</w:t>
      </w:r>
    </w:p>
    <w:p w:rsidR="00CC48AD" w:rsidRDefault="007B6BE9">
      <w:pPr>
        <w:spacing w:before="100" w:beforeAutospacing="1" w:after="100" w:afterAutospacing="1"/>
        <w:rPr>
          <w:rFonts w:cs="Arial"/>
        </w:rPr>
      </w:pPr>
      <w:r w:rsidRPr="007B6BE9">
        <w:rPr>
          <w:rFonts w:cs="Arial"/>
        </w:rPr>
        <w:t xml:space="preserve">En el ejercicio del presupuesto de egresos, las dependencias y entidades se sujetarán a la calendarización que autorice o determine y les dé a conocer la </w:t>
      </w:r>
      <w:r w:rsidRPr="007B6BE9">
        <w:rPr>
          <w:rFonts w:cs="Arial"/>
        </w:rPr>
        <w:lastRenderedPageBreak/>
        <w:t>secretaría, según sea el caso, la cual será congruente con los flujos de ingresos. Asimismo, las dependencias y entidades proporcionarán a dicha secretaría, la información presupuestal y financiera que se les requiera, de conformidad con las disposiciones en vigor.</w:t>
      </w:r>
    </w:p>
    <w:p w:rsidR="00CC48AD" w:rsidRDefault="007B6BE9">
      <w:pPr>
        <w:spacing w:before="100" w:beforeAutospacing="1" w:after="100" w:afterAutospacing="1"/>
        <w:rPr>
          <w:rFonts w:cs="Arial"/>
        </w:rPr>
      </w:pPr>
      <w:r w:rsidRPr="007B6BE9">
        <w:rPr>
          <w:rFonts w:cs="Arial"/>
          <w:b/>
          <w:bCs/>
        </w:rPr>
        <w:t>Artículo 9. Autorización de adecuaciones</w:t>
      </w:r>
    </w:p>
    <w:p w:rsidR="00CC48AD" w:rsidRDefault="007B6BE9">
      <w:pPr>
        <w:spacing w:before="100" w:beforeAutospacing="1" w:after="100" w:afterAutospacing="1"/>
        <w:rPr>
          <w:rFonts w:cs="Arial"/>
        </w:rPr>
      </w:pPr>
      <w:r w:rsidRPr="007B6BE9">
        <w:rPr>
          <w:rFonts w:cs="Arial"/>
        </w:rPr>
        <w:t>Se autoriza al titular del Poder Ejecutivo del estado, a través de la secretaría, para hacer las adecuaciones a este presupuesto que resulten necesarias para satisfacer los requisitos que establezca el Presupuesto de Egresos de la Federación para el Ejercicio Fiscal 2022, cuando sea conveniente para el desarrollo del estado</w:t>
      </w:r>
      <w:bookmarkStart w:id="11" w:name="_GoBack"/>
      <w:bookmarkEnd w:id="11"/>
      <w:r w:rsidRPr="007B6BE9">
        <w:rPr>
          <w:rFonts w:cs="Arial"/>
        </w:rPr>
        <w:t>.</w:t>
      </w:r>
    </w:p>
    <w:p w:rsidR="00CC48AD" w:rsidRDefault="007B6BE9">
      <w:pPr>
        <w:spacing w:before="100" w:beforeAutospacing="1" w:after="100" w:afterAutospacing="1"/>
        <w:rPr>
          <w:rFonts w:cs="Arial"/>
        </w:rPr>
      </w:pPr>
      <w:r w:rsidRPr="007B6BE9">
        <w:rPr>
          <w:rFonts w:cs="Arial"/>
          <w:b/>
          <w:bCs/>
        </w:rPr>
        <w:t>Artículo 10. Obligaciones de transparencia en materia presupuestaria</w:t>
      </w:r>
    </w:p>
    <w:p w:rsidR="00CC48AD" w:rsidRDefault="007B6BE9">
      <w:pPr>
        <w:spacing w:before="100" w:beforeAutospacing="1" w:after="100" w:afterAutospacing="1"/>
        <w:rPr>
          <w:rFonts w:cs="Arial"/>
        </w:rPr>
      </w:pPr>
      <w:r w:rsidRPr="007B6BE9">
        <w:rPr>
          <w:rFonts w:cs="Arial"/>
        </w:rPr>
        <w:t>Los poderes y organismos autónomos, así como las dependencias y entidades deberán cumplir sus obligaciones de transparencia en materia presupuestaria, conforme a las previsiones de la Ley General de Transparencia y Acceso a la información Pública, la Ley de Transparencia y Acceso a la Información Pública del Estado de Yucatán, la Ley General de Contabilidad Gubernamental, la Ley del Presupuesto y Contabilidad Gubernamental del Estado de Yucatán, la ley de disciplina financiera, los lineamientos del Consejo Nacional de Armonización Contable y las demás disposiciones legales y normativas aplicables en la materia.</w:t>
      </w:r>
      <w:bookmarkStart w:id="12" w:name="capítulo-ii"/>
      <w:bookmarkEnd w:id="10"/>
    </w:p>
    <w:p w:rsidR="00CC48AD" w:rsidRDefault="007B6BE9">
      <w:pPr>
        <w:pStyle w:val="Ttulo2"/>
        <w:spacing w:before="100" w:beforeAutospacing="1" w:after="100" w:afterAutospacing="1"/>
        <w:rPr>
          <w:rFonts w:cs="Arial"/>
          <w:szCs w:val="24"/>
        </w:rPr>
      </w:pPr>
      <w:r w:rsidRPr="007B6BE9">
        <w:rPr>
          <w:rFonts w:cs="Arial"/>
          <w:szCs w:val="24"/>
        </w:rPr>
        <w:t>Capítulo II</w:t>
      </w:r>
    </w:p>
    <w:bookmarkEnd w:id="12"/>
    <w:p w:rsidR="00CC48AD" w:rsidRDefault="007B6BE9">
      <w:pPr>
        <w:pStyle w:val="Ttulo2"/>
        <w:spacing w:before="100" w:beforeAutospacing="1" w:after="100" w:afterAutospacing="1"/>
        <w:rPr>
          <w:rFonts w:cs="Arial"/>
          <w:szCs w:val="24"/>
        </w:rPr>
      </w:pPr>
      <w:r w:rsidRPr="007B6BE9">
        <w:rPr>
          <w:rFonts w:cs="Arial"/>
          <w:b w:val="0"/>
          <w:szCs w:val="24"/>
        </w:rPr>
        <w:t>Asignaciones presupuestales</w:t>
      </w:r>
    </w:p>
    <w:p w:rsidR="00CC48AD" w:rsidRDefault="007B6BE9">
      <w:pPr>
        <w:spacing w:before="100" w:beforeAutospacing="1" w:after="100" w:afterAutospacing="1"/>
        <w:rPr>
          <w:rFonts w:cs="Arial"/>
        </w:rPr>
      </w:pPr>
      <w:r w:rsidRPr="007B6BE9">
        <w:rPr>
          <w:rFonts w:cs="Arial"/>
          <w:b/>
          <w:bCs/>
        </w:rPr>
        <w:t xml:space="preserve">Artículo 11. Gasto total </w:t>
      </w:r>
    </w:p>
    <w:p w:rsidR="00CC48AD" w:rsidRDefault="007B6BE9">
      <w:pPr>
        <w:spacing w:before="100" w:beforeAutospacing="1" w:after="100" w:afterAutospacing="1"/>
        <w:rPr>
          <w:rFonts w:cs="Arial"/>
        </w:rPr>
      </w:pPr>
      <w:r w:rsidRPr="007B6BE9">
        <w:rPr>
          <w:rFonts w:cs="Arial"/>
        </w:rPr>
        <w:t>El gasto total previsto en este presupuesto es de $46,038,050,321, y corresponde al total de los ingresos aprobados en la ley de ingresos.</w:t>
      </w:r>
    </w:p>
    <w:p w:rsidR="00CC48AD" w:rsidRDefault="007B6BE9">
      <w:pPr>
        <w:spacing w:before="100" w:beforeAutospacing="1" w:after="100" w:afterAutospacing="1"/>
        <w:rPr>
          <w:rFonts w:cs="Arial"/>
        </w:rPr>
      </w:pPr>
      <w:r w:rsidRPr="007B6BE9">
        <w:rPr>
          <w:rFonts w:cs="Arial"/>
        </w:rPr>
        <w:t>Las erogaciones de los ramos autónomos, administrativos y generales se distribuyen conforme a lo previsto en el anexo 1 del presente decreto.</w:t>
      </w:r>
    </w:p>
    <w:p w:rsidR="00CC48AD" w:rsidRDefault="007B6BE9">
      <w:pPr>
        <w:spacing w:before="100" w:beforeAutospacing="1" w:after="100" w:afterAutospacing="1"/>
        <w:rPr>
          <w:rFonts w:cs="Arial"/>
        </w:rPr>
      </w:pPr>
      <w:r w:rsidRPr="007B6BE9">
        <w:rPr>
          <w:rFonts w:cs="Arial"/>
        </w:rPr>
        <w:t>Las asignaciones presupuestales del gasto total por ramo se distribuyen como sigue:</w:t>
      </w:r>
    </w:p>
    <w:p w:rsidR="00CC48AD" w:rsidRDefault="007B6BE9">
      <w:pPr>
        <w:spacing w:before="100" w:beforeAutospacing="1" w:after="100" w:afterAutospacing="1"/>
        <w:rPr>
          <w:rFonts w:cs="Arial"/>
        </w:rPr>
      </w:pPr>
      <w:r w:rsidRPr="007B6BE9">
        <w:rPr>
          <w:rFonts w:cs="Arial"/>
        </w:rPr>
        <w:t>      I. Para los ramos autónomos:</w:t>
      </w:r>
    </w:p>
    <w:p w:rsidR="00CC48AD" w:rsidRDefault="007B6BE9">
      <w:pPr>
        <w:spacing w:before="100" w:beforeAutospacing="1" w:after="100" w:afterAutospacing="1"/>
        <w:rPr>
          <w:rFonts w:cs="Arial"/>
        </w:rPr>
      </w:pPr>
      <w:r w:rsidRPr="007B6BE9">
        <w:rPr>
          <w:rFonts w:cs="Arial"/>
        </w:rPr>
        <w:lastRenderedPageBreak/>
        <w:t>              a) Para el Poder Legislativo, la cantidad de $225,583,450.00 que comprende los recursos asignados al Congreso del estado y a la Auditoría Superior del Estado de Yucatán.</w:t>
      </w:r>
    </w:p>
    <w:p w:rsidR="00CC48AD" w:rsidRDefault="007B6BE9">
      <w:pPr>
        <w:spacing w:before="100" w:beforeAutospacing="1" w:after="100" w:afterAutospacing="1"/>
        <w:rPr>
          <w:rFonts w:cs="Arial"/>
        </w:rPr>
      </w:pPr>
      <w:r w:rsidRPr="007B6BE9">
        <w:rPr>
          <w:rFonts w:cs="Arial"/>
        </w:rPr>
        <w:t>              b) Para el Poder Judicial, la cantidad de $633,836,980.00 que comprende el presupuesto del Tribunal Superior de Justicia del Estado, del Consejo de la Judicatura del Estado de Yucatán y el Tribunal de los Trabajadores al Servicio del Estado y Municipios.</w:t>
      </w:r>
    </w:p>
    <w:p w:rsidR="00CC48AD" w:rsidRDefault="007B6BE9">
      <w:pPr>
        <w:spacing w:before="100" w:beforeAutospacing="1" w:after="100" w:afterAutospacing="1"/>
        <w:rPr>
          <w:rFonts w:cs="Arial"/>
        </w:rPr>
      </w:pPr>
      <w:r w:rsidRPr="007B6BE9">
        <w:rPr>
          <w:rFonts w:cs="Arial"/>
        </w:rPr>
        <w:t>             c) Para los organismos autónomos, la cantidad de $2,818,732,226.00 que comprende los seis organismos autónomos establecidos en la Constitución Política del Estado de Yucatán y la Universidad Autónoma de Yucatán.</w:t>
      </w:r>
    </w:p>
    <w:p w:rsidR="00CC48AD" w:rsidRDefault="007B6BE9">
      <w:pPr>
        <w:spacing w:before="100" w:beforeAutospacing="1" w:after="100" w:afterAutospacing="1"/>
        <w:rPr>
          <w:rFonts w:cs="Arial"/>
        </w:rPr>
      </w:pPr>
      <w:r w:rsidRPr="007B6BE9">
        <w:rPr>
          <w:rFonts w:cs="Arial"/>
        </w:rPr>
        <w:t>      II. Para los ramos administrativos, correspondientes al Poder Ejecutivo la cantidad de $32,449,407,394.00 y su distribución se presenta en los anexos del 2.1.1. al 2.1.4. señalados en el artículo 13 de este decreto.</w:t>
      </w:r>
    </w:p>
    <w:p w:rsidR="00CC48AD" w:rsidRDefault="007B6BE9">
      <w:pPr>
        <w:spacing w:before="100" w:beforeAutospacing="1" w:after="100" w:afterAutospacing="1"/>
        <w:rPr>
          <w:rFonts w:cs="Arial"/>
        </w:rPr>
      </w:pPr>
      <w:r w:rsidRPr="007B6BE9">
        <w:rPr>
          <w:rFonts w:cs="Arial"/>
        </w:rPr>
        <w:t>      III. Para los ramos generales, la cantidad de $9,910,490,271.00 que comprende las participaciones, aportaciones y transferencias a municipios, los conceptos de gasto asociados a la deuda pública, y jubilaciones y pensiones:</w:t>
      </w:r>
    </w:p>
    <w:p w:rsidR="00CC48AD" w:rsidRDefault="007B6BE9">
      <w:pPr>
        <w:spacing w:before="100" w:beforeAutospacing="1" w:after="100" w:afterAutospacing="1"/>
        <w:rPr>
          <w:rFonts w:cs="Arial"/>
        </w:rPr>
      </w:pPr>
      <w:r w:rsidRPr="007B6BE9">
        <w:rPr>
          <w:rFonts w:cs="Arial"/>
        </w:rPr>
        <w:t>             a) Para los municipios del estado, la cantidad de $7,586,328,273.00, integrada de la siguiente manera:</w:t>
      </w:r>
    </w:p>
    <w:p w:rsidR="00CC48AD" w:rsidRDefault="007B6BE9">
      <w:pPr>
        <w:spacing w:before="100" w:beforeAutospacing="1" w:after="100" w:afterAutospacing="1"/>
        <w:rPr>
          <w:rFonts w:cs="Arial"/>
        </w:rPr>
      </w:pPr>
      <w:r w:rsidRPr="007B6BE9">
        <w:rPr>
          <w:rFonts w:cs="Arial"/>
        </w:rPr>
        <w:t>                      1. Las participaciones de la Federación y del estado a sus municipios importan la cantidad de $4,092,168,930.00, de los cuales $4,046,092,787.00 corresponden a participaciones federales y $46,076,143.00 corresponden a impuestos estatales. La distribución de participaciones a municipios se desglosa en el anexo 4.1 de este decreto.</w:t>
      </w:r>
    </w:p>
    <w:p w:rsidR="00CC48AD" w:rsidRDefault="007B6BE9">
      <w:pPr>
        <w:spacing w:before="100" w:beforeAutospacing="1" w:after="100" w:afterAutospacing="1"/>
        <w:rPr>
          <w:rFonts w:cs="Arial"/>
        </w:rPr>
      </w:pPr>
      <w:r w:rsidRPr="007B6BE9">
        <w:rPr>
          <w:rFonts w:cs="Arial"/>
        </w:rPr>
        <w:t>                     2. Las aportaciones estimadas para los municipios del estado importan la cantidad de $3,494,159,343.00 y se distribuirán de acuerdo con lo previsto en la Ley de Coordinación Fiscal y se detallan en al anexo 4.2.</w:t>
      </w:r>
    </w:p>
    <w:p w:rsidR="00CC48AD" w:rsidRDefault="007B6BE9">
      <w:pPr>
        <w:spacing w:before="100" w:beforeAutospacing="1" w:after="100" w:afterAutospacing="1"/>
        <w:rPr>
          <w:rFonts w:cs="Arial"/>
        </w:rPr>
      </w:pPr>
      <w:r w:rsidRPr="007B6BE9">
        <w:rPr>
          <w:rFonts w:cs="Arial"/>
        </w:rPr>
        <w:t>              b) El saldo neto de la deuda pública del Gobierno del Estado de Yucatán contratada con la banca de desarrollo y la banca privada se estima en $7,744,435,094.85, con fecha de corte al 31 de diciembre de 2021, cuyo detalle se presenta en el anexo 5.1 y cuya metodología de cálculo se puede consultar en el anexo 19.1.</w:t>
      </w:r>
    </w:p>
    <w:p w:rsidR="00CC48AD" w:rsidRDefault="007B6BE9">
      <w:pPr>
        <w:spacing w:before="100" w:beforeAutospacing="1" w:after="100" w:afterAutospacing="1"/>
        <w:rPr>
          <w:rFonts w:cs="Arial"/>
        </w:rPr>
      </w:pPr>
      <w:r w:rsidRPr="007B6BE9">
        <w:rPr>
          <w:rFonts w:cs="Arial"/>
        </w:rPr>
        <w:lastRenderedPageBreak/>
        <w:t>              Para el ejercicio fiscal 2022, se establece una asignación presupuestal de $1,196,262,210.00 para el pago de la deuda pública y obligaciones a corto plazo, la cual incluye, $615,946,307.00 destinados a la amortización de la deuda y obligaciones, $533,014,371.00 al pago de intereses, $3,629,072.00 a los gastos de la deuda y $43,672,460.00 al costo de coberturas por variación de tasas de interés. Esta información se encuentra en los anexos 5.2. y 5.3. de este decreto.</w:t>
      </w:r>
    </w:p>
    <w:p w:rsidR="00CC48AD" w:rsidRDefault="007B6BE9">
      <w:pPr>
        <w:spacing w:before="100" w:beforeAutospacing="1" w:after="100" w:afterAutospacing="1"/>
        <w:rPr>
          <w:rFonts w:cs="Arial"/>
        </w:rPr>
      </w:pPr>
      <w:r w:rsidRPr="007B6BE9">
        <w:rPr>
          <w:rFonts w:cs="Arial"/>
        </w:rPr>
        <w:t>              La información sobre el programa financiero de la deuda pública para el ejercicio fiscal 2022 por objeto de gasto, se presenta en el anexo 5.2. de este decreto.</w:t>
      </w:r>
    </w:p>
    <w:p w:rsidR="00CC48AD" w:rsidRDefault="007B6BE9">
      <w:pPr>
        <w:spacing w:before="100" w:beforeAutospacing="1" w:after="100" w:afterAutospacing="1"/>
        <w:rPr>
          <w:rFonts w:cs="Arial"/>
        </w:rPr>
      </w:pPr>
      <w:r w:rsidRPr="007B6BE9">
        <w:rPr>
          <w:rFonts w:cs="Arial"/>
        </w:rPr>
        <w:t>              Para este ejercicio fiscal 2022 se establece una asignación presupuestaria para el concepto de ADEFAS por un monto de $150,000,000.00, cifra que podrá incrementarse hasta por el porcentaje establecido conforme al artículo 12 de la Ley de Disciplina Financiera.</w:t>
      </w:r>
    </w:p>
    <w:p w:rsidR="00CC48AD" w:rsidRDefault="007B6BE9">
      <w:pPr>
        <w:spacing w:before="100" w:beforeAutospacing="1" w:after="100" w:afterAutospacing="1"/>
        <w:rPr>
          <w:rFonts w:cs="Arial"/>
        </w:rPr>
      </w:pPr>
      <w:r w:rsidRPr="007B6BE9">
        <w:rPr>
          <w:rFonts w:cs="Arial"/>
        </w:rPr>
        <w:t>              c) El gasto correspondiente a las jubilaciones y pensiones es por la cantidad de $803,870,620.00, la cual se detalla en los anexos 6.1, 6.2 y 6.3.</w:t>
      </w:r>
    </w:p>
    <w:p w:rsidR="00CC48AD" w:rsidRDefault="007B6BE9">
      <w:pPr>
        <w:spacing w:before="100" w:beforeAutospacing="1" w:after="100" w:afterAutospacing="1"/>
        <w:rPr>
          <w:rFonts w:cs="Arial"/>
        </w:rPr>
      </w:pPr>
      <w:r w:rsidRPr="007B6BE9">
        <w:rPr>
          <w:rFonts w:cs="Arial"/>
          <w:b/>
          <w:bCs/>
        </w:rPr>
        <w:t>Artículo 12. Distribución y clasificación del gasto total del Poder Ejecutivo</w:t>
      </w:r>
    </w:p>
    <w:p w:rsidR="00CC48AD" w:rsidRDefault="007B6BE9">
      <w:pPr>
        <w:spacing w:before="100" w:beforeAutospacing="1" w:after="100" w:afterAutospacing="1"/>
        <w:rPr>
          <w:rFonts w:cs="Arial"/>
        </w:rPr>
      </w:pPr>
      <w:r w:rsidRPr="007B6BE9">
        <w:rPr>
          <w:rFonts w:cs="Arial"/>
        </w:rPr>
        <w:t>Los recursos del presupuesto de egresos asignados al Poder Ejecutivo se presentan conforme a las clasificaciones: administrativa, por fuente de financiamiento, funcional, programática, por tipo de gasto y monto y, por objeto del gasto, en los formatos establecidos para tal efecto por el Consejo Nacional de Armonización Contable y con base en lo establecido en el artículo 20 de la Ley del Presupuesto y Contabilidad Gubernamental del Estado de Yucatán.</w:t>
      </w:r>
    </w:p>
    <w:p w:rsidR="00CC48AD" w:rsidRDefault="007B6BE9">
      <w:pPr>
        <w:spacing w:before="100" w:beforeAutospacing="1" w:after="100" w:afterAutospacing="1"/>
        <w:rPr>
          <w:rFonts w:cs="Arial"/>
        </w:rPr>
      </w:pPr>
      <w:r w:rsidRPr="007B6BE9">
        <w:rPr>
          <w:rFonts w:cs="Arial"/>
        </w:rPr>
        <w:t>La clasificación administrativa está contenida en el anexo 2.1. de este decreto, y contiene de manera desglosada la siguiente información:</w:t>
      </w:r>
    </w:p>
    <w:p w:rsidR="00CC48AD" w:rsidRDefault="007B6BE9">
      <w:pPr>
        <w:spacing w:before="100" w:beforeAutospacing="1" w:after="100" w:afterAutospacing="1"/>
        <w:rPr>
          <w:rFonts w:cs="Arial"/>
        </w:rPr>
      </w:pPr>
      <w:r w:rsidRPr="007B6BE9">
        <w:rPr>
          <w:rFonts w:cs="Arial"/>
        </w:rPr>
        <w:t>      I. El presupuesto correspondiente a las dependencias del Poder Ejecutivo incluyendo sus Ramos Generales es por la cantidad de $29,177,227,838.00 para el ejercicio fiscal 2022.</w:t>
      </w:r>
    </w:p>
    <w:p w:rsidR="00CC48AD" w:rsidRDefault="007B6BE9">
      <w:pPr>
        <w:spacing w:before="100" w:beforeAutospacing="1" w:after="100" w:afterAutospacing="1"/>
        <w:rPr>
          <w:rFonts w:cs="Arial"/>
        </w:rPr>
      </w:pPr>
      <w:r w:rsidRPr="007B6BE9">
        <w:rPr>
          <w:rFonts w:cs="Arial"/>
        </w:rPr>
        <w:t>      II. El presupuesto que ejercerán las entidades paraestatales y fideicomisos no empresariales y no financieros es por la cantidad de $11,009,104,469.00.</w:t>
      </w:r>
    </w:p>
    <w:p w:rsidR="00CC48AD" w:rsidRDefault="007B6BE9">
      <w:pPr>
        <w:spacing w:before="100" w:beforeAutospacing="1" w:after="100" w:afterAutospacing="1"/>
        <w:rPr>
          <w:rFonts w:cs="Arial"/>
        </w:rPr>
      </w:pPr>
      <w:r w:rsidRPr="007B6BE9">
        <w:rPr>
          <w:rFonts w:cs="Arial"/>
        </w:rPr>
        <w:t>      III. El presupuesto que ejercerán las entidades paraestatales empresariales no financieras con participación estatal mayoritaria es por la cantidad de $34,128,023.00.</w:t>
      </w:r>
    </w:p>
    <w:p w:rsidR="00CC48AD" w:rsidRDefault="007B6BE9">
      <w:pPr>
        <w:spacing w:before="100" w:beforeAutospacing="1" w:after="100" w:afterAutospacing="1"/>
        <w:rPr>
          <w:rFonts w:cs="Arial"/>
        </w:rPr>
      </w:pPr>
      <w:r w:rsidRPr="007B6BE9">
        <w:rPr>
          <w:rFonts w:cs="Arial"/>
        </w:rPr>
        <w:lastRenderedPageBreak/>
        <w:t>      IV. El presupuesto que ejercerán las instituciones públicas de seguridad social del Gobierno del estado es por la cantidad de $2,139,437,335.00.</w:t>
      </w:r>
    </w:p>
    <w:p w:rsidR="00CC48AD" w:rsidRDefault="007B6BE9">
      <w:pPr>
        <w:spacing w:before="100" w:beforeAutospacing="1" w:after="100" w:afterAutospacing="1"/>
        <w:rPr>
          <w:rFonts w:cs="Arial"/>
        </w:rPr>
      </w:pPr>
      <w:r w:rsidRPr="007B6BE9">
        <w:rPr>
          <w:rFonts w:cs="Arial"/>
        </w:rPr>
        <w:t>Por lo que corresponde a las demás clasificaciones se presenta lo siguiente:</w:t>
      </w:r>
    </w:p>
    <w:p w:rsidR="00CC48AD" w:rsidRDefault="007B6BE9">
      <w:pPr>
        <w:spacing w:before="100" w:beforeAutospacing="1" w:after="100" w:afterAutospacing="1"/>
        <w:rPr>
          <w:rFonts w:cs="Arial"/>
        </w:rPr>
      </w:pPr>
      <w:r w:rsidRPr="007B6BE9">
        <w:rPr>
          <w:rFonts w:cs="Arial"/>
        </w:rPr>
        <w:t>      I. La clasificación por fuente de financiamiento se desglosa en el anexo 2.2. de este decreto.</w:t>
      </w:r>
    </w:p>
    <w:p w:rsidR="00CC48AD" w:rsidRDefault="007B6BE9">
      <w:pPr>
        <w:spacing w:before="100" w:beforeAutospacing="1" w:after="100" w:afterAutospacing="1"/>
        <w:rPr>
          <w:rFonts w:cs="Arial"/>
        </w:rPr>
      </w:pPr>
      <w:r w:rsidRPr="007B6BE9">
        <w:rPr>
          <w:rFonts w:cs="Arial"/>
        </w:rPr>
        <w:t>      II. La clasificación funcional se distribuye conforme al anexo 2.3. de este decreto.</w:t>
      </w:r>
    </w:p>
    <w:p w:rsidR="00CC48AD" w:rsidRDefault="007B6BE9">
      <w:pPr>
        <w:spacing w:before="100" w:beforeAutospacing="1" w:after="100" w:afterAutospacing="1"/>
        <w:rPr>
          <w:rFonts w:cs="Arial"/>
        </w:rPr>
      </w:pPr>
      <w:r w:rsidRPr="007B6BE9">
        <w:rPr>
          <w:rFonts w:cs="Arial"/>
        </w:rPr>
        <w:t>      III. La clasificación programática de acuerdo con el tipo e importe de los programas presupuestarios de los entes públicos se desglosan conforme al anexo 2.4. de este decreto.</w:t>
      </w:r>
    </w:p>
    <w:p w:rsidR="00CC48AD" w:rsidRDefault="007B6BE9">
      <w:pPr>
        <w:spacing w:before="100" w:beforeAutospacing="1" w:after="100" w:afterAutospacing="1"/>
        <w:rPr>
          <w:rFonts w:cs="Arial"/>
        </w:rPr>
      </w:pPr>
      <w:r w:rsidRPr="007B6BE9">
        <w:rPr>
          <w:rFonts w:cs="Arial"/>
        </w:rPr>
        <w:t>      IV. La clasificación por tipo de gasto se distribuye conforme al anexo 2.5. de este decreto.</w:t>
      </w:r>
    </w:p>
    <w:p w:rsidR="00CC48AD" w:rsidRDefault="007B6BE9">
      <w:pPr>
        <w:spacing w:before="100" w:beforeAutospacing="1" w:after="100" w:afterAutospacing="1"/>
        <w:rPr>
          <w:rFonts w:cs="Arial"/>
        </w:rPr>
      </w:pPr>
      <w:r w:rsidRPr="007B6BE9">
        <w:rPr>
          <w:rFonts w:cs="Arial"/>
        </w:rPr>
        <w:t>      V. La clasificación por objeto del gasto por capítulo, concepto y partida genérica, conforme al anexo 2.6. de este decreto.</w:t>
      </w:r>
    </w:p>
    <w:p w:rsidR="00CC48AD" w:rsidRDefault="007B6BE9">
      <w:pPr>
        <w:spacing w:before="100" w:beforeAutospacing="1" w:after="100" w:afterAutospacing="1"/>
        <w:rPr>
          <w:rFonts w:cs="Arial"/>
        </w:rPr>
      </w:pPr>
      <w:r w:rsidRPr="007B6BE9">
        <w:rPr>
          <w:rFonts w:cs="Arial"/>
          <w:b/>
          <w:bCs/>
        </w:rPr>
        <w:t>Artículo 13. Anexos del presupuesto de egresos</w:t>
      </w:r>
    </w:p>
    <w:p w:rsidR="00CC48AD" w:rsidRDefault="007B6BE9">
      <w:pPr>
        <w:spacing w:before="100" w:beforeAutospacing="1" w:after="100" w:afterAutospacing="1"/>
        <w:rPr>
          <w:rFonts w:cs="Arial"/>
        </w:rPr>
      </w:pPr>
      <w:r w:rsidRPr="007B6BE9">
        <w:rPr>
          <w:rFonts w:cs="Arial"/>
        </w:rPr>
        <w:t>La distribución del gasto desde las diferentes clasificaciones y enfoques se presenta en los anexos de este decreto y en los tomos del presupuesto de egresos. Los anexos contenidos en este decreto son los siguientes:</w:t>
      </w:r>
    </w:p>
    <w:p w:rsidR="00CC48AD" w:rsidRDefault="007B6BE9">
      <w:pPr>
        <w:spacing w:before="100" w:beforeAutospacing="1" w:after="100" w:afterAutospacing="1"/>
        <w:rPr>
          <w:rFonts w:cs="Arial"/>
        </w:rPr>
      </w:pPr>
      <w:r w:rsidRPr="007B6BE9">
        <w:rPr>
          <w:rFonts w:cs="Arial"/>
        </w:rPr>
        <w:t>      I. Anexo 1. Gasto Total, clasificado por Ramos Autónomos, Administrativos y Generales.</w:t>
      </w:r>
    </w:p>
    <w:p w:rsidR="00CC48AD" w:rsidRDefault="007B6BE9">
      <w:pPr>
        <w:spacing w:before="100" w:beforeAutospacing="1" w:after="100" w:afterAutospacing="1"/>
        <w:rPr>
          <w:rFonts w:cs="Arial"/>
        </w:rPr>
      </w:pPr>
      <w:r w:rsidRPr="007B6BE9">
        <w:rPr>
          <w:rFonts w:cs="Arial"/>
        </w:rPr>
        <w:t>      II. Anexo 2. Clasificaciones del Gasto.</w:t>
      </w:r>
    </w:p>
    <w:p w:rsidR="00CC48AD" w:rsidRDefault="007B6BE9">
      <w:pPr>
        <w:spacing w:before="100" w:beforeAutospacing="1" w:after="100" w:afterAutospacing="1"/>
        <w:rPr>
          <w:rFonts w:cs="Arial"/>
        </w:rPr>
      </w:pPr>
      <w:r w:rsidRPr="007B6BE9">
        <w:rPr>
          <w:rFonts w:cs="Arial"/>
        </w:rPr>
        <w:t>              a) Anexo 2.1. Clasificación Administrativa.</w:t>
      </w:r>
    </w:p>
    <w:p w:rsidR="00CC48AD" w:rsidRDefault="007B6BE9">
      <w:pPr>
        <w:spacing w:before="100" w:beforeAutospacing="1" w:after="100" w:afterAutospacing="1"/>
        <w:rPr>
          <w:rFonts w:cs="Arial"/>
        </w:rPr>
      </w:pPr>
      <w:r w:rsidRPr="007B6BE9">
        <w:rPr>
          <w:rFonts w:cs="Arial"/>
        </w:rPr>
        <w:t>                      1. Anexo 2.1.1. Poder Ejecutivo.</w:t>
      </w:r>
    </w:p>
    <w:p w:rsidR="00CC48AD" w:rsidRDefault="007B6BE9">
      <w:pPr>
        <w:spacing w:before="100" w:beforeAutospacing="1" w:after="100" w:afterAutospacing="1"/>
        <w:rPr>
          <w:rFonts w:cs="Arial"/>
        </w:rPr>
      </w:pPr>
      <w:r w:rsidRPr="007B6BE9">
        <w:rPr>
          <w:rFonts w:cs="Arial"/>
        </w:rPr>
        <w:t>                      2. Anexo 2.1.2. Entidades Paraestatales y Fideicomisos no Empresariales y no Financieros.</w:t>
      </w:r>
    </w:p>
    <w:p w:rsidR="00CC48AD" w:rsidRDefault="007B6BE9">
      <w:pPr>
        <w:spacing w:before="100" w:beforeAutospacing="1" w:after="100" w:afterAutospacing="1"/>
        <w:rPr>
          <w:rFonts w:cs="Arial"/>
        </w:rPr>
      </w:pPr>
      <w:r w:rsidRPr="007B6BE9">
        <w:rPr>
          <w:rFonts w:cs="Arial"/>
        </w:rPr>
        <w:t>                      3. Anexo 2.1.3. Entidades Paraestatales Empresariales no Financieras con Participación Estatal Mayoritaria.</w:t>
      </w:r>
    </w:p>
    <w:p w:rsidR="00CC48AD" w:rsidRDefault="007B6BE9">
      <w:pPr>
        <w:spacing w:before="100" w:beforeAutospacing="1" w:after="100" w:afterAutospacing="1"/>
        <w:rPr>
          <w:rFonts w:cs="Arial"/>
        </w:rPr>
      </w:pPr>
      <w:r w:rsidRPr="007B6BE9">
        <w:rPr>
          <w:rFonts w:cs="Arial"/>
        </w:rPr>
        <w:lastRenderedPageBreak/>
        <w:t>                      4. Anexo 2.1.4. Instituciones Públicas de Seguridad Social.</w:t>
      </w:r>
    </w:p>
    <w:p w:rsidR="00CC48AD" w:rsidRDefault="007B6BE9">
      <w:pPr>
        <w:spacing w:before="100" w:beforeAutospacing="1" w:after="100" w:afterAutospacing="1"/>
        <w:rPr>
          <w:rFonts w:cs="Arial"/>
        </w:rPr>
      </w:pPr>
      <w:r w:rsidRPr="007B6BE9">
        <w:rPr>
          <w:rFonts w:cs="Arial"/>
        </w:rPr>
        <w:t>              b) Anexo 2.2. Clasificación por Fuente de Financiamiento.</w:t>
      </w:r>
    </w:p>
    <w:p w:rsidR="00CC48AD" w:rsidRDefault="007B6BE9">
      <w:pPr>
        <w:spacing w:before="100" w:beforeAutospacing="1" w:after="100" w:afterAutospacing="1"/>
        <w:rPr>
          <w:rFonts w:cs="Arial"/>
        </w:rPr>
      </w:pPr>
      <w:r w:rsidRPr="007B6BE9">
        <w:rPr>
          <w:rFonts w:cs="Arial"/>
        </w:rPr>
        <w:t xml:space="preserve">              c) Anexo 2.3. Clasificación Funcional por Finalidad, Función, </w:t>
      </w:r>
      <w:proofErr w:type="spellStart"/>
      <w:r w:rsidRPr="007B6BE9">
        <w:rPr>
          <w:rFonts w:cs="Arial"/>
        </w:rPr>
        <w:t>Subfunción</w:t>
      </w:r>
      <w:proofErr w:type="spellEnd"/>
      <w:r w:rsidRPr="007B6BE9">
        <w:rPr>
          <w:rFonts w:cs="Arial"/>
        </w:rPr>
        <w:t>.</w:t>
      </w:r>
    </w:p>
    <w:p w:rsidR="00CC48AD" w:rsidRDefault="007B6BE9">
      <w:pPr>
        <w:spacing w:before="100" w:beforeAutospacing="1" w:after="100" w:afterAutospacing="1"/>
        <w:rPr>
          <w:rFonts w:cs="Arial"/>
        </w:rPr>
      </w:pPr>
      <w:r w:rsidRPr="007B6BE9">
        <w:rPr>
          <w:rFonts w:cs="Arial"/>
        </w:rPr>
        <w:t>                      1. Anexo 2.3.1. Clasificación por Ramo, Finalidad, Función, Programa Presupuestario.</w:t>
      </w:r>
    </w:p>
    <w:p w:rsidR="00CC48AD" w:rsidRDefault="007B6BE9">
      <w:pPr>
        <w:spacing w:before="100" w:beforeAutospacing="1" w:after="100" w:afterAutospacing="1"/>
        <w:rPr>
          <w:rFonts w:cs="Arial"/>
        </w:rPr>
      </w:pPr>
      <w:r w:rsidRPr="007B6BE9">
        <w:rPr>
          <w:rFonts w:cs="Arial"/>
        </w:rPr>
        <w:t>              d) Anexo 2.4. Clasificación Programática.</w:t>
      </w:r>
    </w:p>
    <w:p w:rsidR="00CC48AD" w:rsidRDefault="007B6BE9">
      <w:pPr>
        <w:spacing w:before="100" w:beforeAutospacing="1" w:after="100" w:afterAutospacing="1"/>
        <w:rPr>
          <w:rFonts w:cs="Arial"/>
        </w:rPr>
      </w:pPr>
      <w:r w:rsidRPr="007B6BE9">
        <w:rPr>
          <w:rFonts w:cs="Arial"/>
        </w:rPr>
        <w:t>              e) Anexo 2.5. Clasificación por Tipo de Gasto.</w:t>
      </w:r>
    </w:p>
    <w:p w:rsidR="00CC48AD" w:rsidRDefault="007B6BE9">
      <w:pPr>
        <w:spacing w:before="100" w:beforeAutospacing="1" w:after="100" w:afterAutospacing="1"/>
        <w:rPr>
          <w:rFonts w:cs="Arial"/>
        </w:rPr>
      </w:pPr>
      <w:r w:rsidRPr="007B6BE9">
        <w:rPr>
          <w:rFonts w:cs="Arial"/>
        </w:rPr>
        <w:t>              f) Anexo 2.6. Clasificación por Objeto del Gasto por Capítulo, Concepto, Partida Genérica.</w:t>
      </w:r>
    </w:p>
    <w:p w:rsidR="00CC48AD" w:rsidRDefault="007B6BE9">
      <w:pPr>
        <w:spacing w:before="100" w:beforeAutospacing="1" w:after="100" w:afterAutospacing="1"/>
        <w:rPr>
          <w:rFonts w:cs="Arial"/>
        </w:rPr>
      </w:pPr>
      <w:r w:rsidRPr="007B6BE9">
        <w:rPr>
          <w:rFonts w:cs="Arial"/>
        </w:rPr>
        <w:t>              g) Anexo 2.7 Alineación con el Plan Estatal de Desarrollo (PED 2018-2024).</w:t>
      </w:r>
    </w:p>
    <w:p w:rsidR="00CC48AD" w:rsidRDefault="007B6BE9">
      <w:pPr>
        <w:spacing w:before="100" w:beforeAutospacing="1" w:after="100" w:afterAutospacing="1"/>
        <w:rPr>
          <w:rFonts w:cs="Arial"/>
        </w:rPr>
      </w:pPr>
      <w:r w:rsidRPr="007B6BE9">
        <w:rPr>
          <w:rFonts w:cs="Arial"/>
        </w:rPr>
        <w:t>              h) Anexo 2.8 Alineación con los Objetivos del Desarrollo Sostenible (ODS).</w:t>
      </w:r>
    </w:p>
    <w:p w:rsidR="00CC48AD" w:rsidRDefault="007B6BE9">
      <w:pPr>
        <w:spacing w:before="100" w:beforeAutospacing="1" w:after="100" w:afterAutospacing="1"/>
        <w:rPr>
          <w:rFonts w:cs="Arial"/>
        </w:rPr>
      </w:pPr>
      <w:r w:rsidRPr="007B6BE9">
        <w:rPr>
          <w:rFonts w:cs="Arial"/>
        </w:rPr>
        <w:t>      III. Anexo 3. Integración del Gasto de Educación por Tipo de Recurso.</w:t>
      </w:r>
    </w:p>
    <w:p w:rsidR="00CC48AD" w:rsidRDefault="007B6BE9">
      <w:pPr>
        <w:spacing w:before="100" w:beforeAutospacing="1" w:after="100" w:afterAutospacing="1"/>
        <w:rPr>
          <w:rFonts w:cs="Arial"/>
        </w:rPr>
      </w:pPr>
      <w:r w:rsidRPr="007B6BE9">
        <w:rPr>
          <w:rFonts w:cs="Arial"/>
        </w:rPr>
        <w:t>      IV. Anexo 4. Participaciones y Aportaciones a Municipios.</w:t>
      </w:r>
    </w:p>
    <w:p w:rsidR="00CC48AD" w:rsidRDefault="007B6BE9">
      <w:pPr>
        <w:spacing w:before="100" w:beforeAutospacing="1" w:after="100" w:afterAutospacing="1"/>
        <w:rPr>
          <w:rFonts w:cs="Arial"/>
        </w:rPr>
      </w:pPr>
      <w:r w:rsidRPr="007B6BE9">
        <w:rPr>
          <w:rFonts w:cs="Arial"/>
        </w:rPr>
        <w:t>              a) Anexo 4.1. Participaciones Federales y Estatales a Municipios.</w:t>
      </w:r>
    </w:p>
    <w:p w:rsidR="00CC48AD" w:rsidRDefault="007B6BE9">
      <w:pPr>
        <w:spacing w:before="100" w:beforeAutospacing="1" w:after="100" w:afterAutospacing="1"/>
        <w:rPr>
          <w:rFonts w:cs="Arial"/>
        </w:rPr>
      </w:pPr>
      <w:r w:rsidRPr="007B6BE9">
        <w:rPr>
          <w:rFonts w:cs="Arial"/>
        </w:rPr>
        <w:t>              b) Anexo 4.2. Aportaciones a Municipios.</w:t>
      </w:r>
    </w:p>
    <w:p w:rsidR="00CC48AD" w:rsidRDefault="007B6BE9">
      <w:pPr>
        <w:spacing w:before="100" w:beforeAutospacing="1" w:after="100" w:afterAutospacing="1"/>
        <w:rPr>
          <w:rFonts w:cs="Arial"/>
        </w:rPr>
      </w:pPr>
      <w:r w:rsidRPr="007B6BE9">
        <w:rPr>
          <w:rFonts w:cs="Arial"/>
        </w:rPr>
        <w:t>      V. Anexo 5. Deuda Pública.</w:t>
      </w:r>
    </w:p>
    <w:p w:rsidR="00CC48AD" w:rsidRDefault="007B6BE9">
      <w:pPr>
        <w:spacing w:before="100" w:beforeAutospacing="1" w:after="100" w:afterAutospacing="1"/>
        <w:rPr>
          <w:rFonts w:cs="Arial"/>
        </w:rPr>
      </w:pPr>
      <w:r w:rsidRPr="007B6BE9">
        <w:rPr>
          <w:rFonts w:cs="Arial"/>
        </w:rPr>
        <w:t>              a) Anexo 5.1. Información sobre la Deuda Pública.</w:t>
      </w:r>
    </w:p>
    <w:p w:rsidR="00CC48AD" w:rsidRDefault="007B6BE9">
      <w:pPr>
        <w:spacing w:before="100" w:beforeAutospacing="1" w:after="100" w:afterAutospacing="1"/>
        <w:rPr>
          <w:rFonts w:cs="Arial"/>
        </w:rPr>
      </w:pPr>
      <w:r w:rsidRPr="007B6BE9">
        <w:rPr>
          <w:rFonts w:cs="Arial"/>
        </w:rPr>
        <w:t>                      1. Anexo 5.1.1. Deuda de largo plazo.</w:t>
      </w:r>
    </w:p>
    <w:p w:rsidR="00CC48AD" w:rsidRDefault="007B6BE9">
      <w:pPr>
        <w:spacing w:before="100" w:beforeAutospacing="1" w:after="100" w:afterAutospacing="1"/>
        <w:rPr>
          <w:rFonts w:cs="Arial"/>
        </w:rPr>
      </w:pPr>
      <w:r w:rsidRPr="007B6BE9">
        <w:rPr>
          <w:rFonts w:cs="Arial"/>
        </w:rPr>
        <w:t>                      2. Anexo 5.1.2. Deuda de corto plazo</w:t>
      </w:r>
    </w:p>
    <w:p w:rsidR="00CC48AD" w:rsidRDefault="007B6BE9">
      <w:pPr>
        <w:spacing w:before="100" w:beforeAutospacing="1" w:after="100" w:afterAutospacing="1"/>
        <w:rPr>
          <w:rFonts w:cs="Arial"/>
        </w:rPr>
      </w:pPr>
      <w:r w:rsidRPr="007B6BE9">
        <w:rPr>
          <w:rFonts w:cs="Arial"/>
        </w:rPr>
        <w:t>              b) Anexo 5.2. Programa Financiero de la Deuda Pública.</w:t>
      </w:r>
    </w:p>
    <w:p w:rsidR="00CC48AD" w:rsidRDefault="007B6BE9">
      <w:pPr>
        <w:spacing w:before="100" w:beforeAutospacing="1" w:after="100" w:afterAutospacing="1"/>
        <w:rPr>
          <w:rFonts w:cs="Arial"/>
        </w:rPr>
      </w:pPr>
      <w:r w:rsidRPr="007B6BE9">
        <w:rPr>
          <w:rFonts w:cs="Arial"/>
        </w:rPr>
        <w:t>                      1. Anexo 5.2.1. Deuda de largo plazo</w:t>
      </w:r>
    </w:p>
    <w:p w:rsidR="00CC48AD" w:rsidRDefault="007B6BE9">
      <w:pPr>
        <w:spacing w:before="100" w:beforeAutospacing="1" w:after="100" w:afterAutospacing="1"/>
        <w:rPr>
          <w:rFonts w:cs="Arial"/>
        </w:rPr>
      </w:pPr>
      <w:r w:rsidRPr="007B6BE9">
        <w:rPr>
          <w:rFonts w:cs="Arial"/>
        </w:rPr>
        <w:lastRenderedPageBreak/>
        <w:t>                      2. Anexo 5.2.2. Deuda de corto plazo</w:t>
      </w:r>
    </w:p>
    <w:p w:rsidR="00CC48AD" w:rsidRDefault="007B6BE9">
      <w:pPr>
        <w:spacing w:before="100" w:beforeAutospacing="1" w:after="100" w:afterAutospacing="1"/>
        <w:rPr>
          <w:rFonts w:cs="Arial"/>
        </w:rPr>
      </w:pPr>
      <w:r w:rsidRPr="007B6BE9">
        <w:rPr>
          <w:rFonts w:cs="Arial"/>
        </w:rPr>
        <w:t>                      3. Anexo 5.2.3. Adeudos de Ejercicio Fiscales Anteriores (ADEFAS)</w:t>
      </w:r>
    </w:p>
    <w:p w:rsidR="00CC48AD" w:rsidRDefault="007B6BE9">
      <w:pPr>
        <w:spacing w:before="100" w:beforeAutospacing="1" w:after="100" w:afterAutospacing="1"/>
        <w:rPr>
          <w:rFonts w:cs="Arial"/>
        </w:rPr>
      </w:pPr>
      <w:r w:rsidRPr="007B6BE9">
        <w:rPr>
          <w:rFonts w:cs="Arial"/>
        </w:rPr>
        <w:t>              c) Anexo 5.3. Presupuesto de la Deuda Pública 2022.</w:t>
      </w:r>
    </w:p>
    <w:p w:rsidR="00CC48AD" w:rsidRDefault="007B6BE9">
      <w:pPr>
        <w:spacing w:before="100" w:beforeAutospacing="1" w:after="100" w:afterAutospacing="1"/>
        <w:rPr>
          <w:rFonts w:cs="Arial"/>
        </w:rPr>
      </w:pPr>
      <w:r w:rsidRPr="007B6BE9">
        <w:rPr>
          <w:rFonts w:cs="Arial"/>
        </w:rPr>
        <w:t>                      1. Anexo 5.3.1. Deuda de largo plazo</w:t>
      </w:r>
    </w:p>
    <w:p w:rsidR="00CC48AD" w:rsidRDefault="007B6BE9">
      <w:pPr>
        <w:spacing w:before="100" w:beforeAutospacing="1" w:after="100" w:afterAutospacing="1"/>
        <w:rPr>
          <w:rFonts w:cs="Arial"/>
        </w:rPr>
      </w:pPr>
      <w:r w:rsidRPr="007B6BE9">
        <w:rPr>
          <w:rFonts w:cs="Arial"/>
        </w:rPr>
        <w:t>                      2. Anexo 5.3.2. Deuda de corto plazo</w:t>
      </w:r>
    </w:p>
    <w:p w:rsidR="00CC48AD" w:rsidRDefault="007B6BE9">
      <w:pPr>
        <w:spacing w:before="100" w:beforeAutospacing="1" w:after="100" w:afterAutospacing="1"/>
        <w:rPr>
          <w:rFonts w:cs="Arial"/>
        </w:rPr>
      </w:pPr>
      <w:r w:rsidRPr="007B6BE9">
        <w:rPr>
          <w:rFonts w:cs="Arial"/>
        </w:rPr>
        <w:t>                      3. Anexo 5.3.3. Adeudos de Ejercicio Fiscales Anteriores (ADEFAS)</w:t>
      </w:r>
    </w:p>
    <w:p w:rsidR="00CC48AD" w:rsidRDefault="007B6BE9">
      <w:pPr>
        <w:spacing w:before="100" w:beforeAutospacing="1" w:after="100" w:afterAutospacing="1"/>
        <w:rPr>
          <w:rFonts w:cs="Arial"/>
        </w:rPr>
      </w:pPr>
      <w:r w:rsidRPr="007B6BE9">
        <w:rPr>
          <w:rFonts w:cs="Arial"/>
        </w:rPr>
        <w:t>      VI. Anexo 6. Jubilaciones y Pensiones.</w:t>
      </w:r>
    </w:p>
    <w:p w:rsidR="00CC48AD" w:rsidRDefault="007B6BE9">
      <w:pPr>
        <w:spacing w:before="100" w:beforeAutospacing="1" w:after="100" w:afterAutospacing="1"/>
        <w:rPr>
          <w:rFonts w:cs="Arial"/>
        </w:rPr>
      </w:pPr>
      <w:r w:rsidRPr="007B6BE9">
        <w:rPr>
          <w:rFonts w:cs="Arial"/>
        </w:rPr>
        <w:t>              a) Anexo 6.1. Jubilaciones y Pensiones por Partida.</w:t>
      </w:r>
    </w:p>
    <w:p w:rsidR="00CC48AD" w:rsidRDefault="007B6BE9">
      <w:pPr>
        <w:spacing w:before="100" w:beforeAutospacing="1" w:after="100" w:afterAutospacing="1"/>
        <w:rPr>
          <w:rFonts w:cs="Arial"/>
        </w:rPr>
      </w:pPr>
      <w:r w:rsidRPr="007B6BE9">
        <w:rPr>
          <w:rFonts w:cs="Arial"/>
        </w:rPr>
        <w:t>              b) Anexo 6.2. Erogaciones Previstas para Jubilaciones.</w:t>
      </w:r>
    </w:p>
    <w:p w:rsidR="00CC48AD" w:rsidRDefault="007B6BE9">
      <w:pPr>
        <w:spacing w:before="100" w:beforeAutospacing="1" w:after="100" w:afterAutospacing="1"/>
        <w:rPr>
          <w:rFonts w:cs="Arial"/>
        </w:rPr>
      </w:pPr>
      <w:r w:rsidRPr="007B6BE9">
        <w:rPr>
          <w:rFonts w:cs="Arial"/>
        </w:rPr>
        <w:t>              c) Anexo 6.3. Erogaciones Previstas para Pensiones.</w:t>
      </w:r>
    </w:p>
    <w:p w:rsidR="00CC48AD" w:rsidRDefault="007B6BE9">
      <w:pPr>
        <w:spacing w:before="100" w:beforeAutospacing="1" w:after="100" w:afterAutospacing="1"/>
        <w:rPr>
          <w:rFonts w:cs="Arial"/>
        </w:rPr>
      </w:pPr>
      <w:r w:rsidRPr="007B6BE9">
        <w:rPr>
          <w:rFonts w:cs="Arial"/>
        </w:rPr>
        <w:t>      VII. Anexo 7. Programas Presupuestarios.</w:t>
      </w:r>
    </w:p>
    <w:p w:rsidR="00CC48AD" w:rsidRDefault="007B6BE9">
      <w:pPr>
        <w:spacing w:before="100" w:beforeAutospacing="1" w:after="100" w:afterAutospacing="1"/>
        <w:rPr>
          <w:rFonts w:cs="Arial"/>
        </w:rPr>
      </w:pPr>
      <w:r w:rsidRPr="007B6BE9">
        <w:rPr>
          <w:rFonts w:cs="Arial"/>
        </w:rPr>
        <w:t>              a) Anexo 7.1. Principales Programas Presupuestarios.</w:t>
      </w:r>
    </w:p>
    <w:p w:rsidR="00CC48AD" w:rsidRDefault="007B6BE9">
      <w:pPr>
        <w:spacing w:before="100" w:beforeAutospacing="1" w:after="100" w:afterAutospacing="1"/>
        <w:rPr>
          <w:rFonts w:cs="Arial"/>
        </w:rPr>
      </w:pPr>
      <w:r w:rsidRPr="007B6BE9">
        <w:rPr>
          <w:rFonts w:cs="Arial"/>
        </w:rPr>
        <w:t>              b) Anexo 7.2. Programas por Fuente de Financiamiento.</w:t>
      </w:r>
    </w:p>
    <w:p w:rsidR="00CC48AD" w:rsidRDefault="007B6BE9">
      <w:pPr>
        <w:spacing w:before="100" w:beforeAutospacing="1" w:after="100" w:afterAutospacing="1"/>
        <w:rPr>
          <w:rFonts w:cs="Arial"/>
        </w:rPr>
      </w:pPr>
      <w:r w:rsidRPr="007B6BE9">
        <w:rPr>
          <w:rFonts w:cs="Arial"/>
        </w:rPr>
        <w:t>              c) Anexo 7.3. Programas Presupuestarios por Objeto del Gasto.</w:t>
      </w:r>
    </w:p>
    <w:p w:rsidR="00CC48AD" w:rsidRDefault="007B6BE9">
      <w:pPr>
        <w:spacing w:before="100" w:beforeAutospacing="1" w:after="100" w:afterAutospacing="1"/>
        <w:rPr>
          <w:rFonts w:cs="Arial"/>
        </w:rPr>
      </w:pPr>
      <w:r w:rsidRPr="007B6BE9">
        <w:rPr>
          <w:rFonts w:cs="Arial"/>
        </w:rPr>
        <w:t>              d) Anexo 7.4. Destino de los Recursos del Ramo 33.</w:t>
      </w:r>
    </w:p>
    <w:p w:rsidR="00CC48AD" w:rsidRDefault="007B6BE9">
      <w:pPr>
        <w:spacing w:before="100" w:beforeAutospacing="1" w:after="100" w:afterAutospacing="1"/>
        <w:rPr>
          <w:rFonts w:cs="Arial"/>
        </w:rPr>
      </w:pPr>
      <w:r w:rsidRPr="007B6BE9">
        <w:rPr>
          <w:rFonts w:cs="Arial"/>
        </w:rPr>
        <w:t>              e) Anexo 7.5. Programas con Recursos Concurrentes.</w:t>
      </w:r>
    </w:p>
    <w:p w:rsidR="00CC48AD" w:rsidRDefault="007B6BE9">
      <w:pPr>
        <w:spacing w:before="100" w:beforeAutospacing="1" w:after="100" w:afterAutospacing="1"/>
        <w:rPr>
          <w:rFonts w:cs="Arial"/>
        </w:rPr>
      </w:pPr>
      <w:r w:rsidRPr="007B6BE9">
        <w:rPr>
          <w:rFonts w:cs="Arial"/>
        </w:rPr>
        <w:t>                      1. Anexo 7.5.1. Programas con Recursos Concurrentes con Ingreso Descentralizado</w:t>
      </w:r>
    </w:p>
    <w:p w:rsidR="00CC48AD" w:rsidRDefault="007B6BE9">
      <w:pPr>
        <w:spacing w:before="100" w:beforeAutospacing="1" w:after="100" w:afterAutospacing="1"/>
        <w:rPr>
          <w:rFonts w:cs="Arial"/>
        </w:rPr>
      </w:pPr>
      <w:r w:rsidRPr="007B6BE9">
        <w:rPr>
          <w:rFonts w:cs="Arial"/>
        </w:rPr>
        <w:t>              f) Anexo 7.6. Programas Sujetos a Reglas de Operación.</w:t>
      </w:r>
    </w:p>
    <w:p w:rsidR="00CC48AD" w:rsidRDefault="007B6BE9">
      <w:pPr>
        <w:spacing w:before="100" w:beforeAutospacing="1" w:after="100" w:afterAutospacing="1"/>
        <w:rPr>
          <w:rFonts w:cs="Arial"/>
        </w:rPr>
      </w:pPr>
      <w:r w:rsidRPr="007B6BE9">
        <w:rPr>
          <w:rFonts w:cs="Arial"/>
        </w:rPr>
        <w:t>      VIII. Anexo 8. Resumen de Plazas.</w:t>
      </w:r>
    </w:p>
    <w:p w:rsidR="00CC48AD" w:rsidRDefault="007B6BE9">
      <w:pPr>
        <w:spacing w:before="100" w:beforeAutospacing="1" w:after="100" w:afterAutospacing="1"/>
        <w:rPr>
          <w:rFonts w:cs="Arial"/>
        </w:rPr>
      </w:pPr>
      <w:r w:rsidRPr="007B6BE9">
        <w:rPr>
          <w:rFonts w:cs="Arial"/>
        </w:rPr>
        <w:t>      IX. Anexo 9. Previsiones Económicas para Desastres Naturales.</w:t>
      </w:r>
    </w:p>
    <w:p w:rsidR="00CC48AD" w:rsidRDefault="007B6BE9">
      <w:pPr>
        <w:spacing w:before="100" w:beforeAutospacing="1" w:after="100" w:afterAutospacing="1"/>
        <w:rPr>
          <w:rFonts w:cs="Arial"/>
        </w:rPr>
      </w:pPr>
      <w:r w:rsidRPr="007B6BE9">
        <w:rPr>
          <w:rFonts w:cs="Arial"/>
        </w:rPr>
        <w:lastRenderedPageBreak/>
        <w:t>      X. Anexo 10. Montos Máximos de Adquisiciones y Adjudicaciones.</w:t>
      </w:r>
    </w:p>
    <w:p w:rsidR="00CC48AD" w:rsidRDefault="007B6BE9">
      <w:pPr>
        <w:spacing w:before="100" w:beforeAutospacing="1" w:after="100" w:afterAutospacing="1"/>
        <w:rPr>
          <w:rFonts w:cs="Arial"/>
        </w:rPr>
      </w:pPr>
      <w:r w:rsidRPr="007B6BE9">
        <w:rPr>
          <w:rFonts w:cs="Arial"/>
        </w:rPr>
        <w:t>              a) Anexo 10.1. Montos Máximos de Adquisiciones, Arrendamientos y Servicios relacionados con Bienes Muebles.</w:t>
      </w:r>
    </w:p>
    <w:p w:rsidR="00CC48AD" w:rsidRDefault="007B6BE9">
      <w:pPr>
        <w:spacing w:before="100" w:beforeAutospacing="1" w:after="100" w:afterAutospacing="1"/>
        <w:rPr>
          <w:rFonts w:cs="Arial"/>
        </w:rPr>
      </w:pPr>
      <w:r w:rsidRPr="007B6BE9">
        <w:rPr>
          <w:rFonts w:cs="Arial"/>
        </w:rPr>
        <w:t>              b) Anexo 10.2. Montos Máximos para la Adjudicación de Obras Públicas.</w:t>
      </w:r>
    </w:p>
    <w:p w:rsidR="00CC48AD" w:rsidRDefault="007B6BE9">
      <w:pPr>
        <w:spacing w:before="100" w:beforeAutospacing="1" w:after="100" w:afterAutospacing="1"/>
        <w:rPr>
          <w:rFonts w:cs="Arial"/>
        </w:rPr>
      </w:pPr>
      <w:r w:rsidRPr="007B6BE9">
        <w:rPr>
          <w:rFonts w:cs="Arial"/>
        </w:rPr>
        <w:t>      XI. Anexo 11. Transferencias, Asignaciones, Subsidios, Donativos y otras Ayudas.</w:t>
      </w:r>
    </w:p>
    <w:p w:rsidR="00CC48AD" w:rsidRDefault="007B6BE9">
      <w:pPr>
        <w:spacing w:before="100" w:beforeAutospacing="1" w:after="100" w:afterAutospacing="1"/>
        <w:rPr>
          <w:rFonts w:cs="Arial"/>
        </w:rPr>
      </w:pPr>
      <w:r w:rsidRPr="007B6BE9">
        <w:rPr>
          <w:rFonts w:cs="Arial"/>
        </w:rPr>
        <w:t>              a) Anexo 11.1. Presupuesto Asignado a Donativos, Subsidios y Subvenciones.</w:t>
      </w:r>
    </w:p>
    <w:p w:rsidR="00CC48AD" w:rsidRDefault="007B6BE9">
      <w:pPr>
        <w:spacing w:before="100" w:beforeAutospacing="1" w:after="100" w:afterAutospacing="1"/>
        <w:rPr>
          <w:rFonts w:cs="Arial"/>
        </w:rPr>
      </w:pPr>
      <w:r w:rsidRPr="007B6BE9">
        <w:rPr>
          <w:rFonts w:cs="Arial"/>
        </w:rPr>
        <w:t>                      1. Anexo 11.1.1. Presupuesto asignado a Donativos</w:t>
      </w:r>
    </w:p>
    <w:p w:rsidR="00CC48AD" w:rsidRDefault="007B6BE9">
      <w:pPr>
        <w:spacing w:before="100" w:beforeAutospacing="1" w:after="100" w:afterAutospacing="1"/>
        <w:rPr>
          <w:rFonts w:cs="Arial"/>
        </w:rPr>
      </w:pPr>
      <w:r w:rsidRPr="007B6BE9">
        <w:rPr>
          <w:rFonts w:cs="Arial"/>
        </w:rPr>
        <w:t>                      2. Anexo 11.1.2. Presupuesto asignado a Subsidios y Subvenciones</w:t>
      </w:r>
    </w:p>
    <w:p w:rsidR="00CC48AD" w:rsidRDefault="007B6BE9">
      <w:pPr>
        <w:spacing w:before="100" w:beforeAutospacing="1" w:after="100" w:afterAutospacing="1"/>
        <w:rPr>
          <w:rFonts w:cs="Arial"/>
        </w:rPr>
      </w:pPr>
      <w:r w:rsidRPr="007B6BE9">
        <w:rPr>
          <w:rFonts w:cs="Arial"/>
        </w:rPr>
        <w:t>              b) Anexo 11.2. Subsidios a la Producción.</w:t>
      </w:r>
    </w:p>
    <w:p w:rsidR="00CC48AD" w:rsidRDefault="007B6BE9">
      <w:pPr>
        <w:spacing w:before="100" w:beforeAutospacing="1" w:after="100" w:afterAutospacing="1"/>
        <w:rPr>
          <w:rFonts w:cs="Arial"/>
        </w:rPr>
      </w:pPr>
      <w:r w:rsidRPr="007B6BE9">
        <w:rPr>
          <w:rFonts w:cs="Arial"/>
        </w:rPr>
        <w:t>              c) Anexo 11.3. Presupuesto Asignado para Ayudas Sociales.</w:t>
      </w:r>
    </w:p>
    <w:p w:rsidR="00CC48AD" w:rsidRDefault="007B6BE9">
      <w:pPr>
        <w:spacing w:before="100" w:beforeAutospacing="1" w:after="100" w:afterAutospacing="1"/>
        <w:rPr>
          <w:rFonts w:cs="Arial"/>
        </w:rPr>
      </w:pPr>
      <w:r w:rsidRPr="007B6BE9">
        <w:rPr>
          <w:rFonts w:cs="Arial"/>
        </w:rPr>
        <w:t>              d) Anexo 11.4. Financiamientos a Partidos Políticos.</w:t>
      </w:r>
    </w:p>
    <w:p w:rsidR="00CC48AD" w:rsidRDefault="007B6BE9">
      <w:pPr>
        <w:spacing w:before="100" w:beforeAutospacing="1" w:after="100" w:afterAutospacing="1"/>
        <w:rPr>
          <w:rFonts w:cs="Arial"/>
        </w:rPr>
      </w:pPr>
      <w:r w:rsidRPr="007B6BE9">
        <w:rPr>
          <w:rFonts w:cs="Arial"/>
        </w:rPr>
        <w:t>                      1. Anexo 11.4.1 Prerrogativas a Partidos Políticos.</w:t>
      </w:r>
    </w:p>
    <w:p w:rsidR="00CC48AD" w:rsidRDefault="007B6BE9">
      <w:pPr>
        <w:spacing w:before="100" w:beforeAutospacing="1" w:after="100" w:afterAutospacing="1"/>
        <w:rPr>
          <w:rFonts w:cs="Arial"/>
        </w:rPr>
      </w:pPr>
      <w:r w:rsidRPr="007B6BE9">
        <w:rPr>
          <w:rFonts w:cs="Arial"/>
        </w:rPr>
        <w:t>              e) Anexo 11.5. Destino del Financiamiento Adicional a los Partidos Políticos.</w:t>
      </w:r>
    </w:p>
    <w:p w:rsidR="00CC48AD" w:rsidRDefault="007B6BE9">
      <w:pPr>
        <w:spacing w:before="100" w:beforeAutospacing="1" w:after="100" w:afterAutospacing="1"/>
        <w:rPr>
          <w:rFonts w:cs="Arial"/>
        </w:rPr>
      </w:pPr>
      <w:r w:rsidRPr="007B6BE9">
        <w:rPr>
          <w:rFonts w:cs="Arial"/>
        </w:rPr>
        <w:t>              f) Anexo 11.6. Financiamiento a Partidos Políticos para Obtención del Voto.</w:t>
      </w:r>
    </w:p>
    <w:p w:rsidR="00CC48AD" w:rsidRDefault="007B6BE9">
      <w:pPr>
        <w:spacing w:before="100" w:beforeAutospacing="1" w:after="100" w:afterAutospacing="1"/>
        <w:rPr>
          <w:rFonts w:cs="Arial"/>
        </w:rPr>
      </w:pPr>
      <w:r w:rsidRPr="007B6BE9">
        <w:rPr>
          <w:rFonts w:cs="Arial"/>
        </w:rPr>
        <w:t>              g) Anexo 11.7. Calendario de Entrega de Prerrogativas a Partidos Políticos.</w:t>
      </w:r>
    </w:p>
    <w:p w:rsidR="00CC48AD" w:rsidRDefault="007B6BE9">
      <w:pPr>
        <w:spacing w:before="100" w:beforeAutospacing="1" w:after="100" w:afterAutospacing="1"/>
        <w:rPr>
          <w:rFonts w:cs="Arial"/>
        </w:rPr>
      </w:pPr>
      <w:r w:rsidRPr="007B6BE9">
        <w:rPr>
          <w:rFonts w:cs="Arial"/>
        </w:rPr>
        <w:t>              h) Anexo 11.8. Montos Asignados a Fideicomisos Públicos.</w:t>
      </w:r>
    </w:p>
    <w:p w:rsidR="00CC48AD" w:rsidRDefault="007B6BE9">
      <w:pPr>
        <w:spacing w:before="100" w:beforeAutospacing="1" w:after="100" w:afterAutospacing="1"/>
        <w:rPr>
          <w:rFonts w:cs="Arial"/>
        </w:rPr>
      </w:pPr>
      <w:r w:rsidRPr="007B6BE9">
        <w:rPr>
          <w:rFonts w:cs="Arial"/>
        </w:rPr>
        <w:t>      XII. Anexo 12. Transferencias al Instituto de Salud para el Bienestar.</w:t>
      </w:r>
    </w:p>
    <w:p w:rsidR="00CC48AD" w:rsidRDefault="007B6BE9">
      <w:pPr>
        <w:spacing w:before="100" w:beforeAutospacing="1" w:after="100" w:afterAutospacing="1"/>
        <w:rPr>
          <w:rFonts w:cs="Arial"/>
        </w:rPr>
      </w:pPr>
      <w:r w:rsidRPr="007B6BE9">
        <w:rPr>
          <w:rFonts w:cs="Arial"/>
        </w:rPr>
        <w:t>      XIII. Anexo 13. Presupuesto Asignado a Gastos de Comunicación Social.</w:t>
      </w:r>
    </w:p>
    <w:p w:rsidR="00CC48AD" w:rsidRDefault="007B6BE9">
      <w:pPr>
        <w:spacing w:before="100" w:beforeAutospacing="1" w:after="100" w:afterAutospacing="1"/>
        <w:rPr>
          <w:rFonts w:cs="Arial"/>
        </w:rPr>
      </w:pPr>
      <w:r w:rsidRPr="007B6BE9">
        <w:rPr>
          <w:rFonts w:cs="Arial"/>
        </w:rPr>
        <w:t>      XIV. Anexo 14. Gastos Obligatorios, Erogaciones y Compromisos Plurianuales.</w:t>
      </w:r>
    </w:p>
    <w:p w:rsidR="00CC48AD" w:rsidRDefault="007B6BE9">
      <w:pPr>
        <w:spacing w:before="100" w:beforeAutospacing="1" w:after="100" w:afterAutospacing="1"/>
        <w:rPr>
          <w:rFonts w:cs="Arial"/>
        </w:rPr>
      </w:pPr>
      <w:r w:rsidRPr="007B6BE9">
        <w:rPr>
          <w:rFonts w:cs="Arial"/>
        </w:rPr>
        <w:lastRenderedPageBreak/>
        <w:t>      XV. Anexo 15. Programas y Proyectos de Inversión en Cartera.</w:t>
      </w:r>
    </w:p>
    <w:p w:rsidR="00CC48AD" w:rsidRDefault="007B6BE9">
      <w:pPr>
        <w:spacing w:before="100" w:beforeAutospacing="1" w:after="100" w:afterAutospacing="1"/>
        <w:rPr>
          <w:rFonts w:cs="Arial"/>
        </w:rPr>
      </w:pPr>
      <w:r w:rsidRPr="007B6BE9">
        <w:rPr>
          <w:rFonts w:cs="Arial"/>
        </w:rPr>
        <w:t>      XVI. Anexo 16. Formatos de la Ley de Disciplina Financiera.</w:t>
      </w:r>
    </w:p>
    <w:p w:rsidR="00CC48AD" w:rsidRDefault="007B6BE9">
      <w:pPr>
        <w:spacing w:before="100" w:beforeAutospacing="1" w:after="100" w:afterAutospacing="1"/>
        <w:rPr>
          <w:rFonts w:cs="Arial"/>
        </w:rPr>
      </w:pPr>
      <w:r w:rsidRPr="007B6BE9">
        <w:rPr>
          <w:rFonts w:cs="Arial"/>
        </w:rPr>
        <w:t>              a) Anexo 16.1. Balance Presupuestario.</w:t>
      </w:r>
    </w:p>
    <w:p w:rsidR="00CC48AD" w:rsidRDefault="007B6BE9">
      <w:pPr>
        <w:spacing w:before="100" w:beforeAutospacing="1" w:after="100" w:afterAutospacing="1"/>
        <w:rPr>
          <w:rFonts w:cs="Arial"/>
        </w:rPr>
      </w:pPr>
      <w:r w:rsidRPr="007B6BE9">
        <w:rPr>
          <w:rFonts w:cs="Arial"/>
        </w:rPr>
        <w:t>              b) Anexo 16.2. Proyección de Egresos.</w:t>
      </w:r>
    </w:p>
    <w:p w:rsidR="00CC48AD" w:rsidRDefault="007B6BE9">
      <w:pPr>
        <w:spacing w:before="100" w:beforeAutospacing="1" w:after="100" w:afterAutospacing="1"/>
        <w:rPr>
          <w:rFonts w:cs="Arial"/>
        </w:rPr>
      </w:pPr>
      <w:r w:rsidRPr="007B6BE9">
        <w:rPr>
          <w:rFonts w:cs="Arial"/>
        </w:rPr>
        <w:t>              c) Anexo 16.3. Resultado de Egresos.</w:t>
      </w:r>
    </w:p>
    <w:p w:rsidR="00CC48AD" w:rsidRDefault="007B6BE9">
      <w:pPr>
        <w:spacing w:before="100" w:beforeAutospacing="1" w:after="100" w:afterAutospacing="1"/>
        <w:rPr>
          <w:rFonts w:cs="Arial"/>
        </w:rPr>
      </w:pPr>
      <w:r w:rsidRPr="007B6BE9">
        <w:rPr>
          <w:rFonts w:cs="Arial"/>
        </w:rPr>
        <w:t>              d) Anexo 16.4. Clasificador por Objeto del Gasto, a nivel Capítulo.</w:t>
      </w:r>
    </w:p>
    <w:p w:rsidR="00CC48AD" w:rsidRDefault="007B6BE9">
      <w:pPr>
        <w:spacing w:before="100" w:beforeAutospacing="1" w:after="100" w:afterAutospacing="1"/>
        <w:rPr>
          <w:rFonts w:cs="Arial"/>
        </w:rPr>
      </w:pPr>
      <w:r w:rsidRPr="007B6BE9">
        <w:rPr>
          <w:rFonts w:cs="Arial"/>
        </w:rPr>
        <w:t>              e) Anexo 16.5. Clasificador por Objeto del Gasto, a nivel Capítulo y Concepto.</w:t>
      </w:r>
    </w:p>
    <w:p w:rsidR="00CC48AD" w:rsidRDefault="007B6BE9">
      <w:pPr>
        <w:spacing w:before="100" w:beforeAutospacing="1" w:after="100" w:afterAutospacing="1"/>
        <w:rPr>
          <w:rFonts w:cs="Arial"/>
        </w:rPr>
      </w:pPr>
      <w:r w:rsidRPr="007B6BE9">
        <w:rPr>
          <w:rFonts w:cs="Arial"/>
        </w:rPr>
        <w:t>              f) Anexo 16.6. Clasificación Administrativa.</w:t>
      </w:r>
    </w:p>
    <w:p w:rsidR="00CC48AD" w:rsidRDefault="007B6BE9">
      <w:pPr>
        <w:spacing w:before="100" w:beforeAutospacing="1" w:after="100" w:afterAutospacing="1"/>
        <w:rPr>
          <w:rFonts w:cs="Arial"/>
        </w:rPr>
      </w:pPr>
      <w:r w:rsidRPr="007B6BE9">
        <w:rPr>
          <w:rFonts w:cs="Arial"/>
        </w:rPr>
        <w:t xml:space="preserve">              g) Anexo 16.7. Clasificación Funcional por Finalidad, Eje, Función, </w:t>
      </w:r>
      <w:proofErr w:type="spellStart"/>
      <w:r w:rsidRPr="007B6BE9">
        <w:rPr>
          <w:rFonts w:cs="Arial"/>
        </w:rPr>
        <w:t>Subfunción</w:t>
      </w:r>
      <w:proofErr w:type="spellEnd"/>
      <w:r w:rsidRPr="007B6BE9">
        <w:rPr>
          <w:rFonts w:cs="Arial"/>
        </w:rPr>
        <w:t>.</w:t>
      </w:r>
    </w:p>
    <w:p w:rsidR="00CC48AD" w:rsidRDefault="007B6BE9">
      <w:pPr>
        <w:spacing w:before="100" w:beforeAutospacing="1" w:after="100" w:afterAutospacing="1"/>
        <w:rPr>
          <w:rFonts w:cs="Arial"/>
        </w:rPr>
      </w:pPr>
      <w:r w:rsidRPr="007B6BE9">
        <w:rPr>
          <w:rFonts w:cs="Arial"/>
        </w:rPr>
        <w:t>              h) Anexo 16.8. Informe Analítico de la Deuda Pública y Otros Pasivos.</w:t>
      </w:r>
    </w:p>
    <w:p w:rsidR="00CC48AD" w:rsidRDefault="007B6BE9">
      <w:pPr>
        <w:spacing w:before="100" w:beforeAutospacing="1" w:after="100" w:afterAutospacing="1"/>
        <w:rPr>
          <w:rFonts w:cs="Arial"/>
        </w:rPr>
      </w:pPr>
      <w:r w:rsidRPr="007B6BE9">
        <w:rPr>
          <w:rFonts w:cs="Arial"/>
        </w:rPr>
        <w:t>              i) Anexo 16.9. Informe Analítico de Obligaciones Diferentes de Financiamientos.</w:t>
      </w:r>
    </w:p>
    <w:p w:rsidR="00CC48AD" w:rsidRDefault="007B6BE9">
      <w:pPr>
        <w:spacing w:before="100" w:beforeAutospacing="1" w:after="100" w:afterAutospacing="1"/>
        <w:rPr>
          <w:rFonts w:cs="Arial"/>
        </w:rPr>
      </w:pPr>
      <w:r w:rsidRPr="007B6BE9">
        <w:rPr>
          <w:rFonts w:cs="Arial"/>
        </w:rPr>
        <w:t>              j) Anexo 16.10. Informe sobre Estudios Actuariales.</w:t>
      </w:r>
    </w:p>
    <w:p w:rsidR="00CC48AD" w:rsidRDefault="007B6BE9">
      <w:pPr>
        <w:spacing w:before="100" w:beforeAutospacing="1" w:after="100" w:afterAutospacing="1"/>
        <w:rPr>
          <w:rFonts w:cs="Arial"/>
        </w:rPr>
      </w:pPr>
      <w:r w:rsidRPr="007B6BE9">
        <w:rPr>
          <w:rFonts w:cs="Arial"/>
        </w:rPr>
        <w:t>      XVII. Anexo 17. Cuentas Bancarias Productivas</w:t>
      </w:r>
    </w:p>
    <w:p w:rsidR="00CC48AD" w:rsidRDefault="007B6BE9">
      <w:pPr>
        <w:spacing w:before="100" w:beforeAutospacing="1" w:after="100" w:afterAutospacing="1"/>
        <w:rPr>
          <w:rFonts w:cs="Arial"/>
        </w:rPr>
      </w:pPr>
      <w:r w:rsidRPr="007B6BE9">
        <w:rPr>
          <w:rFonts w:cs="Arial"/>
        </w:rPr>
        <w:t>      XVIII. Anexo 18. Anexos Transversales.</w:t>
      </w:r>
    </w:p>
    <w:p w:rsidR="00CC48AD" w:rsidRDefault="007B6BE9">
      <w:pPr>
        <w:spacing w:before="100" w:beforeAutospacing="1" w:after="100" w:afterAutospacing="1"/>
        <w:rPr>
          <w:rFonts w:cs="Arial"/>
        </w:rPr>
      </w:pPr>
      <w:r w:rsidRPr="007B6BE9">
        <w:rPr>
          <w:rFonts w:cs="Arial"/>
        </w:rPr>
        <w:t>              a) Anexo 18.1. Presupuestario Transversal de Inversión para la Infancia Temprana.</w:t>
      </w:r>
    </w:p>
    <w:p w:rsidR="00CC48AD" w:rsidRDefault="007B6BE9">
      <w:pPr>
        <w:spacing w:before="100" w:beforeAutospacing="1" w:after="100" w:afterAutospacing="1"/>
        <w:rPr>
          <w:rFonts w:cs="Arial"/>
        </w:rPr>
      </w:pPr>
      <w:r w:rsidRPr="007B6BE9">
        <w:rPr>
          <w:rFonts w:cs="Arial"/>
        </w:rPr>
        <w:t>              b) Anexo 18.2. Presupuestario Transversal de Inversión para Niñas, Niños y Adolescentes.</w:t>
      </w:r>
    </w:p>
    <w:p w:rsidR="00CC48AD" w:rsidRDefault="007B6BE9">
      <w:pPr>
        <w:spacing w:before="100" w:beforeAutospacing="1" w:after="100" w:afterAutospacing="1"/>
        <w:rPr>
          <w:rFonts w:cs="Arial"/>
        </w:rPr>
      </w:pPr>
      <w:r w:rsidRPr="007B6BE9">
        <w:rPr>
          <w:rFonts w:cs="Arial"/>
        </w:rPr>
        <w:t>              c) Anexo 18.3. Presupuestario Transversal de Inversión para los Jóvenes.</w:t>
      </w:r>
    </w:p>
    <w:p w:rsidR="00CC48AD" w:rsidRDefault="007B6BE9">
      <w:pPr>
        <w:spacing w:before="100" w:beforeAutospacing="1" w:after="100" w:afterAutospacing="1"/>
        <w:rPr>
          <w:rFonts w:cs="Arial"/>
        </w:rPr>
      </w:pPr>
      <w:r w:rsidRPr="007B6BE9">
        <w:rPr>
          <w:rFonts w:cs="Arial"/>
        </w:rPr>
        <w:t>              d) Anexo 18.4. Asignaciones Presupuestales para Implementar las Medidas de Mitigación y Adaptación para el Cambio Climático.</w:t>
      </w:r>
    </w:p>
    <w:p w:rsidR="00CC48AD" w:rsidRDefault="007B6BE9">
      <w:pPr>
        <w:spacing w:before="100" w:beforeAutospacing="1" w:after="100" w:afterAutospacing="1"/>
        <w:rPr>
          <w:rFonts w:cs="Arial"/>
        </w:rPr>
      </w:pPr>
      <w:r w:rsidRPr="007B6BE9">
        <w:rPr>
          <w:rFonts w:cs="Arial"/>
        </w:rPr>
        <w:lastRenderedPageBreak/>
        <w:t>              e) Anexo 18.5. Asignaciones Presupuestales para la Igualdad entre Mujeres y Hombres</w:t>
      </w:r>
    </w:p>
    <w:p w:rsidR="00CC48AD" w:rsidRDefault="007B6BE9">
      <w:pPr>
        <w:spacing w:before="100" w:beforeAutospacing="1" w:after="100" w:afterAutospacing="1"/>
        <w:rPr>
          <w:rFonts w:cs="Arial"/>
        </w:rPr>
      </w:pPr>
      <w:r w:rsidRPr="007B6BE9">
        <w:rPr>
          <w:rFonts w:cs="Arial"/>
        </w:rPr>
        <w:t>              f) Anexo 18.6. Asignaciones Presupuestales para el Sistema de Justicia Penal Acusatorio.</w:t>
      </w:r>
    </w:p>
    <w:p w:rsidR="00CC48AD" w:rsidRDefault="007B6BE9">
      <w:pPr>
        <w:spacing w:before="100" w:beforeAutospacing="1" w:after="100" w:afterAutospacing="1"/>
        <w:rPr>
          <w:rFonts w:cs="Arial"/>
        </w:rPr>
      </w:pPr>
      <w:r w:rsidRPr="007B6BE9">
        <w:rPr>
          <w:rFonts w:cs="Arial"/>
        </w:rPr>
        <w:t>              g) Anexo 18.7 Presupuestario Transversal de Inversión para el Desarrollo Rural Sustentable.</w:t>
      </w:r>
    </w:p>
    <w:p w:rsidR="00CC48AD" w:rsidRDefault="007B6BE9">
      <w:pPr>
        <w:spacing w:before="100" w:beforeAutospacing="1" w:after="100" w:afterAutospacing="1"/>
        <w:rPr>
          <w:rFonts w:cs="Arial"/>
        </w:rPr>
      </w:pPr>
      <w:r w:rsidRPr="007B6BE9">
        <w:rPr>
          <w:rFonts w:cs="Arial"/>
        </w:rPr>
        <w:t>              h) Anexo 18.8 Presupuestario Transversal de Inversión para la Etnia.</w:t>
      </w:r>
    </w:p>
    <w:p w:rsidR="00CC48AD" w:rsidRDefault="007B6BE9">
      <w:pPr>
        <w:spacing w:before="100" w:beforeAutospacing="1" w:after="100" w:afterAutospacing="1"/>
        <w:rPr>
          <w:rFonts w:cs="Arial"/>
        </w:rPr>
      </w:pPr>
      <w:r w:rsidRPr="007B6BE9">
        <w:rPr>
          <w:rFonts w:cs="Arial"/>
        </w:rPr>
        <w:t>      XIX. Anexo 19. Anexos Informativos.</w:t>
      </w:r>
    </w:p>
    <w:p w:rsidR="00CC48AD" w:rsidRDefault="007B6BE9">
      <w:pPr>
        <w:spacing w:before="100" w:beforeAutospacing="1" w:after="100" w:afterAutospacing="1"/>
        <w:rPr>
          <w:rFonts w:cs="Arial"/>
        </w:rPr>
      </w:pPr>
      <w:r w:rsidRPr="007B6BE9">
        <w:rPr>
          <w:rFonts w:cs="Arial"/>
        </w:rPr>
        <w:t>              a) Anexo 19.1. Metodología para la Proyección de Ingresos y Egresos.</w:t>
      </w:r>
    </w:p>
    <w:p w:rsidR="00CC48AD" w:rsidRDefault="007B6BE9">
      <w:pPr>
        <w:spacing w:before="100" w:beforeAutospacing="1" w:after="100" w:afterAutospacing="1"/>
        <w:rPr>
          <w:rFonts w:cs="Arial"/>
        </w:rPr>
      </w:pPr>
      <w:r w:rsidRPr="007B6BE9">
        <w:rPr>
          <w:rFonts w:cs="Arial"/>
        </w:rPr>
        <w:t>              b) Anexo 19.2. Metodología para Calcular el Monto Correspondiente al Fondo de Desastres Naturales Estatal.</w:t>
      </w:r>
    </w:p>
    <w:p w:rsidR="00CC48AD" w:rsidRDefault="007B6BE9">
      <w:pPr>
        <w:spacing w:before="100" w:beforeAutospacing="1" w:after="100" w:afterAutospacing="1"/>
        <w:rPr>
          <w:rFonts w:cs="Arial"/>
        </w:rPr>
      </w:pPr>
      <w:r w:rsidRPr="007B6BE9">
        <w:rPr>
          <w:rFonts w:cs="Arial"/>
        </w:rPr>
        <w:t>              c) Anexo 19.3. Metodología Aplicada para Calcular las Transferencias a Partidos Políticos.</w:t>
      </w:r>
    </w:p>
    <w:p w:rsidR="00CC48AD" w:rsidRDefault="007B6BE9">
      <w:pPr>
        <w:spacing w:before="100" w:beforeAutospacing="1" w:after="100" w:afterAutospacing="1"/>
        <w:rPr>
          <w:rFonts w:cs="Arial"/>
        </w:rPr>
      </w:pPr>
      <w:r w:rsidRPr="007B6BE9">
        <w:rPr>
          <w:rFonts w:cs="Arial"/>
          <w:b/>
          <w:bCs/>
        </w:rPr>
        <w:t>Artículo 14. Tomos del presupuesto de egresos</w:t>
      </w:r>
    </w:p>
    <w:p w:rsidR="00CC48AD" w:rsidRDefault="007B6BE9">
      <w:pPr>
        <w:spacing w:before="100" w:beforeAutospacing="1" w:after="100" w:afterAutospacing="1"/>
        <w:rPr>
          <w:rFonts w:cs="Arial"/>
        </w:rPr>
      </w:pPr>
      <w:r w:rsidRPr="007B6BE9">
        <w:rPr>
          <w:rFonts w:cs="Arial"/>
        </w:rPr>
        <w:t>Los tomos incluidos en este presupuesto de egresos 2022, se presentan y contienen la información establecida en las fracciones II y III del artículo 54 de la Ley del Presupuesto y Contabilidad Gubernamental del Estado de Yucatán y la fracción IV del artículo 45 del Reglamento de la Ley del Presupuesto y Contabilidad Gubernamental del Estado de Yucatán. Al respecto, los tomos parte del presente presupuesto son los siguientes:</w:t>
      </w:r>
    </w:p>
    <w:p w:rsidR="00CC48AD" w:rsidRDefault="007B6BE9">
      <w:pPr>
        <w:spacing w:before="100" w:beforeAutospacing="1" w:after="100" w:afterAutospacing="1"/>
        <w:rPr>
          <w:rFonts w:cs="Arial"/>
        </w:rPr>
      </w:pPr>
      <w:r w:rsidRPr="007B6BE9">
        <w:rPr>
          <w:rFonts w:cs="Arial"/>
        </w:rPr>
        <w:t>      I. Tomo I: Presupuesto Consolidado del Gobierno del Estado de Yucatán, el cual contiene: las clasificaciones administrativas del gasto, por objeto del gasto, funcional, por tipo de gasto y por gasto programable y no programable de todos los ejecutores de gasto del Gobierno del Estado de Yucatán.</w:t>
      </w:r>
    </w:p>
    <w:p w:rsidR="00CC48AD" w:rsidRDefault="007B6BE9">
      <w:pPr>
        <w:spacing w:before="100" w:beforeAutospacing="1" w:after="100" w:afterAutospacing="1"/>
        <w:rPr>
          <w:rFonts w:cs="Arial"/>
        </w:rPr>
      </w:pPr>
      <w:r w:rsidRPr="007B6BE9">
        <w:rPr>
          <w:rFonts w:cs="Arial"/>
        </w:rPr>
        <w:t>      II. Tomo II: Presupuesto del Poder Ejecutivo del Estado de Yucatán, el cual contiene: las clasificaciones administrativas del gasto, por objeto del gasto, funcional, por tipo de gasto y por gasto programable y no programable, el analítico de plazas, el tabulador de sueldos y salarios, así como los sueldos de los servidores públicos de los mandos medios y superiores de la Administración Pública centralizada.</w:t>
      </w:r>
    </w:p>
    <w:p w:rsidR="00CC48AD" w:rsidRDefault="007B6BE9">
      <w:pPr>
        <w:spacing w:before="100" w:beforeAutospacing="1" w:after="100" w:afterAutospacing="1"/>
        <w:rPr>
          <w:rFonts w:cs="Arial"/>
        </w:rPr>
      </w:pPr>
      <w:r w:rsidRPr="007B6BE9">
        <w:rPr>
          <w:rFonts w:cs="Arial"/>
        </w:rPr>
        <w:lastRenderedPageBreak/>
        <w:t>      III. Tomo III: Presupuesto de los Ramos Autónomos del Estado de Yucatán, conformado por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todos los organismos autónomos del estado de Yucatán.</w:t>
      </w:r>
    </w:p>
    <w:p w:rsidR="00CC48AD" w:rsidRDefault="007B6BE9">
      <w:pPr>
        <w:spacing w:before="100" w:beforeAutospacing="1" w:after="100" w:afterAutospacing="1"/>
        <w:rPr>
          <w:rFonts w:cs="Arial"/>
        </w:rPr>
      </w:pPr>
      <w:r w:rsidRPr="007B6BE9">
        <w:rPr>
          <w:rFonts w:cs="Arial"/>
        </w:rPr>
        <w:t>      IV. Tomo IV: Presupuesto de las Entidades Paraestatales del Estado de Yucatán, el cual se compone de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todas las entidades paraestatales de la Administración Pública del estado de Yucatán.</w:t>
      </w:r>
    </w:p>
    <w:p w:rsidR="00CC48AD" w:rsidRDefault="007B6BE9">
      <w:pPr>
        <w:spacing w:before="100" w:beforeAutospacing="1" w:after="100" w:afterAutospacing="1"/>
        <w:rPr>
          <w:rFonts w:cs="Arial"/>
        </w:rPr>
      </w:pPr>
      <w:r w:rsidRPr="007B6BE9">
        <w:rPr>
          <w:rFonts w:cs="Arial"/>
        </w:rPr>
        <w:t>      V. Tomo V: Presupuesto Basado en Resultados 2022, Programas Presupuestarios, el cual contiene todos los programas presupuestarios con sus matrices de indicadores, según el caso, en que intervienen los entes públicos que integran el Gobierno del estado de Yucatán. En su parte inicial contiene un catálogo donde se puede identificar en qué programa presupuestario intervienen, como coordinador o corresponsable, cada uno de los entes públicos.</w:t>
      </w:r>
    </w:p>
    <w:p w:rsidR="00CC48AD" w:rsidRDefault="007B6BE9">
      <w:pPr>
        <w:spacing w:before="100" w:beforeAutospacing="1" w:after="100" w:afterAutospacing="1"/>
        <w:rPr>
          <w:rFonts w:cs="Arial"/>
        </w:rPr>
      </w:pPr>
      <w:r w:rsidRPr="007B6BE9">
        <w:rPr>
          <w:rFonts w:cs="Arial"/>
          <w:b/>
          <w:bCs/>
        </w:rPr>
        <w:t>Artículo 15. Gasto previsto para partidos políticos</w:t>
      </w:r>
    </w:p>
    <w:p w:rsidR="00CC48AD" w:rsidRDefault="007B6BE9">
      <w:pPr>
        <w:spacing w:before="100" w:beforeAutospacing="1" w:after="100" w:afterAutospacing="1"/>
        <w:rPr>
          <w:rFonts w:cs="Arial"/>
        </w:rPr>
      </w:pPr>
      <w:r w:rsidRPr="007B6BE9">
        <w:rPr>
          <w:rFonts w:cs="Arial"/>
        </w:rPr>
        <w:t>El gasto previsto para el financiamiento de los partidos políticos importa la cantidad de $104,594,982.88, de conformidad con la distribución señalada en los anexos 11.4 al 11.7 de este decreto.</w:t>
      </w:r>
    </w:p>
    <w:p w:rsidR="00CC48AD" w:rsidRDefault="007B6BE9">
      <w:pPr>
        <w:spacing w:before="100" w:beforeAutospacing="1" w:after="100" w:afterAutospacing="1"/>
        <w:rPr>
          <w:rFonts w:cs="Arial"/>
        </w:rPr>
      </w:pPr>
      <w:r w:rsidRPr="007B6BE9">
        <w:rPr>
          <w:rFonts w:cs="Arial"/>
        </w:rPr>
        <w:t>La metodología para determinar la cantidad correspondiente para los partidos políticos se encuentra en el anexo informativo 19.3.</w:t>
      </w:r>
      <w:bookmarkStart w:id="13" w:name="capítulo-iii"/>
    </w:p>
    <w:p w:rsidR="00CC48AD" w:rsidRDefault="007B6BE9">
      <w:pPr>
        <w:pStyle w:val="Ttulo2"/>
        <w:spacing w:before="100" w:beforeAutospacing="1" w:after="100" w:afterAutospacing="1"/>
        <w:rPr>
          <w:rFonts w:cs="Arial"/>
          <w:szCs w:val="24"/>
        </w:rPr>
      </w:pPr>
      <w:r w:rsidRPr="007B6BE9">
        <w:rPr>
          <w:rFonts w:cs="Arial"/>
          <w:szCs w:val="24"/>
        </w:rPr>
        <w:t>Capítulo III</w:t>
      </w:r>
    </w:p>
    <w:p w:rsidR="00CC48AD" w:rsidRDefault="007B6BE9">
      <w:pPr>
        <w:pStyle w:val="Ttulo2"/>
        <w:spacing w:before="100" w:beforeAutospacing="1" w:after="100" w:afterAutospacing="1"/>
        <w:rPr>
          <w:rFonts w:cs="Arial"/>
          <w:szCs w:val="24"/>
        </w:rPr>
      </w:pPr>
      <w:bookmarkStart w:id="14" w:name="concurrencia-de-recursos"/>
      <w:bookmarkEnd w:id="13"/>
      <w:r w:rsidRPr="007B6BE9">
        <w:rPr>
          <w:rFonts w:cs="Arial"/>
          <w:b w:val="0"/>
          <w:szCs w:val="24"/>
        </w:rPr>
        <w:t>Concurrencia de recursos</w:t>
      </w:r>
    </w:p>
    <w:p w:rsidR="00CC48AD" w:rsidRDefault="007B6BE9">
      <w:pPr>
        <w:spacing w:before="100" w:beforeAutospacing="1" w:after="100" w:afterAutospacing="1"/>
        <w:rPr>
          <w:rFonts w:cs="Arial"/>
        </w:rPr>
      </w:pPr>
      <w:r w:rsidRPr="007B6BE9">
        <w:rPr>
          <w:rFonts w:cs="Arial"/>
          <w:b/>
          <w:bCs/>
        </w:rPr>
        <w:t>Artículo 16. Fuentes de financiamiento</w:t>
      </w:r>
    </w:p>
    <w:p w:rsidR="00CC48AD" w:rsidRDefault="007B6BE9">
      <w:pPr>
        <w:spacing w:before="100" w:beforeAutospacing="1" w:after="100" w:afterAutospacing="1"/>
        <w:rPr>
          <w:rFonts w:cs="Arial"/>
        </w:rPr>
      </w:pPr>
      <w:r w:rsidRPr="007B6BE9">
        <w:rPr>
          <w:rFonts w:cs="Arial"/>
        </w:rPr>
        <w:t xml:space="preserve">El Presupuesto de Egresos del Gobierno del Estado de Yucatán para el Ejercicio Fiscal 2022 se conforma por la cantidad de $3,402,314,262.00 de ingreso propio de las entidades, $5,110,756,673.00 de recursos fiscales, $17,287,599,131.00 proveniente de gasto federalizado no etiquetado y $20,237,380,255.00 de gasto </w:t>
      </w:r>
      <w:r w:rsidRPr="007B6BE9">
        <w:rPr>
          <w:rFonts w:cs="Arial"/>
        </w:rPr>
        <w:lastRenderedPageBreak/>
        <w:t>federalizado etiquetado, tal como lo señalan los criterios de clasificación definidos por el Consejo Nacional de Armonización Contable.</w:t>
      </w:r>
    </w:p>
    <w:p w:rsidR="00CC48AD" w:rsidRDefault="007B6BE9">
      <w:pPr>
        <w:spacing w:before="100" w:beforeAutospacing="1" w:after="100" w:afterAutospacing="1"/>
        <w:rPr>
          <w:rFonts w:cs="Arial"/>
        </w:rPr>
      </w:pPr>
      <w:r w:rsidRPr="007B6BE9">
        <w:rPr>
          <w:rFonts w:cs="Arial"/>
          <w:b/>
          <w:bCs/>
        </w:rPr>
        <w:t>Artículo 17. Programas con recursos concurrentes</w:t>
      </w:r>
    </w:p>
    <w:p w:rsidR="00CC48AD" w:rsidRDefault="007B6BE9">
      <w:pPr>
        <w:spacing w:before="100" w:beforeAutospacing="1" w:after="100" w:afterAutospacing="1"/>
        <w:rPr>
          <w:rFonts w:cs="Arial"/>
        </w:rPr>
      </w:pPr>
      <w:r w:rsidRPr="007B6BE9">
        <w:rPr>
          <w:rFonts w:cs="Arial"/>
        </w:rPr>
        <w:t>Los programas con recursos concurrentes provenientes de transferencias federales y estatales ascienden a $6,573,889,637.00 que se distribuyen conforme al anexo 7.5 de este decreto.</w:t>
      </w:r>
      <w:bookmarkStart w:id="15" w:name="capítulo-iv"/>
      <w:bookmarkEnd w:id="14"/>
    </w:p>
    <w:p w:rsidR="00CC48AD" w:rsidRDefault="007B6BE9">
      <w:pPr>
        <w:pStyle w:val="Ttulo2"/>
        <w:spacing w:before="100" w:beforeAutospacing="1" w:after="100" w:afterAutospacing="1"/>
        <w:rPr>
          <w:rFonts w:cs="Arial"/>
          <w:szCs w:val="24"/>
        </w:rPr>
      </w:pPr>
      <w:r w:rsidRPr="007B6BE9">
        <w:rPr>
          <w:rFonts w:cs="Arial"/>
          <w:szCs w:val="24"/>
        </w:rPr>
        <w:t>Capítulo IV</w:t>
      </w:r>
    </w:p>
    <w:p w:rsidR="00CC48AD" w:rsidRDefault="007B6BE9">
      <w:pPr>
        <w:pStyle w:val="Ttulo2"/>
        <w:spacing w:before="100" w:beforeAutospacing="1" w:after="100" w:afterAutospacing="1"/>
        <w:rPr>
          <w:rFonts w:cs="Arial"/>
          <w:szCs w:val="24"/>
        </w:rPr>
      </w:pPr>
      <w:bookmarkStart w:id="16" w:name="X0bd220f69170142948abe3f5559c245da8eebd4"/>
      <w:bookmarkEnd w:id="15"/>
      <w:r w:rsidRPr="007B6BE9">
        <w:rPr>
          <w:rFonts w:cs="Arial"/>
          <w:b w:val="0"/>
          <w:szCs w:val="24"/>
        </w:rPr>
        <w:t>Instituciones sin fines de lucro y fideicomisos públicos</w:t>
      </w:r>
    </w:p>
    <w:p w:rsidR="00CC48AD" w:rsidRDefault="007B6BE9">
      <w:pPr>
        <w:spacing w:before="100" w:beforeAutospacing="1" w:after="100" w:afterAutospacing="1"/>
        <w:rPr>
          <w:rFonts w:cs="Arial"/>
        </w:rPr>
      </w:pPr>
      <w:r w:rsidRPr="007B6BE9">
        <w:rPr>
          <w:rFonts w:cs="Arial"/>
          <w:b/>
          <w:bCs/>
        </w:rPr>
        <w:t>Artículo 18. Instituciones sin fines de lucro</w:t>
      </w:r>
    </w:p>
    <w:p w:rsidR="00CC48AD" w:rsidRDefault="007B6BE9">
      <w:pPr>
        <w:spacing w:before="100" w:beforeAutospacing="1" w:after="100" w:afterAutospacing="1"/>
        <w:rPr>
          <w:rFonts w:cs="Arial"/>
        </w:rPr>
      </w:pPr>
      <w:r w:rsidRPr="007B6BE9">
        <w:rPr>
          <w:rFonts w:cs="Arial"/>
        </w:rPr>
        <w:t>Los subsidios a actividades productivas o de inversión, ayudas sociales a personas y donativos a instituciones sin fines de lucro u organismos de la sociedad civil se detallan en los anexos 11.1. al 11.3.</w:t>
      </w:r>
    </w:p>
    <w:p w:rsidR="00CC48AD" w:rsidRDefault="007B6BE9">
      <w:pPr>
        <w:spacing w:before="100" w:beforeAutospacing="1" w:after="100" w:afterAutospacing="1"/>
        <w:rPr>
          <w:rFonts w:cs="Arial"/>
        </w:rPr>
      </w:pPr>
      <w:r w:rsidRPr="007B6BE9">
        <w:rPr>
          <w:rFonts w:cs="Arial"/>
          <w:b/>
          <w:bCs/>
        </w:rPr>
        <w:t>Artículo 19. Transferencias a fideicomisos públicos</w:t>
      </w:r>
    </w:p>
    <w:p w:rsidR="00CC48AD" w:rsidRDefault="007B6BE9">
      <w:pPr>
        <w:spacing w:before="100" w:beforeAutospacing="1" w:after="100" w:afterAutospacing="1"/>
        <w:rPr>
          <w:rFonts w:cs="Arial"/>
        </w:rPr>
      </w:pPr>
      <w:r w:rsidRPr="007B6BE9">
        <w:rPr>
          <w:rFonts w:cs="Arial"/>
        </w:rPr>
        <w:t>Las transferencias internas otorgadas a fondos y fideicomisos públicos sin estructura orgánica se distribuyen conforme a lo establecido en el anexo 11.8. de este decreto.</w:t>
      </w:r>
    </w:p>
    <w:p w:rsidR="00CC48AD" w:rsidRDefault="007B6BE9">
      <w:pPr>
        <w:spacing w:before="100" w:beforeAutospacing="1" w:after="100" w:afterAutospacing="1"/>
        <w:rPr>
          <w:rFonts w:cs="Arial"/>
        </w:rPr>
      </w:pPr>
      <w:r w:rsidRPr="007B6BE9">
        <w:rPr>
          <w:rFonts w:cs="Arial"/>
          <w:b/>
          <w:bCs/>
        </w:rPr>
        <w:t>Artículo 20. Constitución e incremento del patrimonio de fideicomisos</w:t>
      </w:r>
    </w:p>
    <w:p w:rsidR="00CC48AD" w:rsidRDefault="007B6BE9">
      <w:pPr>
        <w:spacing w:before="100" w:beforeAutospacing="1" w:after="100" w:afterAutospacing="1"/>
        <w:rPr>
          <w:rFonts w:cs="Arial"/>
        </w:rPr>
      </w:pPr>
      <w:r w:rsidRPr="007B6BE9">
        <w:rPr>
          <w:rFonts w:cs="Arial"/>
        </w:rPr>
        <w:t>Las transferencias para la constitución u operación de los fideicomisos públicos con o sin estructura deberán estar presupuestadas expresamente.</w:t>
      </w:r>
    </w:p>
    <w:p w:rsidR="00CC48AD" w:rsidRDefault="007B6BE9">
      <w:pPr>
        <w:spacing w:before="100" w:beforeAutospacing="1" w:after="100" w:afterAutospacing="1"/>
        <w:rPr>
          <w:rFonts w:cs="Arial"/>
        </w:rPr>
      </w:pPr>
      <w:r w:rsidRPr="007B6BE9">
        <w:rPr>
          <w:rFonts w:cs="Arial"/>
        </w:rPr>
        <w:t>Para constituir o incrementar el patrimonio de fideicomisos con recursos públicos y participar en el capital social de las empresas, se requerirá cumplir con los criterios y requisitos establecidos en la Ley del Presupuesto y Contabilidad Gubernamental del Estado de Yucatán y su reglamento.</w:t>
      </w:r>
    </w:p>
    <w:p w:rsidR="00CC48AD" w:rsidRDefault="007B6BE9">
      <w:pPr>
        <w:spacing w:before="100" w:beforeAutospacing="1" w:after="100" w:afterAutospacing="1"/>
        <w:rPr>
          <w:rFonts w:cs="Arial"/>
        </w:rPr>
      </w:pPr>
      <w:r w:rsidRPr="007B6BE9">
        <w:rPr>
          <w:rFonts w:cs="Arial"/>
        </w:rPr>
        <w:t>La constitución y operación financiera de los fideicomisos se sujetará a lo dispuesto por el Código de la Administración Pública de Yucatán y su reglamento; así como a la Ley del Presupuesto y Contabilidad Gubernamental del Estado de Yucatán y demás normativa aplicable.</w:t>
      </w:r>
    </w:p>
    <w:p w:rsidR="00CC48AD" w:rsidRDefault="007B6BE9">
      <w:pPr>
        <w:spacing w:before="100" w:beforeAutospacing="1" w:after="100" w:afterAutospacing="1"/>
        <w:rPr>
          <w:rFonts w:cs="Arial"/>
        </w:rPr>
      </w:pPr>
      <w:r w:rsidRPr="007B6BE9">
        <w:rPr>
          <w:rFonts w:cs="Arial"/>
          <w:b/>
          <w:bCs/>
        </w:rPr>
        <w:t>Artículo 21. Transferencia de recursos federales a fideicomisos</w:t>
      </w:r>
    </w:p>
    <w:p w:rsidR="00CC48AD" w:rsidRDefault="007B6BE9">
      <w:pPr>
        <w:spacing w:before="100" w:beforeAutospacing="1" w:after="100" w:afterAutospacing="1"/>
        <w:rPr>
          <w:rFonts w:cs="Arial"/>
        </w:rPr>
      </w:pPr>
      <w:r w:rsidRPr="007B6BE9">
        <w:rPr>
          <w:rFonts w:cs="Arial"/>
        </w:rPr>
        <w:lastRenderedPageBreak/>
        <w:t xml:space="preserve">Tratándose de recursos federales cuyo destino sea su transmisión al patrimonio </w:t>
      </w:r>
      <w:proofErr w:type="spellStart"/>
      <w:r w:rsidRPr="007B6BE9">
        <w:rPr>
          <w:rFonts w:cs="Arial"/>
        </w:rPr>
        <w:t>fideicomitido</w:t>
      </w:r>
      <w:proofErr w:type="spellEnd"/>
      <w:r w:rsidRPr="007B6BE9">
        <w:rPr>
          <w:rFonts w:cs="Arial"/>
        </w:rPr>
        <w:t>, el procedimiento respectivo se realizará por conducto de la dependencia coordinadora del sector, el fideicomitente o el ejecutor del gasto, según se haya acordado o establecido en el convenio o normativa específica.</w:t>
      </w:r>
    </w:p>
    <w:p w:rsidR="00CC48AD" w:rsidRDefault="007B6BE9">
      <w:pPr>
        <w:spacing w:before="100" w:beforeAutospacing="1" w:after="100" w:afterAutospacing="1"/>
        <w:rPr>
          <w:rFonts w:cs="Arial"/>
        </w:rPr>
      </w:pPr>
      <w:r w:rsidRPr="007B6BE9">
        <w:rPr>
          <w:rFonts w:cs="Arial"/>
          <w:b/>
          <w:bCs/>
        </w:rPr>
        <w:t>Artículo 22. Informes de saldos trimestrales de fideicomisos</w:t>
      </w:r>
    </w:p>
    <w:p w:rsidR="00CC48AD" w:rsidRDefault="007B6BE9">
      <w:pPr>
        <w:spacing w:before="100" w:beforeAutospacing="1" w:after="100" w:afterAutospacing="1"/>
        <w:rPr>
          <w:rFonts w:cs="Arial"/>
        </w:rPr>
      </w:pPr>
      <w:r w:rsidRPr="007B6BE9">
        <w:rPr>
          <w:rFonts w:cs="Arial"/>
        </w:rPr>
        <w:t>En aquellos fideicomisos en los que se involucren recursos públicos estatales, se deberá identificar de manera clara los recursos correspondientes al estado, esto con el objeto de diferenciarlos del resto de las demás aportaciones.</w:t>
      </w:r>
    </w:p>
    <w:p w:rsidR="00CC48AD" w:rsidRDefault="007B6BE9">
      <w:pPr>
        <w:spacing w:before="100" w:beforeAutospacing="1" w:after="100" w:afterAutospacing="1"/>
        <w:rPr>
          <w:rFonts w:cs="Arial"/>
        </w:rPr>
      </w:pPr>
      <w:r w:rsidRPr="007B6BE9">
        <w:rPr>
          <w:rFonts w:cs="Arial"/>
        </w:rPr>
        <w:t>La dependencia, entidad o ente público encargado de su administración, deberá informar trimestralmente a la secretaría, dentro de los veinte días siguientes a cada trimestre, el saldo de la subcuenta o partida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w:t>
      </w:r>
    </w:p>
    <w:p w:rsidR="00CC48AD" w:rsidRDefault="007B6BE9">
      <w:pPr>
        <w:spacing w:before="100" w:beforeAutospacing="1" w:after="100" w:afterAutospacing="1"/>
        <w:rPr>
          <w:rFonts w:cs="Arial"/>
        </w:rPr>
      </w:pPr>
      <w:r w:rsidRPr="007B6BE9">
        <w:rPr>
          <w:rFonts w:cs="Arial"/>
        </w:rPr>
        <w:t>En caso de que exista compromiso del municipio, o de los particulares con el Gobierno estatal para otorgar sumas de recursos al patrimonio del fideicomiso y aquellos incumplan con la aportación de dichos recursos, con las reglas de operación del fideicomiso o del programa correspondiente, el Gobierno estatal, por conducto de la dependencia o entidad que administre la operación del fideicomiso, podrá suspender las aportaciones subsecuentes.</w:t>
      </w:r>
      <w:bookmarkStart w:id="17" w:name="capítulo-v"/>
      <w:bookmarkEnd w:id="16"/>
    </w:p>
    <w:p w:rsidR="00CC48AD" w:rsidRDefault="007B6BE9">
      <w:pPr>
        <w:pStyle w:val="Ttulo2"/>
        <w:spacing w:before="100" w:beforeAutospacing="1" w:after="100" w:afterAutospacing="1"/>
        <w:rPr>
          <w:rFonts w:cs="Arial"/>
          <w:szCs w:val="24"/>
        </w:rPr>
      </w:pPr>
      <w:r w:rsidRPr="007B6BE9">
        <w:rPr>
          <w:rFonts w:cs="Arial"/>
          <w:szCs w:val="24"/>
        </w:rPr>
        <w:t>Capítulo V</w:t>
      </w:r>
    </w:p>
    <w:p w:rsidR="00CC48AD" w:rsidRDefault="007B6BE9">
      <w:pPr>
        <w:pStyle w:val="Ttulo2"/>
        <w:spacing w:before="100" w:beforeAutospacing="1" w:after="100" w:afterAutospacing="1"/>
        <w:rPr>
          <w:rFonts w:cs="Arial"/>
          <w:szCs w:val="24"/>
        </w:rPr>
      </w:pPr>
      <w:bookmarkStart w:id="18" w:name="X5fe74c8e33800cec4560c17a4551f9694643687"/>
      <w:bookmarkEnd w:id="17"/>
      <w:r w:rsidRPr="007B6BE9">
        <w:rPr>
          <w:rFonts w:cs="Arial"/>
          <w:b w:val="0"/>
          <w:szCs w:val="24"/>
        </w:rPr>
        <w:t>Gastos plurianuales, programas y proyectos de inversión</w:t>
      </w:r>
    </w:p>
    <w:p w:rsidR="00CC48AD" w:rsidRDefault="007B6BE9">
      <w:pPr>
        <w:spacing w:before="100" w:beforeAutospacing="1" w:after="100" w:afterAutospacing="1"/>
        <w:rPr>
          <w:rFonts w:cs="Arial"/>
        </w:rPr>
      </w:pPr>
      <w:r w:rsidRPr="007B6BE9">
        <w:rPr>
          <w:rFonts w:cs="Arial"/>
          <w:b/>
          <w:bCs/>
        </w:rPr>
        <w:t>Artículo 23. Mecanismos plurianuales de gasto</w:t>
      </w:r>
    </w:p>
    <w:p w:rsidR="00CC48AD" w:rsidRDefault="007B6BE9">
      <w:pPr>
        <w:spacing w:before="100" w:beforeAutospacing="1" w:after="100" w:afterAutospacing="1"/>
        <w:rPr>
          <w:rFonts w:cs="Arial"/>
        </w:rPr>
      </w:pPr>
      <w:r w:rsidRPr="007B6BE9">
        <w:rPr>
          <w:rFonts w:cs="Arial"/>
        </w:rPr>
        <w:t>Los mecanismos plurianuales de gasto son los que permiten al estado diseñar, ejecutar y evaluar una política presupuestal de mediano y largo plazo. Entre los mecanismos plurianuales de gasto que se presentan para el ejercicio 2022 se encuentran las asignaciones para proyectos para la prestación de servicios y contrataciones de bienes, servicios o arrendamientos plurianuales.</w:t>
      </w:r>
    </w:p>
    <w:p w:rsidR="00CC48AD" w:rsidRDefault="007B6BE9">
      <w:pPr>
        <w:spacing w:before="100" w:beforeAutospacing="1" w:after="100" w:afterAutospacing="1"/>
        <w:rPr>
          <w:rFonts w:cs="Arial"/>
        </w:rPr>
      </w:pPr>
      <w:r w:rsidRPr="007B6BE9">
        <w:rPr>
          <w:rFonts w:cs="Arial"/>
        </w:rPr>
        <w:t xml:space="preserve">El anexo 14 del presente decreto contiene el gasto del ejercicio 2021 y la estimación de gasto de los años 2022 a 2024, correspondientes a las obligaciones generadas a partir de proyectos para la prestación de servicios, arrendamientos de </w:t>
      </w:r>
      <w:r w:rsidRPr="007B6BE9">
        <w:rPr>
          <w:rFonts w:cs="Arial"/>
        </w:rPr>
        <w:lastRenderedPageBreak/>
        <w:t>largo plazo y las contrataciones vigentes al ejercicio fiscal 2022 que impliquen la erogación de recursos durante más de un ejercicio fiscal.</w:t>
      </w:r>
    </w:p>
    <w:p w:rsidR="00CC48AD" w:rsidRDefault="007B6BE9">
      <w:pPr>
        <w:spacing w:before="100" w:beforeAutospacing="1" w:after="100" w:afterAutospacing="1"/>
        <w:rPr>
          <w:rFonts w:cs="Arial"/>
        </w:rPr>
      </w:pPr>
      <w:r w:rsidRPr="007B6BE9">
        <w:rPr>
          <w:rFonts w:cs="Arial"/>
          <w:b/>
          <w:bCs/>
        </w:rPr>
        <w:t>Artículo 24. Programas y proyectos de inversión en cartera</w:t>
      </w:r>
    </w:p>
    <w:p w:rsidR="00CC48AD" w:rsidRDefault="007B6BE9">
      <w:pPr>
        <w:spacing w:before="100" w:beforeAutospacing="1" w:after="100" w:afterAutospacing="1"/>
        <w:rPr>
          <w:rFonts w:cs="Arial"/>
        </w:rPr>
      </w:pPr>
      <w:r w:rsidRPr="007B6BE9">
        <w:rPr>
          <w:rFonts w:cs="Arial"/>
        </w:rPr>
        <w:t xml:space="preserve">La asignación presupuestaria para los programas y proyectos de inversión en cartera para las dependencias es por la cantidad de $111,846,456.00, para las entidades por la cantidad de $965,652,360.00 y para los organismos autónomos por la cantidad de $30,000,000.00. El total en este rubro es por un monto de $1,107,498,816.00, incluyendo los proyectos plurianuales. El detalle de los proyectos de inversión se encuentra en el anexo 15 de este decreto. </w:t>
      </w:r>
    </w:p>
    <w:p w:rsidR="00CC48AD" w:rsidRDefault="007B6BE9">
      <w:pPr>
        <w:spacing w:before="100" w:beforeAutospacing="1" w:after="100" w:afterAutospacing="1"/>
        <w:rPr>
          <w:rFonts w:cs="Arial"/>
        </w:rPr>
      </w:pPr>
      <w:r w:rsidRPr="007B6BE9">
        <w:rPr>
          <w:rFonts w:cs="Arial"/>
          <w:b/>
          <w:bCs/>
        </w:rPr>
        <w:t>Artículo 25. Inversiones financieras</w:t>
      </w:r>
    </w:p>
    <w:p w:rsidR="00CC48AD" w:rsidRDefault="007B6BE9">
      <w:pPr>
        <w:spacing w:before="100" w:beforeAutospacing="1" w:after="100" w:afterAutospacing="1"/>
        <w:rPr>
          <w:rFonts w:cs="Arial"/>
        </w:rPr>
      </w:pPr>
      <w:r w:rsidRPr="007B6BE9">
        <w:rPr>
          <w:rFonts w:cs="Arial"/>
        </w:rPr>
        <w:t>El monto de erogaciones que realiza la Administración Pública en la adquisición de acciones, bonos y otros títulos y valores; así como en préstamos otorgados a diversos agentes económicos, esto es, en egreso para inversiones financieras, es de $21,300,100.00.</w:t>
      </w:r>
      <w:bookmarkStart w:id="19" w:name="capítulo-vi"/>
      <w:bookmarkEnd w:id="18"/>
    </w:p>
    <w:p w:rsidR="00CC48AD" w:rsidRDefault="007B6BE9">
      <w:pPr>
        <w:pStyle w:val="Ttulo2"/>
        <w:spacing w:before="100" w:beforeAutospacing="1" w:after="100" w:afterAutospacing="1"/>
        <w:rPr>
          <w:rFonts w:cs="Arial"/>
          <w:szCs w:val="24"/>
        </w:rPr>
      </w:pPr>
      <w:r w:rsidRPr="007B6BE9">
        <w:rPr>
          <w:rFonts w:cs="Arial"/>
          <w:szCs w:val="24"/>
        </w:rPr>
        <w:t>Capítulo VI</w:t>
      </w:r>
    </w:p>
    <w:p w:rsidR="00CC48AD" w:rsidRDefault="007B6BE9">
      <w:pPr>
        <w:pStyle w:val="Ttulo2"/>
        <w:spacing w:before="100" w:beforeAutospacing="1" w:after="100" w:afterAutospacing="1"/>
        <w:rPr>
          <w:rFonts w:cs="Arial"/>
          <w:szCs w:val="24"/>
        </w:rPr>
      </w:pPr>
      <w:bookmarkStart w:id="20" w:name="disciplina-financiera"/>
      <w:bookmarkEnd w:id="19"/>
      <w:r w:rsidRPr="007B6BE9">
        <w:rPr>
          <w:rFonts w:cs="Arial"/>
          <w:b w:val="0"/>
          <w:szCs w:val="24"/>
        </w:rPr>
        <w:t>Disciplina financiera</w:t>
      </w:r>
    </w:p>
    <w:p w:rsidR="00CC48AD" w:rsidRDefault="007B6BE9">
      <w:pPr>
        <w:spacing w:before="100" w:beforeAutospacing="1" w:after="100" w:afterAutospacing="1"/>
        <w:rPr>
          <w:rFonts w:cs="Arial"/>
        </w:rPr>
      </w:pPr>
      <w:r w:rsidRPr="007B6BE9">
        <w:rPr>
          <w:rFonts w:cs="Arial"/>
          <w:b/>
          <w:bCs/>
        </w:rPr>
        <w:t>Artículo 26. Atención a desastres naturales</w:t>
      </w:r>
    </w:p>
    <w:p w:rsidR="00CC48AD" w:rsidRDefault="007B6BE9">
      <w:pPr>
        <w:spacing w:before="100" w:beforeAutospacing="1" w:after="100" w:afterAutospacing="1"/>
        <w:rPr>
          <w:rFonts w:cs="Arial"/>
        </w:rPr>
      </w:pPr>
      <w:r w:rsidRPr="007B6BE9">
        <w:rPr>
          <w:rFonts w:cs="Arial"/>
        </w:rPr>
        <w:t>Conforme al artículo 9 de la ley de disciplina financiera, los recursos para atender a la población afectada y los daños causados a la infraestructura pública estatal ocasionados por la ocurrencia de desastres naturales, así como para llevar a cabo acciones para prevenir y mitigar su impacto en las finanzas estatales, se destina al Fideicomiso del Fondo para la Atención de Emergencias y Desastres del Estado de Yucatán, o el instrumento jurídico que corresponda por la cantidad presentada en el anexo 9 de este decreto.</w:t>
      </w:r>
    </w:p>
    <w:p w:rsidR="00CC48AD" w:rsidRDefault="007B6BE9">
      <w:pPr>
        <w:spacing w:before="100" w:beforeAutospacing="1" w:after="100" w:afterAutospacing="1"/>
        <w:rPr>
          <w:rFonts w:cs="Arial"/>
        </w:rPr>
      </w:pPr>
      <w:r w:rsidRPr="007B6BE9">
        <w:rPr>
          <w:rFonts w:cs="Arial"/>
        </w:rPr>
        <w:t>Para el cálculo del monto establecido en el citado anexo se aplicó la metodología establecida en la propia ley de disciplina financiera y cuyo desglose se encuentra en el anexo informativo 19.2.</w:t>
      </w:r>
    </w:p>
    <w:p w:rsidR="00CC48AD" w:rsidRDefault="007B6BE9">
      <w:pPr>
        <w:spacing w:before="100" w:beforeAutospacing="1" w:after="100" w:afterAutospacing="1"/>
        <w:rPr>
          <w:rFonts w:cs="Arial"/>
        </w:rPr>
      </w:pPr>
      <w:r w:rsidRPr="007B6BE9">
        <w:rPr>
          <w:rFonts w:cs="Arial"/>
          <w:b/>
          <w:bCs/>
        </w:rPr>
        <w:t>Artículo 27. Información de disciplina financiera</w:t>
      </w:r>
    </w:p>
    <w:p w:rsidR="00CC48AD" w:rsidRDefault="007B6BE9">
      <w:pPr>
        <w:spacing w:before="100" w:beforeAutospacing="1" w:after="100" w:afterAutospacing="1"/>
        <w:rPr>
          <w:rFonts w:cs="Arial"/>
        </w:rPr>
      </w:pPr>
      <w:r w:rsidRPr="007B6BE9">
        <w:rPr>
          <w:rFonts w:cs="Arial"/>
        </w:rPr>
        <w:t>Los anexos del 16.1. al 16.10. contienen los formatos establecidos en la ley de disciplina financiera correspondientes al presupuesto del ejercicio fiscal 2022.</w:t>
      </w:r>
      <w:bookmarkStart w:id="21" w:name="título-segundo"/>
      <w:bookmarkEnd w:id="20"/>
    </w:p>
    <w:p w:rsidR="00CC48AD" w:rsidRDefault="007B6BE9">
      <w:pPr>
        <w:pStyle w:val="Ttulo2"/>
        <w:spacing w:before="100" w:beforeAutospacing="1" w:after="100" w:afterAutospacing="1"/>
        <w:rPr>
          <w:rFonts w:cs="Arial"/>
          <w:szCs w:val="24"/>
        </w:rPr>
      </w:pPr>
      <w:r w:rsidRPr="007B6BE9">
        <w:rPr>
          <w:rFonts w:cs="Arial"/>
          <w:szCs w:val="24"/>
        </w:rPr>
        <w:lastRenderedPageBreak/>
        <w:t>Título segundo</w:t>
      </w:r>
    </w:p>
    <w:p w:rsidR="00CC48AD" w:rsidRDefault="007B6BE9">
      <w:pPr>
        <w:pStyle w:val="Ttulo2"/>
        <w:spacing w:before="100" w:beforeAutospacing="1" w:after="100" w:afterAutospacing="1"/>
        <w:rPr>
          <w:rFonts w:cs="Arial"/>
          <w:szCs w:val="24"/>
        </w:rPr>
      </w:pPr>
      <w:bookmarkStart w:id="22" w:name="recursos-federales"/>
      <w:bookmarkEnd w:id="21"/>
      <w:r w:rsidRPr="007B6BE9">
        <w:rPr>
          <w:rFonts w:cs="Arial"/>
          <w:b w:val="0"/>
          <w:szCs w:val="24"/>
        </w:rPr>
        <w:t>Recursos federales</w:t>
      </w:r>
      <w:bookmarkStart w:id="23" w:name="capítulo-único"/>
      <w:bookmarkEnd w:id="22"/>
    </w:p>
    <w:p w:rsidR="00CC48AD" w:rsidRDefault="007B6BE9">
      <w:pPr>
        <w:pStyle w:val="Ttulo2"/>
        <w:spacing w:before="100" w:beforeAutospacing="1" w:after="100" w:afterAutospacing="1"/>
        <w:rPr>
          <w:rFonts w:cs="Arial"/>
          <w:szCs w:val="24"/>
        </w:rPr>
      </w:pPr>
      <w:r w:rsidRPr="007B6BE9">
        <w:rPr>
          <w:rFonts w:cs="Arial"/>
          <w:szCs w:val="24"/>
        </w:rPr>
        <w:t>Capítulo único</w:t>
      </w:r>
    </w:p>
    <w:p w:rsidR="00CC48AD" w:rsidRDefault="007B6BE9">
      <w:pPr>
        <w:pStyle w:val="Ttulo2"/>
        <w:spacing w:before="100" w:beforeAutospacing="1" w:after="100" w:afterAutospacing="1"/>
        <w:rPr>
          <w:rFonts w:cs="Arial"/>
          <w:szCs w:val="24"/>
        </w:rPr>
      </w:pPr>
      <w:bookmarkStart w:id="24" w:name="Xe740dd11f1ca682006668ae17852a95dc2b9986"/>
      <w:bookmarkEnd w:id="23"/>
      <w:r w:rsidRPr="007B6BE9">
        <w:rPr>
          <w:rFonts w:cs="Arial"/>
          <w:b w:val="0"/>
          <w:szCs w:val="24"/>
        </w:rPr>
        <w:t>Aportaciones y otros recursos federales transferidos al estado de Yucatán y sus municipios</w:t>
      </w:r>
    </w:p>
    <w:p w:rsidR="00CC48AD" w:rsidRDefault="007B6BE9">
      <w:pPr>
        <w:spacing w:before="100" w:beforeAutospacing="1" w:after="100" w:afterAutospacing="1"/>
        <w:rPr>
          <w:rFonts w:cs="Arial"/>
        </w:rPr>
      </w:pPr>
      <w:r w:rsidRPr="007B6BE9">
        <w:rPr>
          <w:rFonts w:cs="Arial"/>
          <w:b/>
          <w:bCs/>
        </w:rPr>
        <w:t>Artículo 28. Ministración de recursos federales</w:t>
      </w:r>
    </w:p>
    <w:p w:rsidR="00CC48AD" w:rsidRDefault="007B6BE9">
      <w:pPr>
        <w:spacing w:before="100" w:beforeAutospacing="1" w:after="100" w:afterAutospacing="1"/>
        <w:rPr>
          <w:rFonts w:cs="Arial"/>
        </w:rPr>
      </w:pPr>
      <w:r w:rsidRPr="007B6BE9">
        <w:rPr>
          <w:rFonts w:cs="Arial"/>
        </w:rPr>
        <w:t>Las ministraciones de recursos federales que reciba el estado de Yucatán se realizarán de conformidad con las disposiciones aplicables y los calendarios de gasto correspondientes.</w:t>
      </w:r>
    </w:p>
    <w:p w:rsidR="00CC48AD" w:rsidRDefault="007B6BE9">
      <w:pPr>
        <w:spacing w:before="100" w:beforeAutospacing="1" w:after="100" w:afterAutospacing="1"/>
        <w:rPr>
          <w:rFonts w:cs="Arial"/>
        </w:rPr>
      </w:pPr>
      <w:r w:rsidRPr="007B6BE9">
        <w:rPr>
          <w:rFonts w:cs="Arial"/>
        </w:rPr>
        <w:t>En el caso de los programas que prevean la aportación de recursos federales para ser ejercidos de manera concurrente con recursos estatales, el Gobierno del estado deberá realizar las aportaciones de recursos que le correspondan en las cuentas específicas respectivas, de conformidad con lo establecido en este decreto y la normativa aplicable. Los recursos federales deberán ser ministrados de acuerdo con el calendario establecido para cada caso.</w:t>
      </w:r>
    </w:p>
    <w:p w:rsidR="00CC48AD" w:rsidRDefault="007B6BE9">
      <w:pPr>
        <w:spacing w:before="100" w:beforeAutospacing="1" w:after="100" w:afterAutospacing="1"/>
        <w:rPr>
          <w:rFonts w:cs="Arial"/>
        </w:rPr>
      </w:pPr>
      <w:r w:rsidRPr="007B6BE9">
        <w:rPr>
          <w:rFonts w:cs="Arial"/>
          <w:b/>
          <w:bCs/>
        </w:rPr>
        <w:t>Artículo 29. Ingreso y ministración de recursos federales</w:t>
      </w:r>
    </w:p>
    <w:p w:rsidR="00CC48AD" w:rsidRDefault="007B6BE9">
      <w:pPr>
        <w:spacing w:before="100" w:beforeAutospacing="1" w:after="100" w:afterAutospacing="1"/>
        <w:rPr>
          <w:rFonts w:cs="Arial"/>
        </w:rPr>
      </w:pPr>
      <w:r w:rsidRPr="007B6BE9">
        <w:rPr>
          <w:rFonts w:cs="Arial"/>
        </w:rPr>
        <w:t>La Tesorería General del Estado es la unidad administrativa que deberá recibir las transferencias de recursos federales del estado y de los municipios salvo en el caso de ministraciones relacionadas con obligaciones del estado o municipios que estén garantizadas con la afectación de sus participaciones o aportaciones federales, en términos de lo dispuesto en los artículos 9, 50 y 51 de la Ley de Coordinación Fiscal y los casos previstos en las disposiciones legales aplicables.</w:t>
      </w:r>
    </w:p>
    <w:p w:rsidR="00CC48AD" w:rsidRDefault="007B6BE9">
      <w:pPr>
        <w:spacing w:before="100" w:beforeAutospacing="1" w:after="100" w:afterAutospacing="1"/>
        <w:rPr>
          <w:rFonts w:cs="Arial"/>
        </w:rPr>
      </w:pPr>
      <w:r w:rsidRPr="007B6BE9">
        <w:rPr>
          <w:rFonts w:cs="Arial"/>
          <w:b/>
          <w:bCs/>
        </w:rPr>
        <w:t>Artículo 30. Normativa aplicable</w:t>
      </w:r>
    </w:p>
    <w:p w:rsidR="00CC48AD" w:rsidRDefault="007B6BE9">
      <w:pPr>
        <w:spacing w:before="100" w:beforeAutospacing="1" w:after="100" w:afterAutospacing="1"/>
        <w:rPr>
          <w:rFonts w:cs="Arial"/>
        </w:rPr>
      </w:pPr>
      <w:r w:rsidRPr="007B6BE9">
        <w:rPr>
          <w:rFonts w:cs="Arial"/>
        </w:rPr>
        <w:t xml:space="preserve">Los entes públicos en el ejercicio de los recursos que les sean transferidos a través del Ramo 33 del Presupuesto de Egresos de la Federación para el Ejercicio Fiscal 2022 o por convenios o subsidios federales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las disposiciones específicas que el Presupuesto de </w:t>
      </w:r>
      <w:r w:rsidRPr="007B6BE9">
        <w:rPr>
          <w:rFonts w:cs="Arial"/>
        </w:rPr>
        <w:lastRenderedPageBreak/>
        <w:t>Egresos de la Federación para el Ejercicio Fiscal 2022 contenga y las demás disposiciones legales y normativas aplicables en la materia.</w:t>
      </w:r>
    </w:p>
    <w:p w:rsidR="00CC48AD" w:rsidRDefault="007B6BE9">
      <w:pPr>
        <w:spacing w:before="100" w:beforeAutospacing="1" w:after="100" w:afterAutospacing="1"/>
        <w:rPr>
          <w:rFonts w:cs="Arial"/>
        </w:rPr>
      </w:pPr>
      <w:r w:rsidRPr="007B6BE9">
        <w:rPr>
          <w:rFonts w:cs="Arial"/>
          <w:b/>
          <w:bCs/>
        </w:rPr>
        <w:t>Artículo 31. Responsabilidad de ejecución de recursos federales</w:t>
      </w:r>
    </w:p>
    <w:p w:rsidR="00CC48AD" w:rsidRDefault="007B6BE9">
      <w:pPr>
        <w:spacing w:before="100" w:beforeAutospacing="1" w:after="100" w:afterAutospacing="1"/>
        <w:rPr>
          <w:rFonts w:cs="Arial"/>
        </w:rPr>
      </w:pPr>
      <w:r w:rsidRPr="007B6BE9">
        <w:rPr>
          <w:rFonts w:cs="Arial"/>
        </w:rPr>
        <w:t>La administración y control de los recursos previstos en este capítulo es responsabilidad del ente público ejecutor del gasto, así como el ejercicio presupuestal del gasto y la consecución de las metas conforme a lo establecido en cada convenio o a la legislación aplicable a cada fondo de aportación, según corresponda. Con el objeto de lograr un ejercicio más eficiente y eficaz, las erogaciones se ejercerán a través de programas y proyectos, con objetivos, metas y unidades presupuestales responsables de su ejecución, de conformidad con lo establecido en la normativa federal y estatal en la materia.</w:t>
      </w:r>
    </w:p>
    <w:p w:rsidR="00CC48AD" w:rsidRDefault="007B6BE9">
      <w:pPr>
        <w:spacing w:before="100" w:beforeAutospacing="1" w:after="100" w:afterAutospacing="1"/>
        <w:rPr>
          <w:rFonts w:cs="Arial"/>
        </w:rPr>
      </w:pPr>
      <w:r w:rsidRPr="007B6BE9">
        <w:rPr>
          <w:rFonts w:cs="Arial"/>
        </w:rPr>
        <w:t>Dichos entes públicos deberán considerar los criterios de evaluación cuantitativos y cualitativos de los recursos asignados, por la que deberán incluir indicadores de desempeño y fortalecer la transparencia de los pagos que se realicen en materia de servicios personales.</w:t>
      </w:r>
    </w:p>
    <w:p w:rsidR="00CC48AD" w:rsidRDefault="007B6BE9">
      <w:pPr>
        <w:spacing w:before="100" w:beforeAutospacing="1" w:after="100" w:afterAutospacing="1"/>
        <w:rPr>
          <w:rFonts w:cs="Arial"/>
        </w:rPr>
      </w:pPr>
      <w:r w:rsidRPr="007B6BE9">
        <w:rPr>
          <w:rFonts w:cs="Arial"/>
          <w:b/>
          <w:bCs/>
        </w:rPr>
        <w:t>Artículo 32. Remisión de información sobre el ejercicio y destino de los recursos federales</w:t>
      </w:r>
    </w:p>
    <w:p w:rsidR="00CC48AD" w:rsidRDefault="007B6BE9">
      <w:pPr>
        <w:spacing w:before="100" w:beforeAutospacing="1" w:after="100" w:afterAutospacing="1"/>
        <w:rPr>
          <w:rFonts w:cs="Arial"/>
        </w:rPr>
      </w:pPr>
      <w:r w:rsidRPr="007B6BE9">
        <w:rPr>
          <w:rFonts w:cs="Arial"/>
        </w:rPr>
        <w:t>Los entes públicos encargados del ejercicio y aplicación de los recursos establecidos en este capítulo son directamente responsables de enviar en tiempo y forma a la Secretaría de Hacienda y Crédito Público, a través del sistema informático que esta dependencia ponga a su disposición, la información sobre el ejercicio y destino de los recursos federales, distintos a las participaciones que reciban.</w:t>
      </w:r>
    </w:p>
    <w:p w:rsidR="00CC48AD" w:rsidRDefault="007B6BE9">
      <w:pPr>
        <w:spacing w:before="100" w:beforeAutospacing="1" w:after="100" w:afterAutospacing="1"/>
        <w:rPr>
          <w:rFonts w:cs="Arial"/>
        </w:rPr>
      </w:pPr>
      <w:r w:rsidRPr="007B6BE9">
        <w:rPr>
          <w:rFonts w:cs="Arial"/>
        </w:rPr>
        <w:t>Igualmente, deberán dar cumplimiento a lo establecido en los lineamientos para informar sobre el origen, aplicación y resultados de los recursos transferidos por el Gobierno federal, derivados de aportaciones, subsidios y convenios de coordinación.</w:t>
      </w:r>
    </w:p>
    <w:p w:rsidR="00CC48AD" w:rsidRDefault="007B6BE9">
      <w:pPr>
        <w:spacing w:before="100" w:beforeAutospacing="1" w:after="100" w:afterAutospacing="1"/>
        <w:rPr>
          <w:rFonts w:cs="Arial"/>
        </w:rPr>
      </w:pPr>
      <w:r w:rsidRPr="007B6BE9">
        <w:rPr>
          <w:rFonts w:cs="Arial"/>
          <w:b/>
          <w:bCs/>
        </w:rPr>
        <w:t>Artículo 33. Reglas aplicables para el ejercicio concurrente</w:t>
      </w:r>
    </w:p>
    <w:p w:rsidR="00CC48AD" w:rsidRDefault="007B6BE9">
      <w:pPr>
        <w:spacing w:before="100" w:beforeAutospacing="1" w:after="100" w:afterAutospacing="1"/>
        <w:rPr>
          <w:rFonts w:cs="Arial"/>
        </w:rPr>
      </w:pPr>
      <w:r w:rsidRPr="007B6BE9">
        <w:rPr>
          <w:rFonts w:cs="Arial"/>
        </w:rPr>
        <w:t>En el caso de los programas que prevean la aportación de recursos por parte del estado para ser ejercidos de manera concurrente con recursos federales, los entes públicos responsables de su ejecución se sujetarán a la normativa aplicable que en su caso se establezca para cada programa o convenio correspondiente.</w:t>
      </w:r>
      <w:bookmarkStart w:id="25" w:name="título-tercero"/>
      <w:bookmarkEnd w:id="24"/>
    </w:p>
    <w:p w:rsidR="00CC48AD" w:rsidRDefault="007B6BE9">
      <w:pPr>
        <w:pStyle w:val="Ttulo2"/>
        <w:spacing w:before="100" w:beforeAutospacing="1" w:after="100" w:afterAutospacing="1"/>
        <w:rPr>
          <w:rFonts w:cs="Arial"/>
          <w:szCs w:val="24"/>
        </w:rPr>
      </w:pPr>
      <w:r w:rsidRPr="007B6BE9">
        <w:rPr>
          <w:rFonts w:cs="Arial"/>
          <w:szCs w:val="24"/>
        </w:rPr>
        <w:lastRenderedPageBreak/>
        <w:t>Título tercero</w:t>
      </w:r>
    </w:p>
    <w:p w:rsidR="00CC48AD" w:rsidRDefault="007B6BE9">
      <w:pPr>
        <w:pStyle w:val="Ttulo2"/>
        <w:spacing w:before="100" w:beforeAutospacing="1" w:after="100" w:afterAutospacing="1"/>
        <w:rPr>
          <w:rFonts w:cs="Arial"/>
          <w:szCs w:val="24"/>
        </w:rPr>
      </w:pPr>
      <w:bookmarkStart w:id="26" w:name="Xabd683b050867a50befdb7fe34fe160eed45254"/>
      <w:bookmarkEnd w:id="25"/>
      <w:r w:rsidRPr="007B6BE9">
        <w:rPr>
          <w:rFonts w:cs="Arial"/>
          <w:b w:val="0"/>
          <w:szCs w:val="24"/>
        </w:rPr>
        <w:t>Disciplina presupuestal en el ejercicio del gasto público</w:t>
      </w:r>
      <w:bookmarkStart w:id="27" w:name="capítulo-i-1"/>
      <w:bookmarkEnd w:id="26"/>
    </w:p>
    <w:p w:rsidR="00CC48AD" w:rsidRDefault="007B6BE9">
      <w:pPr>
        <w:pStyle w:val="Ttulo2"/>
        <w:spacing w:before="100" w:beforeAutospacing="1" w:after="100" w:afterAutospacing="1"/>
        <w:rPr>
          <w:rFonts w:cs="Arial"/>
          <w:szCs w:val="24"/>
        </w:rPr>
      </w:pPr>
      <w:r w:rsidRPr="007B6BE9">
        <w:rPr>
          <w:rFonts w:cs="Arial"/>
          <w:szCs w:val="24"/>
        </w:rPr>
        <w:t>Capítulo I</w:t>
      </w:r>
    </w:p>
    <w:p w:rsidR="00CC48AD" w:rsidRDefault="007B6BE9">
      <w:pPr>
        <w:pStyle w:val="Ttulo2"/>
        <w:spacing w:before="100" w:beforeAutospacing="1" w:after="100" w:afterAutospacing="1"/>
        <w:rPr>
          <w:rFonts w:cs="Arial"/>
          <w:szCs w:val="24"/>
        </w:rPr>
      </w:pPr>
      <w:bookmarkStart w:id="28" w:name="Xf8aef72e7a37dbf7a3a66eeeb84c78424ff869f"/>
      <w:bookmarkEnd w:id="27"/>
      <w:r w:rsidRPr="007B6BE9">
        <w:rPr>
          <w:rFonts w:cs="Arial"/>
          <w:b w:val="0"/>
          <w:szCs w:val="24"/>
        </w:rPr>
        <w:t>Acciones para generar balance presupuestario</w:t>
      </w:r>
    </w:p>
    <w:p w:rsidR="00CC48AD" w:rsidRDefault="007B6BE9">
      <w:pPr>
        <w:spacing w:before="100" w:beforeAutospacing="1" w:after="100" w:afterAutospacing="1"/>
        <w:rPr>
          <w:rFonts w:cs="Arial"/>
        </w:rPr>
      </w:pPr>
      <w:r w:rsidRPr="007B6BE9">
        <w:rPr>
          <w:rFonts w:cs="Arial"/>
          <w:b/>
          <w:bCs/>
        </w:rPr>
        <w:t>Artículo 34. Racionalidad y austeridad</w:t>
      </w:r>
    </w:p>
    <w:p w:rsidR="00CC48AD" w:rsidRDefault="007B6BE9">
      <w:pPr>
        <w:spacing w:before="100" w:beforeAutospacing="1" w:after="100" w:afterAutospacing="1"/>
        <w:rPr>
          <w:rFonts w:cs="Arial"/>
        </w:rPr>
      </w:pPr>
      <w:r w:rsidRPr="007B6BE9">
        <w:rPr>
          <w:rFonts w:cs="Arial"/>
        </w:rPr>
        <w:t>Las dependencias y entidades en el ejercicio de sus respectivos presupuestos deberán dar cumplimiento a las previsiones del capítulo IV, “Disciplina Presupuestal” del título tercero de la Ley del Presupuesto y Contabilidad Gubernamental del Estado de Yucatán.</w:t>
      </w:r>
    </w:p>
    <w:p w:rsidR="00CC48AD" w:rsidRDefault="007B6BE9">
      <w:pPr>
        <w:spacing w:before="100" w:beforeAutospacing="1" w:after="100" w:afterAutospacing="1"/>
        <w:rPr>
          <w:rFonts w:cs="Arial"/>
        </w:rPr>
      </w:pPr>
      <w:r w:rsidRPr="007B6BE9">
        <w:rPr>
          <w:rFonts w:cs="Arial"/>
          <w:b/>
          <w:bCs/>
        </w:rPr>
        <w:t>Artículo 35. Medidas para la reducción del gasto</w:t>
      </w:r>
    </w:p>
    <w:p w:rsidR="00CC48AD" w:rsidRDefault="007B6BE9">
      <w:pPr>
        <w:spacing w:before="100" w:beforeAutospacing="1" w:after="100" w:afterAutospacing="1"/>
        <w:rPr>
          <w:rFonts w:cs="Arial"/>
        </w:rPr>
      </w:pPr>
      <w:r w:rsidRPr="007B6BE9">
        <w:rPr>
          <w:rFonts w:cs="Arial"/>
        </w:rPr>
        <w:t xml:space="preserve">Los poderes, así como los organismos autónomos, deberán implementar medidas equivalentes a las aplicables en las dependencias y entidades para la reducción del gasto destinado a las actividades administrativas y de apoyo, así como del presupuesto </w:t>
      </w:r>
      <w:proofErr w:type="spellStart"/>
      <w:r w:rsidRPr="007B6BE9">
        <w:rPr>
          <w:rFonts w:cs="Arial"/>
        </w:rPr>
        <w:t>regularizable</w:t>
      </w:r>
      <w:proofErr w:type="spellEnd"/>
      <w:r w:rsidRPr="007B6BE9">
        <w:rPr>
          <w:rFonts w:cs="Arial"/>
        </w:rPr>
        <w:t xml:space="preserve"> de servicios personales. Para el caso de las entidades, sus titulares, en el ámbito de sus competencias, implementarán las acciones correspondientes para el debido cumplimiento de lo dispuesto en este capítulo, siempre y cuando estas no afecten el ejercicio de sus actividades sustantivas ni sus atribuciones legales.</w:t>
      </w:r>
    </w:p>
    <w:p w:rsidR="00CC48AD" w:rsidRDefault="007B6BE9">
      <w:pPr>
        <w:spacing w:before="100" w:beforeAutospacing="1" w:after="100" w:afterAutospacing="1"/>
        <w:rPr>
          <w:rFonts w:cs="Arial"/>
        </w:rPr>
      </w:pPr>
      <w:r w:rsidRPr="007B6BE9">
        <w:rPr>
          <w:rFonts w:cs="Arial"/>
        </w:rPr>
        <w:t>Los ahorros presupuestales generados por la aplicación de las disposiciones contenidas en este capítulo deberán destinarse en primer lugar a corregir desviaciones del balance presupuestario de recursos disponibles negativo, y en segundo lugar a los programas prioritarios de la entidad federativa.</w:t>
      </w:r>
    </w:p>
    <w:p w:rsidR="00CC48AD" w:rsidRDefault="007B6BE9">
      <w:pPr>
        <w:spacing w:before="100" w:beforeAutospacing="1" w:after="100" w:afterAutospacing="1"/>
        <w:rPr>
          <w:rFonts w:cs="Arial"/>
        </w:rPr>
      </w:pPr>
      <w:r w:rsidRPr="007B6BE9">
        <w:rPr>
          <w:rFonts w:cs="Arial"/>
          <w:b/>
          <w:bCs/>
        </w:rPr>
        <w:t>Artículo 36. Destino de economías</w:t>
      </w:r>
    </w:p>
    <w:p w:rsidR="00CC48AD" w:rsidRDefault="007B6BE9">
      <w:pPr>
        <w:spacing w:before="100" w:beforeAutospacing="1" w:after="100" w:afterAutospacing="1"/>
        <w:rPr>
          <w:rFonts w:cs="Arial"/>
        </w:rPr>
      </w:pPr>
      <w:r w:rsidRPr="007B6BE9">
        <w:rPr>
          <w:rFonts w:cs="Arial"/>
        </w:rPr>
        <w:t>Los economías o remanentes, esto es, los recursos que no hayan sido devengados, incluyendo los rendimientos, al 31 de diciembre de 2021, que las dependencias y entidades generen por la aplicación de las disposiciones contenidas en este capítulo o por cualquier otro motivo  durante el ejercicio, salvo aquellas economías en materia de pensiones y seguridad social y las que se generen por la venta de bienes y servicios de las entidades, serán reintegradas a la hacienda pública dentro de los quince días naturales siguientes al cierre del ejercicio.</w:t>
      </w:r>
    </w:p>
    <w:p w:rsidR="00CC48AD" w:rsidRDefault="007B6BE9">
      <w:pPr>
        <w:spacing w:before="100" w:beforeAutospacing="1" w:after="100" w:afterAutospacing="1"/>
        <w:rPr>
          <w:rFonts w:cs="Arial"/>
        </w:rPr>
      </w:pPr>
      <w:r w:rsidRPr="007B6BE9">
        <w:rPr>
          <w:rFonts w:cs="Arial"/>
          <w:b/>
          <w:bCs/>
        </w:rPr>
        <w:lastRenderedPageBreak/>
        <w:t>Artículo 37. Determinación de reducciones, diferimiento o cancelaciones</w:t>
      </w:r>
    </w:p>
    <w:p w:rsidR="00CC48AD" w:rsidRDefault="007B6BE9">
      <w:pPr>
        <w:spacing w:before="100" w:beforeAutospacing="1" w:after="100" w:afterAutospacing="1"/>
        <w:rPr>
          <w:rFonts w:cs="Arial"/>
        </w:rPr>
      </w:pPr>
      <w:r w:rsidRPr="007B6BE9">
        <w:rPr>
          <w:rFonts w:cs="Arial"/>
        </w:rPr>
        <w:t>El Poder Ejecutivo del estado, por conducto de la secretaría, también podrá determinar las reducciones, diferimientos o cancelaciones de programas y conceptos de gasto de las dependencias y entidades, con el fin de atender las prioridades establecidas por el titular del Poder Ejecutivo.</w:t>
      </w:r>
    </w:p>
    <w:p w:rsidR="00CC48AD" w:rsidRDefault="007B6BE9">
      <w:pPr>
        <w:spacing w:before="100" w:beforeAutospacing="1" w:after="100" w:afterAutospacing="1"/>
        <w:rPr>
          <w:rFonts w:cs="Arial"/>
        </w:rPr>
      </w:pPr>
      <w:r w:rsidRPr="007B6BE9">
        <w:rPr>
          <w:rFonts w:cs="Arial"/>
          <w:b/>
          <w:bCs/>
        </w:rPr>
        <w:t>Artículo 38. Techo de financiamiento neto</w:t>
      </w:r>
    </w:p>
    <w:p w:rsidR="00CC48AD" w:rsidRDefault="007B6BE9">
      <w:pPr>
        <w:spacing w:before="100" w:beforeAutospacing="1" w:after="100" w:afterAutospacing="1"/>
        <w:rPr>
          <w:rFonts w:cs="Arial"/>
        </w:rPr>
      </w:pPr>
      <w:r w:rsidRPr="007B6BE9">
        <w:rPr>
          <w:rFonts w:cs="Arial"/>
        </w:rPr>
        <w:t>Si durante el ejercicio fiscal 2022, se actualiza alguno de los supuestos previstos por el artículo 7 de la ley de disciplina financiera, con base en el cual se proyecte incurrir al cierre del ejercicio en un balance presupuestario de recursos disponibles negativo se autoriza al Poder Ejecutivo del Estado conforme al artículo 46, segundo párrafo, de la misma ley para ampliar el techo de financiamiento neto hasta por el monto necesario para solventar las causas que generaron el balance presupuestario de recursos disponible negativo.</w:t>
      </w:r>
      <w:bookmarkStart w:id="29" w:name="capítulo-ii-1"/>
      <w:bookmarkEnd w:id="28"/>
    </w:p>
    <w:p w:rsidR="00CC48AD" w:rsidRDefault="007B6BE9">
      <w:pPr>
        <w:pStyle w:val="Ttulo2"/>
        <w:spacing w:before="100" w:beforeAutospacing="1" w:after="100" w:afterAutospacing="1"/>
        <w:rPr>
          <w:rFonts w:cs="Arial"/>
          <w:szCs w:val="24"/>
        </w:rPr>
      </w:pPr>
      <w:r w:rsidRPr="007B6BE9">
        <w:rPr>
          <w:rFonts w:cs="Arial"/>
          <w:szCs w:val="24"/>
        </w:rPr>
        <w:t>Capítulo II</w:t>
      </w:r>
    </w:p>
    <w:p w:rsidR="00CC48AD" w:rsidRDefault="007B6BE9">
      <w:pPr>
        <w:pStyle w:val="Ttulo2"/>
        <w:spacing w:before="100" w:beforeAutospacing="1" w:after="100" w:afterAutospacing="1"/>
        <w:rPr>
          <w:rFonts w:cs="Arial"/>
          <w:szCs w:val="24"/>
        </w:rPr>
      </w:pPr>
      <w:bookmarkStart w:id="30" w:name="Xc6ec9d217a4f84474df3e3556079850e49325e4"/>
      <w:bookmarkEnd w:id="29"/>
      <w:r w:rsidRPr="007B6BE9">
        <w:rPr>
          <w:rFonts w:cs="Arial"/>
          <w:b w:val="0"/>
          <w:szCs w:val="24"/>
        </w:rPr>
        <w:t>Eficiencia, eficacia, economía, transparencia y honradez en el ejercicio del gasto</w:t>
      </w:r>
    </w:p>
    <w:p w:rsidR="00CC48AD" w:rsidRDefault="007B6BE9">
      <w:pPr>
        <w:spacing w:before="100" w:beforeAutospacing="1" w:after="100" w:afterAutospacing="1"/>
        <w:rPr>
          <w:rFonts w:cs="Arial"/>
        </w:rPr>
      </w:pPr>
      <w:r w:rsidRPr="007B6BE9">
        <w:rPr>
          <w:rFonts w:cs="Arial"/>
          <w:b/>
          <w:bCs/>
        </w:rPr>
        <w:t>Artículo 39. Viáticos y gastos de traslado</w:t>
      </w:r>
    </w:p>
    <w:p w:rsidR="00CC48AD" w:rsidRDefault="007B6BE9">
      <w:pPr>
        <w:spacing w:before="100" w:beforeAutospacing="1" w:after="100" w:afterAutospacing="1"/>
        <w:rPr>
          <w:rFonts w:cs="Arial"/>
        </w:rPr>
      </w:pPr>
      <w:r w:rsidRPr="007B6BE9">
        <w:rPr>
          <w:rFonts w:cs="Arial"/>
        </w:rPr>
        <w:t>Los viáticos y gastos de traslado para el personal adscrito a las dependencias deberán ser autorizados por sus titulares, previa valoración y conveniencia de la comisión que motiva la necesidad de traslado o asistencia del o los servidores públicos, debiéndose ajustar al tabulador aprobado por la secretaría.</w:t>
      </w:r>
    </w:p>
    <w:p w:rsidR="00CC48AD" w:rsidRDefault="007B6BE9">
      <w:pPr>
        <w:spacing w:before="100" w:beforeAutospacing="1" w:after="100" w:afterAutospacing="1"/>
        <w:rPr>
          <w:rFonts w:cs="Arial"/>
        </w:rPr>
      </w:pPr>
      <w:r w:rsidRPr="007B6BE9">
        <w:rPr>
          <w:rFonts w:cs="Arial"/>
          <w:b/>
          <w:bCs/>
        </w:rPr>
        <w:t>Artículo 40. Principio de anualidad del presupuesto para fideicomisos</w:t>
      </w:r>
    </w:p>
    <w:p w:rsidR="00CC48AD" w:rsidRDefault="007B6BE9">
      <w:pPr>
        <w:spacing w:before="100" w:beforeAutospacing="1" w:after="100" w:afterAutospacing="1"/>
        <w:rPr>
          <w:rFonts w:cs="Arial"/>
        </w:rPr>
      </w:pPr>
      <w:r w:rsidRPr="007B6BE9">
        <w:rPr>
          <w:rFonts w:cs="Arial"/>
        </w:rPr>
        <w:t>Se prohíbe la celebración de fideicomisos, mandatos o contratos análogos, que tengan como propósito eludir la anualidad de este presupuesto.</w:t>
      </w:r>
    </w:p>
    <w:p w:rsidR="00CC48AD" w:rsidRDefault="007B6BE9">
      <w:pPr>
        <w:spacing w:before="100" w:beforeAutospacing="1" w:after="100" w:afterAutospacing="1"/>
        <w:rPr>
          <w:rFonts w:cs="Arial"/>
        </w:rPr>
      </w:pPr>
      <w:r w:rsidRPr="007B6BE9">
        <w:rPr>
          <w:rFonts w:cs="Arial"/>
          <w:b/>
          <w:bCs/>
        </w:rPr>
        <w:t>Artículo 41. Aplicación de superávit</w:t>
      </w:r>
    </w:p>
    <w:p w:rsidR="00CC48AD" w:rsidRDefault="007B6BE9">
      <w:pPr>
        <w:spacing w:before="100" w:beforeAutospacing="1" w:after="100" w:afterAutospacing="1"/>
        <w:rPr>
          <w:rFonts w:cs="Arial"/>
        </w:rPr>
      </w:pPr>
      <w:r w:rsidRPr="007B6BE9">
        <w:rPr>
          <w:rFonts w:cs="Arial"/>
        </w:rPr>
        <w:t>Cuando durante el ejercicio fiscal se presenten recursos económicos excedentes derivados de un superávit presupuestal de los ingresos recaudados respecto de los ingresos estimados se estará a lo siguiente:</w:t>
      </w:r>
    </w:p>
    <w:p w:rsidR="00CC48AD" w:rsidRDefault="007B6BE9">
      <w:pPr>
        <w:spacing w:before="100" w:beforeAutospacing="1" w:after="100" w:afterAutospacing="1"/>
        <w:rPr>
          <w:rFonts w:cs="Arial"/>
        </w:rPr>
      </w:pPr>
      <w:r w:rsidRPr="007B6BE9">
        <w:rPr>
          <w:rFonts w:cs="Arial"/>
        </w:rPr>
        <w:t>   a) Tratándose de recursos excedentes de origen federal, el destino en que habrán de emplearse será́ el previsto en la legislación federal aplicable.</w:t>
      </w:r>
    </w:p>
    <w:p w:rsidR="00CC48AD" w:rsidRDefault="007B6BE9">
      <w:pPr>
        <w:spacing w:before="100" w:beforeAutospacing="1" w:after="100" w:afterAutospacing="1"/>
        <w:rPr>
          <w:rFonts w:cs="Arial"/>
        </w:rPr>
      </w:pPr>
      <w:r w:rsidRPr="007B6BE9">
        <w:rPr>
          <w:rFonts w:cs="Arial"/>
        </w:rPr>
        <w:lastRenderedPageBreak/>
        <w:t>   b) Si el superávit proviene de ingresos excedentes de recursos estatales, se estará a lo dispuesto en la ley de disciplina financiera.</w:t>
      </w:r>
    </w:p>
    <w:p w:rsidR="00CC48AD" w:rsidRDefault="007B6BE9">
      <w:pPr>
        <w:spacing w:before="100" w:beforeAutospacing="1" w:after="100" w:afterAutospacing="1"/>
        <w:rPr>
          <w:rFonts w:cs="Arial"/>
        </w:rPr>
      </w:pPr>
      <w:r w:rsidRPr="007B6BE9">
        <w:rPr>
          <w:rFonts w:cs="Arial"/>
        </w:rPr>
        <w:t>   c) Cuando se trate de economías o remanentes de recursos estatales, deberán reintegrarse a la Tesorería General del Estado dentro del término de quince días naturales del ejercicio siguiente a que se haya generado y en términos del artículo 92 de la Ley del Presupuesto y Contabilidad Gubernamental del Estado de Yucatán.</w:t>
      </w:r>
    </w:p>
    <w:p w:rsidR="00CC48AD" w:rsidRDefault="007B6BE9">
      <w:pPr>
        <w:spacing w:before="100" w:beforeAutospacing="1" w:after="100" w:afterAutospacing="1"/>
        <w:rPr>
          <w:rFonts w:cs="Arial"/>
        </w:rPr>
      </w:pPr>
      <w:r w:rsidRPr="007B6BE9">
        <w:rPr>
          <w:rFonts w:cs="Arial"/>
        </w:rPr>
        <w:t>   d) En el caso de ahorros presupuestarios de recursos estatales se estará a lo dispuesto en el artículo 43 de este decreto.</w:t>
      </w:r>
    </w:p>
    <w:p w:rsidR="00CC48AD" w:rsidRDefault="007B6BE9">
      <w:pPr>
        <w:spacing w:before="100" w:beforeAutospacing="1" w:after="100" w:afterAutospacing="1"/>
        <w:rPr>
          <w:rFonts w:cs="Arial"/>
        </w:rPr>
      </w:pPr>
      <w:r w:rsidRPr="007B6BE9">
        <w:rPr>
          <w:rFonts w:cs="Arial"/>
          <w:b/>
          <w:bCs/>
        </w:rPr>
        <w:t>Artículo 42. Racionalización del gasto por menores ingresos</w:t>
      </w:r>
    </w:p>
    <w:p w:rsidR="00CC48AD" w:rsidRDefault="007B6BE9">
      <w:pPr>
        <w:spacing w:before="100" w:beforeAutospacing="1" w:after="100" w:afterAutospacing="1"/>
        <w:rPr>
          <w:rFonts w:cs="Arial"/>
        </w:rPr>
      </w:pPr>
      <w:r w:rsidRPr="007B6BE9">
        <w:rPr>
          <w:rFonts w:cs="Arial"/>
        </w:rPr>
        <w:t>En caso de que durante el ejercicio fiscal exista un déficit en el ingreso recaudado previsto en la ley de ingresos, se estará a lo dispuesto en los artículos 15 de la ley de disciplina financiera y 29 de la Ley del Presupuesto y Contabilidad Gubernamental del Estado de Yucatán.</w:t>
      </w:r>
    </w:p>
    <w:p w:rsidR="00CC48AD" w:rsidRDefault="007B6BE9">
      <w:pPr>
        <w:spacing w:before="100" w:beforeAutospacing="1" w:after="100" w:afterAutospacing="1"/>
        <w:rPr>
          <w:rFonts w:cs="Arial"/>
        </w:rPr>
      </w:pPr>
      <w:r w:rsidRPr="007B6BE9">
        <w:rPr>
          <w:rFonts w:cs="Arial"/>
        </w:rPr>
        <w:t>Lo anterior, salvo que se trate de las hipótesis de excepción previstas por el artículo 7 de la ley de disciplina financiera, que motiven incurrir en un balance presupuestario de recursos disponibles negativo o en cuyo caso se autoriza, conforme al artículo 46, segundo párrafo, de la misma ley, el monto de financiamiento neto necesario para solventar las causas que generaron dicho desbalance.</w:t>
      </w:r>
    </w:p>
    <w:p w:rsidR="00CC48AD" w:rsidRDefault="007B6BE9">
      <w:pPr>
        <w:spacing w:before="100" w:beforeAutospacing="1" w:after="100" w:afterAutospacing="1"/>
        <w:rPr>
          <w:rFonts w:cs="Arial"/>
        </w:rPr>
      </w:pPr>
      <w:r w:rsidRPr="007B6BE9">
        <w:rPr>
          <w:rFonts w:cs="Arial"/>
        </w:rPr>
        <w:t>En su caso, los poderes y los organismos autónomos deberán emitir sus propias normas de disciplina presupuestaria.</w:t>
      </w:r>
    </w:p>
    <w:p w:rsidR="00CC48AD" w:rsidRDefault="007B6BE9">
      <w:pPr>
        <w:spacing w:before="100" w:beforeAutospacing="1" w:after="100" w:afterAutospacing="1"/>
        <w:rPr>
          <w:rFonts w:cs="Arial"/>
        </w:rPr>
      </w:pPr>
      <w:r w:rsidRPr="007B6BE9">
        <w:rPr>
          <w:rFonts w:cs="Arial"/>
          <w:b/>
          <w:bCs/>
        </w:rPr>
        <w:t>Artículo 43. Aplicación de ahorros presupuestarios</w:t>
      </w:r>
    </w:p>
    <w:p w:rsidR="00CC48AD" w:rsidRDefault="007B6BE9">
      <w:pPr>
        <w:spacing w:before="100" w:beforeAutospacing="1" w:after="100" w:afterAutospacing="1"/>
        <w:rPr>
          <w:rFonts w:cs="Arial"/>
        </w:rPr>
      </w:pPr>
      <w:r w:rsidRPr="007B6BE9">
        <w:rPr>
          <w:rFonts w:cs="Arial"/>
        </w:rPr>
        <w:t>Los ahorros presupuestarios que se obtengan podrán aplicarse conforme a lo establecido en el ley de disciplina financiera y la Ley del Presupuesto y Contabilidad Gubernamental del Estado de Yucatán.</w:t>
      </w:r>
    </w:p>
    <w:p w:rsidR="00CC48AD" w:rsidRDefault="007B6BE9">
      <w:pPr>
        <w:spacing w:before="100" w:beforeAutospacing="1" w:after="100" w:afterAutospacing="1"/>
        <w:rPr>
          <w:rFonts w:cs="Arial"/>
        </w:rPr>
      </w:pPr>
      <w:r w:rsidRPr="007B6BE9">
        <w:rPr>
          <w:rFonts w:cs="Arial"/>
        </w:rPr>
        <w:t>La secretaría podrá emitir durante el ejercicio fiscal, disposiciones sobre la operación, evaluación y ejercicio del gasto de los ahorros presupuestarios o de las economías del ejercicio fiscal.</w:t>
      </w:r>
    </w:p>
    <w:p w:rsidR="00CC48AD" w:rsidRDefault="007B6BE9">
      <w:pPr>
        <w:spacing w:before="100" w:beforeAutospacing="1" w:after="100" w:afterAutospacing="1"/>
        <w:rPr>
          <w:rFonts w:cs="Arial"/>
        </w:rPr>
      </w:pPr>
      <w:r w:rsidRPr="007B6BE9">
        <w:rPr>
          <w:rFonts w:cs="Arial"/>
          <w:b/>
          <w:bCs/>
        </w:rPr>
        <w:t>Artículo 44. Cargas financieras</w:t>
      </w:r>
    </w:p>
    <w:p w:rsidR="00CC48AD" w:rsidRDefault="007B6BE9">
      <w:pPr>
        <w:spacing w:before="100" w:beforeAutospacing="1" w:after="100" w:afterAutospacing="1"/>
        <w:rPr>
          <w:rFonts w:cs="Arial"/>
        </w:rPr>
      </w:pPr>
      <w:r w:rsidRPr="007B6BE9">
        <w:rPr>
          <w:rFonts w:cs="Arial"/>
        </w:rPr>
        <w:lastRenderedPageBreak/>
        <w:t>Las dependencias y entidades sin exceder sus presupuestos autorizados responderán de las cargas financieras que se causen por no cubrir oportunamente los adeudos no fiscales contraídos entre sí. Asimismo, conforme a los lineamientos que expida la secretaría, las dependencias y entidades podrán depurar las cuentas contables por adeudos no fiscales contraídos entre sí.</w:t>
      </w:r>
    </w:p>
    <w:p w:rsidR="00CC48AD" w:rsidRDefault="007B6BE9">
      <w:pPr>
        <w:spacing w:before="100" w:beforeAutospacing="1" w:after="100" w:afterAutospacing="1"/>
        <w:rPr>
          <w:rFonts w:cs="Arial"/>
        </w:rPr>
      </w:pPr>
      <w:r w:rsidRPr="007B6BE9">
        <w:rPr>
          <w:rFonts w:cs="Arial"/>
          <w:b/>
          <w:bCs/>
        </w:rPr>
        <w:t>Artículo 45. Compensaciones presupuestales</w:t>
      </w:r>
    </w:p>
    <w:p w:rsidR="00CC48AD" w:rsidRDefault="007B6BE9">
      <w:pPr>
        <w:spacing w:before="100" w:beforeAutospacing="1" w:after="100" w:afterAutospacing="1"/>
        <w:rPr>
          <w:rFonts w:cs="Arial"/>
        </w:rPr>
      </w:pPr>
      <w:r w:rsidRPr="007B6BE9">
        <w:rPr>
          <w:rFonts w:cs="Arial"/>
        </w:rPr>
        <w:t>La secretaría, analizando los objetivos y la situación de las finanzas públicas, podrá autorizar compensaciones presupuestales entre dependencias y entidades, indistintamente unas con otras, correspondientes a sus ingresos y egresos, cuando cubran obligaciones entre sí, derivadas de variaciones entre la ley de ingresos y el presupuesto de egresos del ejercicio.</w:t>
      </w:r>
    </w:p>
    <w:p w:rsidR="00CC48AD" w:rsidRDefault="007B6BE9">
      <w:pPr>
        <w:spacing w:before="100" w:beforeAutospacing="1" w:after="100" w:afterAutospacing="1"/>
        <w:rPr>
          <w:rFonts w:cs="Arial"/>
        </w:rPr>
      </w:pPr>
      <w:r w:rsidRPr="007B6BE9">
        <w:rPr>
          <w:rFonts w:cs="Arial"/>
        </w:rPr>
        <w:t>El importe del pago con cargo al presupuesto del deudor deberá tener su correspondiente ingreso registrado en la ley de ingresos o, en su caso, podrá cubrir el importe con ingresos adicionales de la entidad. También se podrá dar el otorgamiento de subsidios en los precios de los bienes o servicios por parte de la entidad acreedora.</w:t>
      </w:r>
    </w:p>
    <w:p w:rsidR="00CC48AD" w:rsidRDefault="007B6BE9">
      <w:pPr>
        <w:spacing w:before="100" w:beforeAutospacing="1" w:after="100" w:afterAutospacing="1"/>
        <w:rPr>
          <w:rFonts w:cs="Arial"/>
        </w:rPr>
      </w:pPr>
      <w:r w:rsidRPr="007B6BE9">
        <w:rPr>
          <w:rFonts w:cs="Arial"/>
          <w:b/>
          <w:bCs/>
        </w:rPr>
        <w:t>Artículo 46. Sujeción a montos autorizados</w:t>
      </w:r>
    </w:p>
    <w:p w:rsidR="00CC48AD" w:rsidRDefault="007B6BE9">
      <w:pPr>
        <w:spacing w:before="100" w:beforeAutospacing="1" w:after="100" w:afterAutospacing="1"/>
        <w:rPr>
          <w:rFonts w:cs="Arial"/>
        </w:rPr>
      </w:pPr>
      <w:r w:rsidRPr="007B6BE9">
        <w:rPr>
          <w:rFonts w:cs="Arial"/>
        </w:rPr>
        <w:t>Los poderes, los organismos autónomos, así́ como las dependencias y entidades deberán sujetarse a los montos autorizados en este presupuesto, y en su caso, a las adecuaciones presupuestales autorizadas en los términos de este decreto y de la Ley del Presupuesto y Contabilidad Gubernamental del Estado de Yucatán y su reglamento; por consiguiente, no deberán adquirir compromisos distintos a los estipulados en el presupuesto aprobado o modificado, según sea el caso.</w:t>
      </w:r>
      <w:bookmarkStart w:id="31" w:name="título-cuarto"/>
      <w:bookmarkEnd w:id="30"/>
    </w:p>
    <w:p w:rsidR="00CC48AD" w:rsidRDefault="007B6BE9">
      <w:pPr>
        <w:pStyle w:val="Ttulo2"/>
        <w:spacing w:before="100" w:beforeAutospacing="1" w:after="100" w:afterAutospacing="1"/>
        <w:rPr>
          <w:rFonts w:cs="Arial"/>
          <w:szCs w:val="24"/>
        </w:rPr>
      </w:pPr>
      <w:r w:rsidRPr="007B6BE9">
        <w:rPr>
          <w:rFonts w:cs="Arial"/>
          <w:szCs w:val="24"/>
        </w:rPr>
        <w:t>Título cuarto</w:t>
      </w:r>
    </w:p>
    <w:p w:rsidR="00CC48AD" w:rsidRDefault="007B6BE9">
      <w:pPr>
        <w:pStyle w:val="Ttulo2"/>
        <w:spacing w:before="100" w:beforeAutospacing="1" w:after="100" w:afterAutospacing="1"/>
        <w:rPr>
          <w:rFonts w:cs="Arial"/>
          <w:szCs w:val="24"/>
        </w:rPr>
      </w:pPr>
      <w:bookmarkStart w:id="32" w:name="ejercicio-del-gasto"/>
      <w:bookmarkEnd w:id="31"/>
      <w:r w:rsidRPr="007B6BE9">
        <w:rPr>
          <w:rFonts w:cs="Arial"/>
          <w:b w:val="0"/>
          <w:szCs w:val="24"/>
        </w:rPr>
        <w:t>Ejercicio del gasto</w:t>
      </w:r>
      <w:bookmarkStart w:id="33" w:name="capítulo-i-2"/>
      <w:bookmarkEnd w:id="32"/>
    </w:p>
    <w:p w:rsidR="00CC48AD" w:rsidRDefault="007B6BE9">
      <w:pPr>
        <w:pStyle w:val="Ttulo2"/>
        <w:spacing w:before="100" w:beforeAutospacing="1" w:after="100" w:afterAutospacing="1"/>
        <w:rPr>
          <w:rFonts w:cs="Arial"/>
          <w:szCs w:val="24"/>
        </w:rPr>
      </w:pPr>
      <w:r w:rsidRPr="007B6BE9">
        <w:rPr>
          <w:rFonts w:cs="Arial"/>
          <w:szCs w:val="24"/>
        </w:rPr>
        <w:t>Capítulo I</w:t>
      </w:r>
    </w:p>
    <w:p w:rsidR="00CC48AD" w:rsidRDefault="007B6BE9">
      <w:pPr>
        <w:pStyle w:val="Ttulo2"/>
        <w:spacing w:before="100" w:beforeAutospacing="1" w:after="100" w:afterAutospacing="1"/>
        <w:rPr>
          <w:rFonts w:cs="Arial"/>
          <w:szCs w:val="24"/>
        </w:rPr>
      </w:pPr>
      <w:bookmarkStart w:id="34" w:name="disposiciones-preliminares"/>
      <w:bookmarkEnd w:id="33"/>
      <w:r w:rsidRPr="007B6BE9">
        <w:rPr>
          <w:rFonts w:cs="Arial"/>
          <w:b w:val="0"/>
          <w:szCs w:val="24"/>
        </w:rPr>
        <w:t>Disposiciones preliminares</w:t>
      </w:r>
    </w:p>
    <w:p w:rsidR="00CC48AD" w:rsidRDefault="007B6BE9">
      <w:pPr>
        <w:spacing w:before="100" w:beforeAutospacing="1" w:after="100" w:afterAutospacing="1"/>
        <w:rPr>
          <w:rFonts w:cs="Arial"/>
        </w:rPr>
      </w:pPr>
      <w:r w:rsidRPr="007B6BE9">
        <w:rPr>
          <w:rFonts w:cs="Arial"/>
          <w:b/>
          <w:bCs/>
        </w:rPr>
        <w:t>Artículo 47. Erogaciones</w:t>
      </w:r>
    </w:p>
    <w:p w:rsidR="00CC48AD" w:rsidRDefault="007B6BE9">
      <w:pPr>
        <w:spacing w:before="100" w:beforeAutospacing="1" w:after="100" w:afterAutospacing="1"/>
        <w:rPr>
          <w:rFonts w:cs="Arial"/>
        </w:rPr>
      </w:pPr>
      <w:r w:rsidRPr="007B6BE9">
        <w:rPr>
          <w:rFonts w:cs="Arial"/>
        </w:rPr>
        <w:t xml:space="preserve">Será causa de responsabilidad por parte de los titulares de las dependencias y entidades de la Administración Pública estatal, el realizar erogaciones que no se </w:t>
      </w:r>
      <w:r w:rsidRPr="007B6BE9">
        <w:rPr>
          <w:rFonts w:cs="Arial"/>
        </w:rPr>
        <w:lastRenderedPageBreak/>
        <w:t>encuentren registradas y devengadas al 31 de diciembre de 2022, así como contraer compromisos de gasto fuera de los presupuestos aprobados.</w:t>
      </w:r>
    </w:p>
    <w:p w:rsidR="00CC48AD" w:rsidRDefault="007B6BE9">
      <w:pPr>
        <w:spacing w:before="100" w:beforeAutospacing="1" w:after="100" w:afterAutospacing="1"/>
        <w:rPr>
          <w:rFonts w:cs="Arial"/>
        </w:rPr>
      </w:pPr>
      <w:r w:rsidRPr="007B6BE9">
        <w:rPr>
          <w:rFonts w:cs="Arial"/>
        </w:rPr>
        <w:t>Las dependencias y entidades solo podrán efectuar operaciones y contraer compromisos cuando tengan suficiencia presupuestal. La secretaría no reconocerá adeudos ni pagos por cantidades reclamadas o erogaciones efectuadas en contravención a esta disposición. Los servidores públicos que incurran en este tipo de desviaciones se harán acreedores a las responsabilidades y sanciones en los términos de la legislación aplicable en la materia.</w:t>
      </w:r>
    </w:p>
    <w:p w:rsidR="00CC48AD" w:rsidRDefault="007B6BE9">
      <w:pPr>
        <w:spacing w:before="100" w:beforeAutospacing="1" w:after="100" w:afterAutospacing="1"/>
        <w:rPr>
          <w:rFonts w:cs="Arial"/>
        </w:rPr>
      </w:pPr>
      <w:r w:rsidRPr="007B6BE9">
        <w:rPr>
          <w:rFonts w:cs="Arial"/>
          <w:b/>
          <w:bCs/>
        </w:rPr>
        <w:t>Artículo 48. Autonomía de gestión</w:t>
      </w:r>
    </w:p>
    <w:p w:rsidR="00CC48AD" w:rsidRDefault="007B6BE9">
      <w:pPr>
        <w:spacing w:before="100" w:beforeAutospacing="1" w:after="100" w:afterAutospacing="1"/>
        <w:rPr>
          <w:rFonts w:cs="Arial"/>
        </w:rPr>
      </w:pPr>
      <w:r w:rsidRPr="007B6BE9">
        <w:rPr>
          <w:rFonts w:cs="Arial"/>
        </w:rPr>
        <w:t>Los poderes, los organismos autónomos y las entidades paraestatales ejercerán sus presupuestos con la autonomía de gestión que les confieran las leyes vigentes y con base en los calendarios que les sean comunicados por la secretaría, los cuales estarán en función de la capacidad financiera del estado de Yucatán.</w:t>
      </w:r>
    </w:p>
    <w:p w:rsidR="00CC48AD" w:rsidRDefault="007B6BE9">
      <w:pPr>
        <w:spacing w:before="100" w:beforeAutospacing="1" w:after="100" w:afterAutospacing="1"/>
        <w:rPr>
          <w:rFonts w:cs="Arial"/>
        </w:rPr>
      </w:pPr>
      <w:r w:rsidRPr="007B6BE9">
        <w:rPr>
          <w:rFonts w:cs="Arial"/>
          <w:b/>
          <w:bCs/>
        </w:rPr>
        <w:t>Artículo 49. Principio de anualidad</w:t>
      </w:r>
    </w:p>
    <w:p w:rsidR="00CC48AD" w:rsidRDefault="007B6BE9">
      <w:pPr>
        <w:spacing w:before="100" w:beforeAutospacing="1" w:after="100" w:afterAutospacing="1"/>
        <w:rPr>
          <w:rFonts w:cs="Arial"/>
        </w:rPr>
      </w:pPr>
      <w:r w:rsidRPr="007B6BE9">
        <w:rPr>
          <w:rFonts w:cs="Arial"/>
        </w:rPr>
        <w:t>De acuerdo con el principio de anualidad, el presupuesto inicia el 1 de enero y termina el 31 de diciembre del ejercicio fiscal correspondiente, por lo que los saldos presupuestales disponibles en las dependencias, entidades y cualquier otro ejecutor de gasto, no son acumulables para el siguiente ejercicio fiscal.</w:t>
      </w:r>
    </w:p>
    <w:p w:rsidR="00CC48AD" w:rsidRDefault="007B6BE9">
      <w:pPr>
        <w:spacing w:before="100" w:beforeAutospacing="1" w:after="100" w:afterAutospacing="1"/>
        <w:rPr>
          <w:rFonts w:cs="Arial"/>
        </w:rPr>
      </w:pPr>
      <w:r w:rsidRPr="007B6BE9">
        <w:rPr>
          <w:rFonts w:cs="Arial"/>
        </w:rPr>
        <w:t>Conforme a lo anterior, las dependencias y entidades a efecto de aplicar su presupuesto de manera completa y eficiente podrán generar compromisos hasta el último día del ejercicio, siempre que cuenten con el presupuesto disponible y se apeguen a la normativa aplicable para tal efecto.</w:t>
      </w:r>
    </w:p>
    <w:p w:rsidR="00CC48AD" w:rsidRDefault="007B6BE9">
      <w:pPr>
        <w:spacing w:before="100" w:beforeAutospacing="1" w:after="100" w:afterAutospacing="1"/>
        <w:rPr>
          <w:rFonts w:cs="Arial"/>
        </w:rPr>
      </w:pPr>
      <w:r w:rsidRPr="007B6BE9">
        <w:rPr>
          <w:rFonts w:cs="Arial"/>
          <w:b/>
          <w:bCs/>
        </w:rPr>
        <w:t>Artículo 50. Adeudos omitidos</w:t>
      </w:r>
    </w:p>
    <w:p w:rsidR="00CC48AD" w:rsidRDefault="007B6BE9">
      <w:pPr>
        <w:spacing w:before="100" w:beforeAutospacing="1" w:after="100" w:afterAutospacing="1"/>
        <w:rPr>
          <w:rFonts w:cs="Arial"/>
        </w:rPr>
      </w:pPr>
      <w:r w:rsidRPr="007B6BE9">
        <w:rPr>
          <w:rFonts w:cs="Arial"/>
        </w:rPr>
        <w:t>Al cierre presupuestal del ejercicio fiscal, los comprobantes de afectaciones al gasto público que no hubieran sido informados para su registro y compromiso serán responsabilidad única y exclusiva de los titulares de las dependencias y entidades como ejecutores del gasto, quienes deberán responder por dichos adeudos omitidos.</w:t>
      </w:r>
    </w:p>
    <w:p w:rsidR="00CC48AD" w:rsidRDefault="007B6BE9">
      <w:pPr>
        <w:spacing w:before="100" w:beforeAutospacing="1" w:after="100" w:afterAutospacing="1"/>
        <w:rPr>
          <w:rFonts w:cs="Arial"/>
        </w:rPr>
      </w:pPr>
      <w:r w:rsidRPr="007B6BE9">
        <w:rPr>
          <w:rFonts w:cs="Arial"/>
          <w:b/>
          <w:bCs/>
        </w:rPr>
        <w:t>Artículo 51. Inversiones financieras</w:t>
      </w:r>
    </w:p>
    <w:p w:rsidR="00CC48AD" w:rsidRDefault="007B6BE9">
      <w:pPr>
        <w:spacing w:before="100" w:beforeAutospacing="1" w:after="100" w:afterAutospacing="1"/>
        <w:rPr>
          <w:rFonts w:cs="Arial"/>
        </w:rPr>
      </w:pPr>
      <w:r w:rsidRPr="007B6BE9">
        <w:rPr>
          <w:rFonts w:cs="Arial"/>
        </w:rPr>
        <w:t xml:space="preserve">Con excepción de la secretaría, todas las demás dependencias se abstendrán de realizar cualquier tipo de inversión financiera con recursos provenientes del </w:t>
      </w:r>
      <w:r w:rsidRPr="007B6BE9">
        <w:rPr>
          <w:rFonts w:cs="Arial"/>
        </w:rPr>
        <w:lastRenderedPageBreak/>
        <w:t>presupuesto. Las entidades que utilicen instrumentos bancarios productivos deberán informar trimestralmente a la secretaría sobre el manejo y destino de este tipo de recursos.</w:t>
      </w:r>
    </w:p>
    <w:p w:rsidR="00CC48AD" w:rsidRDefault="007B6BE9">
      <w:pPr>
        <w:spacing w:before="100" w:beforeAutospacing="1" w:after="100" w:afterAutospacing="1"/>
        <w:rPr>
          <w:rFonts w:cs="Arial"/>
        </w:rPr>
      </w:pPr>
      <w:r w:rsidRPr="007B6BE9">
        <w:rPr>
          <w:rFonts w:cs="Arial"/>
        </w:rPr>
        <w:t>Los rubros de gasto de las inversiones financieras que realicen las entidades deberán estar previstos en sus presupuestos de egresos.</w:t>
      </w:r>
    </w:p>
    <w:p w:rsidR="00CC48AD" w:rsidRDefault="007B6BE9">
      <w:pPr>
        <w:spacing w:before="100" w:beforeAutospacing="1" w:after="100" w:afterAutospacing="1"/>
        <w:rPr>
          <w:rFonts w:cs="Arial"/>
        </w:rPr>
      </w:pPr>
      <w:r w:rsidRPr="007B6BE9">
        <w:rPr>
          <w:rFonts w:cs="Arial"/>
          <w:b/>
          <w:bCs/>
        </w:rPr>
        <w:t>Artículo 52. Convenios o actos jurídicos prohibidos</w:t>
      </w:r>
    </w:p>
    <w:p w:rsidR="00CC48AD" w:rsidRDefault="007B6BE9">
      <w:pPr>
        <w:spacing w:before="100" w:beforeAutospacing="1" w:after="100" w:afterAutospacing="1"/>
        <w:rPr>
          <w:rFonts w:cs="Arial"/>
        </w:rPr>
      </w:pPr>
      <w:r w:rsidRPr="007B6BE9">
        <w:rPr>
          <w:rFonts w:cs="Arial"/>
        </w:rPr>
        <w:t>Los titulares de las dependencias y entidades, con excepción de las que cuenten con autorización previa y expresa de la secretaría y de sus órganos de gobierno correspondientes, no deberán suscribir convenios ni otros actos jurídicos análogos que impliquen:</w:t>
      </w:r>
    </w:p>
    <w:p w:rsidR="00CC48AD" w:rsidRDefault="007B6BE9">
      <w:pPr>
        <w:spacing w:before="100" w:beforeAutospacing="1" w:after="100" w:afterAutospacing="1"/>
        <w:rPr>
          <w:rFonts w:cs="Arial"/>
        </w:rPr>
      </w:pPr>
      <w:r w:rsidRPr="007B6BE9">
        <w:rPr>
          <w:rFonts w:cs="Arial"/>
        </w:rPr>
        <w:t>   I. Realizar erogaciones mayores o adicionales a las aprobadas en este decreto.</w:t>
      </w:r>
    </w:p>
    <w:p w:rsidR="00CC48AD" w:rsidRDefault="007B6BE9">
      <w:pPr>
        <w:spacing w:before="100" w:beforeAutospacing="1" w:after="100" w:afterAutospacing="1"/>
        <w:rPr>
          <w:rFonts w:cs="Arial"/>
        </w:rPr>
      </w:pPr>
      <w:r w:rsidRPr="007B6BE9">
        <w:rPr>
          <w:rFonts w:cs="Arial"/>
        </w:rPr>
        <w:t>   II. Contraer obligaciones no autorizadas en este decreto.</w:t>
      </w:r>
    </w:p>
    <w:p w:rsidR="00CC48AD" w:rsidRDefault="007B6BE9">
      <w:pPr>
        <w:spacing w:before="100" w:beforeAutospacing="1" w:after="100" w:afterAutospacing="1"/>
        <w:rPr>
          <w:rFonts w:cs="Arial"/>
        </w:rPr>
      </w:pPr>
      <w:r w:rsidRPr="007B6BE9">
        <w:rPr>
          <w:rFonts w:cs="Arial"/>
        </w:rPr>
        <w:t>   III. Comprometer recursos de subsecuentes ejercicios fiscales, salvo los casos establecidos en este decreto y demás normativa aplicable.</w:t>
      </w:r>
    </w:p>
    <w:p w:rsidR="00CC48AD" w:rsidRDefault="007B6BE9">
      <w:pPr>
        <w:spacing w:before="100" w:beforeAutospacing="1" w:after="100" w:afterAutospacing="1"/>
        <w:rPr>
          <w:rFonts w:cs="Arial"/>
        </w:rPr>
      </w:pPr>
      <w:r w:rsidRPr="007B6BE9">
        <w:rPr>
          <w:rFonts w:cs="Arial"/>
        </w:rPr>
        <w:t>   IV. Contravenir las políticas para la reducción del gasto de la Administración Pública estatal, salvo los casos debidamente justificados por caso fortuito o de fuerza mayor.</w:t>
      </w:r>
    </w:p>
    <w:p w:rsidR="00CC48AD" w:rsidRDefault="007B6BE9">
      <w:pPr>
        <w:spacing w:before="100" w:beforeAutospacing="1" w:after="100" w:afterAutospacing="1"/>
        <w:rPr>
          <w:rFonts w:cs="Arial"/>
        </w:rPr>
      </w:pPr>
      <w:r w:rsidRPr="007B6BE9">
        <w:rPr>
          <w:rFonts w:cs="Arial"/>
          <w:b/>
          <w:bCs/>
        </w:rPr>
        <w:t>Artículo 53. Regularización de la ampliación líquida</w:t>
      </w:r>
    </w:p>
    <w:p w:rsidR="00CC48AD" w:rsidRDefault="007B6BE9">
      <w:pPr>
        <w:spacing w:before="100" w:beforeAutospacing="1" w:after="100" w:afterAutospacing="1"/>
        <w:rPr>
          <w:rFonts w:cs="Arial"/>
        </w:rPr>
      </w:pPr>
      <w:r w:rsidRPr="007B6BE9">
        <w:rPr>
          <w:rFonts w:cs="Arial"/>
        </w:rPr>
        <w:t>Las dependencias y entidades que tramiten transferencias adicionales a las aprobadas en este decreto, provenientes de recursos federales, solicitarán a la secretaría que regularice la ampliación líquida para su aplicación en los programas y proyectos que operan.</w:t>
      </w:r>
    </w:p>
    <w:p w:rsidR="00CC48AD" w:rsidRDefault="007B6BE9">
      <w:pPr>
        <w:spacing w:before="100" w:beforeAutospacing="1" w:after="100" w:afterAutospacing="1"/>
        <w:rPr>
          <w:rFonts w:cs="Arial"/>
        </w:rPr>
      </w:pPr>
      <w:r w:rsidRPr="007B6BE9">
        <w:rPr>
          <w:rFonts w:cs="Arial"/>
          <w:b/>
          <w:bCs/>
        </w:rPr>
        <w:t>Artículo 54. Incumplimiento de las disposiciones sobre el ejercicio del gasto</w:t>
      </w:r>
    </w:p>
    <w:p w:rsidR="00CC48AD" w:rsidRDefault="007B6BE9">
      <w:pPr>
        <w:spacing w:before="100" w:beforeAutospacing="1" w:after="100" w:afterAutospacing="1"/>
        <w:rPr>
          <w:rFonts w:cs="Arial"/>
        </w:rPr>
      </w:pPr>
      <w:r w:rsidRPr="007B6BE9">
        <w:rPr>
          <w:rFonts w:cs="Arial"/>
        </w:rPr>
        <w:t>El incumplimiento de lo dispuesto en este capítulo será causa de responsabilidad en los términos de la legislación en materia de responsabilidades administrativas, así como de la legislación que resulte aplicable.</w:t>
      </w:r>
    </w:p>
    <w:p w:rsidR="00CC48AD" w:rsidRDefault="007B6BE9">
      <w:pPr>
        <w:spacing w:before="100" w:beforeAutospacing="1" w:after="100" w:afterAutospacing="1"/>
        <w:rPr>
          <w:rFonts w:cs="Arial"/>
        </w:rPr>
      </w:pPr>
      <w:r w:rsidRPr="007B6BE9">
        <w:rPr>
          <w:rFonts w:cs="Arial"/>
          <w:b/>
          <w:bCs/>
        </w:rPr>
        <w:t>Artículo 55. Erogaciones de ingresos adicionales</w:t>
      </w:r>
    </w:p>
    <w:p w:rsidR="00CC48AD" w:rsidRDefault="007B6BE9">
      <w:pPr>
        <w:spacing w:before="100" w:beforeAutospacing="1" w:after="100" w:afterAutospacing="1"/>
        <w:rPr>
          <w:rFonts w:cs="Arial"/>
        </w:rPr>
      </w:pPr>
      <w:r w:rsidRPr="007B6BE9">
        <w:rPr>
          <w:rFonts w:cs="Arial"/>
        </w:rPr>
        <w:lastRenderedPageBreak/>
        <w:t>El titular del Poder Ejecutivo del estado, por conducto de la secretaría, podrá autorizar a las dependencias y entidades, erogaciones adicionales con cargo a los ingresos de la misma naturaleza que se obtengan, previa presentación de un informe trimestral en el que se detalle el ingreso programado, el ingreso obtenido y los programas, proyectos y acciones en las cuales se aplicará el ingreso adicional.</w:t>
      </w:r>
    </w:p>
    <w:p w:rsidR="00CC48AD" w:rsidRDefault="007B6BE9">
      <w:pPr>
        <w:spacing w:before="100" w:beforeAutospacing="1" w:after="100" w:afterAutospacing="1"/>
        <w:rPr>
          <w:rFonts w:cs="Arial"/>
        </w:rPr>
      </w:pPr>
      <w:r w:rsidRPr="007B6BE9">
        <w:rPr>
          <w:rFonts w:cs="Arial"/>
          <w:b/>
          <w:bCs/>
        </w:rPr>
        <w:t>Artículo 56. Opinión tratándose de erogaciones de infraestructura básica</w:t>
      </w:r>
    </w:p>
    <w:p w:rsidR="00CC48AD" w:rsidRDefault="007B6BE9">
      <w:pPr>
        <w:spacing w:before="100" w:beforeAutospacing="1" w:after="100" w:afterAutospacing="1"/>
        <w:rPr>
          <w:rFonts w:cs="Arial"/>
        </w:rPr>
      </w:pPr>
      <w:r w:rsidRPr="007B6BE9">
        <w:rPr>
          <w:rFonts w:cs="Arial"/>
        </w:rPr>
        <w:t>Cuando las entidades pretendan realizar erogaciones de infraestructura básica por casos de contingencias o de actividades fuera de sus programas normales de operación, deberán contar con la opinión previa de la secretaría.</w:t>
      </w:r>
      <w:bookmarkStart w:id="35" w:name="capítulo-ii-2"/>
      <w:bookmarkEnd w:id="34"/>
    </w:p>
    <w:p w:rsidR="00CC48AD" w:rsidRDefault="007B6BE9">
      <w:pPr>
        <w:pStyle w:val="Ttulo2"/>
        <w:spacing w:before="100" w:beforeAutospacing="1" w:after="100" w:afterAutospacing="1"/>
        <w:rPr>
          <w:rFonts w:cs="Arial"/>
          <w:szCs w:val="24"/>
        </w:rPr>
      </w:pPr>
      <w:r w:rsidRPr="007B6BE9">
        <w:rPr>
          <w:rFonts w:cs="Arial"/>
          <w:szCs w:val="24"/>
        </w:rPr>
        <w:t>Capítulo II</w:t>
      </w:r>
    </w:p>
    <w:bookmarkEnd w:id="35"/>
    <w:p w:rsidR="00CC48AD" w:rsidRDefault="007B6BE9">
      <w:pPr>
        <w:pStyle w:val="Ttulo2"/>
        <w:spacing w:before="100" w:beforeAutospacing="1" w:after="100" w:afterAutospacing="1"/>
        <w:rPr>
          <w:rFonts w:cs="Arial"/>
          <w:szCs w:val="24"/>
        </w:rPr>
      </w:pPr>
      <w:r w:rsidRPr="007B6BE9">
        <w:rPr>
          <w:rFonts w:cs="Arial"/>
          <w:b w:val="0"/>
          <w:szCs w:val="24"/>
        </w:rPr>
        <w:t>Asignaciones a las entidades del sector público paraestatal</w:t>
      </w:r>
    </w:p>
    <w:p w:rsidR="00CC48AD" w:rsidRDefault="007B6BE9">
      <w:pPr>
        <w:spacing w:before="100" w:beforeAutospacing="1" w:after="100" w:afterAutospacing="1"/>
        <w:rPr>
          <w:rFonts w:cs="Arial"/>
        </w:rPr>
      </w:pPr>
      <w:r w:rsidRPr="007B6BE9">
        <w:rPr>
          <w:rFonts w:cs="Arial"/>
          <w:b/>
          <w:bCs/>
        </w:rPr>
        <w:t>Artículo 57. Justificación de las erogaciones</w:t>
      </w:r>
    </w:p>
    <w:p w:rsidR="00CC48AD" w:rsidRDefault="007B6BE9">
      <w:pPr>
        <w:spacing w:before="100" w:beforeAutospacing="1" w:after="100" w:afterAutospacing="1"/>
        <w:rPr>
          <w:rFonts w:cs="Arial"/>
        </w:rPr>
      </w:pPr>
      <w:r w:rsidRPr="007B6BE9">
        <w:rPr>
          <w:rFonts w:cs="Arial"/>
        </w:rPr>
        <w:t>Sin excepción, las entidades de la Administración Pública del estado estarán sujetas a seguimiento programático presupuestal, por lo que deberán justificar plenamente los montos a erogar en relación con los programas y asignaciones autorizados en este presupuesto.</w:t>
      </w:r>
    </w:p>
    <w:p w:rsidR="00CC48AD" w:rsidRDefault="007B6BE9">
      <w:pPr>
        <w:spacing w:before="100" w:beforeAutospacing="1" w:after="100" w:afterAutospacing="1"/>
        <w:rPr>
          <w:rFonts w:cs="Arial"/>
        </w:rPr>
      </w:pPr>
      <w:r w:rsidRPr="007B6BE9">
        <w:rPr>
          <w:rFonts w:cs="Arial"/>
          <w:b/>
          <w:bCs/>
        </w:rPr>
        <w:t>Artículo 58. Obligaciones fiscales y de seguridad social</w:t>
      </w:r>
    </w:p>
    <w:p w:rsidR="00CC48AD" w:rsidRDefault="007B6BE9">
      <w:pPr>
        <w:spacing w:before="100" w:beforeAutospacing="1" w:after="100" w:afterAutospacing="1"/>
        <w:rPr>
          <w:rFonts w:cs="Arial"/>
        </w:rPr>
      </w:pPr>
      <w:r w:rsidRPr="007B6BE9">
        <w:rPr>
          <w:rFonts w:cs="Arial"/>
        </w:rPr>
        <w:t>En todos los casos, las entidades deberán cumplir sus obligaciones fiscales y aportar las cuotas y contribuciones de seguridad social, el incumplimiento de lo anterior podrá ser causa de responsabilidad y de suspensión en la ministración de los recursos.</w:t>
      </w:r>
    </w:p>
    <w:p w:rsidR="00CC48AD" w:rsidRDefault="007B6BE9">
      <w:pPr>
        <w:spacing w:before="100" w:beforeAutospacing="1" w:after="100" w:afterAutospacing="1"/>
        <w:rPr>
          <w:rFonts w:cs="Arial"/>
        </w:rPr>
      </w:pPr>
      <w:r w:rsidRPr="007B6BE9">
        <w:rPr>
          <w:rFonts w:cs="Arial"/>
          <w:b/>
          <w:bCs/>
        </w:rPr>
        <w:t>Artículo 59. Condiciones de asignación y ejecución de gastos</w:t>
      </w:r>
    </w:p>
    <w:p w:rsidR="00CC48AD" w:rsidRDefault="007B6BE9">
      <w:pPr>
        <w:spacing w:before="100" w:beforeAutospacing="1" w:after="100" w:afterAutospacing="1"/>
        <w:rPr>
          <w:rFonts w:cs="Arial"/>
        </w:rPr>
      </w:pPr>
      <w:r w:rsidRPr="007B6BE9">
        <w:rPr>
          <w:rFonts w:cs="Arial"/>
        </w:rPr>
        <w:t>Las asignaciones presupuestales y la consecuente ejecución de gastos de las entidades estarán condicionadas al cumplimiento de las siguientes normas:</w:t>
      </w:r>
    </w:p>
    <w:p w:rsidR="00CC48AD" w:rsidRDefault="007B6BE9">
      <w:pPr>
        <w:spacing w:before="100" w:beforeAutospacing="1" w:after="100" w:afterAutospacing="1"/>
        <w:rPr>
          <w:rFonts w:cs="Arial"/>
        </w:rPr>
      </w:pPr>
      <w:r w:rsidRPr="007B6BE9">
        <w:rPr>
          <w:rFonts w:cs="Arial"/>
        </w:rPr>
        <w:t>      I. Presentar al Poder Ejecutivo del estado, por conducto de la secretaría, su estimación de ingresos y presupuesto de egresos cuando les sea requerido.</w:t>
      </w:r>
    </w:p>
    <w:p w:rsidR="00CC48AD" w:rsidRDefault="007B6BE9">
      <w:pPr>
        <w:spacing w:before="100" w:beforeAutospacing="1" w:after="100" w:afterAutospacing="1"/>
        <w:rPr>
          <w:rFonts w:cs="Arial"/>
        </w:rPr>
      </w:pPr>
      <w:r w:rsidRPr="007B6BE9">
        <w:rPr>
          <w:rFonts w:cs="Arial"/>
        </w:rPr>
        <w:t>      II. Proporcionar la información y demás datos que solicite la secretaría para la elaboración de los informes trimestrales sobre las finanzas públicas.</w:t>
      </w:r>
    </w:p>
    <w:p w:rsidR="00CC48AD" w:rsidRDefault="007B6BE9">
      <w:pPr>
        <w:spacing w:before="100" w:beforeAutospacing="1" w:after="100" w:afterAutospacing="1"/>
        <w:rPr>
          <w:rFonts w:cs="Arial"/>
        </w:rPr>
      </w:pPr>
      <w:r w:rsidRPr="007B6BE9">
        <w:rPr>
          <w:rFonts w:cs="Arial"/>
        </w:rPr>
        <w:lastRenderedPageBreak/>
        <w:t>      III. Proporcionar los datos e información que solicite la SEPLAN para la elaboración de los informes de gestión y de seguimiento a los aspectos susceptibles de mejora.</w:t>
      </w:r>
    </w:p>
    <w:p w:rsidR="00CC48AD" w:rsidRDefault="007B6BE9">
      <w:pPr>
        <w:spacing w:before="100" w:beforeAutospacing="1" w:after="100" w:afterAutospacing="1"/>
        <w:rPr>
          <w:rFonts w:cs="Arial"/>
        </w:rPr>
      </w:pPr>
      <w:r w:rsidRPr="007B6BE9">
        <w:rPr>
          <w:rFonts w:cs="Arial"/>
        </w:rPr>
        <w:t>      IV. Deberán informar trimestralmente a la secretaría, en su caso, con un desglose mensual, sobre los ingresos obtenidos en su flujo de presupuesto, diferenciando las metas de balance presupuestario y de balance primario; asimismo deberá contener la información relativa a las adecuaciones presupuestarias internas, a nivel flujo de efectivo y sobre su situación financiera, presentando los estados presupuestales, financieros y económicos establecidos dentro del marco de la armonización contable y presupuestal.</w:t>
      </w:r>
    </w:p>
    <w:p w:rsidR="00CC48AD" w:rsidRDefault="007B6BE9">
      <w:pPr>
        <w:spacing w:before="100" w:beforeAutospacing="1" w:after="100" w:afterAutospacing="1"/>
        <w:rPr>
          <w:rFonts w:cs="Arial"/>
        </w:rPr>
      </w:pPr>
      <w:r w:rsidRPr="007B6BE9">
        <w:rPr>
          <w:rFonts w:cs="Arial"/>
        </w:rPr>
        <w:t>      V. Solicitar previamente a la secretaría, la autorización para realizar adecuaciones presupuestarias externas conforme a lo establecido en la Ley del Presupuesto y Contabilidad Gubernamental del Estado de Yucatán y su reglamento.</w:t>
      </w:r>
    </w:p>
    <w:p w:rsidR="00CC48AD" w:rsidRDefault="007B6BE9">
      <w:pPr>
        <w:spacing w:before="100" w:beforeAutospacing="1" w:after="100" w:afterAutospacing="1"/>
        <w:rPr>
          <w:rFonts w:cs="Arial"/>
        </w:rPr>
      </w:pPr>
      <w:r w:rsidRPr="007B6BE9">
        <w:rPr>
          <w:rFonts w:cs="Arial"/>
        </w:rPr>
        <w:t>      VI. Aplicar las medidas de modernización, racionalidad, austeridad y disciplina presupuestaria que se establezcan para la Administración Pública estatal. Dichas medidas deberán orientarse a reducir el gasto en servicios personales y el gasto administrativo y de apoyo y, en su caso, a no incrementarlo, lo anterior conforme a las normas establecidas en este decreto.</w:t>
      </w:r>
    </w:p>
    <w:p w:rsidR="00CC48AD" w:rsidRDefault="007B6BE9">
      <w:pPr>
        <w:spacing w:before="100" w:beforeAutospacing="1" w:after="100" w:afterAutospacing="1"/>
        <w:rPr>
          <w:rFonts w:cs="Arial"/>
        </w:rPr>
      </w:pPr>
      <w:r w:rsidRPr="007B6BE9">
        <w:rPr>
          <w:rFonts w:cs="Arial"/>
        </w:rPr>
        <w:t>      VII. Aplicar los superávits generados conforme a lo establecido en el artículo 41 del presente decreto.</w:t>
      </w:r>
    </w:p>
    <w:p w:rsidR="00CC48AD" w:rsidRDefault="007B6BE9">
      <w:pPr>
        <w:spacing w:before="100" w:beforeAutospacing="1" w:after="100" w:afterAutospacing="1"/>
        <w:rPr>
          <w:rFonts w:cs="Arial"/>
        </w:rPr>
      </w:pPr>
      <w:r w:rsidRPr="007B6BE9">
        <w:rPr>
          <w:rFonts w:cs="Arial"/>
        </w:rPr>
        <w:t>      VIII. No se podrá ampliar el capítulo 1000 de servicios personales mediante la transferencia de recursos de otros capítulos de gasto, salvo las disposiciones que expresamente establezca la Ley del Presupuesto y Contabilidad Gubernamental o la ley de disciplina financiera.</w:t>
      </w:r>
    </w:p>
    <w:p w:rsidR="00CC48AD" w:rsidRDefault="007B6BE9">
      <w:pPr>
        <w:spacing w:before="100" w:beforeAutospacing="1" w:after="100" w:afterAutospacing="1"/>
        <w:rPr>
          <w:rFonts w:cs="Arial"/>
        </w:rPr>
      </w:pPr>
      <w:r w:rsidRPr="007B6BE9">
        <w:rPr>
          <w:rFonts w:cs="Arial"/>
        </w:rPr>
        <w:t>      IX. Deberán integrar los elementos de diseño de los programas presupuestarios, la matriz de indicadores para resultados, las metas e indicadores de desempeño presupuestales y financieros, así como las reglas de operación correspondientes a las transferencias en numerario o en especie que se entreguen a individuos u organizaciones, de conformidad con el proceso de implementación de la gestión y presupuestación basados en resultados.</w:t>
      </w:r>
    </w:p>
    <w:p w:rsidR="00CC48AD" w:rsidRDefault="007B6BE9">
      <w:pPr>
        <w:spacing w:before="100" w:beforeAutospacing="1" w:after="100" w:afterAutospacing="1"/>
        <w:rPr>
          <w:rFonts w:cs="Arial"/>
        </w:rPr>
      </w:pPr>
      <w:r w:rsidRPr="007B6BE9">
        <w:rPr>
          <w:rFonts w:cs="Arial"/>
        </w:rPr>
        <w:t xml:space="preserve">      X. Capturar en el Sistema de Seguimiento y Evaluación del Desempeño, dentro de los quince días naturales siguientes a la terminación de cada trimestre, un informe sobre los indicadores y el cumplimiento de las metas a que se refiere la </w:t>
      </w:r>
      <w:r w:rsidRPr="007B6BE9">
        <w:rPr>
          <w:rFonts w:cs="Arial"/>
        </w:rPr>
        <w:lastRenderedPageBreak/>
        <w:t>fracción anterior, con el propósito de informar a la SEPLAN sobre el seguimiento de sus programas con base en metas e indicadores. En su caso, la propia SEPLAN emitirá las recomendaciones correspondientes. Asimismo, capturar e informar oportunamente los avances de la gestión y el desempeño asociado a las actividades vinculadas a los programas presupuestarios.</w:t>
      </w:r>
    </w:p>
    <w:p w:rsidR="00CC48AD" w:rsidRDefault="007B6BE9">
      <w:pPr>
        <w:pStyle w:val="Ttulo2"/>
        <w:spacing w:before="100" w:beforeAutospacing="1" w:after="100" w:afterAutospacing="1"/>
        <w:rPr>
          <w:rFonts w:cs="Arial"/>
          <w:szCs w:val="24"/>
        </w:rPr>
      </w:pPr>
      <w:r w:rsidRPr="007B6BE9">
        <w:rPr>
          <w:rFonts w:cs="Arial"/>
          <w:szCs w:val="24"/>
        </w:rPr>
        <w:t>Capítulo III</w:t>
      </w:r>
    </w:p>
    <w:p w:rsidR="00CC48AD" w:rsidRDefault="007B6BE9">
      <w:pPr>
        <w:pStyle w:val="Ttulo2"/>
        <w:spacing w:before="100" w:beforeAutospacing="1" w:after="100" w:afterAutospacing="1"/>
        <w:rPr>
          <w:rFonts w:cs="Arial"/>
          <w:szCs w:val="24"/>
        </w:rPr>
      </w:pPr>
      <w:bookmarkStart w:id="36" w:name="servicios-personales"/>
      <w:bookmarkEnd w:id="5"/>
      <w:r w:rsidRPr="007B6BE9">
        <w:rPr>
          <w:rFonts w:cs="Arial"/>
          <w:b w:val="0"/>
          <w:szCs w:val="24"/>
        </w:rPr>
        <w:t>Servicios personales</w:t>
      </w:r>
    </w:p>
    <w:p w:rsidR="00CC48AD" w:rsidRDefault="007B6BE9">
      <w:pPr>
        <w:spacing w:before="100" w:beforeAutospacing="1" w:after="100" w:afterAutospacing="1"/>
        <w:rPr>
          <w:rFonts w:cs="Arial"/>
        </w:rPr>
      </w:pPr>
      <w:r w:rsidRPr="007B6BE9">
        <w:rPr>
          <w:rFonts w:cs="Arial"/>
          <w:b/>
          <w:bCs/>
        </w:rPr>
        <w:t>Artículo 60. Plazas presupuestales</w:t>
      </w:r>
    </w:p>
    <w:p w:rsidR="00CC48AD" w:rsidRDefault="007B6BE9">
      <w:pPr>
        <w:spacing w:before="100" w:beforeAutospacing="1" w:after="100" w:afterAutospacing="1"/>
        <w:rPr>
          <w:rFonts w:cs="Arial"/>
        </w:rPr>
      </w:pPr>
      <w:r w:rsidRPr="007B6BE9">
        <w:rPr>
          <w:rFonts w:cs="Arial"/>
        </w:rPr>
        <w:t>El número de plazas y contrataciones externas para el ejercicio fiscal 2022 se desglosa en los tomos II, III y IV y en el anexo 8 de este decreto.</w:t>
      </w:r>
    </w:p>
    <w:p w:rsidR="00CC48AD" w:rsidRDefault="007B6BE9">
      <w:pPr>
        <w:spacing w:before="100" w:beforeAutospacing="1" w:after="100" w:afterAutospacing="1"/>
        <w:rPr>
          <w:rFonts w:cs="Arial"/>
        </w:rPr>
      </w:pPr>
      <w:r w:rsidRPr="007B6BE9">
        <w:rPr>
          <w:rFonts w:cs="Arial"/>
        </w:rPr>
        <w:t>Del total de plazas asignadas al Poder Ejecutivo, 64,074 corresponden al magisterio estatal y federalizado. En los tomos II, III y IV se presenta el desglose analítico de plazas, el tabulador de sueldos y salarios y los sueldos de los servidores públicos de los mandos medios y superiores del Poder Ejecutivo estatal, así como de los poderes, de los organismos autónomos y de las entidades paraestatales.</w:t>
      </w:r>
    </w:p>
    <w:p w:rsidR="00CC48AD" w:rsidRDefault="007B6BE9">
      <w:pPr>
        <w:spacing w:before="100" w:beforeAutospacing="1" w:after="100" w:afterAutospacing="1"/>
        <w:rPr>
          <w:rFonts w:cs="Arial"/>
        </w:rPr>
      </w:pPr>
      <w:r w:rsidRPr="007B6BE9">
        <w:rPr>
          <w:rFonts w:cs="Arial"/>
        </w:rPr>
        <w:t>El gasto por ejercer en educación del Gobierno del estado durante el ejercicio 2022, identificado por el origen de su fuente de financiamiento, se detalla en el anexo 3.</w:t>
      </w:r>
    </w:p>
    <w:p w:rsidR="00CC48AD" w:rsidRDefault="007B6BE9">
      <w:pPr>
        <w:spacing w:before="100" w:beforeAutospacing="1" w:after="100" w:afterAutospacing="1"/>
        <w:rPr>
          <w:rFonts w:cs="Arial"/>
        </w:rPr>
      </w:pPr>
      <w:r w:rsidRPr="007B6BE9">
        <w:rPr>
          <w:rFonts w:cs="Arial"/>
          <w:b/>
          <w:bCs/>
        </w:rPr>
        <w:t>Artículo 61. Erogaciones para pensiones y jubilaciones</w:t>
      </w:r>
    </w:p>
    <w:p w:rsidR="00CC48AD" w:rsidRDefault="007B6BE9">
      <w:pPr>
        <w:spacing w:before="100" w:beforeAutospacing="1" w:after="100" w:afterAutospacing="1"/>
        <w:rPr>
          <w:rFonts w:cs="Arial"/>
        </w:rPr>
      </w:pPr>
      <w:r w:rsidRPr="007B6BE9">
        <w:rPr>
          <w:rFonts w:cs="Arial"/>
        </w:rPr>
        <w:t>Las erogaciones previstas para pensiones y jubilaciones se establecen en los anexos 6.2. y 6.3.</w:t>
      </w:r>
    </w:p>
    <w:p w:rsidR="00CC48AD" w:rsidRDefault="007B6BE9">
      <w:pPr>
        <w:spacing w:before="100" w:beforeAutospacing="1" w:after="100" w:afterAutospacing="1"/>
        <w:rPr>
          <w:rFonts w:cs="Arial"/>
        </w:rPr>
      </w:pPr>
      <w:r w:rsidRPr="007B6BE9">
        <w:rPr>
          <w:rFonts w:cs="Arial"/>
          <w:b/>
          <w:bCs/>
        </w:rPr>
        <w:t>Artículo 62. Gasto en servicios personales</w:t>
      </w:r>
    </w:p>
    <w:p w:rsidR="00CC48AD" w:rsidRDefault="007B6BE9">
      <w:pPr>
        <w:spacing w:before="100" w:beforeAutospacing="1" w:after="100" w:afterAutospacing="1"/>
        <w:rPr>
          <w:rFonts w:cs="Arial"/>
        </w:rPr>
      </w:pPr>
      <w:r w:rsidRPr="007B6BE9">
        <w:rPr>
          <w:rFonts w:cs="Arial"/>
        </w:rPr>
        <w:t>El gasto en servicios personales comprende la totalidad de los recursos para cubrir, con base en lo establecido en la ley de disciplina financiera y demás normativa aplicable, las percepciones ordinarias y extraordinarias a favor de los servidores públicos de base o de confianza a su servicio, así como la contratación de servicios profesionales por honorarios asimilables a sueldos.</w:t>
      </w:r>
    </w:p>
    <w:p w:rsidR="00CC48AD" w:rsidRDefault="007B6BE9">
      <w:pPr>
        <w:spacing w:before="100" w:beforeAutospacing="1" w:after="100" w:afterAutospacing="1"/>
        <w:rPr>
          <w:rFonts w:cs="Arial"/>
        </w:rPr>
      </w:pPr>
      <w:r w:rsidRPr="007B6BE9">
        <w:rPr>
          <w:rFonts w:cs="Arial"/>
        </w:rPr>
        <w:lastRenderedPageBreak/>
        <w:t>Los montos presentados en los tomos II, III y IV podrán variar en caso de que se presente alguna de las excepciones establecidas en el artículo 10 de la propia ley de disciplina financiera.</w:t>
      </w:r>
    </w:p>
    <w:p w:rsidR="00CC48AD" w:rsidRDefault="007B6BE9">
      <w:pPr>
        <w:spacing w:before="100" w:beforeAutospacing="1" w:after="100" w:afterAutospacing="1"/>
        <w:rPr>
          <w:rFonts w:cs="Arial"/>
        </w:rPr>
      </w:pPr>
      <w:r w:rsidRPr="007B6BE9">
        <w:rPr>
          <w:rFonts w:cs="Arial"/>
        </w:rPr>
        <w:t>El contenido de estos tomos comprende:</w:t>
      </w:r>
    </w:p>
    <w:p w:rsidR="00CC48AD" w:rsidRDefault="007B6BE9">
      <w:pPr>
        <w:spacing w:before="100" w:beforeAutospacing="1" w:after="100" w:afterAutospacing="1"/>
        <w:ind w:firstLine="709"/>
        <w:rPr>
          <w:rFonts w:cs="Arial"/>
        </w:rPr>
      </w:pPr>
      <w:r w:rsidRPr="007B6BE9">
        <w:rPr>
          <w:rFonts w:cs="Arial"/>
        </w:rPr>
        <w:t>I. Las remuneraciones de los servidores públicos, con un desglose de las percepciones ordinarias y extraordinarias, e incluye las erogaciones por concepto de obligaciones de carácter fiscal y de seguridad social inherentes a dichas remuneraciones.</w:t>
      </w:r>
    </w:p>
    <w:p w:rsidR="00CC48AD" w:rsidRDefault="007B6BE9">
      <w:pPr>
        <w:spacing w:before="100" w:beforeAutospacing="1" w:after="100" w:afterAutospacing="1"/>
        <w:ind w:firstLine="709"/>
        <w:rPr>
          <w:rFonts w:cs="Arial"/>
        </w:rPr>
      </w:pPr>
      <w:r w:rsidRPr="007B6BE9">
        <w:rPr>
          <w:rFonts w:cs="Arial"/>
        </w:rPr>
        <w:t>II. Las previsiones salariales y económicas para cubrir los incrementos salariales, la creación de plazas y otras medidas económicas de índole laboral. Dichas previsiones están incluidas en el capítulo 1000, Servicios Personales, del presupuesto.</w:t>
      </w:r>
    </w:p>
    <w:p w:rsidR="00CC48AD" w:rsidRDefault="007B6BE9">
      <w:pPr>
        <w:spacing w:before="100" w:beforeAutospacing="1" w:after="100" w:afterAutospacing="1"/>
        <w:rPr>
          <w:rFonts w:cs="Arial"/>
        </w:rPr>
      </w:pPr>
      <w:r w:rsidRPr="007B6BE9">
        <w:rPr>
          <w:rFonts w:cs="Arial"/>
          <w:b/>
          <w:bCs/>
        </w:rPr>
        <w:t>Artículo 63. Remuneraciones de servidores públicos</w:t>
      </w:r>
    </w:p>
    <w:p w:rsidR="00CC48AD" w:rsidRDefault="007B6BE9">
      <w:pPr>
        <w:spacing w:before="100" w:beforeAutospacing="1" w:after="100" w:afterAutospacing="1"/>
        <w:rPr>
          <w:rFonts w:cs="Arial"/>
        </w:rPr>
      </w:pPr>
      <w:r w:rsidRPr="007B6BE9">
        <w:rPr>
          <w:rFonts w:cs="Arial"/>
        </w:rPr>
        <w:t>Los servidores públicos ocupantes de las plazas a que se refiere el artículo 60, percibirán las remuneraciones establecidas en el tabulador de sueldos y salarios contenido en los tomos II, III y IV de este presupuesto, sin que el total de erogaciones por servicios exceda los montos aprobados en este, salvo lo previsto en el artículo 10 de la ley de disciplina financiera y demás disposiciones aplicables.</w:t>
      </w:r>
    </w:p>
    <w:p w:rsidR="00CC48AD" w:rsidRDefault="007B6BE9">
      <w:pPr>
        <w:spacing w:before="100" w:beforeAutospacing="1" w:after="100" w:afterAutospacing="1"/>
        <w:rPr>
          <w:rFonts w:cs="Arial"/>
        </w:rPr>
      </w:pPr>
      <w:r w:rsidRPr="007B6BE9">
        <w:rPr>
          <w:rFonts w:cs="Arial"/>
          <w:b/>
          <w:bCs/>
        </w:rPr>
        <w:t>Artículo 64. Criterios para los incrementos salariales</w:t>
      </w:r>
    </w:p>
    <w:p w:rsidR="00CC48AD" w:rsidRDefault="007B6BE9">
      <w:pPr>
        <w:spacing w:before="100" w:beforeAutospacing="1" w:after="100" w:afterAutospacing="1"/>
        <w:rPr>
          <w:rFonts w:cs="Arial"/>
        </w:rPr>
      </w:pPr>
      <w:r w:rsidRPr="007B6BE9">
        <w:rPr>
          <w:rFonts w:cs="Arial"/>
        </w:rPr>
        <w:t>Para el establecimiento y determinación de los criterios que regulen los incrementos salariales, la secretaría se sujetará a lo previsto en la normativa que para tal efecto se emita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rsidR="00CC48AD" w:rsidRDefault="007B6BE9">
      <w:pPr>
        <w:spacing w:before="100" w:beforeAutospacing="1" w:after="100" w:afterAutospacing="1"/>
        <w:rPr>
          <w:rFonts w:cs="Arial"/>
        </w:rPr>
      </w:pPr>
      <w:r w:rsidRPr="007B6BE9">
        <w:rPr>
          <w:rFonts w:cs="Arial"/>
        </w:rPr>
        <w:t>Las entidades públicas y los sindicatos establecerán conjuntamente los criterios y los períodos para revisar las prestaciones que disfruten los trabajadores. Las condiciones generales de trabajo de cada entidad pública deberán ser consultadas a la secretaría y a las tesorerías municipales correspondientes.</w:t>
      </w:r>
    </w:p>
    <w:p w:rsidR="00CC48AD" w:rsidRDefault="007B6BE9">
      <w:pPr>
        <w:spacing w:before="100" w:beforeAutospacing="1" w:after="100" w:afterAutospacing="1"/>
        <w:rPr>
          <w:rFonts w:cs="Arial"/>
        </w:rPr>
      </w:pPr>
      <w:r w:rsidRPr="007B6BE9">
        <w:rPr>
          <w:rFonts w:cs="Arial"/>
        </w:rPr>
        <w:t xml:space="preserve">El presupuesto de remuneraciones no tendrá características de techo financiero autorizado, ya que estará en función de la plantilla de personal autorizada y las </w:t>
      </w:r>
      <w:r w:rsidRPr="007B6BE9">
        <w:rPr>
          <w:rFonts w:cs="Arial"/>
        </w:rPr>
        <w:lastRenderedPageBreak/>
        <w:t>economías que se generen estarán sujetas a las consideraciones que para su ejercicio determine la secretaría.</w:t>
      </w:r>
    </w:p>
    <w:p w:rsidR="00CC48AD" w:rsidRDefault="007B6BE9">
      <w:pPr>
        <w:spacing w:before="100" w:beforeAutospacing="1" w:after="100" w:afterAutospacing="1"/>
        <w:rPr>
          <w:rFonts w:cs="Arial"/>
        </w:rPr>
      </w:pPr>
      <w:r w:rsidRPr="007B6BE9">
        <w:rPr>
          <w:rFonts w:cs="Arial"/>
          <w:b/>
          <w:bCs/>
        </w:rPr>
        <w:t>Artículo 65. Administración, normativa y control de los servicios personales</w:t>
      </w:r>
    </w:p>
    <w:p w:rsidR="00CC48AD" w:rsidRDefault="007B6BE9">
      <w:pPr>
        <w:spacing w:before="100" w:beforeAutospacing="1" w:after="100" w:afterAutospacing="1"/>
        <w:rPr>
          <w:rFonts w:cs="Arial"/>
        </w:rPr>
      </w:pPr>
      <w:r w:rsidRPr="007B6BE9">
        <w:rPr>
          <w:rFonts w:cs="Arial"/>
        </w:rPr>
        <w:t>La administración, normativa y control del capítulo de servicios personales del Poder Ejecutivo del Estado está a cargo de la secretaría, lo anterior de conformidad con lo establecido en el Código de la Administración Pública de Yucatán.</w:t>
      </w:r>
    </w:p>
    <w:p w:rsidR="00CC48AD" w:rsidRDefault="007B6BE9">
      <w:pPr>
        <w:spacing w:before="100" w:beforeAutospacing="1" w:after="100" w:afterAutospacing="1"/>
        <w:rPr>
          <w:rFonts w:cs="Arial"/>
        </w:rPr>
      </w:pPr>
      <w:r w:rsidRPr="007B6BE9">
        <w:rPr>
          <w:rFonts w:cs="Arial"/>
        </w:rPr>
        <w:t>Solo la secretaría podrá autorizar adecuaciones a las estructuras orgánicas de las dependencias y entidades públicas, sin que ello implique la aprobación de recursos adicionales, salvo los casos en los que se otorguen incrementos presupuestales por creación de plazas nuevas.</w:t>
      </w:r>
    </w:p>
    <w:p w:rsidR="00CC48AD" w:rsidRDefault="007B6BE9">
      <w:pPr>
        <w:spacing w:before="100" w:beforeAutospacing="1" w:after="100" w:afterAutospacing="1"/>
        <w:rPr>
          <w:rFonts w:cs="Arial"/>
        </w:rPr>
      </w:pPr>
      <w:r w:rsidRPr="007B6BE9">
        <w:rPr>
          <w:rFonts w:cs="Arial"/>
        </w:rPr>
        <w:t>Las dependencias solo podrán modificar sus estructuras orgánicas y laborales aprobadas para el ejercicio fiscal 2022, previa autorización de la secretaría y de conformidad con el Código de la Administración Pública de Yucatán y su reglamento, la Ley del Presupuesto y Contabilidad Gubernamental del Estado de Yucatán, su reglamento y demás normativa aplicable. Esta modificación solo podrá realizarse, siempre que cuenten con los recursos presupuestales suficientes o cuando la secretaría les otorgue el incremento presupuestal correspondiente.</w:t>
      </w:r>
    </w:p>
    <w:p w:rsidR="00CC48AD" w:rsidRDefault="007B6BE9">
      <w:pPr>
        <w:spacing w:before="100" w:beforeAutospacing="1" w:after="100" w:afterAutospacing="1"/>
        <w:rPr>
          <w:rFonts w:cs="Arial"/>
        </w:rPr>
      </w:pPr>
      <w:r w:rsidRPr="007B6BE9">
        <w:rPr>
          <w:rFonts w:cs="Arial"/>
          <w:b/>
          <w:bCs/>
        </w:rPr>
        <w:t>Artículo 66. Límite de la asignación de recursos para servicios personales</w:t>
      </w:r>
    </w:p>
    <w:p w:rsidR="00CC48AD" w:rsidRDefault="007B6BE9">
      <w:pPr>
        <w:spacing w:before="100" w:beforeAutospacing="1" w:after="100" w:afterAutospacing="1"/>
        <w:rPr>
          <w:rFonts w:cs="Arial"/>
        </w:rPr>
      </w:pPr>
      <w:r w:rsidRPr="007B6BE9">
        <w:rPr>
          <w:rFonts w:cs="Arial"/>
        </w:rPr>
        <w:t>La metodología aplicada para el límite de la asignación de recursos para servicios personales es la correspondiente al artículo 10 de la Ley de Disciplina Financiera. El desglose correspondiente de la asignación global de recursos para servicios personales del presupuesto se prevé en el Anexo 8 del presente decreto y los tomos II, III y IV.</w:t>
      </w:r>
    </w:p>
    <w:p w:rsidR="00CC48AD" w:rsidRDefault="007B6BE9">
      <w:pPr>
        <w:spacing w:before="100" w:beforeAutospacing="1" w:after="100" w:afterAutospacing="1"/>
        <w:rPr>
          <w:rFonts w:cs="Arial"/>
        </w:rPr>
      </w:pPr>
      <w:r w:rsidRPr="007B6BE9">
        <w:rPr>
          <w:rFonts w:cs="Arial"/>
          <w:b/>
          <w:bCs/>
        </w:rPr>
        <w:t>Artículo 67. Reglas sobre el ejercicio y pago de servicios personales</w:t>
      </w:r>
    </w:p>
    <w:p w:rsidR="00CC48AD" w:rsidRDefault="007B6BE9">
      <w:pPr>
        <w:spacing w:before="100" w:beforeAutospacing="1" w:after="100" w:afterAutospacing="1"/>
        <w:rPr>
          <w:rFonts w:cs="Arial"/>
        </w:rPr>
      </w:pPr>
      <w:r w:rsidRPr="007B6BE9">
        <w:rPr>
          <w:rFonts w:cs="Arial"/>
        </w:rPr>
        <w:t>Las dependencias y entidades, al realizar el ejercicio y pago por concepto de servicios personales, deberán sujetarse a lo siguiente:</w:t>
      </w:r>
    </w:p>
    <w:p w:rsidR="00CC48AD" w:rsidRDefault="007B6BE9">
      <w:pPr>
        <w:spacing w:before="100" w:beforeAutospacing="1" w:after="100" w:afterAutospacing="1"/>
        <w:rPr>
          <w:rFonts w:cs="Arial"/>
        </w:rPr>
      </w:pPr>
      <w:r w:rsidRPr="007B6BE9">
        <w:rPr>
          <w:rFonts w:cs="Arial"/>
        </w:rPr>
        <w:t>I. Las remuneraciones de los trabajadores se deberán apegar estrictamente a los niveles establecidos en los tabuladores de sueldos, cuotas, tarifas y demás asignaciones autorizadas por la secretaría y los órganos de gobierno de las entidades.</w:t>
      </w:r>
    </w:p>
    <w:p w:rsidR="00CC48AD" w:rsidRDefault="007B6BE9">
      <w:pPr>
        <w:spacing w:before="100" w:beforeAutospacing="1" w:after="100" w:afterAutospacing="1"/>
        <w:rPr>
          <w:rFonts w:cs="Arial"/>
        </w:rPr>
      </w:pPr>
      <w:r w:rsidRPr="007B6BE9">
        <w:rPr>
          <w:rFonts w:cs="Arial"/>
        </w:rPr>
        <w:lastRenderedPageBreak/>
        <w:t>II. Reducir al mínimo indispensable el pago de horas extras y de compensaciones.</w:t>
      </w:r>
    </w:p>
    <w:p w:rsidR="00CC48AD" w:rsidRDefault="007B6BE9">
      <w:pPr>
        <w:spacing w:before="100" w:beforeAutospacing="1" w:after="100" w:afterAutospacing="1"/>
        <w:rPr>
          <w:rFonts w:cs="Arial"/>
        </w:rPr>
      </w:pPr>
      <w:r w:rsidRPr="007B6BE9">
        <w:rPr>
          <w:rFonts w:cs="Arial"/>
        </w:rPr>
        <w:t>III. Los pagos de las remuneraciones adicionales por jornadas y por horas extraordinarias y otras prestaciones del personal que labora en las entidades que se rijan por contratos colectivos de trabajo, se efectuarán de acuerdo con las estipulaciones contractuales.</w:t>
      </w:r>
    </w:p>
    <w:p w:rsidR="00CC48AD" w:rsidRDefault="007B6BE9">
      <w:pPr>
        <w:spacing w:before="100" w:beforeAutospacing="1" w:after="100" w:afterAutospacing="1"/>
        <w:rPr>
          <w:rFonts w:cs="Arial"/>
        </w:rPr>
      </w:pPr>
      <w:r w:rsidRPr="007B6BE9">
        <w:rPr>
          <w:rFonts w:cs="Arial"/>
        </w:rPr>
        <w:t>IV. Las contrataciones de trabajadores eventuales se sujetarán al presupuesto aprobado, salvo los casos extraordinarios autorizados por la secretaría o cuando se cubran con recursos extraordinarios y se cuente con la autorización de la secretaría.</w:t>
      </w:r>
    </w:p>
    <w:p w:rsidR="00CC48AD" w:rsidRDefault="007B6BE9">
      <w:pPr>
        <w:spacing w:before="100" w:beforeAutospacing="1" w:after="100" w:afterAutospacing="1"/>
        <w:rPr>
          <w:rFonts w:cs="Arial"/>
        </w:rPr>
      </w:pPr>
      <w:r w:rsidRPr="007B6BE9">
        <w:rPr>
          <w:rFonts w:cs="Arial"/>
        </w:rPr>
        <w:t>V. Las percepciones salariales u homologaciones que empleen tabuladores elaborados por otros órdenes de gobierno, quedarán sujetas al límite de las percepciones y previsiones presupuestales que autorice la secretaría.</w:t>
      </w:r>
    </w:p>
    <w:p w:rsidR="00CC48AD" w:rsidRDefault="007B6BE9">
      <w:pPr>
        <w:spacing w:before="100" w:beforeAutospacing="1" w:after="100" w:afterAutospacing="1"/>
        <w:rPr>
          <w:rFonts w:cs="Arial"/>
        </w:rPr>
      </w:pPr>
      <w:r w:rsidRPr="007B6BE9">
        <w:rPr>
          <w:rFonts w:cs="Arial"/>
          <w:b/>
          <w:bCs/>
        </w:rPr>
        <w:t>Artículo 68. Tabuladores de percepciones oficiales</w:t>
      </w:r>
    </w:p>
    <w:p w:rsidR="00CC48AD" w:rsidRDefault="007B6BE9">
      <w:pPr>
        <w:spacing w:before="100" w:beforeAutospacing="1" w:after="100" w:afterAutospacing="1"/>
        <w:rPr>
          <w:rFonts w:cs="Arial"/>
        </w:rPr>
      </w:pPr>
      <w:r w:rsidRPr="007B6BE9">
        <w:rPr>
          <w:rFonts w:cs="Arial"/>
        </w:rPr>
        <w:t>La secretaría, con sujeción a este decreto, emitirá los tabuladores de percepciones oficiales para todas las modalidades de contratación del sector central de la Administración Pública del estado y autorizará las actualizaciones de los tabuladores del sector paraestatal.</w:t>
      </w:r>
    </w:p>
    <w:p w:rsidR="00CC48AD" w:rsidRDefault="007B6BE9">
      <w:pPr>
        <w:spacing w:before="100" w:beforeAutospacing="1" w:after="100" w:afterAutospacing="1"/>
        <w:rPr>
          <w:rFonts w:cs="Arial"/>
        </w:rPr>
      </w:pPr>
      <w:r w:rsidRPr="007B6BE9">
        <w:rPr>
          <w:rFonts w:cs="Arial"/>
          <w:b/>
          <w:bCs/>
        </w:rPr>
        <w:t>Artículo 69. Estructuras organizacionales y ocupacionales</w:t>
      </w:r>
    </w:p>
    <w:p w:rsidR="00CC48AD" w:rsidRDefault="007B6BE9">
      <w:pPr>
        <w:spacing w:before="100" w:beforeAutospacing="1" w:after="100" w:afterAutospacing="1"/>
        <w:rPr>
          <w:rFonts w:cs="Arial"/>
        </w:rPr>
      </w:pPr>
      <w:r w:rsidRPr="007B6BE9">
        <w:rPr>
          <w:rFonts w:cs="Arial"/>
        </w:rPr>
        <w:t>Las dependencias y entidades deberán respetar y transparentar sus estructuras organizacionales y ocupacionales, así como la plantilla de personal, debiendo realizar las gestiones necesarias ante la secretaría para la aprobación, registro y, en su caso, adecuación de sus estructuras orgánicas y ocupacionales. Asimismo, deberán procurar la congruencia entre el nivel salarial, el grado de responsabilidad y la naturaleza de la función que corresponda al cargo.</w:t>
      </w:r>
    </w:p>
    <w:p w:rsidR="00CC48AD" w:rsidRDefault="007B6BE9">
      <w:pPr>
        <w:spacing w:before="100" w:beforeAutospacing="1" w:after="100" w:afterAutospacing="1"/>
        <w:rPr>
          <w:rFonts w:cs="Arial"/>
        </w:rPr>
      </w:pPr>
      <w:r w:rsidRPr="007B6BE9">
        <w:rPr>
          <w:rFonts w:cs="Arial"/>
          <w:b/>
          <w:bCs/>
        </w:rPr>
        <w:t>Artículo 70. Excepción al límite de gastos en servicios personales</w:t>
      </w:r>
    </w:p>
    <w:p w:rsidR="00CC48AD" w:rsidRDefault="007B6BE9">
      <w:pPr>
        <w:spacing w:before="100" w:beforeAutospacing="1" w:after="100" w:afterAutospacing="1"/>
        <w:rPr>
          <w:rFonts w:cs="Arial"/>
        </w:rPr>
      </w:pPr>
      <w:r w:rsidRPr="007B6BE9">
        <w:rPr>
          <w:rFonts w:cs="Arial"/>
        </w:rPr>
        <w:t xml:space="preserve">Queda exceptuado del límite global de gasto en servicios personales señalado en el artículo 66 de este decreto, el monto erogado por sentencias laborales definitivas emitidas por la autoridad competente y los gastos en servicios personales que sean estrictamente indispensables para la implementación de nuevas leyes federales o reformas a las mismas. </w:t>
      </w:r>
    </w:p>
    <w:p w:rsidR="00CC48AD" w:rsidRDefault="007B6BE9">
      <w:pPr>
        <w:spacing w:before="100" w:beforeAutospacing="1" w:after="100" w:afterAutospacing="1"/>
        <w:rPr>
          <w:rFonts w:cs="Arial"/>
        </w:rPr>
      </w:pPr>
      <w:r w:rsidRPr="007B6BE9">
        <w:rPr>
          <w:rFonts w:cs="Arial"/>
          <w:b/>
          <w:bCs/>
        </w:rPr>
        <w:t>Artículo 71. Percepciones extraordinarias</w:t>
      </w:r>
    </w:p>
    <w:p w:rsidR="00CC48AD" w:rsidRDefault="007B6BE9">
      <w:pPr>
        <w:spacing w:before="100" w:beforeAutospacing="1" w:after="100" w:afterAutospacing="1"/>
        <w:rPr>
          <w:rFonts w:cs="Arial"/>
        </w:rPr>
      </w:pPr>
      <w:r w:rsidRPr="007B6BE9">
        <w:rPr>
          <w:rFonts w:cs="Arial"/>
        </w:rPr>
        <w:lastRenderedPageBreak/>
        <w:t>Las percepciones extraordinarias no constituyen un ingreso fijo, regular ni permanente, y su otorgamiento se encuentra sujeto a requisitos y condiciones futuras de realización incierta.</w:t>
      </w:r>
    </w:p>
    <w:p w:rsidR="00CC48AD" w:rsidRDefault="007B6BE9">
      <w:pPr>
        <w:spacing w:before="100" w:beforeAutospacing="1" w:after="100" w:afterAutospacing="1"/>
        <w:rPr>
          <w:rFonts w:cs="Arial"/>
        </w:rPr>
      </w:pPr>
      <w:r w:rsidRPr="007B6BE9">
        <w:rPr>
          <w:rFonts w:cs="Arial"/>
        </w:rPr>
        <w:t>Las percepciones extraordinarias a que se refiere el párrafo anterior deberán haber sido previstas en este presupuesto, se limitarán a las estrictamente indispensables y deberán cubrirse con cargo al presupuesto aprobado, salvo los casos extraordinarios que autorice previamente la secretaría, y en apego a lo establecido en el artículo 122 de la Ley del Presupuesto y Contabilidad Gubernamental del Estado de Yucatán.</w:t>
      </w:r>
    </w:p>
    <w:p w:rsidR="00CC48AD" w:rsidRDefault="007B6BE9">
      <w:pPr>
        <w:spacing w:before="100" w:beforeAutospacing="1" w:after="100" w:afterAutospacing="1"/>
        <w:rPr>
          <w:rFonts w:cs="Arial"/>
        </w:rPr>
      </w:pPr>
      <w:r w:rsidRPr="007B6BE9">
        <w:rPr>
          <w:rFonts w:cs="Arial"/>
          <w:b/>
          <w:bCs/>
        </w:rPr>
        <w:t>Artículo 72. Estímulos, incentivos o reconocimientos</w:t>
      </w:r>
    </w:p>
    <w:p w:rsidR="00CC48AD" w:rsidRDefault="007B6BE9">
      <w:pPr>
        <w:spacing w:before="100" w:beforeAutospacing="1" w:after="100" w:afterAutospacing="1"/>
        <w:rPr>
          <w:rFonts w:cs="Arial"/>
        </w:rPr>
      </w:pPr>
      <w:r w:rsidRPr="007B6BE9">
        <w:rPr>
          <w:rFonts w:cs="Arial"/>
        </w:rPr>
        <w:t>Los poderes y los organismos autónomos podrán otorgar estímulos, incentivos o reconocimientos o ejercer gastos equivalentes, siempre respetando el techo presupuestal autorizado y las disposiciones que, para estos efectos, emitan las autoridades competentes.</w:t>
      </w:r>
    </w:p>
    <w:p w:rsidR="00CC48AD" w:rsidRDefault="007B6BE9">
      <w:pPr>
        <w:spacing w:before="100" w:beforeAutospacing="1" w:after="100" w:afterAutospacing="1"/>
        <w:rPr>
          <w:rFonts w:cs="Arial"/>
        </w:rPr>
      </w:pPr>
      <w:r w:rsidRPr="007B6BE9">
        <w:rPr>
          <w:rFonts w:cs="Arial"/>
        </w:rPr>
        <w:t>El monto de las percepciones totales que se cubran a favor de la máxima representación de los poderes o de los organismos autónomos, no podrá rebasar la percepción total asignada al titular del Poder Ejecutivo del estado.</w:t>
      </w:r>
      <w:bookmarkStart w:id="37" w:name="capítulo-iv-1"/>
      <w:bookmarkEnd w:id="36"/>
    </w:p>
    <w:p w:rsidR="00CC48AD" w:rsidRDefault="007B6BE9">
      <w:pPr>
        <w:pStyle w:val="Ttulo2"/>
        <w:spacing w:before="100" w:beforeAutospacing="1" w:after="100" w:afterAutospacing="1"/>
        <w:rPr>
          <w:rFonts w:cs="Arial"/>
          <w:szCs w:val="24"/>
        </w:rPr>
      </w:pPr>
      <w:r w:rsidRPr="007B6BE9">
        <w:rPr>
          <w:rFonts w:cs="Arial"/>
          <w:szCs w:val="24"/>
        </w:rPr>
        <w:t>Capítulo IV</w:t>
      </w:r>
    </w:p>
    <w:p w:rsidR="00CC48AD" w:rsidRDefault="007B6BE9">
      <w:pPr>
        <w:pStyle w:val="Ttulo2"/>
        <w:spacing w:before="100" w:beforeAutospacing="1" w:after="100" w:afterAutospacing="1"/>
        <w:rPr>
          <w:rFonts w:cs="Arial"/>
          <w:szCs w:val="24"/>
        </w:rPr>
      </w:pPr>
      <w:bookmarkStart w:id="38" w:name="premisas-para-transferencias-y-subsidios"/>
      <w:bookmarkEnd w:id="37"/>
      <w:r w:rsidRPr="007B6BE9">
        <w:rPr>
          <w:rFonts w:cs="Arial"/>
          <w:b w:val="0"/>
          <w:szCs w:val="24"/>
        </w:rPr>
        <w:t>Premisas para transferencias y subsidios</w:t>
      </w:r>
    </w:p>
    <w:p w:rsidR="00CC48AD" w:rsidRDefault="007B6BE9">
      <w:pPr>
        <w:spacing w:before="100" w:beforeAutospacing="1" w:after="100" w:afterAutospacing="1"/>
        <w:rPr>
          <w:rFonts w:cs="Arial"/>
        </w:rPr>
      </w:pPr>
      <w:r w:rsidRPr="007B6BE9">
        <w:rPr>
          <w:rFonts w:cs="Arial"/>
          <w:b/>
          <w:bCs/>
        </w:rPr>
        <w:t>Artículo 73. Reducción, suspensión y terminación de las transferencias y subsidios</w:t>
      </w:r>
    </w:p>
    <w:p w:rsidR="00CC48AD" w:rsidRDefault="007B6BE9">
      <w:pPr>
        <w:spacing w:before="100" w:beforeAutospacing="1" w:after="100" w:afterAutospacing="1"/>
        <w:rPr>
          <w:rFonts w:cs="Arial"/>
        </w:rPr>
      </w:pPr>
      <w:r w:rsidRPr="007B6BE9">
        <w:rPr>
          <w:rFonts w:cs="Arial"/>
        </w:rPr>
        <w:t>El titular del Poder Ejecutivo, por conducto de la secretaría, autorizará la ministración, reducción, suspensión y, en su caso, terminación de las transferencias y subsidios que se prevén en este presupuesto, conforme a lo establecido en este decreto y las demás disposiciones aplicables.</w:t>
      </w:r>
    </w:p>
    <w:p w:rsidR="00CC48AD" w:rsidRDefault="007B6BE9">
      <w:pPr>
        <w:spacing w:before="100" w:beforeAutospacing="1" w:after="100" w:afterAutospacing="1"/>
        <w:rPr>
          <w:rFonts w:cs="Arial"/>
        </w:rPr>
      </w:pPr>
      <w:r w:rsidRPr="007B6BE9">
        <w:rPr>
          <w:rFonts w:cs="Arial"/>
          <w:b/>
          <w:bCs/>
        </w:rPr>
        <w:t>Artículo 74. Responsables de la correcta aplicación de transferencias y subsidios</w:t>
      </w:r>
    </w:p>
    <w:p w:rsidR="00CC48AD" w:rsidRDefault="007B6BE9">
      <w:pPr>
        <w:spacing w:before="100" w:beforeAutospacing="1" w:after="100" w:afterAutospacing="1"/>
        <w:rPr>
          <w:rFonts w:cs="Arial"/>
        </w:rPr>
      </w:pPr>
      <w:r w:rsidRPr="007B6BE9">
        <w:rPr>
          <w:rFonts w:cs="Arial"/>
        </w:rPr>
        <w:t>Los titulares de las entidades a los que se autorice la asignación de transferencias y subsidios con cargo al presupuesto, serán responsables de su correcta aplicación conforme a lo establecido en este presupuesto y las demás disposiciones aplicables.</w:t>
      </w:r>
    </w:p>
    <w:p w:rsidR="00CC48AD" w:rsidRDefault="007B6BE9">
      <w:pPr>
        <w:spacing w:before="100" w:beforeAutospacing="1" w:after="100" w:afterAutospacing="1"/>
        <w:rPr>
          <w:rFonts w:cs="Arial"/>
        </w:rPr>
      </w:pPr>
      <w:r w:rsidRPr="007B6BE9">
        <w:rPr>
          <w:rFonts w:cs="Arial"/>
          <w:b/>
          <w:bCs/>
        </w:rPr>
        <w:lastRenderedPageBreak/>
        <w:t>Artículo 75. Emisión de disposiciones para el otorgamiento y aplicación de las transferencias y subsidios</w:t>
      </w:r>
    </w:p>
    <w:p w:rsidR="00CC48AD" w:rsidRDefault="007B6BE9">
      <w:pPr>
        <w:spacing w:before="100" w:beforeAutospacing="1" w:after="100" w:afterAutospacing="1"/>
        <w:rPr>
          <w:rFonts w:cs="Arial"/>
        </w:rPr>
      </w:pPr>
      <w:r w:rsidRPr="007B6BE9">
        <w:rPr>
          <w:rFonts w:cs="Arial"/>
        </w:rPr>
        <w:t>La secretaría podrá emitir, durante el ejercicio fiscal 2022, disposiciones sobre la operación, evaluación y ejercicio del gasto relacionado con el otorgamiento y aplicación de las transferencias y subsidios a que se refiere este capítulo.</w:t>
      </w:r>
    </w:p>
    <w:p w:rsidR="00CC48AD" w:rsidRDefault="007B6BE9">
      <w:pPr>
        <w:spacing w:before="100" w:beforeAutospacing="1" w:after="100" w:afterAutospacing="1"/>
        <w:rPr>
          <w:rFonts w:cs="Arial"/>
        </w:rPr>
      </w:pPr>
      <w:r w:rsidRPr="007B6BE9">
        <w:rPr>
          <w:rFonts w:cs="Arial"/>
          <w:b/>
          <w:bCs/>
        </w:rPr>
        <w:t>Artículo 76. Criterios para la erogación por concepto de transferencias y subsidios</w:t>
      </w:r>
    </w:p>
    <w:p w:rsidR="00CC48AD" w:rsidRDefault="007B6BE9">
      <w:pPr>
        <w:spacing w:before="100" w:beforeAutospacing="1" w:after="100" w:afterAutospacing="1"/>
        <w:rPr>
          <w:rFonts w:cs="Arial"/>
        </w:rPr>
      </w:pPr>
      <w:r w:rsidRPr="007B6BE9">
        <w:rPr>
          <w:rFonts w:cs="Arial"/>
        </w:rPr>
        <w:t>Las erogaciones por concepto de transferencias y subsidios con cargo al presupuesto, se sujetarán a los objetivos y las metas de los programas que realizan las entidades y a las necesidades de planeación y administración financiera del Gobierno del estado, apegándose además a los siguientes criterios:</w:t>
      </w:r>
    </w:p>
    <w:p w:rsidR="00CC48AD" w:rsidRDefault="007B6BE9">
      <w:pPr>
        <w:spacing w:before="100" w:beforeAutospacing="1" w:after="100" w:afterAutospacing="1"/>
        <w:ind w:firstLine="709"/>
        <w:rPr>
          <w:rFonts w:cs="Arial"/>
        </w:rPr>
      </w:pPr>
      <w:r w:rsidRPr="007B6BE9">
        <w:rPr>
          <w:rFonts w:cs="Arial"/>
        </w:rPr>
        <w:t>I. Se requerirá la autorización previa y por escrito de la secretaría para otorgar transferencias que pretendan destinarse a inversiones financieras.</w:t>
      </w:r>
    </w:p>
    <w:p w:rsidR="00CC48AD" w:rsidRDefault="007B6BE9">
      <w:pPr>
        <w:spacing w:before="100" w:beforeAutospacing="1" w:after="100" w:afterAutospacing="1"/>
        <w:ind w:firstLine="709"/>
        <w:rPr>
          <w:rFonts w:cs="Arial"/>
        </w:rPr>
      </w:pPr>
      <w:r w:rsidRPr="007B6BE9">
        <w:rPr>
          <w:rFonts w:cs="Arial"/>
        </w:rPr>
        <w:t>II. Se considerarán preferenciales las transferencias destinadas a las entidades cuya función esté orientada a: la prestación de servicios educativos, de salud, seguridad, al desarrollo social y a la formación de capital en las ramas y sectores básicos de la economía, así como a la promoción del desarrollo de la ciencia y la tecnología.</w:t>
      </w:r>
    </w:p>
    <w:p w:rsidR="00CC48AD" w:rsidRDefault="007B6BE9">
      <w:pPr>
        <w:spacing w:before="100" w:beforeAutospacing="1" w:after="100" w:afterAutospacing="1"/>
        <w:rPr>
          <w:rFonts w:cs="Arial"/>
        </w:rPr>
      </w:pPr>
      <w:r w:rsidRPr="007B6BE9">
        <w:rPr>
          <w:rFonts w:cs="Arial"/>
          <w:b/>
          <w:bCs/>
        </w:rPr>
        <w:t>Artículo 77. Aplicación de transferencias</w:t>
      </w:r>
    </w:p>
    <w:p w:rsidR="00CC48AD" w:rsidRDefault="007B6BE9">
      <w:pPr>
        <w:spacing w:before="100" w:beforeAutospacing="1" w:after="100" w:afterAutospacing="1"/>
        <w:rPr>
          <w:rFonts w:cs="Arial"/>
        </w:rPr>
      </w:pPr>
      <w:r w:rsidRPr="007B6BE9">
        <w:rPr>
          <w:rFonts w:cs="Arial"/>
        </w:rPr>
        <w:t>La entidad que aplique transferencias a inversiones financieras, deberá enterar sus rendimientos dentro de los primeros diez días naturales de cada mes a la secretaría.</w:t>
      </w:r>
    </w:p>
    <w:p w:rsidR="00CC48AD" w:rsidRDefault="007B6BE9">
      <w:pPr>
        <w:spacing w:before="100" w:beforeAutospacing="1" w:after="100" w:afterAutospacing="1"/>
        <w:rPr>
          <w:rFonts w:cs="Arial"/>
        </w:rPr>
      </w:pPr>
      <w:r w:rsidRPr="007B6BE9">
        <w:rPr>
          <w:rFonts w:cs="Arial"/>
        </w:rPr>
        <w:t>La secretaría podrá suspender la transferencia de fondos cuando los ejecutores de gasto no remitan la información en la forma y términos que aquella determine, o bien, cuando no se hubieran enterado los rendimientos de las inversiones financieras que generaron las transferencias no aplicadas.</w:t>
      </w:r>
    </w:p>
    <w:p w:rsidR="00CC48AD" w:rsidRDefault="007B6BE9">
      <w:pPr>
        <w:spacing w:before="100" w:beforeAutospacing="1" w:after="100" w:afterAutospacing="1"/>
        <w:rPr>
          <w:rFonts w:cs="Arial"/>
        </w:rPr>
      </w:pPr>
      <w:r w:rsidRPr="007B6BE9">
        <w:rPr>
          <w:rFonts w:cs="Arial"/>
          <w:b/>
          <w:bCs/>
        </w:rPr>
        <w:t>Artículo 78. Suspensión de transferencias</w:t>
      </w:r>
    </w:p>
    <w:p w:rsidR="00CC48AD" w:rsidRDefault="007B6BE9">
      <w:pPr>
        <w:spacing w:before="100" w:beforeAutospacing="1" w:after="100" w:afterAutospacing="1"/>
        <w:rPr>
          <w:rFonts w:cs="Arial"/>
        </w:rPr>
      </w:pPr>
      <w:r w:rsidRPr="007B6BE9">
        <w:rPr>
          <w:rFonts w:cs="Arial"/>
        </w:rPr>
        <w:t>La secretaría podrá reducir, suspender o terminar las transferencias a las dependencias o entidades cuando:</w:t>
      </w:r>
    </w:p>
    <w:p w:rsidR="00CC48AD" w:rsidRDefault="007B6BE9">
      <w:pPr>
        <w:spacing w:before="100" w:beforeAutospacing="1" w:after="100" w:afterAutospacing="1"/>
        <w:ind w:firstLine="709"/>
        <w:rPr>
          <w:rFonts w:cs="Arial"/>
        </w:rPr>
      </w:pPr>
      <w:r w:rsidRPr="007B6BE9">
        <w:rPr>
          <w:rFonts w:cs="Arial"/>
        </w:rPr>
        <w:t>I. Cuenten con autosuficiencia financiera.</w:t>
      </w:r>
    </w:p>
    <w:p w:rsidR="00CC48AD" w:rsidRDefault="007B6BE9">
      <w:pPr>
        <w:spacing w:before="100" w:beforeAutospacing="1" w:after="100" w:afterAutospacing="1"/>
        <w:ind w:firstLine="709"/>
        <w:rPr>
          <w:rFonts w:cs="Arial"/>
        </w:rPr>
      </w:pPr>
      <w:r w:rsidRPr="007B6BE9">
        <w:rPr>
          <w:rFonts w:cs="Arial"/>
        </w:rPr>
        <w:lastRenderedPageBreak/>
        <w:t>II. No cumplan con el objetivo de su otorgamiento.</w:t>
      </w:r>
    </w:p>
    <w:p w:rsidR="00CC48AD" w:rsidRDefault="007B6BE9">
      <w:pPr>
        <w:spacing w:before="100" w:beforeAutospacing="1" w:after="100" w:afterAutospacing="1"/>
        <w:ind w:firstLine="709"/>
        <w:rPr>
          <w:rFonts w:cs="Arial"/>
        </w:rPr>
      </w:pPr>
      <w:r w:rsidRPr="007B6BE9">
        <w:rPr>
          <w:rFonts w:cs="Arial"/>
        </w:rPr>
        <w:t>III. No remitan la información solicitada en las condiciones y en los términos del título sexto de este decreto y demás disposiciones legales y normativas aplicables, o a la referente a la aplicación de estas transferencias.</w:t>
      </w:r>
    </w:p>
    <w:p w:rsidR="00CC48AD" w:rsidRDefault="007B6BE9">
      <w:pPr>
        <w:spacing w:before="100" w:beforeAutospacing="1" w:after="100" w:afterAutospacing="1"/>
        <w:ind w:firstLine="709"/>
        <w:rPr>
          <w:rFonts w:cs="Arial"/>
        </w:rPr>
      </w:pPr>
      <w:r w:rsidRPr="007B6BE9">
        <w:rPr>
          <w:rFonts w:cs="Arial"/>
        </w:rPr>
        <w:t>IV. No existan las condiciones presupuestales para seguir otorgándolas.</w:t>
      </w:r>
      <w:bookmarkStart w:id="39" w:name="capítulo-v-1"/>
      <w:bookmarkEnd w:id="38"/>
    </w:p>
    <w:p w:rsidR="00CC48AD" w:rsidRDefault="007B6BE9">
      <w:pPr>
        <w:pStyle w:val="Ttulo2"/>
        <w:spacing w:before="100" w:beforeAutospacing="1" w:after="100" w:afterAutospacing="1"/>
        <w:rPr>
          <w:rFonts w:cs="Arial"/>
          <w:szCs w:val="24"/>
        </w:rPr>
      </w:pPr>
      <w:r w:rsidRPr="007B6BE9">
        <w:rPr>
          <w:rFonts w:cs="Arial"/>
          <w:szCs w:val="24"/>
        </w:rPr>
        <w:t>Capítulo V</w:t>
      </w:r>
    </w:p>
    <w:p w:rsidR="00CC48AD" w:rsidRDefault="007B6BE9">
      <w:pPr>
        <w:pStyle w:val="Ttulo2"/>
        <w:spacing w:before="100" w:beforeAutospacing="1" w:after="100" w:afterAutospacing="1"/>
        <w:rPr>
          <w:rFonts w:cs="Arial"/>
          <w:szCs w:val="24"/>
        </w:rPr>
      </w:pPr>
      <w:bookmarkStart w:id="40" w:name="transferencias-financieras-de-recursos"/>
      <w:bookmarkEnd w:id="39"/>
      <w:r w:rsidRPr="007B6BE9">
        <w:rPr>
          <w:rFonts w:cs="Arial"/>
          <w:b w:val="0"/>
          <w:szCs w:val="24"/>
        </w:rPr>
        <w:t>Transferencias financieras de recursos</w:t>
      </w:r>
    </w:p>
    <w:p w:rsidR="00CC48AD" w:rsidRDefault="007B6BE9">
      <w:pPr>
        <w:spacing w:before="100" w:beforeAutospacing="1" w:after="100" w:afterAutospacing="1"/>
        <w:rPr>
          <w:rFonts w:cs="Arial"/>
        </w:rPr>
      </w:pPr>
      <w:r w:rsidRPr="007B6BE9">
        <w:rPr>
          <w:rFonts w:cs="Arial"/>
          <w:b/>
          <w:bCs/>
        </w:rPr>
        <w:t>Artículo 79. Adelantos de participaciones a municipios</w:t>
      </w:r>
    </w:p>
    <w:p w:rsidR="00CC48AD" w:rsidRDefault="007B6BE9">
      <w:pPr>
        <w:spacing w:before="100" w:beforeAutospacing="1" w:after="100" w:afterAutospacing="1"/>
        <w:rPr>
          <w:rFonts w:cs="Arial"/>
        </w:rPr>
      </w:pPr>
      <w:r w:rsidRPr="007B6BE9">
        <w:rPr>
          <w:rFonts w:cs="Arial"/>
        </w:rPr>
        <w:t>La secretaría podrá entregar adelantos de participaciones a los municipios, previa petición que por escrito haga el presidente municipal al titular de la secretaría, siempre que el primero cuente con la aprobación del cabildo. También podrá hacerlo con respecto a las entidades y organismos autónomos, a cuenta de las transferencias presupuestales que les correspondan, previa petición que por escrito le presenten al titular a la secretaría.</w:t>
      </w:r>
    </w:p>
    <w:p w:rsidR="00CC48AD" w:rsidRDefault="007B6BE9">
      <w:pPr>
        <w:spacing w:before="100" w:beforeAutospacing="1" w:after="100" w:afterAutospacing="1"/>
        <w:rPr>
          <w:rFonts w:cs="Arial"/>
        </w:rPr>
      </w:pPr>
      <w:r w:rsidRPr="007B6BE9">
        <w:rPr>
          <w:rFonts w:cs="Arial"/>
        </w:rPr>
        <w:t>La secretaría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rsidR="00CC48AD" w:rsidRDefault="007B6BE9">
      <w:pPr>
        <w:spacing w:before="100" w:beforeAutospacing="1" w:after="100" w:afterAutospacing="1"/>
        <w:rPr>
          <w:rFonts w:cs="Arial"/>
        </w:rPr>
      </w:pPr>
      <w:r w:rsidRPr="007B6BE9">
        <w:rPr>
          <w:rFonts w:cs="Arial"/>
        </w:rPr>
        <w:t>Para la formalización de lo establecido en el presente artículo se realizará un convenio con el municipio, entidad u organismo solicitante que reciba las transferencias donde se comprometa a restituir al Poder Ejecutivo del estado dentro del ejercicio fiscal en que se hayan otorgado, a efecto de contribuir al balance presupuestario.</w:t>
      </w:r>
      <w:bookmarkStart w:id="41" w:name="capítulo-vi-1"/>
      <w:bookmarkEnd w:id="40"/>
    </w:p>
    <w:p w:rsidR="00CC48AD" w:rsidRDefault="007B6BE9">
      <w:pPr>
        <w:pStyle w:val="Ttulo2"/>
        <w:spacing w:before="100" w:beforeAutospacing="1" w:after="100" w:afterAutospacing="1"/>
        <w:rPr>
          <w:rFonts w:cs="Arial"/>
          <w:szCs w:val="24"/>
        </w:rPr>
      </w:pPr>
      <w:r w:rsidRPr="007B6BE9">
        <w:rPr>
          <w:rFonts w:cs="Arial"/>
          <w:szCs w:val="24"/>
        </w:rPr>
        <w:t>Capítulo VI</w:t>
      </w:r>
    </w:p>
    <w:p w:rsidR="00CC48AD" w:rsidRDefault="007B6BE9">
      <w:pPr>
        <w:pStyle w:val="Ttulo2"/>
        <w:spacing w:before="100" w:beforeAutospacing="1" w:after="100" w:afterAutospacing="1"/>
        <w:rPr>
          <w:rFonts w:cs="Arial"/>
          <w:szCs w:val="24"/>
        </w:rPr>
      </w:pPr>
      <w:bookmarkStart w:id="42" w:name="asignaciones-subsidios-y-otras-ayudas"/>
      <w:bookmarkEnd w:id="41"/>
      <w:r w:rsidRPr="007B6BE9">
        <w:rPr>
          <w:rFonts w:cs="Arial"/>
          <w:b w:val="0"/>
          <w:szCs w:val="24"/>
        </w:rPr>
        <w:t>Asignaciones, subsidios y otras ayudas</w:t>
      </w:r>
    </w:p>
    <w:p w:rsidR="00CC48AD" w:rsidRDefault="007B6BE9">
      <w:pPr>
        <w:spacing w:before="100" w:beforeAutospacing="1" w:after="100" w:afterAutospacing="1"/>
        <w:rPr>
          <w:rFonts w:cs="Arial"/>
        </w:rPr>
      </w:pPr>
      <w:r w:rsidRPr="007B6BE9">
        <w:rPr>
          <w:rFonts w:cs="Arial"/>
          <w:b/>
          <w:bCs/>
        </w:rPr>
        <w:t>Artículo 80. Subsidios y otras ayudas</w:t>
      </w:r>
    </w:p>
    <w:p w:rsidR="00CC48AD" w:rsidRDefault="007B6BE9">
      <w:pPr>
        <w:spacing w:before="100" w:beforeAutospacing="1" w:after="100" w:afterAutospacing="1"/>
        <w:rPr>
          <w:rFonts w:cs="Arial"/>
        </w:rPr>
      </w:pPr>
      <w:r w:rsidRPr="007B6BE9">
        <w:rPr>
          <w:rFonts w:cs="Arial"/>
        </w:rPr>
        <w:t>Los subsidios y otras ayudas se aplicarán conforme a los siguientes criterios:</w:t>
      </w:r>
    </w:p>
    <w:p w:rsidR="00CC48AD" w:rsidRDefault="007B6BE9">
      <w:pPr>
        <w:spacing w:before="100" w:beforeAutospacing="1" w:after="100" w:afterAutospacing="1"/>
        <w:rPr>
          <w:rFonts w:cs="Arial"/>
        </w:rPr>
      </w:pPr>
      <w:r w:rsidRPr="007B6BE9">
        <w:rPr>
          <w:rFonts w:cs="Arial"/>
        </w:rPr>
        <w:lastRenderedPageBreak/>
        <w:t>      I. Solo se otorgarán subsidios, ayudas y donativos a los sectores social y privado cuando se precisen claramente los programas, destinos, resultados, beneficiarios, temporalidad y sus condiciones, debiendo contar con la autorización previa de la secretaría.</w:t>
      </w:r>
    </w:p>
    <w:p w:rsidR="00CC48AD" w:rsidRDefault="007B6BE9">
      <w:pPr>
        <w:spacing w:before="100" w:beforeAutospacing="1" w:after="100" w:afterAutospacing="1"/>
        <w:rPr>
          <w:rFonts w:cs="Arial"/>
        </w:rPr>
      </w:pPr>
      <w:r w:rsidRPr="007B6BE9">
        <w:rPr>
          <w:rFonts w:cs="Arial"/>
        </w:rPr>
        <w:t>      II. Los subsidios y ayudas se orientarán a las actividades que conlleven un mayor beneficio social entre los grupos de menores ingresos y en condiciones de alta vulnerabilidad o marginación, así como a actividades vinculadas con el interés público o general.</w:t>
      </w:r>
    </w:p>
    <w:p w:rsidR="00CC48AD" w:rsidRDefault="007B6BE9">
      <w:pPr>
        <w:spacing w:before="100" w:beforeAutospacing="1" w:after="100" w:afterAutospacing="1"/>
        <w:rPr>
          <w:rFonts w:cs="Arial"/>
        </w:rPr>
      </w:pPr>
      <w:r w:rsidRPr="007B6BE9">
        <w:rPr>
          <w:rFonts w:cs="Arial"/>
        </w:rPr>
        <w:t>      III. Los subsidios y ayudas solo se podrán otorgar con la autorización indelegable del titular de la dependencia o la autorización previa del órgano de gobierno de la entidad.</w:t>
      </w:r>
    </w:p>
    <w:p w:rsidR="00CC48AD" w:rsidRDefault="007B6BE9">
      <w:pPr>
        <w:spacing w:before="100" w:beforeAutospacing="1" w:after="100" w:afterAutospacing="1"/>
        <w:rPr>
          <w:rFonts w:cs="Arial"/>
        </w:rPr>
      </w:pPr>
      <w:r w:rsidRPr="007B6BE9">
        <w:rPr>
          <w:rFonts w:cs="Arial"/>
          <w:b/>
          <w:bCs/>
        </w:rPr>
        <w:t>Artículo 81. Otorgamiento de subsidios y ayudas</w:t>
      </w:r>
    </w:p>
    <w:p w:rsidR="00CC48AD" w:rsidRDefault="007B6BE9">
      <w:pPr>
        <w:spacing w:before="100" w:beforeAutospacing="1" w:after="100" w:afterAutospacing="1"/>
        <w:rPr>
          <w:rFonts w:cs="Arial"/>
        </w:rPr>
      </w:pPr>
      <w:r w:rsidRPr="007B6BE9">
        <w:rPr>
          <w:rFonts w:cs="Arial"/>
        </w:rPr>
        <w:t>Las dependencias y entidades solo podrán otorgar subsidios y ayudas cuando cumplan con las normas y los procedimientos emitidos por la secretaría. Las modificaciones a los programas se sujetarán a lo establecido en el artículo 134 de la Ley del Presupuesto y Contabilidad Gubernamental del Estado de Yucatán.</w:t>
      </w:r>
    </w:p>
    <w:p w:rsidR="00CC48AD" w:rsidRDefault="007B6BE9">
      <w:pPr>
        <w:spacing w:before="100" w:beforeAutospacing="1" w:after="100" w:afterAutospacing="1"/>
        <w:rPr>
          <w:rFonts w:cs="Arial"/>
        </w:rPr>
      </w:pPr>
      <w:r w:rsidRPr="007B6BE9">
        <w:rPr>
          <w:rFonts w:cs="Arial"/>
        </w:rPr>
        <w:t>En ningún caso las dependencias y entidades podrán otorgar recursos a organizaciones que por irregularidades en su funcionamiento estén sujetas a procesos legales.</w:t>
      </w:r>
    </w:p>
    <w:p w:rsidR="00CC48AD" w:rsidRDefault="007B6BE9">
      <w:pPr>
        <w:spacing w:before="100" w:beforeAutospacing="1" w:after="100" w:afterAutospacing="1"/>
        <w:rPr>
          <w:rFonts w:cs="Arial"/>
        </w:rPr>
      </w:pPr>
      <w:r w:rsidRPr="007B6BE9">
        <w:rPr>
          <w:rFonts w:cs="Arial"/>
          <w:b/>
          <w:bCs/>
        </w:rPr>
        <w:t>Artículo 82. Autorización de reglas de operación</w:t>
      </w:r>
    </w:p>
    <w:p w:rsidR="00CC48AD" w:rsidRDefault="007B6BE9">
      <w:pPr>
        <w:spacing w:before="100" w:beforeAutospacing="1" w:after="100" w:afterAutospacing="1"/>
        <w:rPr>
          <w:rFonts w:cs="Arial"/>
        </w:rPr>
      </w:pPr>
      <w:r w:rsidRPr="007B6BE9">
        <w:rPr>
          <w:rFonts w:cs="Arial"/>
        </w:rPr>
        <w:t>La secretaría autorizará las reglas de operación e indicadores de desempeño de los programas por los que se entreguen subsidios y otras ayudas. Lo anterior, con el propósito de asegurar que su aplicación contribuya efectivamente a alcanzar los resultados de los programas presupuestarios y las actividades institucionales a los que correspondan. Será responsabilidad de los titulares de las dependencias y entidades presentar a la secretaría sus proyectos de reglas de operación e indicadores.</w:t>
      </w:r>
    </w:p>
    <w:p w:rsidR="00CC48AD" w:rsidRDefault="007B6BE9">
      <w:pPr>
        <w:spacing w:before="100" w:beforeAutospacing="1" w:after="100" w:afterAutospacing="1"/>
        <w:rPr>
          <w:rFonts w:cs="Arial"/>
        </w:rPr>
      </w:pPr>
      <w:r w:rsidRPr="007B6BE9">
        <w:rPr>
          <w:rFonts w:cs="Arial"/>
          <w:b/>
          <w:bCs/>
        </w:rPr>
        <w:t>Artículo 83. Criterios generales</w:t>
      </w:r>
    </w:p>
    <w:p w:rsidR="00CC48AD" w:rsidRDefault="007B6BE9">
      <w:pPr>
        <w:spacing w:before="100" w:beforeAutospacing="1" w:after="100" w:afterAutospacing="1"/>
        <w:rPr>
          <w:rFonts w:cs="Arial"/>
        </w:rPr>
      </w:pPr>
      <w:r w:rsidRPr="007B6BE9">
        <w:rPr>
          <w:rFonts w:cs="Arial"/>
        </w:rPr>
        <w:t>Los programas sujetos a reglas de operación deberán apegarse a los lineamientos emitidos por la secretaría, así como a los siguientes criterios generales:</w:t>
      </w:r>
    </w:p>
    <w:p w:rsidR="00CC48AD" w:rsidRDefault="007B6BE9">
      <w:pPr>
        <w:spacing w:before="100" w:beforeAutospacing="1" w:after="100" w:afterAutospacing="1"/>
        <w:ind w:firstLine="709"/>
        <w:rPr>
          <w:rFonts w:cs="Arial"/>
        </w:rPr>
      </w:pPr>
      <w:r w:rsidRPr="007B6BE9">
        <w:rPr>
          <w:rFonts w:cs="Arial"/>
        </w:rPr>
        <w:t>I. Ser simples, precisos y de fácil acceso para los beneficiarios.</w:t>
      </w:r>
    </w:p>
    <w:p w:rsidR="00CC48AD" w:rsidRDefault="007B6BE9">
      <w:pPr>
        <w:spacing w:before="100" w:beforeAutospacing="1" w:after="100" w:afterAutospacing="1"/>
        <w:ind w:firstLine="709"/>
        <w:rPr>
          <w:rFonts w:cs="Arial"/>
        </w:rPr>
      </w:pPr>
      <w:r w:rsidRPr="007B6BE9">
        <w:rPr>
          <w:rFonts w:cs="Arial"/>
        </w:rPr>
        <w:lastRenderedPageBreak/>
        <w:t>II. Tomar en cuenta las características de las diferentes regiones socioeconómicas del estado.</w:t>
      </w:r>
    </w:p>
    <w:p w:rsidR="00CC48AD" w:rsidRDefault="007B6BE9">
      <w:pPr>
        <w:spacing w:before="100" w:beforeAutospacing="1" w:after="100" w:afterAutospacing="1"/>
        <w:ind w:firstLine="709"/>
        <w:rPr>
          <w:rFonts w:cs="Arial"/>
        </w:rPr>
      </w:pPr>
      <w:r w:rsidRPr="007B6BE9">
        <w:rPr>
          <w:rFonts w:cs="Arial"/>
        </w:rPr>
        <w:t>III. Considerar las características sociales, económicas y culturales de la población objetivo.</w:t>
      </w:r>
    </w:p>
    <w:p w:rsidR="00CC48AD" w:rsidRDefault="007B6BE9">
      <w:pPr>
        <w:spacing w:before="100" w:beforeAutospacing="1" w:after="100" w:afterAutospacing="1"/>
        <w:ind w:firstLine="709"/>
        <w:rPr>
          <w:rFonts w:cs="Arial"/>
        </w:rPr>
      </w:pPr>
      <w:r w:rsidRPr="007B6BE9">
        <w:rPr>
          <w:rFonts w:cs="Arial"/>
        </w:rPr>
        <w:t>IV. Promover una calendarización eficiente para el ejercicio de los recursos respectivos.</w:t>
      </w:r>
    </w:p>
    <w:p w:rsidR="00CC48AD" w:rsidRDefault="007B6BE9">
      <w:pPr>
        <w:spacing w:before="100" w:beforeAutospacing="1" w:after="100" w:afterAutospacing="1"/>
        <w:ind w:firstLine="709"/>
        <w:rPr>
          <w:rFonts w:cs="Arial"/>
        </w:rPr>
      </w:pPr>
      <w:r w:rsidRPr="007B6BE9">
        <w:rPr>
          <w:rFonts w:cs="Arial"/>
        </w:rPr>
        <w:t>V. Asegurar la transparencia en la distribución, aplicación y comprobación de recursos.</w:t>
      </w:r>
    </w:p>
    <w:p w:rsidR="00CC48AD" w:rsidRDefault="007B6BE9">
      <w:pPr>
        <w:spacing w:before="100" w:beforeAutospacing="1" w:after="100" w:afterAutospacing="1"/>
        <w:ind w:firstLine="709"/>
        <w:rPr>
          <w:rFonts w:cs="Arial"/>
        </w:rPr>
      </w:pPr>
      <w:r w:rsidRPr="007B6BE9">
        <w:rPr>
          <w:rFonts w:cs="Arial"/>
        </w:rPr>
        <w:t>VI. Promover los principios de igualdad, no discriminación, interés superior de la niñez, integridad, integración familiar, igualdad de género, libre determinación de las comunidades indígenas, protección al medio ambiente, protección a la vida, salud e integridad de las personas, según corresponda, así como transparencia y acceso a la información, y eficiencia y eficacia de los recursos públicos.</w:t>
      </w:r>
    </w:p>
    <w:p w:rsidR="00CC48AD" w:rsidRDefault="007B6BE9">
      <w:pPr>
        <w:spacing w:before="100" w:beforeAutospacing="1" w:after="100" w:afterAutospacing="1"/>
        <w:ind w:firstLine="709"/>
        <w:rPr>
          <w:rFonts w:cs="Arial"/>
        </w:rPr>
      </w:pPr>
      <w:r w:rsidRPr="007B6BE9">
        <w:rPr>
          <w:rFonts w:cs="Arial"/>
        </w:rPr>
        <w:t>VII. Observar las siguientes disposiciones para fomentar su transparencia:</w:t>
      </w:r>
    </w:p>
    <w:p w:rsidR="00CC48AD" w:rsidRDefault="007B6BE9">
      <w:pPr>
        <w:spacing w:before="100" w:beforeAutospacing="1" w:after="100" w:afterAutospacing="1"/>
        <w:ind w:left="709" w:firstLine="709"/>
        <w:rPr>
          <w:rFonts w:cs="Arial"/>
        </w:rPr>
      </w:pPr>
      <w:r w:rsidRPr="007B6BE9">
        <w:rPr>
          <w:rFonts w:cs="Arial"/>
        </w:rPr>
        <w:t>a) Todo el gasto en comunicación social relacionado con la publicidad que se adquiera para los programas financiados con recursos presupuestarios federales que se transfieran al estado y sus municipios deberá cumplir con lo establecido en la Ley General de Comunicación Social.</w:t>
      </w:r>
    </w:p>
    <w:p w:rsidR="00CC48AD" w:rsidRDefault="007B6BE9">
      <w:pPr>
        <w:spacing w:before="100" w:beforeAutospacing="1" w:after="100" w:afterAutospacing="1"/>
        <w:ind w:left="709" w:firstLine="709"/>
        <w:rPr>
          <w:rFonts w:cs="Arial"/>
        </w:rPr>
      </w:pPr>
      <w:r w:rsidRPr="007B6BE9">
        <w:rPr>
          <w:rFonts w:cs="Arial"/>
        </w:rPr>
        <w:t>b) En el caso de programas que cuenten con padrón de beneficiarios permanente deberán manejarse invariablemente mediante convocatoria abierta y en ningún caso se podrá etiquetar o predeterminar de manera específica recursos a determinadas personas físicas o morales u otorgarles preferencias o ventajas sobre el resto de la población objetivo.</w:t>
      </w:r>
    </w:p>
    <w:p w:rsidR="00CC48AD" w:rsidRDefault="007B6BE9">
      <w:pPr>
        <w:spacing w:before="100" w:beforeAutospacing="1" w:after="100" w:afterAutospacing="1"/>
        <w:ind w:left="709" w:firstLine="709"/>
        <w:rPr>
          <w:rFonts w:cs="Arial"/>
        </w:rPr>
      </w:pPr>
      <w:r w:rsidRPr="007B6BE9">
        <w:rPr>
          <w:rFonts w:cs="Arial"/>
        </w:rPr>
        <w:t>c) Poner a disposición del público en general un medio de contacto directo, en el cual se proporcione asesoría sobre el llenado de los formatos y sobre el cumplimiento de los requisitos y trámite que deben observarse para obtener los recursos o los beneficios de los programas.</w:t>
      </w:r>
    </w:p>
    <w:p w:rsidR="00CC48AD" w:rsidRDefault="007B6BE9">
      <w:pPr>
        <w:spacing w:before="100" w:beforeAutospacing="1" w:after="100" w:afterAutospacing="1"/>
        <w:ind w:left="709" w:firstLine="709"/>
        <w:rPr>
          <w:rFonts w:cs="Arial"/>
        </w:rPr>
      </w:pPr>
      <w:r w:rsidRPr="007B6BE9">
        <w:rPr>
          <w:rFonts w:cs="Arial"/>
        </w:rPr>
        <w:t xml:space="preserve">d) Las reglas de operación, los formatos, las solicitudes y demás requisitos que se establezcan para obtener los recursos o los beneficios de los programas; los indicadores de desempeño de los programas, y los </w:t>
      </w:r>
      <w:r w:rsidRPr="007B6BE9">
        <w:rPr>
          <w:rFonts w:cs="Arial"/>
        </w:rPr>
        <w:lastRenderedPageBreak/>
        <w:t>medios de contacto de sus unidades responsables deberán estar disponibles en los sitios web de las dependencias y entidades.</w:t>
      </w:r>
    </w:p>
    <w:p w:rsidR="00CC48AD" w:rsidRDefault="007B6BE9">
      <w:pPr>
        <w:spacing w:before="100" w:beforeAutospacing="1" w:after="100" w:afterAutospacing="1"/>
        <w:rPr>
          <w:rFonts w:cs="Arial"/>
        </w:rPr>
      </w:pPr>
      <w:r w:rsidRPr="007B6BE9">
        <w:rPr>
          <w:rFonts w:cs="Arial"/>
          <w:b/>
          <w:bCs/>
        </w:rPr>
        <w:t>Artículo 84. Padrón de beneficiarios</w:t>
      </w:r>
    </w:p>
    <w:p w:rsidR="00CC48AD" w:rsidRDefault="007B6BE9">
      <w:pPr>
        <w:spacing w:before="100" w:beforeAutospacing="1" w:after="100" w:afterAutospacing="1"/>
        <w:rPr>
          <w:rFonts w:cs="Arial"/>
        </w:rPr>
      </w:pPr>
      <w:r w:rsidRPr="007B6BE9">
        <w:rPr>
          <w:rFonts w:cs="Arial"/>
        </w:rPr>
        <w:t>Las dependencias y entidades que tengan a su cargo programas con beneficiarios deberán relacionarlos en un listado o padrón, llevarán a cabo las confrontas de los padrones o listados de los programas a su cargo con el propósito de identificar, si las hubiera, las concurrencias o duplicidades de beneficiarios o derechohabientes y señalar si, en su caso, existe improcedencia legal de la concurrencia o duplicidad de los registros. La secretaría establecerá los lineamientos para llevar a cabo esta actividad y podrá realizar la confronta de los padrones o listas de beneficiarios para identificar concurrencias o duplicidades entre programas de distintas dependencias y entidades.</w:t>
      </w:r>
    </w:p>
    <w:p w:rsidR="00CC48AD" w:rsidRDefault="007B6BE9">
      <w:pPr>
        <w:spacing w:before="100" w:beforeAutospacing="1" w:after="100" w:afterAutospacing="1"/>
        <w:rPr>
          <w:rFonts w:cs="Arial"/>
        </w:rPr>
      </w:pPr>
      <w:r w:rsidRPr="007B6BE9">
        <w:rPr>
          <w:rFonts w:cs="Arial"/>
          <w:b/>
          <w:bCs/>
        </w:rPr>
        <w:t>Artículo 85. Remisión de información</w:t>
      </w:r>
    </w:p>
    <w:p w:rsidR="00CC48AD" w:rsidRDefault="007B6BE9">
      <w:pPr>
        <w:spacing w:before="100" w:beforeAutospacing="1" w:after="100" w:afterAutospacing="1"/>
        <w:rPr>
          <w:rFonts w:cs="Arial"/>
        </w:rPr>
      </w:pPr>
      <w:r w:rsidRPr="007B6BE9">
        <w:rPr>
          <w:rFonts w:cs="Arial"/>
        </w:rPr>
        <w:t>Los poderes y organismos autónomos, así como las dependencias y entidades proporcionarán a la secretaría la información sobre los recursos federales y transferencias recibidos y sobre los subsidios y otras ayudas que hubiesen otorgado durante el ejercicio presupuestal. Dicha información deberá ser suministrada en los términos que se establezcan en la normativa que para tal efecto emita la secretaría.</w:t>
      </w:r>
      <w:bookmarkStart w:id="43" w:name="título-quinto"/>
      <w:bookmarkEnd w:id="42"/>
    </w:p>
    <w:p w:rsidR="00CC48AD" w:rsidRDefault="007B6BE9">
      <w:pPr>
        <w:pStyle w:val="Ttulo2"/>
        <w:spacing w:before="100" w:beforeAutospacing="1" w:after="100" w:afterAutospacing="1"/>
        <w:rPr>
          <w:rFonts w:cs="Arial"/>
          <w:szCs w:val="24"/>
        </w:rPr>
      </w:pPr>
      <w:r w:rsidRPr="007B6BE9">
        <w:rPr>
          <w:rFonts w:cs="Arial"/>
          <w:szCs w:val="24"/>
        </w:rPr>
        <w:t>Título quinto</w:t>
      </w:r>
    </w:p>
    <w:p w:rsidR="00CC48AD" w:rsidRDefault="007B6BE9">
      <w:pPr>
        <w:pStyle w:val="Ttulo2"/>
        <w:spacing w:before="100" w:beforeAutospacing="1" w:after="100" w:afterAutospacing="1"/>
        <w:rPr>
          <w:rFonts w:cs="Arial"/>
          <w:szCs w:val="24"/>
        </w:rPr>
      </w:pPr>
      <w:bookmarkStart w:id="44" w:name="X162b4b88f1e05700642c6c79e8558dba15e3246"/>
      <w:bookmarkEnd w:id="43"/>
      <w:r w:rsidRPr="007B6BE9">
        <w:rPr>
          <w:rFonts w:cs="Arial"/>
          <w:b w:val="0"/>
          <w:szCs w:val="24"/>
        </w:rPr>
        <w:t>Premisas para las contrataciones y adquisiciones</w:t>
      </w:r>
      <w:bookmarkStart w:id="45" w:name="capítulo-i-3"/>
      <w:bookmarkEnd w:id="44"/>
    </w:p>
    <w:p w:rsidR="00CC48AD" w:rsidRDefault="007B6BE9">
      <w:pPr>
        <w:pStyle w:val="Ttulo2"/>
        <w:spacing w:before="100" w:beforeAutospacing="1" w:after="100" w:afterAutospacing="1"/>
        <w:rPr>
          <w:rFonts w:cs="Arial"/>
          <w:szCs w:val="24"/>
        </w:rPr>
      </w:pPr>
      <w:r w:rsidRPr="007B6BE9">
        <w:rPr>
          <w:rFonts w:cs="Arial"/>
          <w:szCs w:val="24"/>
        </w:rPr>
        <w:t>Capítulo I</w:t>
      </w:r>
    </w:p>
    <w:p w:rsidR="00CC48AD" w:rsidRDefault="007B6BE9">
      <w:pPr>
        <w:pStyle w:val="Ttulo2"/>
        <w:spacing w:before="100" w:beforeAutospacing="1" w:after="100" w:afterAutospacing="1"/>
        <w:rPr>
          <w:rFonts w:cs="Arial"/>
          <w:szCs w:val="24"/>
        </w:rPr>
      </w:pPr>
      <w:bookmarkStart w:id="46" w:name="disposiciones-generales-1"/>
      <w:bookmarkEnd w:id="45"/>
      <w:r w:rsidRPr="007B6BE9">
        <w:rPr>
          <w:rFonts w:cs="Arial"/>
          <w:b w:val="0"/>
          <w:szCs w:val="24"/>
        </w:rPr>
        <w:t>Disposiciones generales</w:t>
      </w:r>
    </w:p>
    <w:p w:rsidR="00CC48AD" w:rsidRDefault="007B6BE9">
      <w:pPr>
        <w:spacing w:before="100" w:beforeAutospacing="1" w:after="100" w:afterAutospacing="1"/>
        <w:rPr>
          <w:rFonts w:cs="Arial"/>
        </w:rPr>
      </w:pPr>
      <w:r w:rsidRPr="007B6BE9">
        <w:rPr>
          <w:rFonts w:cs="Arial"/>
          <w:b/>
          <w:bCs/>
        </w:rPr>
        <w:t>Artículo 86. Orientaciones estratégicas para inversión pública</w:t>
      </w:r>
    </w:p>
    <w:p w:rsidR="00CC48AD" w:rsidRDefault="007B6BE9">
      <w:pPr>
        <w:spacing w:before="100" w:beforeAutospacing="1" w:after="100" w:afterAutospacing="1"/>
        <w:rPr>
          <w:rFonts w:cs="Arial"/>
        </w:rPr>
      </w:pPr>
      <w:r w:rsidRPr="007B6BE9">
        <w:rPr>
          <w:rFonts w:cs="Arial"/>
        </w:rPr>
        <w:t>Las dependencias y entidades en el ejercicio del gasto de inversión pública para el año 2022, deberán observar las siguientes orientaciones:</w:t>
      </w:r>
    </w:p>
    <w:p w:rsidR="00CC48AD" w:rsidRDefault="007B6BE9">
      <w:pPr>
        <w:spacing w:before="100" w:beforeAutospacing="1" w:after="100" w:afterAutospacing="1"/>
        <w:rPr>
          <w:rFonts w:cs="Arial"/>
        </w:rPr>
      </w:pPr>
      <w:r w:rsidRPr="007B6BE9">
        <w:rPr>
          <w:rFonts w:cs="Arial"/>
        </w:rPr>
        <w:t>      I. Se destinará preferentemente el gasto a los programas o proyectos cuyos resultados contribuyan al ingreso de las familias.</w:t>
      </w:r>
    </w:p>
    <w:p w:rsidR="00CC48AD" w:rsidRDefault="007B6BE9">
      <w:pPr>
        <w:spacing w:before="100" w:beforeAutospacing="1" w:after="100" w:afterAutospacing="1"/>
        <w:rPr>
          <w:rFonts w:cs="Arial"/>
        </w:rPr>
      </w:pPr>
      <w:r w:rsidRPr="007B6BE9">
        <w:rPr>
          <w:rFonts w:cs="Arial"/>
        </w:rPr>
        <w:lastRenderedPageBreak/>
        <w:t>      II. Se otorgará prioridad a las erogaciones por concepto de gastos de mantenimiento de los proyectos y obras concluidas, al avance de los proyectos y obras públicas que se encuentren en proceso vinculados a la prestación de servicios públicos, así como las que cuenten con autorización de ejecución plurianual por parte de la secretaría.</w:t>
      </w:r>
    </w:p>
    <w:p w:rsidR="00CC48AD" w:rsidRDefault="007B6BE9">
      <w:pPr>
        <w:spacing w:before="100" w:beforeAutospacing="1" w:after="100" w:afterAutospacing="1"/>
        <w:rPr>
          <w:rFonts w:cs="Arial"/>
        </w:rPr>
      </w:pPr>
      <w:r w:rsidRPr="007B6BE9">
        <w:rPr>
          <w:rFonts w:cs="Arial"/>
        </w:rPr>
        <w:t>      III. El monto de los gastos administrativos debe ser justificado y proporcional al costo del bien o el servicio entregado.</w:t>
      </w:r>
    </w:p>
    <w:p w:rsidR="00CC48AD" w:rsidRDefault="007B6BE9">
      <w:pPr>
        <w:spacing w:before="100" w:beforeAutospacing="1" w:after="100" w:afterAutospacing="1"/>
        <w:rPr>
          <w:rFonts w:cs="Arial"/>
        </w:rPr>
      </w:pPr>
      <w:r w:rsidRPr="007B6BE9">
        <w:rPr>
          <w:rFonts w:cs="Arial"/>
        </w:rPr>
        <w:t>      IV. Las dependencias y entidades solo podrán iniciar proyectos de obra pública cuando tengan garantizada la disponibilidad presupuestal durante el ejercicio fiscal, en el caso de que los proyectos abarquen más de un ejercicio, deberá contarse con la autorización previa y expresa por parte de la secretaría.</w:t>
      </w:r>
    </w:p>
    <w:p w:rsidR="00CC48AD" w:rsidRDefault="007B6BE9">
      <w:pPr>
        <w:spacing w:before="100" w:beforeAutospacing="1" w:after="100" w:afterAutospacing="1"/>
        <w:rPr>
          <w:rFonts w:cs="Arial"/>
        </w:rPr>
      </w:pPr>
      <w:r w:rsidRPr="007B6BE9">
        <w:rPr>
          <w:rFonts w:cs="Arial"/>
        </w:rPr>
        <w:t>      V. Se aprovechará al máximo la mano de obra e insumos locales y la capacidad instalada con el objeto de abatir costos. En igualdad de condiciones en cuanto a precio, calidad, financiamiento, oportunidad y demás circunstancias pertinentes, deberá darse prioridad a los contratistas locales en la adjudicación de contratos de obra pública.</w:t>
      </w:r>
    </w:p>
    <w:p w:rsidR="00CC48AD" w:rsidRDefault="007B6BE9">
      <w:pPr>
        <w:spacing w:before="100" w:beforeAutospacing="1" w:after="100" w:afterAutospacing="1"/>
        <w:rPr>
          <w:rFonts w:cs="Arial"/>
        </w:rPr>
      </w:pPr>
      <w:r w:rsidRPr="007B6BE9">
        <w:rPr>
          <w:rFonts w:cs="Arial"/>
        </w:rPr>
        <w:t>      VI. Se otorgará preferencia a la utilización de tecnologías nacionales con uso intensivo de mano de obra.</w:t>
      </w:r>
    </w:p>
    <w:p w:rsidR="00CC48AD" w:rsidRDefault="007B6BE9">
      <w:pPr>
        <w:spacing w:before="100" w:beforeAutospacing="1" w:after="100" w:afterAutospacing="1"/>
        <w:rPr>
          <w:rFonts w:cs="Arial"/>
        </w:rPr>
      </w:pPr>
      <w:r w:rsidRPr="007B6BE9">
        <w:rPr>
          <w:rFonts w:cs="Arial"/>
        </w:rPr>
        <w:t>      VII. Se estimularán los proyectos de desarrollo compartido con los sectores social y privado, y con los demás órdenes de gobierno para la ejecución de obras y proyectos de infraestructura y de servicios que contribuyan a mejorar la calidad de vida de la población y estimulen la generación de empleos.</w:t>
      </w:r>
    </w:p>
    <w:p w:rsidR="00CC48AD" w:rsidRDefault="007B6BE9">
      <w:pPr>
        <w:spacing w:before="100" w:beforeAutospacing="1" w:after="100" w:afterAutospacing="1"/>
        <w:rPr>
          <w:rFonts w:cs="Arial"/>
        </w:rPr>
      </w:pPr>
      <w:r w:rsidRPr="007B6BE9">
        <w:rPr>
          <w:rFonts w:cs="Arial"/>
        </w:rPr>
        <w:t>      VIII. Los proyectos de inversión de las dependencias y entidades que sean financiados con recursos crediticios deberán acatar lo dispuesto en la ley de disciplina financiera, así como lo dispuesto en los lineamientos que para tal efecto emita la Secretaría de Hacienda y Crédito Público, independientemente de la obligación que tienen de sujetarse a los ordenamientos que integran la normativa local aplicable en materia de presupuesto y de deuda pública estatal.</w:t>
      </w:r>
    </w:p>
    <w:p w:rsidR="00CC48AD" w:rsidRDefault="007B6BE9">
      <w:pPr>
        <w:spacing w:before="100" w:beforeAutospacing="1" w:after="100" w:afterAutospacing="1"/>
        <w:rPr>
          <w:rFonts w:cs="Arial"/>
        </w:rPr>
      </w:pPr>
      <w:r w:rsidRPr="007B6BE9">
        <w:rPr>
          <w:rFonts w:cs="Arial"/>
        </w:rPr>
        <w:t>      IX. En caso de que existan convenios con el Ejecutivo federal o lineamientos emitidos por la federación, se estará a lo dispuesto en ellos.</w:t>
      </w:r>
    </w:p>
    <w:p w:rsidR="00CC48AD" w:rsidRDefault="007B6BE9">
      <w:pPr>
        <w:spacing w:before="100" w:beforeAutospacing="1" w:after="100" w:afterAutospacing="1"/>
        <w:rPr>
          <w:rFonts w:cs="Arial"/>
        </w:rPr>
      </w:pPr>
      <w:r w:rsidRPr="007B6BE9">
        <w:rPr>
          <w:rFonts w:cs="Arial"/>
          <w:b/>
          <w:bCs/>
        </w:rPr>
        <w:t>Artículo 87. Orientaciones estratégicas para contratación de bienes, servicios y arrendamientos</w:t>
      </w:r>
    </w:p>
    <w:p w:rsidR="00CC48AD" w:rsidRDefault="007B6BE9">
      <w:pPr>
        <w:spacing w:before="100" w:beforeAutospacing="1" w:after="100" w:afterAutospacing="1"/>
        <w:rPr>
          <w:rFonts w:cs="Arial"/>
        </w:rPr>
      </w:pPr>
      <w:r w:rsidRPr="007B6BE9">
        <w:rPr>
          <w:rFonts w:cs="Arial"/>
        </w:rPr>
        <w:lastRenderedPageBreak/>
        <w:t>Las dependencias y entidades en el ejercicio del gasto para contratación de bienes, servicios y arrendamientos para el año 2022, deberán observar las siguientes orientaciones:</w:t>
      </w:r>
    </w:p>
    <w:p w:rsidR="00CC48AD" w:rsidRDefault="007B6BE9">
      <w:pPr>
        <w:spacing w:before="100" w:beforeAutospacing="1" w:after="100" w:afterAutospacing="1"/>
        <w:rPr>
          <w:rFonts w:cs="Arial"/>
        </w:rPr>
      </w:pPr>
      <w:r w:rsidRPr="007B6BE9">
        <w:rPr>
          <w:rFonts w:cs="Arial"/>
        </w:rPr>
        <w:t>      I. El monto de los gastos administrativos debe ser justificado y proporcional al costo del bien o el servicio entregado.</w:t>
      </w:r>
    </w:p>
    <w:p w:rsidR="00CC48AD" w:rsidRDefault="007B6BE9">
      <w:pPr>
        <w:spacing w:before="100" w:beforeAutospacing="1" w:after="100" w:afterAutospacing="1"/>
        <w:rPr>
          <w:rFonts w:cs="Arial"/>
        </w:rPr>
      </w:pPr>
      <w:r w:rsidRPr="007B6BE9">
        <w:rPr>
          <w:rFonts w:cs="Arial"/>
        </w:rPr>
        <w:t>      II. Las dependencias y entidades solo podrán iniciar procesos de contratación cuando tengan garantizada la disponibilidad presupuestal durante el ejercicio fiscal, en el caso de las contrataciones que afecten el presupuesto correspondiente a cuando menos el ejercicio presupuestal siguiente al que se inicie el proceso de adjudicación o contratación, deberá contarse con la autorización previa y expresa por parte de la secretaría.</w:t>
      </w:r>
    </w:p>
    <w:p w:rsidR="00CC48AD" w:rsidRDefault="007B6BE9">
      <w:pPr>
        <w:spacing w:before="100" w:beforeAutospacing="1" w:after="100" w:afterAutospacing="1"/>
        <w:rPr>
          <w:rFonts w:cs="Arial"/>
        </w:rPr>
      </w:pPr>
      <w:r w:rsidRPr="007B6BE9">
        <w:rPr>
          <w:rFonts w:cs="Arial"/>
        </w:rPr>
        <w:t>      III. Se aprovecharán al máximo los insumos locales y la capacidad instalada con el objeto de abatir costos. En igualdad de condiciones en cuanto a precio, calidad, financiamiento, oportunidad y demás circunstancias pertinentes, deberá darse prioridad a los proveedores locales en la adjudicación de contratos de adquisiciones, arrendamientos y prestación de servicios de cualquier naturaleza.</w:t>
      </w:r>
    </w:p>
    <w:p w:rsidR="00CC48AD" w:rsidRDefault="007B6BE9">
      <w:pPr>
        <w:spacing w:before="100" w:beforeAutospacing="1" w:after="100" w:afterAutospacing="1"/>
        <w:rPr>
          <w:rFonts w:cs="Arial"/>
        </w:rPr>
      </w:pPr>
      <w:r w:rsidRPr="007B6BE9">
        <w:rPr>
          <w:rFonts w:cs="Arial"/>
        </w:rPr>
        <w:t>      IV. Se otorgará preferencia a la adquisición de productos y a la utilización de tecnologías nacionales con uso intensivo de mano de obra.</w:t>
      </w:r>
    </w:p>
    <w:p w:rsidR="00CC48AD" w:rsidRDefault="007B6BE9">
      <w:pPr>
        <w:spacing w:before="100" w:beforeAutospacing="1" w:after="100" w:afterAutospacing="1"/>
        <w:rPr>
          <w:rFonts w:cs="Arial"/>
        </w:rPr>
      </w:pPr>
      <w:r w:rsidRPr="007B6BE9">
        <w:rPr>
          <w:rFonts w:cs="Arial"/>
        </w:rPr>
        <w:t>      V. Las adquisiciones, arrendamientos y prestación de servicios de cualquier naturaleza, cuando se realicen total o parcialmente con recursos federales, estarán sujetos, en su caso, a los convenios que celebren con el Ejecutivo Federal y demás normativa aplicable.</w:t>
      </w:r>
    </w:p>
    <w:p w:rsidR="00CC48AD" w:rsidRDefault="007B6BE9">
      <w:pPr>
        <w:spacing w:before="100" w:beforeAutospacing="1" w:after="100" w:afterAutospacing="1"/>
        <w:rPr>
          <w:rFonts w:cs="Arial"/>
        </w:rPr>
      </w:pPr>
      <w:r w:rsidRPr="007B6BE9">
        <w:rPr>
          <w:rFonts w:cs="Arial"/>
        </w:rPr>
        <w:t>      VI. Los rubros de gasto de las adquisiciones de bienes, servicios y arrendamientos que realicen las dependencias y entidades deberán estar previstos en sus presupuestos de egresos.</w:t>
      </w:r>
    </w:p>
    <w:p w:rsidR="00CC48AD" w:rsidRDefault="007B6BE9">
      <w:pPr>
        <w:spacing w:before="100" w:beforeAutospacing="1" w:after="100" w:afterAutospacing="1"/>
        <w:rPr>
          <w:rFonts w:cs="Arial"/>
        </w:rPr>
      </w:pPr>
      <w:r w:rsidRPr="007B6BE9">
        <w:rPr>
          <w:rFonts w:cs="Arial"/>
          <w:b/>
          <w:bCs/>
        </w:rPr>
        <w:t>Artículo 88. Ausencia de saldo disponible</w:t>
      </w:r>
    </w:p>
    <w:p w:rsidR="00CC48AD" w:rsidRDefault="007B6BE9">
      <w:pPr>
        <w:spacing w:before="100" w:beforeAutospacing="1" w:after="100" w:afterAutospacing="1"/>
        <w:rPr>
          <w:rFonts w:cs="Arial"/>
        </w:rPr>
      </w:pPr>
      <w:r w:rsidRPr="007B6BE9">
        <w:rPr>
          <w:rFonts w:cs="Arial"/>
        </w:rPr>
        <w:t>Las dependencias y entidades de la Administración Pública estatal se abstendrán de convocar, formalizar o modificar cualquier tipo de contrato cuando no hubiera saldo disponible en el capítulo presupuestal correspondiente y en el caso de obra pública no se cuente con el registro de cartera.</w:t>
      </w:r>
    </w:p>
    <w:p w:rsidR="00CC48AD" w:rsidRDefault="007B6BE9">
      <w:pPr>
        <w:spacing w:before="100" w:beforeAutospacing="1" w:after="100" w:afterAutospacing="1"/>
        <w:rPr>
          <w:rFonts w:cs="Arial"/>
        </w:rPr>
      </w:pPr>
      <w:r w:rsidRPr="007B6BE9">
        <w:rPr>
          <w:rFonts w:cs="Arial"/>
          <w:b/>
          <w:bCs/>
        </w:rPr>
        <w:t>Artículo 89. Contratos plurianuales</w:t>
      </w:r>
    </w:p>
    <w:p w:rsidR="00CC48AD" w:rsidRDefault="007B6BE9">
      <w:pPr>
        <w:spacing w:before="100" w:beforeAutospacing="1" w:after="100" w:afterAutospacing="1"/>
        <w:rPr>
          <w:rFonts w:cs="Arial"/>
        </w:rPr>
      </w:pPr>
      <w:r w:rsidRPr="007B6BE9">
        <w:rPr>
          <w:rFonts w:cs="Arial"/>
        </w:rPr>
        <w:lastRenderedPageBreak/>
        <w:t>Las dependencias y entidades podrán celebrar contratos que afecten el presupuesto correspondiente a cuando menos el ejercicio presupuestal siguiente al que se inicie el proceso de adjudicación o contratación de obra pública o de adquisiciones, arrendamientos, servicios o proyectos para la prestación de servicios durante el ejercicio fiscal, siempre que:</w:t>
      </w:r>
    </w:p>
    <w:p w:rsidR="00CC48AD" w:rsidRDefault="007B6BE9">
      <w:pPr>
        <w:spacing w:before="100" w:beforeAutospacing="1" w:after="100" w:afterAutospacing="1"/>
        <w:rPr>
          <w:rFonts w:cs="Arial"/>
        </w:rPr>
      </w:pPr>
      <w:r w:rsidRPr="007B6BE9">
        <w:rPr>
          <w:rFonts w:cs="Arial"/>
        </w:rPr>
        <w:t>      I. Justifiquen las ventajas económicas o que sus términos o condiciones sean más favorables.</w:t>
      </w:r>
    </w:p>
    <w:p w:rsidR="00CC48AD" w:rsidRDefault="007B6BE9">
      <w:pPr>
        <w:spacing w:before="100" w:beforeAutospacing="1" w:after="100" w:afterAutospacing="1"/>
        <w:rPr>
          <w:rFonts w:cs="Arial"/>
        </w:rPr>
      </w:pPr>
      <w:r w:rsidRPr="007B6BE9">
        <w:rPr>
          <w:rFonts w:cs="Arial"/>
        </w:rPr>
        <w:t>      II. Justifiquen el plazo de la contratación y sustenten que no afectará negativamente la competencia económica en el sector de que se trate.</w:t>
      </w:r>
    </w:p>
    <w:p w:rsidR="00CC48AD" w:rsidRDefault="007B6BE9">
      <w:pPr>
        <w:spacing w:before="100" w:beforeAutospacing="1" w:after="100" w:afterAutospacing="1"/>
        <w:rPr>
          <w:rFonts w:cs="Arial"/>
        </w:rPr>
      </w:pPr>
      <w:r w:rsidRPr="007B6BE9">
        <w:rPr>
          <w:rFonts w:cs="Arial"/>
        </w:rPr>
        <w:t>      III. Identifiquen el gasto corriente o de inversión correspondiente.</w:t>
      </w:r>
    </w:p>
    <w:p w:rsidR="00CC48AD" w:rsidRDefault="007B6BE9">
      <w:pPr>
        <w:spacing w:before="100" w:beforeAutospacing="1" w:after="100" w:afterAutospacing="1"/>
        <w:rPr>
          <w:rFonts w:cs="Arial"/>
        </w:rPr>
      </w:pPr>
      <w:r w:rsidRPr="007B6BE9">
        <w:rPr>
          <w:rFonts w:cs="Arial"/>
        </w:rPr>
        <w:t>      IV. Desglosen el gasto a precios del año, tanto para este ejercicio fiscal como para los subsecuentes.</w:t>
      </w:r>
    </w:p>
    <w:p w:rsidR="00CC48AD" w:rsidRDefault="007B6BE9">
      <w:pPr>
        <w:spacing w:before="100" w:beforeAutospacing="1" w:after="100" w:afterAutospacing="1"/>
        <w:rPr>
          <w:rFonts w:cs="Arial"/>
        </w:rPr>
      </w:pPr>
      <w:r w:rsidRPr="007B6BE9">
        <w:rPr>
          <w:rFonts w:cs="Arial"/>
        </w:rPr>
        <w:t>Las dependencias y entidades requerirán suficiencia presupuestaria para la celebración de los contratos a que se refiere este artículo. En el caso de las entidades, adicionalmente se sujetarán a la autorización de su órgano de gobierno, de acuerdo con las disposiciones legales aplicables.</w:t>
      </w:r>
    </w:p>
    <w:p w:rsidR="00CC48AD" w:rsidRDefault="007B6BE9">
      <w:pPr>
        <w:spacing w:before="100" w:beforeAutospacing="1" w:after="100" w:afterAutospacing="1"/>
        <w:rPr>
          <w:rFonts w:cs="Arial"/>
        </w:rPr>
      </w:pPr>
      <w:r w:rsidRPr="007B6BE9">
        <w:rPr>
          <w:rFonts w:cs="Arial"/>
        </w:rPr>
        <w:t>Las dependencias y entidades deberán informar a la contraloría sobre la celebración de los contratos a que se refiere este artículo dentro de los treinta días posteriores a su formalización.</w:t>
      </w:r>
    </w:p>
    <w:p w:rsidR="00CC48AD" w:rsidRDefault="007B6BE9">
      <w:pPr>
        <w:spacing w:before="100" w:beforeAutospacing="1" w:after="100" w:afterAutospacing="1"/>
        <w:rPr>
          <w:rFonts w:cs="Arial"/>
        </w:rPr>
      </w:pPr>
      <w:r w:rsidRPr="007B6BE9">
        <w:rPr>
          <w:rFonts w:cs="Arial"/>
        </w:rPr>
        <w:t>En caso de proyectos para la prestación de servicios, las dependencias y entidades deberán sujetarse a la Ley de Proyectos para la Prestación de Servicios del Estado de Yucatán y demás disposiciones legales y normativas aplicables, así como los lineamientos o reglas que para tal efecto emitan, en el ámbito de sus respectivas competencias, la secretaría y la contraloría.</w:t>
      </w:r>
    </w:p>
    <w:p w:rsidR="00CC48AD" w:rsidRDefault="007B6BE9">
      <w:pPr>
        <w:spacing w:before="100" w:beforeAutospacing="1" w:after="100" w:afterAutospacing="1"/>
        <w:rPr>
          <w:rFonts w:cs="Arial"/>
        </w:rPr>
      </w:pPr>
      <w:r w:rsidRPr="007B6BE9">
        <w:rPr>
          <w:rFonts w:cs="Arial"/>
          <w:b/>
          <w:bCs/>
        </w:rPr>
        <w:t>Artículo 90. Contrataciones y servicios con recursos federales</w:t>
      </w:r>
    </w:p>
    <w:p w:rsidR="00CC48AD" w:rsidRDefault="007B6BE9">
      <w:pPr>
        <w:spacing w:before="100" w:beforeAutospacing="1" w:after="100" w:afterAutospacing="1"/>
        <w:rPr>
          <w:rFonts w:cs="Arial"/>
        </w:rPr>
      </w:pPr>
      <w:r w:rsidRPr="007B6BE9">
        <w:rPr>
          <w:rFonts w:cs="Arial"/>
        </w:rPr>
        <w:t>Cuando se ejecuten programas en los que se ejerzan asignaciones presupuestales federales, se deberán apegar a la normativa aplicable o a la que se pacte en los acuerdos o convenios respectivos.</w:t>
      </w:r>
    </w:p>
    <w:p w:rsidR="00CC48AD" w:rsidRDefault="007B6BE9">
      <w:pPr>
        <w:spacing w:before="100" w:beforeAutospacing="1" w:after="100" w:afterAutospacing="1"/>
        <w:rPr>
          <w:rFonts w:cs="Arial"/>
        </w:rPr>
      </w:pPr>
      <w:r w:rsidRPr="007B6BE9">
        <w:rPr>
          <w:rFonts w:cs="Arial"/>
        </w:rPr>
        <w:t xml:space="preserve">Cuando se aplique la normativa federal en la contratación de obra pública y servicios relacionados con esta o la contratación de adquisiciones, arrendamientos y servicios, financiados con cargo a recursos federales convenidos, se estará al </w:t>
      </w:r>
      <w:r w:rsidRPr="007B6BE9">
        <w:rPr>
          <w:rFonts w:cs="Arial"/>
        </w:rPr>
        <w:lastRenderedPageBreak/>
        <w:t>rango que determine dicha normativa, conforme al monto de los recursos recibidos en su totalidad por el estado.</w:t>
      </w:r>
      <w:bookmarkStart w:id="47" w:name="capítulo-ii-3"/>
      <w:bookmarkEnd w:id="46"/>
    </w:p>
    <w:p w:rsidR="00CC48AD" w:rsidRDefault="007B6BE9">
      <w:pPr>
        <w:pStyle w:val="Ttulo2"/>
        <w:spacing w:before="100" w:beforeAutospacing="1" w:after="100" w:afterAutospacing="1"/>
        <w:rPr>
          <w:rFonts w:cs="Arial"/>
          <w:szCs w:val="24"/>
        </w:rPr>
      </w:pPr>
      <w:r w:rsidRPr="007B6BE9">
        <w:rPr>
          <w:rFonts w:cs="Arial"/>
          <w:szCs w:val="24"/>
        </w:rPr>
        <w:t>Capítulo II</w:t>
      </w:r>
      <w:bookmarkStart w:id="48" w:name="obra-pública"/>
      <w:bookmarkEnd w:id="47"/>
      <w:r w:rsidRPr="007B6BE9">
        <w:rPr>
          <w:rFonts w:cs="Arial"/>
          <w:szCs w:val="24"/>
        </w:rPr>
        <w:br/>
        <w:t>Obra Pública</w:t>
      </w:r>
    </w:p>
    <w:p w:rsidR="00CC48AD" w:rsidRDefault="007B6BE9">
      <w:pPr>
        <w:spacing w:before="100" w:beforeAutospacing="1" w:after="100" w:afterAutospacing="1"/>
        <w:rPr>
          <w:rFonts w:cs="Arial"/>
        </w:rPr>
      </w:pPr>
      <w:r w:rsidRPr="007B6BE9">
        <w:rPr>
          <w:rFonts w:cs="Arial"/>
          <w:b/>
          <w:bCs/>
        </w:rPr>
        <w:t>Artículo 91. Inversión pública</w:t>
      </w:r>
    </w:p>
    <w:p w:rsidR="00CC48AD" w:rsidRDefault="007B6BE9">
      <w:pPr>
        <w:spacing w:before="100" w:beforeAutospacing="1" w:after="100" w:afterAutospacing="1"/>
        <w:rPr>
          <w:rFonts w:cs="Arial"/>
        </w:rPr>
      </w:pPr>
      <w:r w:rsidRPr="007B6BE9">
        <w:rPr>
          <w:rFonts w:cs="Arial"/>
        </w:rPr>
        <w:t xml:space="preserve">La inversión pública comprende las asignaciones destinadas a obras por contrato en bienes de dominio público y bienes propios y proyectos productivos y acciones de fomento. Dentro de este rubro se incluyen los gastos de los estudios de </w:t>
      </w:r>
      <w:proofErr w:type="spellStart"/>
      <w:r w:rsidRPr="007B6BE9">
        <w:rPr>
          <w:rFonts w:cs="Arial"/>
        </w:rPr>
        <w:t>preinversión</w:t>
      </w:r>
      <w:proofErr w:type="spellEnd"/>
      <w:r w:rsidRPr="007B6BE9">
        <w:rPr>
          <w:rFonts w:cs="Arial"/>
        </w:rPr>
        <w:t xml:space="preserve"> y los gastos para la preparación del proyecto necesarios para su inscripción en la cartera de proyectos de inversión de la secretaría. Todo proyecto de obra pública deberá contar con la autorización de la Secretaría de Obras Públicas, previo a su inscripción a la cartera de proyectos de inversión.</w:t>
      </w:r>
    </w:p>
    <w:p w:rsidR="00CC48AD" w:rsidRDefault="007B6BE9">
      <w:pPr>
        <w:spacing w:before="100" w:beforeAutospacing="1" w:after="100" w:afterAutospacing="1"/>
        <w:rPr>
          <w:rFonts w:cs="Arial"/>
        </w:rPr>
      </w:pPr>
      <w:r w:rsidRPr="007B6BE9">
        <w:rPr>
          <w:rFonts w:cs="Arial"/>
        </w:rPr>
        <w:t>Para la contratación de arrendamientos puros o financieros de bienes muebles e inmuebles, la secretaría y las entidades procurarán que las condiciones de pago ofrezcan ventajas en relación con otros esquemas y deberán realizarlas, en su caso, conforme a la ley de disciplina financiera, y demás normativa aplicable.</w:t>
      </w:r>
    </w:p>
    <w:p w:rsidR="00CC48AD" w:rsidRDefault="007B6BE9">
      <w:pPr>
        <w:spacing w:before="100" w:beforeAutospacing="1" w:after="100" w:afterAutospacing="1"/>
        <w:rPr>
          <w:rFonts w:cs="Arial"/>
        </w:rPr>
      </w:pPr>
      <w:r w:rsidRPr="007B6BE9">
        <w:rPr>
          <w:rFonts w:cs="Arial"/>
          <w:b/>
          <w:bCs/>
        </w:rPr>
        <w:t>Artículo 92. Modificación o sustitución de los proyectos de inversión</w:t>
      </w:r>
    </w:p>
    <w:p w:rsidR="00CC48AD" w:rsidRDefault="007B6BE9">
      <w:pPr>
        <w:spacing w:before="100" w:beforeAutospacing="1" w:after="100" w:afterAutospacing="1"/>
        <w:rPr>
          <w:rFonts w:cs="Arial"/>
        </w:rPr>
      </w:pPr>
      <w:r w:rsidRPr="007B6BE9">
        <w:rPr>
          <w:rFonts w:cs="Arial"/>
        </w:rPr>
        <w:t>Los proyectos de inversión podrán ser modificados o sustituidos cuando ocurran problemas de tipo técnico, jurídico o administrativo que así lo justifiquen; cuando por razones de interés general se requiera; por caso fortuito o de fuerza mayor; o, cuando se favorezca la concurrencia de recursos estatales con otros recursos.</w:t>
      </w:r>
    </w:p>
    <w:p w:rsidR="00CC48AD" w:rsidRDefault="007B6BE9">
      <w:pPr>
        <w:spacing w:before="100" w:beforeAutospacing="1" w:after="100" w:afterAutospacing="1"/>
        <w:rPr>
          <w:rFonts w:cs="Arial"/>
        </w:rPr>
      </w:pPr>
      <w:r w:rsidRPr="007B6BE9">
        <w:rPr>
          <w:rFonts w:cs="Arial"/>
          <w:b/>
          <w:bCs/>
        </w:rPr>
        <w:t>Artículo 93. Responsabilidades de los servidores públicos autorizados</w:t>
      </w:r>
    </w:p>
    <w:p w:rsidR="00CC48AD" w:rsidRDefault="007B6BE9">
      <w:pPr>
        <w:spacing w:before="100" w:beforeAutospacing="1" w:after="100" w:afterAutospacing="1"/>
        <w:rPr>
          <w:rFonts w:cs="Arial"/>
        </w:rPr>
      </w:pPr>
      <w:r w:rsidRPr="007B6BE9">
        <w:rPr>
          <w:rFonts w:cs="Arial"/>
        </w:rPr>
        <w:t>Los titulares de las dependencias y entidades, así como los servidores públicos autorizados para ejercer recursos públicos, serán responsables de:</w:t>
      </w:r>
    </w:p>
    <w:p w:rsidR="00CC48AD" w:rsidRDefault="007B6BE9">
      <w:pPr>
        <w:spacing w:before="100" w:beforeAutospacing="1" w:after="100" w:afterAutospacing="1"/>
        <w:ind w:firstLine="708"/>
        <w:rPr>
          <w:rFonts w:cs="Arial"/>
        </w:rPr>
      </w:pPr>
      <w:r w:rsidRPr="007B6BE9">
        <w:rPr>
          <w:rFonts w:cs="Arial"/>
        </w:rPr>
        <w:t>I. Identificar el gasto de capital y el gasto asociado a este, así como el impacto en el costo de operación y mantenimiento del uso de estos activos, en proyectos de inversión que contribuyan al cumplimiento de sus objetivos, metas e indicadores de desempeño, de acuerdo con el presupuesto autorizado.</w:t>
      </w:r>
    </w:p>
    <w:p w:rsidR="00CC48AD" w:rsidRDefault="007B6BE9">
      <w:pPr>
        <w:spacing w:before="100" w:beforeAutospacing="1" w:after="100" w:afterAutospacing="1"/>
        <w:ind w:firstLine="708"/>
        <w:rPr>
          <w:rFonts w:cs="Arial"/>
        </w:rPr>
      </w:pPr>
      <w:r w:rsidRPr="007B6BE9">
        <w:rPr>
          <w:rFonts w:cs="Arial"/>
        </w:rPr>
        <w:t>II. Promover una mayor capacitación de los funcionarios públicos en materia de evaluación social y económica de los proyectos de inversión.</w:t>
      </w:r>
    </w:p>
    <w:p w:rsidR="00CC48AD" w:rsidRDefault="007B6BE9">
      <w:pPr>
        <w:spacing w:before="100" w:beforeAutospacing="1" w:after="100" w:afterAutospacing="1"/>
        <w:ind w:firstLine="708"/>
        <w:rPr>
          <w:rFonts w:cs="Arial"/>
        </w:rPr>
      </w:pPr>
      <w:r w:rsidRPr="007B6BE9">
        <w:rPr>
          <w:rFonts w:cs="Arial"/>
        </w:rPr>
        <w:lastRenderedPageBreak/>
        <w:t>III. Vigilar que los programas y proyectos de inversión a su cargo generen, comprobadamente, beneficios netos para la sociedad y cuenten con la autorización de inversión correspondiente, en los términos de las disposiciones legales aplicables.</w:t>
      </w:r>
    </w:p>
    <w:p w:rsidR="00CC48AD" w:rsidRDefault="007B6BE9">
      <w:pPr>
        <w:spacing w:before="100" w:beforeAutospacing="1" w:after="100" w:afterAutospacing="1"/>
        <w:ind w:firstLine="708"/>
        <w:rPr>
          <w:rFonts w:cs="Arial"/>
        </w:rPr>
      </w:pPr>
      <w:r w:rsidRPr="007B6BE9">
        <w:rPr>
          <w:rFonts w:cs="Arial"/>
        </w:rPr>
        <w:t>IV. Otorgar prioridad a la realización de los programas y proyectos de inversión que generen comprobadamente mayores beneficios netos.</w:t>
      </w:r>
    </w:p>
    <w:p w:rsidR="00CC48AD" w:rsidRDefault="007B6BE9">
      <w:pPr>
        <w:spacing w:before="100" w:beforeAutospacing="1" w:after="100" w:afterAutospacing="1"/>
        <w:ind w:firstLine="708"/>
        <w:rPr>
          <w:rFonts w:cs="Arial"/>
        </w:rPr>
      </w:pPr>
      <w:r w:rsidRPr="007B6BE9">
        <w:rPr>
          <w:rFonts w:cs="Arial"/>
        </w:rPr>
        <w:t>V. Respetar las disposiciones emitidas por la secretaría en materia de inversión pública y las correspondientes en materia de evaluación.</w:t>
      </w:r>
    </w:p>
    <w:p w:rsidR="00CC48AD" w:rsidRDefault="007B6BE9">
      <w:pPr>
        <w:spacing w:before="100" w:beforeAutospacing="1" w:after="100" w:afterAutospacing="1"/>
        <w:ind w:firstLine="708"/>
        <w:rPr>
          <w:rFonts w:cs="Arial"/>
        </w:rPr>
      </w:pPr>
      <w:r w:rsidRPr="007B6BE9">
        <w:rPr>
          <w:rFonts w:cs="Arial"/>
        </w:rPr>
        <w:t>VI. Asegurar las mejores condiciones en cuanto a precio, calidad, financiamiento, oportunidad y demás circunstancias pertinentes en los contratos que se celebren, considerando lo previsto en las disposiciones aplicables.</w:t>
      </w:r>
    </w:p>
    <w:p w:rsidR="00CC48AD" w:rsidRDefault="007B6BE9">
      <w:pPr>
        <w:spacing w:before="100" w:beforeAutospacing="1" w:after="100" w:afterAutospacing="1"/>
        <w:ind w:firstLine="708"/>
        <w:rPr>
          <w:rFonts w:cs="Arial"/>
        </w:rPr>
      </w:pPr>
      <w:r w:rsidRPr="007B6BE9">
        <w:rPr>
          <w:rFonts w:cs="Arial"/>
        </w:rPr>
        <w:t>VII. Promover, en forma conjunta con la secretaría, la participación del sector social y privado, así como de los distintos órdenes de gobierno en los proyectos de inversión que impulsa el sector público.</w:t>
      </w:r>
    </w:p>
    <w:p w:rsidR="00CC48AD" w:rsidRDefault="007B6BE9">
      <w:pPr>
        <w:spacing w:before="100" w:beforeAutospacing="1" w:after="100" w:afterAutospacing="1"/>
        <w:ind w:firstLine="708"/>
        <w:rPr>
          <w:rFonts w:cs="Arial"/>
        </w:rPr>
      </w:pPr>
      <w:r w:rsidRPr="007B6BE9">
        <w:rPr>
          <w:rFonts w:cs="Arial"/>
        </w:rPr>
        <w:t>VIII. Realizar las inversiones financieras cuando sean estrictamente necesarias, con la autorización de la secretaría y orientarlas a los objetivos de los programas sectoriales de mediano plazo.</w:t>
      </w:r>
    </w:p>
    <w:p w:rsidR="00CC48AD" w:rsidRDefault="007B6BE9">
      <w:pPr>
        <w:spacing w:before="100" w:beforeAutospacing="1" w:after="100" w:afterAutospacing="1"/>
        <w:ind w:firstLine="708"/>
        <w:rPr>
          <w:rFonts w:cs="Arial"/>
        </w:rPr>
      </w:pPr>
      <w:r w:rsidRPr="007B6BE9">
        <w:rPr>
          <w:rFonts w:cs="Arial"/>
        </w:rPr>
        <w:t>IX. Informar a la secretaría sobre el desarrollo de los programas y proyectos de inversión, con el fin de actualizar la cartera de proyectos de inversión de la secretaría, y los avances físicos y financieros de las obras.</w:t>
      </w:r>
    </w:p>
    <w:p w:rsidR="00CC48AD" w:rsidRDefault="007B6BE9">
      <w:pPr>
        <w:spacing w:before="100" w:beforeAutospacing="1" w:after="100" w:afterAutospacing="1"/>
        <w:rPr>
          <w:rFonts w:cs="Arial"/>
        </w:rPr>
      </w:pPr>
      <w:r w:rsidRPr="007B6BE9">
        <w:rPr>
          <w:rFonts w:cs="Arial"/>
          <w:b/>
          <w:bCs/>
        </w:rPr>
        <w:t>Artículo 94. Dictamen</w:t>
      </w:r>
    </w:p>
    <w:p w:rsidR="00CC48AD" w:rsidRDefault="007B6BE9">
      <w:pPr>
        <w:spacing w:before="100" w:beforeAutospacing="1" w:after="100" w:afterAutospacing="1"/>
        <w:rPr>
          <w:rFonts w:cs="Arial"/>
        </w:rPr>
      </w:pPr>
      <w:r w:rsidRPr="007B6BE9">
        <w:rPr>
          <w:rFonts w:cs="Arial"/>
        </w:rPr>
        <w:t>Los proyectos de inversión a los que se refiere este artículo deberán contar con el dictamen favorable sobre el análisis de factibilidad técnica y económica y, en su caso, sobre el proyecto ejecutivo de obra pública. Antes de iniciar alguno de los procedimientos de contratación, previstos en las disposiciones aplicables, las dependencias y entidades deberán obtener y enviar el dictamen en los términos que establezca la secretaría para:</w:t>
      </w:r>
    </w:p>
    <w:p w:rsidR="00CC48AD" w:rsidRDefault="007B6BE9">
      <w:pPr>
        <w:spacing w:before="100" w:beforeAutospacing="1" w:after="100" w:afterAutospacing="1"/>
        <w:ind w:firstLine="708"/>
        <w:rPr>
          <w:rFonts w:cs="Arial"/>
        </w:rPr>
      </w:pPr>
      <w:r w:rsidRPr="007B6BE9">
        <w:rPr>
          <w:rFonts w:cs="Arial"/>
        </w:rPr>
        <w:t>I. Los nuevos programas y proyectos de infraestructura a ejecutarse con el esquema de proyectos de prestación de servicios.</w:t>
      </w:r>
    </w:p>
    <w:p w:rsidR="00CC48AD" w:rsidRDefault="007B6BE9">
      <w:pPr>
        <w:spacing w:before="100" w:beforeAutospacing="1" w:after="100" w:afterAutospacing="1"/>
        <w:ind w:firstLine="708"/>
        <w:rPr>
          <w:rFonts w:cs="Arial"/>
        </w:rPr>
      </w:pPr>
      <w:r w:rsidRPr="007B6BE9">
        <w:rPr>
          <w:rFonts w:cs="Arial"/>
        </w:rPr>
        <w:lastRenderedPageBreak/>
        <w:t>II. Los nuevos proyectos de inversión cuyo monto total de inversión sea mayor que cien millones de pesos y en caso de infraestructura hidráulica mayor que cincuenta millones de pesos.</w:t>
      </w:r>
    </w:p>
    <w:p w:rsidR="00CC48AD" w:rsidRDefault="007B6BE9">
      <w:pPr>
        <w:spacing w:before="100" w:beforeAutospacing="1" w:after="100" w:afterAutospacing="1"/>
        <w:ind w:firstLine="708"/>
        <w:rPr>
          <w:rFonts w:cs="Arial"/>
        </w:rPr>
      </w:pPr>
      <w:r w:rsidRPr="007B6BE9">
        <w:rPr>
          <w:rFonts w:cs="Arial"/>
        </w:rPr>
        <w:t>III. Las adiciones que representen un incremento mayor que 25%, en términos reales, del monto total de inversión registrado conforme al último análisis de costo y beneficio presentado con el propósito de actualizar la cartera de proyectos de inversión. Lo anterior, en relación con los de infraestructura productiva de largo plazo y los de inversión presupuestaria cuyo monto total y tipo de infraestructura correspondan a lo dispuesto en la fracción II de este artículo.</w:t>
      </w:r>
    </w:p>
    <w:p w:rsidR="00CC48AD" w:rsidRDefault="007B6BE9">
      <w:pPr>
        <w:spacing w:before="100" w:beforeAutospacing="1" w:after="100" w:afterAutospacing="1"/>
        <w:rPr>
          <w:rFonts w:cs="Arial"/>
        </w:rPr>
      </w:pPr>
      <w:r w:rsidRPr="007B6BE9">
        <w:rPr>
          <w:rFonts w:cs="Arial"/>
        </w:rPr>
        <w:t>La secretaría integrará la relación de los programas y proyectos de inversión a que se refiere este artículo, los cuales hayan sido dictaminados, incluyendo el sentido del dictamen y el responsable de su elaboración de acuerdo con la información remitida por las dependencias y entidades.</w:t>
      </w:r>
    </w:p>
    <w:p w:rsidR="00CC48AD" w:rsidRDefault="007B6BE9">
      <w:pPr>
        <w:spacing w:before="100" w:beforeAutospacing="1" w:after="100" w:afterAutospacing="1"/>
        <w:rPr>
          <w:rFonts w:cs="Arial"/>
        </w:rPr>
      </w:pPr>
      <w:r w:rsidRPr="007B6BE9">
        <w:rPr>
          <w:rFonts w:cs="Arial"/>
          <w:b/>
          <w:bCs/>
        </w:rPr>
        <w:t>Artículo 95. Montos máximos de adjudicación de obra pública y servicios conexos</w:t>
      </w:r>
    </w:p>
    <w:p w:rsidR="00CC48AD" w:rsidRDefault="007B6BE9">
      <w:pPr>
        <w:spacing w:before="100" w:beforeAutospacing="1" w:after="100" w:afterAutospacing="1"/>
        <w:rPr>
          <w:rFonts w:cs="Arial"/>
        </w:rPr>
      </w:pPr>
      <w:r w:rsidRPr="007B6BE9">
        <w:rPr>
          <w:rFonts w:cs="Arial"/>
        </w:rPr>
        <w:t>Para los efectos referidos en el artículo 46 de la Ley de Obra Pública y Servicios Conexos del Estado de Yucatán, los montos máximos de adjudicación directa y de adjudicación mediante invitación, sin incluir el impuesto al valor agregado, que podrán realizar las dependencias y entidades durante el año 2022, serán los que aparecen en el anexo 10.2. de este decreto.</w:t>
      </w:r>
    </w:p>
    <w:p w:rsidR="00CC48AD" w:rsidRDefault="007B6BE9">
      <w:pPr>
        <w:spacing w:before="100" w:beforeAutospacing="1" w:after="100" w:afterAutospacing="1"/>
        <w:rPr>
          <w:rFonts w:cs="Arial"/>
        </w:rPr>
      </w:pPr>
      <w:r w:rsidRPr="007B6BE9">
        <w:rPr>
          <w:rFonts w:cs="Arial"/>
        </w:rPr>
        <w:t>La contraloría emitirá los lineamientos para la aplicación de la tabla a que se refiere este artículo.</w:t>
      </w:r>
    </w:p>
    <w:p w:rsidR="00CC48AD" w:rsidRDefault="007B6BE9">
      <w:pPr>
        <w:spacing w:before="100" w:beforeAutospacing="1" w:after="100" w:afterAutospacing="1"/>
        <w:rPr>
          <w:rFonts w:cs="Arial"/>
        </w:rPr>
      </w:pPr>
      <w:r w:rsidRPr="007B6BE9">
        <w:rPr>
          <w:rFonts w:cs="Arial"/>
        </w:rPr>
        <w:t>Cuando el monto de la obra fuere mayor que el monto máximo de la adjudicación mediante invitación a cuando menos tres personas, se convocará a licitación pública.</w:t>
      </w:r>
    </w:p>
    <w:p w:rsidR="00CC48AD" w:rsidRDefault="007B6BE9">
      <w:pPr>
        <w:spacing w:before="100" w:beforeAutospacing="1" w:after="100" w:afterAutospacing="1"/>
        <w:rPr>
          <w:rFonts w:cs="Arial"/>
        </w:rPr>
      </w:pPr>
      <w:r w:rsidRPr="007B6BE9">
        <w:rPr>
          <w:rFonts w:cs="Arial"/>
        </w:rPr>
        <w:t>En aquellos casos en los cuales, con el fin de reducir costos o por características técnicas, se realizarán obras públicas de manera consolidada por dos o más dependencias y entidades, se considerará como un solo presupuesto la suma de los presupuestos anuales de obra pública de las dependencias y entidades participantes.</w:t>
      </w:r>
    </w:p>
    <w:p w:rsidR="00CC48AD" w:rsidRDefault="007B6BE9">
      <w:pPr>
        <w:pStyle w:val="Ttulo2"/>
        <w:spacing w:before="100" w:beforeAutospacing="1" w:after="100" w:afterAutospacing="1"/>
        <w:rPr>
          <w:rFonts w:cs="Arial"/>
          <w:szCs w:val="24"/>
        </w:rPr>
      </w:pPr>
      <w:bookmarkStart w:id="49" w:name="capítulo-iii-2"/>
      <w:bookmarkEnd w:id="48"/>
      <w:r w:rsidRPr="007B6BE9">
        <w:rPr>
          <w:rFonts w:cs="Arial"/>
          <w:szCs w:val="24"/>
        </w:rPr>
        <w:lastRenderedPageBreak/>
        <w:t>Capítulo III</w:t>
      </w:r>
      <w:bookmarkStart w:id="50" w:name="Xd67562861cf922cee661cac065d9702cf24f02d"/>
      <w:bookmarkEnd w:id="49"/>
      <w:r w:rsidRPr="007B6BE9">
        <w:rPr>
          <w:rFonts w:cs="Arial"/>
          <w:szCs w:val="24"/>
        </w:rPr>
        <w:br/>
        <w:t>Contratación de adquisiciones, arrendamientos y servicios</w:t>
      </w:r>
    </w:p>
    <w:p w:rsidR="00CC48AD" w:rsidRDefault="007B6BE9">
      <w:pPr>
        <w:spacing w:before="100" w:beforeAutospacing="1" w:after="100" w:afterAutospacing="1"/>
        <w:rPr>
          <w:rFonts w:cs="Arial"/>
        </w:rPr>
      </w:pPr>
      <w:r w:rsidRPr="007B6BE9">
        <w:rPr>
          <w:rFonts w:cs="Arial"/>
          <w:b/>
          <w:bCs/>
        </w:rPr>
        <w:t>Artículo 96. Montos máximos de adjudicación de adquisición, arrendamiento o servicios de bienes muebles</w:t>
      </w:r>
    </w:p>
    <w:p w:rsidR="00CC48AD" w:rsidRDefault="007B6BE9">
      <w:pPr>
        <w:spacing w:before="100" w:beforeAutospacing="1" w:after="100" w:afterAutospacing="1"/>
        <w:rPr>
          <w:rFonts w:cs="Arial"/>
        </w:rPr>
      </w:pPr>
      <w:r w:rsidRPr="007B6BE9">
        <w:rPr>
          <w:rFonts w:cs="Arial"/>
        </w:rPr>
        <w:t>Para los efectos de lo establecido en el artículo 26 de la Ley de Adquisiciones, Arrendamientos y Prestación de Servicios Relacionados con Bienes Muebles estatal, los montos máximos de adjudicación directa y para procedimientos de contratación, mediante invitación considerando por lo menos tres propuestas, sin incluir el impuesto al valor agregado, que podrán realizar las dependencias y entidades para el ejercicio presupuestal correspondiente al 2022, serán los que se establecen en el anexo 10.1. del presente decreto.</w:t>
      </w:r>
    </w:p>
    <w:p w:rsidR="00CC48AD" w:rsidRDefault="007B6BE9">
      <w:pPr>
        <w:spacing w:before="100" w:beforeAutospacing="1" w:after="100" w:afterAutospacing="1"/>
        <w:rPr>
          <w:rFonts w:cs="Arial"/>
        </w:rPr>
      </w:pPr>
      <w:r w:rsidRPr="007B6BE9">
        <w:rPr>
          <w:rFonts w:cs="Arial"/>
        </w:rPr>
        <w:t>La contraloría emitirá los lineamientos para la aplicación de la tabla contenida en este artículo.</w:t>
      </w:r>
    </w:p>
    <w:p w:rsidR="00CC48AD" w:rsidRDefault="007B6BE9">
      <w:pPr>
        <w:spacing w:before="100" w:beforeAutospacing="1" w:after="100" w:afterAutospacing="1"/>
        <w:rPr>
          <w:rFonts w:cs="Arial"/>
        </w:rPr>
      </w:pPr>
      <w:r w:rsidRPr="007B6BE9">
        <w:rPr>
          <w:rFonts w:cs="Arial"/>
        </w:rPr>
        <w:t>Cuando los montos de las adquisiciones, arrendamientos o prestación de servicios fueren mayores que los montos máximos establecidos para procedimientos de contratación, mediante invitación considerando por lo menos tres propuestas, se convocará a licitación pública.</w:t>
      </w:r>
    </w:p>
    <w:p w:rsidR="00CC48AD" w:rsidRDefault="007B6BE9">
      <w:pPr>
        <w:spacing w:before="100" w:beforeAutospacing="1" w:after="100" w:afterAutospacing="1"/>
        <w:rPr>
          <w:rFonts w:cs="Arial"/>
        </w:rPr>
      </w:pPr>
      <w:r w:rsidRPr="007B6BE9">
        <w:rPr>
          <w:rFonts w:cs="Arial"/>
        </w:rPr>
        <w:t>Cuando los montos de las adquisiciones, arrendamientos o prestación de servicios fueren menores que los montos máximos establecidos para adjudicación directa, se considerará como contrato al documento de orden de compra u orden de servicio emitida por el sistema de adquisiciones que determine la secretaría. De manera excepcional, justificada y bajo la responsabilidad del área que realice la adquisición, se podrá utilizar un documento análogo.</w:t>
      </w:r>
    </w:p>
    <w:p w:rsidR="00CC48AD" w:rsidRDefault="007B6BE9">
      <w:pPr>
        <w:spacing w:before="100" w:beforeAutospacing="1" w:after="100" w:afterAutospacing="1"/>
        <w:rPr>
          <w:rFonts w:cs="Arial"/>
        </w:rPr>
      </w:pPr>
      <w:r w:rsidRPr="007B6BE9">
        <w:rPr>
          <w:rFonts w:cs="Arial"/>
          <w:b/>
          <w:bCs/>
        </w:rPr>
        <w:t>Artículo 97. Adquisiciones consolidadas</w:t>
      </w:r>
    </w:p>
    <w:p w:rsidR="00CC48AD" w:rsidRDefault="007B6BE9">
      <w:pPr>
        <w:spacing w:before="100" w:beforeAutospacing="1" w:after="100" w:afterAutospacing="1"/>
        <w:rPr>
          <w:rFonts w:cs="Arial"/>
        </w:rPr>
      </w:pPr>
      <w:r w:rsidRPr="007B6BE9">
        <w:rPr>
          <w:rFonts w:cs="Arial"/>
        </w:rPr>
        <w:t>En aquellos casos en los cuales la secretaría realice de manera consolidada el procedimiento para la asignación de la adquisición o arrendamiento de bienes muebles, o bien la prestación de servicios, para dos o más dependencias o entidades, se considerará como una sola operación y para la aplicación del anexo 10.1. se considerará la suma de los presupuestos de las dependencias y entidades participantes.</w:t>
      </w:r>
    </w:p>
    <w:p w:rsidR="00CC48AD" w:rsidRDefault="007B6BE9">
      <w:pPr>
        <w:spacing w:before="100" w:beforeAutospacing="1" w:after="100" w:afterAutospacing="1"/>
        <w:rPr>
          <w:rFonts w:cs="Arial"/>
        </w:rPr>
      </w:pPr>
      <w:r w:rsidRPr="007B6BE9">
        <w:rPr>
          <w:rFonts w:cs="Arial"/>
          <w:b/>
          <w:bCs/>
        </w:rPr>
        <w:t>Artículo 98. Pedidos o contratos sin licitación</w:t>
      </w:r>
    </w:p>
    <w:p w:rsidR="00CC48AD" w:rsidRDefault="007B6BE9">
      <w:pPr>
        <w:spacing w:before="100" w:beforeAutospacing="1" w:after="100" w:afterAutospacing="1"/>
        <w:rPr>
          <w:rFonts w:cs="Arial"/>
        </w:rPr>
      </w:pPr>
      <w:r w:rsidRPr="007B6BE9">
        <w:rPr>
          <w:rFonts w:cs="Arial"/>
        </w:rPr>
        <w:lastRenderedPageBreak/>
        <w:t>Las dependencias o entidades, bajo su propia responsabilidad, podrán adjudicar durante el ejercicio fiscal 2022 en forma directa o mediante invitación considerando por lo menos tres propuestas, exceptuando el procedimiento de licitación pública, previa aprobación del Comité de Adquisiciones, Arrendamientos y Prestaciones de Servicios relacionados con Bienes Muebles de la dependencia o entidad que realice el procedimiento de adjudicación, siempre y cuando se cumpla alguno de los siguientes supuestos con base en el artículo 25 de la Ley de Adquisiciones, Arrendamientos y Prestación de Servicios Relacionados con Bienes Muebles estatal:</w:t>
      </w:r>
    </w:p>
    <w:p w:rsidR="00CC48AD" w:rsidRDefault="007B6BE9">
      <w:pPr>
        <w:spacing w:before="100" w:beforeAutospacing="1" w:after="100" w:afterAutospacing="1"/>
        <w:ind w:firstLine="708"/>
        <w:rPr>
          <w:rFonts w:cs="Arial"/>
        </w:rPr>
      </w:pPr>
      <w:r w:rsidRPr="007B6BE9">
        <w:rPr>
          <w:rFonts w:cs="Arial"/>
        </w:rPr>
        <w:t>I. Para los efectos contemplados en la fracción I del artículo 25 de la ley referida, se entenderán, sin limitación, los siguientes supuestos:</w:t>
      </w:r>
    </w:p>
    <w:p w:rsidR="00CC48AD" w:rsidRDefault="007B6BE9">
      <w:pPr>
        <w:spacing w:before="100" w:beforeAutospacing="1" w:after="100" w:afterAutospacing="1"/>
        <w:ind w:left="708" w:firstLine="708"/>
        <w:rPr>
          <w:rFonts w:cs="Arial"/>
        </w:rPr>
      </w:pPr>
      <w:r w:rsidRPr="007B6BE9">
        <w:rPr>
          <w:rFonts w:cs="Arial"/>
        </w:rPr>
        <w:t xml:space="preserve">a) Se trate de adquisiciones de bienes perecederos, medicamentos controlados, granos y productos alimenticios básicos o </w:t>
      </w:r>
      <w:proofErr w:type="spellStart"/>
      <w:r w:rsidRPr="007B6BE9">
        <w:rPr>
          <w:rFonts w:cs="Arial"/>
        </w:rPr>
        <w:t>semiprocesados</w:t>
      </w:r>
      <w:proofErr w:type="spellEnd"/>
      <w:r w:rsidRPr="007B6BE9">
        <w:rPr>
          <w:rFonts w:cs="Arial"/>
        </w:rPr>
        <w:t>, o semovientes.</w:t>
      </w:r>
    </w:p>
    <w:p w:rsidR="00CC48AD" w:rsidRDefault="007B6BE9">
      <w:pPr>
        <w:spacing w:before="100" w:beforeAutospacing="1" w:after="100" w:afterAutospacing="1"/>
        <w:ind w:firstLine="708"/>
        <w:rPr>
          <w:rFonts w:cs="Arial"/>
        </w:rPr>
      </w:pPr>
      <w:r w:rsidRPr="007B6BE9">
        <w:rPr>
          <w:rFonts w:cs="Arial"/>
        </w:rPr>
        <w:t>II. Para los efectos contemplados en la fracción II del artículo 25 de la ley en comento, se entenderán, sin limitación, los siguientes supuestos:</w:t>
      </w:r>
    </w:p>
    <w:p w:rsidR="00CC48AD" w:rsidRDefault="007B6BE9">
      <w:pPr>
        <w:spacing w:before="100" w:beforeAutospacing="1" w:after="100" w:afterAutospacing="1"/>
        <w:ind w:left="708" w:firstLine="708"/>
        <w:rPr>
          <w:rFonts w:cs="Arial"/>
        </w:rPr>
      </w:pPr>
      <w:r w:rsidRPr="007B6BE9">
        <w:rPr>
          <w:rFonts w:cs="Arial"/>
        </w:rPr>
        <w:t>a) 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estrictamente necesario para afrontarla.</w:t>
      </w:r>
    </w:p>
    <w:p w:rsidR="00CC48AD" w:rsidRDefault="007B6BE9">
      <w:pPr>
        <w:spacing w:before="100" w:beforeAutospacing="1" w:after="100" w:afterAutospacing="1"/>
        <w:ind w:left="708" w:firstLine="708"/>
        <w:rPr>
          <w:rFonts w:cs="Arial"/>
        </w:rPr>
      </w:pPr>
      <w:r w:rsidRPr="007B6BE9">
        <w:rPr>
          <w:rFonts w:cs="Arial"/>
        </w:rPr>
        <w:t>b) Peligre o se altere el orden social, la economía, los servicios públicos, la salubridad, la seguridad o el ambiente, como consecuencia de caso fortuito o de fuerza mayor.</w:t>
      </w:r>
    </w:p>
    <w:p w:rsidR="00CC48AD" w:rsidRDefault="007B6BE9">
      <w:pPr>
        <w:spacing w:before="100" w:beforeAutospacing="1" w:after="100" w:afterAutospacing="1"/>
        <w:ind w:left="708" w:firstLine="708"/>
        <w:rPr>
          <w:rFonts w:cs="Arial"/>
        </w:rPr>
      </w:pPr>
      <w:r w:rsidRPr="007B6BE9">
        <w:rPr>
          <w:rFonts w:cs="Arial"/>
        </w:rPr>
        <w:t>c) Se trate de adquisición, arrendamiento de bienes muebles o prestación de servicios relacionados directamente con la seguridad pública, cuya contratación mediante procedimientos de licitación ponga en riesgo la seguridad pública.</w:t>
      </w:r>
    </w:p>
    <w:p w:rsidR="00CC48AD" w:rsidRDefault="007B6BE9">
      <w:pPr>
        <w:spacing w:before="100" w:beforeAutospacing="1" w:after="100" w:afterAutospacing="1"/>
        <w:ind w:left="708" w:firstLine="708"/>
        <w:rPr>
          <w:rFonts w:cs="Arial"/>
        </w:rPr>
      </w:pPr>
      <w:r w:rsidRPr="007B6BE9">
        <w:rPr>
          <w:rFonts w:cs="Arial"/>
        </w:rPr>
        <w:t>d) Se trate de adquisición, arrendamiento de bienes muebles o prestación de servicios que realicen las dependencias o entidades para someterlos a procesos productivos en cumplimiento de su objeto o para fines de comercialización.</w:t>
      </w:r>
    </w:p>
    <w:p w:rsidR="00CC48AD" w:rsidRDefault="007B6BE9">
      <w:pPr>
        <w:spacing w:before="100" w:beforeAutospacing="1" w:after="100" w:afterAutospacing="1"/>
        <w:ind w:firstLine="708"/>
        <w:rPr>
          <w:rFonts w:cs="Arial"/>
        </w:rPr>
      </w:pPr>
      <w:r w:rsidRPr="007B6BE9">
        <w:rPr>
          <w:rFonts w:cs="Arial"/>
        </w:rPr>
        <w:lastRenderedPageBreak/>
        <w:t>III. Para los efectos contemplados en la fracción III del artículo 25 de la ley mencionada, se entenderán, sin limitación los siguientes supuestos:</w:t>
      </w:r>
    </w:p>
    <w:p w:rsidR="00CC48AD" w:rsidRDefault="007B6BE9">
      <w:pPr>
        <w:spacing w:before="100" w:beforeAutospacing="1" w:after="100" w:afterAutospacing="1"/>
        <w:ind w:left="708" w:firstLine="708"/>
        <w:rPr>
          <w:rFonts w:cs="Arial"/>
        </w:rPr>
      </w:pPr>
      <w:r w:rsidRPr="007B6BE9">
        <w:rPr>
          <w:rFonts w:cs="Arial"/>
        </w:rPr>
        <w:t>a) La adquisición, arrendamiento de bienes muebles o prestación de servicios para los cuales no existan alternativas o sustitutos técnicamente razonables.</w:t>
      </w:r>
    </w:p>
    <w:p w:rsidR="00CC48AD" w:rsidRDefault="007B6BE9">
      <w:pPr>
        <w:spacing w:before="100" w:beforeAutospacing="1" w:after="100" w:afterAutospacing="1"/>
        <w:ind w:left="708" w:firstLine="708"/>
        <w:rPr>
          <w:rFonts w:cs="Arial"/>
        </w:rPr>
      </w:pPr>
      <w:r w:rsidRPr="007B6BE9">
        <w:rPr>
          <w:rFonts w:cs="Arial"/>
        </w:rPr>
        <w:t>b) La adquisición, arrendamiento de bienes muebles o prestación de servicios para los cuales el contrato solo pueda celebrarse con un determinado postor que posea la titularidad o el licenciamiento exclusivo de patentes, derechos de autor u otros derechos exclusivos.</w:t>
      </w:r>
    </w:p>
    <w:p w:rsidR="00CC48AD" w:rsidRDefault="007B6BE9">
      <w:pPr>
        <w:spacing w:before="100" w:beforeAutospacing="1" w:after="100" w:afterAutospacing="1"/>
        <w:ind w:left="708" w:firstLine="708"/>
        <w:rPr>
          <w:rFonts w:cs="Arial"/>
        </w:rPr>
      </w:pPr>
      <w:r w:rsidRPr="007B6BE9">
        <w:rPr>
          <w:rFonts w:cs="Arial"/>
        </w:rPr>
        <w:t>c) 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presentarse un dictamen preciso y será exclusivamente por el período necesario en que prevalezca la condición.</w:t>
      </w:r>
    </w:p>
    <w:p w:rsidR="00CC48AD" w:rsidRDefault="007B6BE9">
      <w:pPr>
        <w:spacing w:before="100" w:beforeAutospacing="1" w:after="100" w:afterAutospacing="1"/>
        <w:ind w:left="708" w:firstLine="708"/>
        <w:rPr>
          <w:rFonts w:cs="Arial"/>
        </w:rPr>
      </w:pPr>
      <w:r w:rsidRPr="007B6BE9">
        <w:rPr>
          <w:rFonts w:cs="Arial"/>
        </w:rPr>
        <w:t>d) Se haya rescindido o no se llegue a formalizar un contrato, o se cancele la adjudicación emitida en el fallo, resultado de un procedimiento de licitación pública o de contratación, mediante invitación considerando por lo menos tres propuestas, en cuyo caso se podrá adjudicar al postor que haya obtenido el segundo o ulterior lugar, siempre que la diferencia en precio con respecto a la proposición inicialmente adjudicada no sea superior a un margen del diez por ciento.</w:t>
      </w:r>
    </w:p>
    <w:p w:rsidR="00CC48AD" w:rsidRDefault="007B6BE9">
      <w:pPr>
        <w:spacing w:before="100" w:beforeAutospacing="1" w:after="100" w:afterAutospacing="1"/>
        <w:ind w:left="708" w:firstLine="708"/>
        <w:rPr>
          <w:rFonts w:cs="Arial"/>
        </w:rPr>
      </w:pPr>
      <w:r w:rsidRPr="007B6BE9">
        <w:rPr>
          <w:rFonts w:cs="Arial"/>
        </w:rPr>
        <w:t>e) Se haya declarado desierta una licitación pública, siempre que se mantengan los mismos requisitos técnicos establecidos en la convocatoria, bases y junta de aclaraciones.</w:t>
      </w:r>
    </w:p>
    <w:p w:rsidR="00CC48AD" w:rsidRDefault="007B6BE9">
      <w:pPr>
        <w:spacing w:before="100" w:beforeAutospacing="1" w:after="100" w:afterAutospacing="1"/>
        <w:ind w:left="708" w:firstLine="708"/>
        <w:rPr>
          <w:rFonts w:cs="Arial"/>
        </w:rPr>
      </w:pPr>
      <w:r w:rsidRPr="007B6BE9">
        <w:rPr>
          <w:rFonts w:cs="Arial"/>
        </w:rPr>
        <w:t>f) Se trate de servicios de consultorías, asesorías, estudios, software, auditorías, investigaciones, capacitación y servicios de naturaleza similar.</w:t>
      </w:r>
    </w:p>
    <w:p w:rsidR="00CC48AD" w:rsidRDefault="007B6BE9">
      <w:pPr>
        <w:spacing w:before="100" w:beforeAutospacing="1" w:after="100" w:afterAutospacing="1"/>
        <w:ind w:left="708" w:firstLine="708"/>
        <w:rPr>
          <w:rFonts w:cs="Arial"/>
        </w:rPr>
      </w:pPr>
      <w:r w:rsidRPr="007B6BE9">
        <w:rPr>
          <w:rFonts w:cs="Arial"/>
        </w:rPr>
        <w:t>g) Cuando se trate de arrendamiento de bienes inmuebles que, en razón de su ubicación o de las necesidades especiales del área solicitante, se tengan que realizar respecto de un bien específico.</w:t>
      </w:r>
    </w:p>
    <w:p w:rsidR="00CC48AD" w:rsidRDefault="007B6BE9">
      <w:pPr>
        <w:spacing w:before="100" w:beforeAutospacing="1" w:after="100" w:afterAutospacing="1"/>
        <w:ind w:left="708" w:firstLine="708"/>
        <w:rPr>
          <w:rFonts w:cs="Arial"/>
        </w:rPr>
      </w:pPr>
      <w:r w:rsidRPr="007B6BE9">
        <w:rPr>
          <w:rFonts w:cs="Arial"/>
        </w:rPr>
        <w:lastRenderedPageBreak/>
        <w:t>h) Se acepte la adquisición de bienes o la prestación de servicios a título de dación en pago.</w:t>
      </w:r>
    </w:p>
    <w:p w:rsidR="00CC48AD" w:rsidRDefault="007B6BE9">
      <w:pPr>
        <w:spacing w:before="100" w:beforeAutospacing="1" w:after="100" w:afterAutospacing="1"/>
        <w:ind w:left="708" w:firstLine="708"/>
        <w:rPr>
          <w:rFonts w:cs="Arial"/>
        </w:rPr>
      </w:pPr>
      <w:r w:rsidRPr="007B6BE9">
        <w:rPr>
          <w:rFonts w:cs="Arial"/>
        </w:rPr>
        <w:t>i) La contratación de personas físicas o morales de los que se adquieran bienes o proporcionen servicios de carácter cultural, deportivo, publicitario, artístico o científico, en los que no sea posible precisar la calidad, alcance o comparar resultados.</w:t>
      </w:r>
    </w:p>
    <w:p w:rsidR="00CC48AD" w:rsidRDefault="007B6BE9">
      <w:pPr>
        <w:spacing w:before="100" w:beforeAutospacing="1" w:after="100" w:afterAutospacing="1"/>
        <w:ind w:left="708" w:firstLine="708"/>
        <w:rPr>
          <w:rFonts w:cs="Arial"/>
        </w:rPr>
      </w:pPr>
      <w:r w:rsidRPr="007B6BE9">
        <w:rPr>
          <w:rFonts w:cs="Arial"/>
        </w:rPr>
        <w:t>j) Cuando se trate de adquisiciones cuya contratación se realice con campesinos o grupos urbanos marginados y que la dependencia o entidad contrate directamente con los mismos o con las personas constituidas por ellos.</w:t>
      </w:r>
    </w:p>
    <w:p w:rsidR="00CC48AD" w:rsidRDefault="007B6BE9">
      <w:pPr>
        <w:spacing w:before="100" w:beforeAutospacing="1" w:after="100" w:afterAutospacing="1"/>
        <w:ind w:firstLine="708"/>
        <w:rPr>
          <w:rFonts w:cs="Arial"/>
        </w:rPr>
      </w:pPr>
      <w:r w:rsidRPr="007B6BE9">
        <w:rPr>
          <w:rFonts w:cs="Arial"/>
        </w:rPr>
        <w:t>IV. Para los efectos contemplados en la fracción IV del artículo 25 de la ley a que se refiere este artículo, se entenderá, sin limitación, el siguiente supuesto:</w:t>
      </w:r>
    </w:p>
    <w:p w:rsidR="00CC48AD" w:rsidRDefault="007B6BE9">
      <w:pPr>
        <w:spacing w:before="100" w:beforeAutospacing="1" w:after="100" w:afterAutospacing="1"/>
        <w:ind w:left="708" w:firstLine="708"/>
        <w:rPr>
          <w:rFonts w:cs="Arial"/>
        </w:rPr>
      </w:pPr>
      <w:r w:rsidRPr="007B6BE9">
        <w:rPr>
          <w:rFonts w:cs="Arial"/>
        </w:rPr>
        <w:t>a) Se trate de servicios de mantenimiento, conservación, restauración y reparación de bienes en los que no sea posible precisar su alcance, establecer el catálogo de conceptos y cantidades de trabajo o determinar las especificaciones correspondientes.</w:t>
      </w:r>
    </w:p>
    <w:p w:rsidR="00CC48AD" w:rsidRDefault="007B6BE9">
      <w:pPr>
        <w:spacing w:before="100" w:beforeAutospacing="1" w:after="100" w:afterAutospacing="1"/>
        <w:rPr>
          <w:rFonts w:cs="Arial"/>
        </w:rPr>
      </w:pPr>
      <w:r w:rsidRPr="007B6BE9">
        <w:rPr>
          <w:rFonts w:cs="Arial"/>
        </w:rPr>
        <w:t>Siempre y cuando cuenten previamente con la aprobación del Comité de Adquisiciones, Arrendamientos y Prestaciones de Servicios relacionados con Bienes Muebles de la dependencia o entidad de que realice el procedimiento de adjudicación, a excepción de los supuestos contemplados en la fracción III, incisos d, e, f, g, h, i, en cuyos casos, posterior a dicha aprobación, se requerirá además la autorización de la secretaría.</w:t>
      </w:r>
    </w:p>
    <w:p w:rsidR="00CC48AD" w:rsidRDefault="007B6BE9">
      <w:pPr>
        <w:spacing w:before="100" w:beforeAutospacing="1" w:after="100" w:afterAutospacing="1"/>
        <w:rPr>
          <w:rFonts w:cs="Arial"/>
        </w:rPr>
      </w:pPr>
      <w:r w:rsidRPr="007B6BE9">
        <w:rPr>
          <w:rFonts w:cs="Arial"/>
          <w:b/>
          <w:bCs/>
        </w:rPr>
        <w:t>Artículo 99. Reconocimiento de servicios con comprobantes</w:t>
      </w:r>
    </w:p>
    <w:p w:rsidR="00CC48AD" w:rsidRDefault="007B6BE9">
      <w:pPr>
        <w:spacing w:before="100" w:beforeAutospacing="1" w:after="100" w:afterAutospacing="1"/>
        <w:rPr>
          <w:rFonts w:cs="Arial"/>
        </w:rPr>
      </w:pPr>
      <w:r w:rsidRPr="007B6BE9">
        <w:rPr>
          <w:rFonts w:cs="Arial"/>
        </w:rPr>
        <w:t>Se autoriza a la secretaría a pagar, con la sola presentación de los comprobantes respectivos, las obligaciones derivadas de servicios prestados a las dependencias por los siguientes conceptos:</w:t>
      </w:r>
    </w:p>
    <w:p w:rsidR="00CC48AD" w:rsidRDefault="007B6BE9">
      <w:pPr>
        <w:spacing w:before="100" w:beforeAutospacing="1" w:after="100" w:afterAutospacing="1"/>
        <w:ind w:firstLine="708"/>
        <w:rPr>
          <w:rFonts w:cs="Arial"/>
        </w:rPr>
      </w:pPr>
      <w:r w:rsidRPr="007B6BE9">
        <w:rPr>
          <w:rFonts w:cs="Arial"/>
        </w:rPr>
        <w:t>I. Servicios de correspondencia postal y telegráfica, así como mensajería.</w:t>
      </w:r>
    </w:p>
    <w:p w:rsidR="00CC48AD" w:rsidRDefault="007B6BE9">
      <w:pPr>
        <w:spacing w:before="100" w:beforeAutospacing="1" w:after="100" w:afterAutospacing="1"/>
        <w:ind w:firstLine="708"/>
        <w:rPr>
          <w:rFonts w:cs="Arial"/>
        </w:rPr>
      </w:pPr>
      <w:r w:rsidRPr="007B6BE9">
        <w:rPr>
          <w:rFonts w:cs="Arial"/>
        </w:rPr>
        <w:t>II. Servicio telefónico e Internet.</w:t>
      </w:r>
    </w:p>
    <w:p w:rsidR="00CC48AD" w:rsidRDefault="007B6BE9">
      <w:pPr>
        <w:spacing w:before="100" w:beforeAutospacing="1" w:after="100" w:afterAutospacing="1"/>
        <w:ind w:firstLine="708"/>
        <w:rPr>
          <w:rFonts w:cs="Arial"/>
        </w:rPr>
      </w:pPr>
      <w:r w:rsidRPr="007B6BE9">
        <w:rPr>
          <w:rFonts w:cs="Arial"/>
        </w:rPr>
        <w:t>III. Suministro de energía eléctrica.</w:t>
      </w:r>
    </w:p>
    <w:p w:rsidR="00CC48AD" w:rsidRDefault="007B6BE9">
      <w:pPr>
        <w:spacing w:before="100" w:beforeAutospacing="1" w:after="100" w:afterAutospacing="1"/>
        <w:ind w:firstLine="708"/>
        <w:rPr>
          <w:rFonts w:cs="Arial"/>
        </w:rPr>
      </w:pPr>
      <w:r w:rsidRPr="007B6BE9">
        <w:rPr>
          <w:rFonts w:cs="Arial"/>
        </w:rPr>
        <w:t>IV. Suministro y servicios de agua.</w:t>
      </w:r>
    </w:p>
    <w:p w:rsidR="00CC48AD" w:rsidRDefault="007B6BE9">
      <w:pPr>
        <w:spacing w:before="100" w:beforeAutospacing="1" w:after="100" w:afterAutospacing="1"/>
        <w:rPr>
          <w:rFonts w:cs="Arial"/>
        </w:rPr>
      </w:pPr>
      <w:r w:rsidRPr="007B6BE9">
        <w:rPr>
          <w:rFonts w:cs="Arial"/>
          <w:b/>
          <w:bCs/>
        </w:rPr>
        <w:lastRenderedPageBreak/>
        <w:t>Artículo 100. Contratación de arrendamientos financieros de bienes</w:t>
      </w:r>
    </w:p>
    <w:p w:rsidR="00CC48AD" w:rsidRDefault="007B6BE9">
      <w:pPr>
        <w:spacing w:before="100" w:beforeAutospacing="1" w:after="100" w:afterAutospacing="1"/>
        <w:rPr>
          <w:rFonts w:cs="Arial"/>
        </w:rPr>
      </w:pPr>
      <w:r w:rsidRPr="007B6BE9">
        <w:rPr>
          <w:rFonts w:cs="Arial"/>
        </w:rPr>
        <w:t>Para la contratación de arrendamientos financieros de bienes muebles e inmuebles, las dependencias y entidades verificarán que las condiciones de pago ofrezcan ventajas en relación con otros medios de financiamiento y que el monto esté contemplado dentro del endeudamiento neto autorizado en este ejercicio fiscal.</w:t>
      </w:r>
    </w:p>
    <w:p w:rsidR="00CC48AD" w:rsidRDefault="007B6BE9">
      <w:pPr>
        <w:spacing w:before="100" w:beforeAutospacing="1" w:after="100" w:afterAutospacing="1"/>
        <w:rPr>
          <w:rFonts w:cs="Arial"/>
        </w:rPr>
      </w:pPr>
      <w:r w:rsidRPr="007B6BE9">
        <w:rPr>
          <w:rFonts w:cs="Arial"/>
        </w:rPr>
        <w:t>En estas contrataciones, se deberá cumplir con lo establecido en la ley de disciplina financiera y demás disposiciones aplicables.</w:t>
      </w:r>
    </w:p>
    <w:p w:rsidR="00CC48AD" w:rsidRDefault="007B6BE9">
      <w:pPr>
        <w:spacing w:before="100" w:beforeAutospacing="1" w:after="100" w:afterAutospacing="1"/>
        <w:rPr>
          <w:rFonts w:cs="Arial"/>
        </w:rPr>
      </w:pPr>
      <w:r w:rsidRPr="007B6BE9">
        <w:rPr>
          <w:rFonts w:cs="Arial"/>
          <w:b/>
          <w:bCs/>
        </w:rPr>
        <w:t>Artículo 101. Aseguramiento</w:t>
      </w:r>
    </w:p>
    <w:p w:rsidR="00CC48AD" w:rsidRDefault="007B6BE9">
      <w:pPr>
        <w:spacing w:before="100" w:beforeAutospacing="1" w:after="100" w:afterAutospacing="1"/>
        <w:rPr>
          <w:rFonts w:cs="Arial"/>
        </w:rPr>
      </w:pPr>
      <w:r w:rsidRPr="007B6BE9">
        <w:rPr>
          <w:rFonts w:cs="Arial"/>
        </w:rPr>
        <w:t>Las dependencias y entidades serán responsables de celebrar los contratos necesarios a fin de asegurar adecuadamente los bienes patrimoniales de su propiedad, así como los que bajo cualquier título posean o tengan asignados en cumplimiento de la normativa aplicable.</w:t>
      </w:r>
    </w:p>
    <w:p w:rsidR="00CC48AD" w:rsidRDefault="007B6BE9">
      <w:pPr>
        <w:spacing w:before="100" w:beforeAutospacing="1" w:after="100" w:afterAutospacing="1"/>
        <w:rPr>
          <w:rFonts w:cs="Arial"/>
        </w:rPr>
      </w:pPr>
      <w:r w:rsidRPr="007B6BE9">
        <w:rPr>
          <w:rFonts w:cs="Arial"/>
        </w:rPr>
        <w:t>Las dependencias informarán a la secretaría del inventario de bienes patrimoniales que tengan asignados o que bajo cualquier título posean, a fin de que sean considerados en la contabilidad gubernamental, en el ámbito patrimonial.</w:t>
      </w:r>
    </w:p>
    <w:p w:rsidR="00CC48AD" w:rsidRDefault="007B6BE9">
      <w:pPr>
        <w:pStyle w:val="Ttulo2"/>
        <w:spacing w:before="100" w:beforeAutospacing="1" w:after="100" w:afterAutospacing="1"/>
        <w:rPr>
          <w:rFonts w:cs="Arial"/>
          <w:szCs w:val="24"/>
        </w:rPr>
      </w:pPr>
      <w:bookmarkStart w:id="51" w:name="título-sexto"/>
      <w:bookmarkEnd w:id="50"/>
      <w:r w:rsidRPr="007B6BE9">
        <w:rPr>
          <w:rFonts w:cs="Arial"/>
          <w:szCs w:val="24"/>
        </w:rPr>
        <w:t>Título sexto</w:t>
      </w:r>
      <w:bookmarkStart w:id="52" w:name="seguimiento-y-evaluación-del-desempeño"/>
      <w:bookmarkEnd w:id="51"/>
      <w:r w:rsidRPr="007B6BE9">
        <w:rPr>
          <w:rFonts w:cs="Arial"/>
          <w:szCs w:val="24"/>
        </w:rPr>
        <w:br/>
        <w:t>Seguimiento y evaluación del desempeño</w:t>
      </w:r>
    </w:p>
    <w:p w:rsidR="00CC48AD" w:rsidRDefault="007B6BE9">
      <w:pPr>
        <w:pStyle w:val="Ttulo2"/>
        <w:spacing w:before="100" w:beforeAutospacing="1" w:after="100" w:afterAutospacing="1"/>
        <w:rPr>
          <w:rFonts w:cs="Arial"/>
          <w:szCs w:val="24"/>
        </w:rPr>
      </w:pPr>
      <w:bookmarkStart w:id="53" w:name="capítulo-i-4"/>
      <w:bookmarkEnd w:id="52"/>
      <w:r w:rsidRPr="007B6BE9">
        <w:rPr>
          <w:rFonts w:cs="Arial"/>
          <w:szCs w:val="24"/>
        </w:rPr>
        <w:t>Capítulo I</w:t>
      </w:r>
      <w:bookmarkStart w:id="54" w:name="presupuesto-basado-en-resultados"/>
      <w:bookmarkEnd w:id="53"/>
      <w:r w:rsidRPr="007B6BE9">
        <w:rPr>
          <w:rFonts w:cs="Arial"/>
          <w:szCs w:val="24"/>
        </w:rPr>
        <w:br/>
        <w:t>Presupuesto basado en resultados</w:t>
      </w:r>
    </w:p>
    <w:p w:rsidR="00CC48AD" w:rsidRDefault="007B6BE9">
      <w:pPr>
        <w:spacing w:before="100" w:beforeAutospacing="1" w:after="100" w:afterAutospacing="1"/>
        <w:rPr>
          <w:rFonts w:cs="Arial"/>
        </w:rPr>
      </w:pPr>
      <w:r w:rsidRPr="007B6BE9">
        <w:rPr>
          <w:rFonts w:cs="Arial"/>
          <w:b/>
          <w:bCs/>
        </w:rPr>
        <w:t>Artículo 102. Programas presupuestarios</w:t>
      </w:r>
    </w:p>
    <w:p w:rsidR="00CC48AD" w:rsidRDefault="007B6BE9">
      <w:pPr>
        <w:spacing w:before="100" w:beforeAutospacing="1" w:after="100" w:afterAutospacing="1"/>
        <w:rPr>
          <w:rFonts w:cs="Arial"/>
        </w:rPr>
      </w:pPr>
      <w:r w:rsidRPr="007B6BE9">
        <w:rPr>
          <w:rFonts w:cs="Arial"/>
        </w:rPr>
        <w:t>El presupuesto contiene 133 programas presupuestarios que serán instrumentados durante el ejercicio fiscal 2022. Del número total de programas presupuestarios, 120, es decir, el 90% forma parte del Presupuesto basado en Resultados del Poder Ejecutivo y las entidades paraestatales, los cuales cuentan con matrices de indicadores y dan cobertura al 100% del presupuesto asignado a estos entes públicos; y 13 que representan el 10% corresponde a los organismos autónomos y a los demás poderes.</w:t>
      </w:r>
    </w:p>
    <w:p w:rsidR="00CC48AD" w:rsidRDefault="007B6BE9">
      <w:pPr>
        <w:spacing w:before="100" w:beforeAutospacing="1" w:after="100" w:afterAutospacing="1"/>
        <w:rPr>
          <w:rFonts w:cs="Arial"/>
        </w:rPr>
      </w:pPr>
      <w:r w:rsidRPr="007B6BE9">
        <w:rPr>
          <w:rFonts w:cs="Arial"/>
        </w:rPr>
        <w:t>La información de los programas presupuestarios por unidades responsables, así como las matrices de indicadores para resultados de cada uno se presentan en el tomo V del presente decreto.</w:t>
      </w:r>
    </w:p>
    <w:p w:rsidR="00CC48AD" w:rsidRDefault="007B6BE9">
      <w:pPr>
        <w:spacing w:before="100" w:beforeAutospacing="1" w:after="100" w:afterAutospacing="1"/>
        <w:rPr>
          <w:rFonts w:cs="Arial"/>
        </w:rPr>
      </w:pPr>
      <w:r w:rsidRPr="007B6BE9">
        <w:rPr>
          <w:rFonts w:cs="Arial"/>
        </w:rPr>
        <w:lastRenderedPageBreak/>
        <w:t>Adicionalmente, se presenta información de las asignaciones presupuestales de los programas presupuestarios con relación a sus características, aplicación de los recursos asignados y fuente de financiamiento en los anexos 7.1. al 7.6.</w:t>
      </w:r>
    </w:p>
    <w:p w:rsidR="00CC48AD" w:rsidRDefault="007B6BE9">
      <w:pPr>
        <w:spacing w:before="100" w:beforeAutospacing="1" w:after="100" w:afterAutospacing="1"/>
        <w:rPr>
          <w:rFonts w:cs="Arial"/>
        </w:rPr>
      </w:pPr>
      <w:r w:rsidRPr="007B6BE9">
        <w:rPr>
          <w:rFonts w:cs="Arial"/>
          <w:b/>
          <w:bCs/>
        </w:rPr>
        <w:t>Artículo 103. Perspectivas transversales</w:t>
      </w:r>
    </w:p>
    <w:p w:rsidR="00CC48AD" w:rsidRDefault="007B6BE9">
      <w:pPr>
        <w:spacing w:before="100" w:beforeAutospacing="1" w:after="100" w:afterAutospacing="1"/>
        <w:rPr>
          <w:rFonts w:cs="Arial"/>
        </w:rPr>
      </w:pPr>
      <w:r w:rsidRPr="007B6BE9">
        <w:rPr>
          <w:rFonts w:cs="Arial"/>
        </w:rPr>
        <w:t>Es obligación de las dependencias y entidades de la Administración Pública del estado, incorporar a las intervenciones públicas y al ejercicio de sus funciones, la perspectiva de género, la atención a los derechos de la infancia y la adolescencia, la etnia, el desarrollo rural sustentable, el medio ambiente y los derechos humanos. Es necesario que estas perspectivas transversales se incorporen en todas las fases de los programas públicos: el diseño y la selección de alternativas, la ejecución, el control, el seguimiento y la evaluación.</w:t>
      </w:r>
    </w:p>
    <w:p w:rsidR="00CC48AD" w:rsidRDefault="007B6BE9">
      <w:pPr>
        <w:spacing w:before="100" w:beforeAutospacing="1" w:after="100" w:afterAutospacing="1"/>
        <w:rPr>
          <w:rFonts w:cs="Arial"/>
        </w:rPr>
      </w:pPr>
      <w:r w:rsidRPr="007B6BE9">
        <w:rPr>
          <w:rFonts w:cs="Arial"/>
        </w:rPr>
        <w:t>Los montos identificados en el presupuesto 2022 que atienden las perspectivas transversales se presentan en los anexos 18.1. al 18.8.</w:t>
      </w:r>
    </w:p>
    <w:p w:rsidR="00CC48AD" w:rsidRDefault="007B6BE9">
      <w:pPr>
        <w:pStyle w:val="Ttulo2"/>
        <w:spacing w:before="100" w:beforeAutospacing="1" w:after="100" w:afterAutospacing="1"/>
        <w:rPr>
          <w:rFonts w:cs="Arial"/>
          <w:szCs w:val="24"/>
        </w:rPr>
      </w:pPr>
      <w:bookmarkStart w:id="55" w:name="capítulo-ii-4"/>
      <w:bookmarkEnd w:id="54"/>
      <w:r w:rsidRPr="007B6BE9">
        <w:rPr>
          <w:rFonts w:cs="Arial"/>
          <w:szCs w:val="24"/>
        </w:rPr>
        <w:t>Capítulo II</w:t>
      </w:r>
      <w:bookmarkStart w:id="56" w:name="seguimiento-y-evaluación-del-desempeño-1"/>
      <w:bookmarkEnd w:id="55"/>
      <w:r w:rsidRPr="007B6BE9">
        <w:rPr>
          <w:rFonts w:cs="Arial"/>
          <w:szCs w:val="24"/>
        </w:rPr>
        <w:br/>
        <w:t>Seguimiento y evaluación del desempeño</w:t>
      </w:r>
    </w:p>
    <w:p w:rsidR="00CC48AD" w:rsidRDefault="007B6BE9">
      <w:pPr>
        <w:spacing w:before="100" w:beforeAutospacing="1" w:after="100" w:afterAutospacing="1"/>
        <w:rPr>
          <w:rFonts w:cs="Arial"/>
        </w:rPr>
      </w:pPr>
      <w:r w:rsidRPr="007B6BE9">
        <w:rPr>
          <w:rFonts w:cs="Arial"/>
          <w:b/>
          <w:bCs/>
        </w:rPr>
        <w:t>Artículo 104. Sistema de Seguimiento y Evaluación del Desempeño</w:t>
      </w:r>
    </w:p>
    <w:p w:rsidR="00CC48AD" w:rsidRDefault="007B6BE9">
      <w:pPr>
        <w:spacing w:before="100" w:beforeAutospacing="1" w:after="100" w:afterAutospacing="1"/>
        <w:rPr>
          <w:rFonts w:cs="Arial"/>
        </w:rPr>
      </w:pPr>
      <w:r w:rsidRPr="007B6BE9">
        <w:rPr>
          <w:rFonts w:cs="Arial"/>
        </w:rPr>
        <w:t>Las dependencias y entidades atenderán los requerimientos del Sistema de Seguimiento y Evaluación del Desempeño, con base en la normativa emitida por la SEPLAN.</w:t>
      </w:r>
    </w:p>
    <w:p w:rsidR="00CC48AD" w:rsidRDefault="007B6BE9">
      <w:pPr>
        <w:spacing w:before="100" w:beforeAutospacing="1" w:after="100" w:afterAutospacing="1"/>
        <w:rPr>
          <w:rFonts w:cs="Arial"/>
        </w:rPr>
      </w:pPr>
      <w:r w:rsidRPr="007B6BE9">
        <w:rPr>
          <w:rFonts w:cs="Arial"/>
          <w:b/>
          <w:bCs/>
        </w:rPr>
        <w:t>Artículo 105. Seguimiento</w:t>
      </w:r>
    </w:p>
    <w:p w:rsidR="00CC48AD" w:rsidRDefault="007B6BE9">
      <w:pPr>
        <w:spacing w:before="100" w:beforeAutospacing="1" w:after="100" w:afterAutospacing="1"/>
        <w:rPr>
          <w:rFonts w:cs="Arial"/>
        </w:rPr>
      </w:pPr>
      <w:r w:rsidRPr="007B6BE9">
        <w:rPr>
          <w:rFonts w:cs="Arial"/>
        </w:rPr>
        <w:t>La SEPLAN dará seguimiento a los avances en el cumplimiento de las metas de los indicadores de los programas presupuestarios, los cuales se utilizarán en las evaluaciones que se realicen, y los incorporará a los informes trimestrales. El seguimiento mediante indicadores de desempeño de los programas presupuestarios se llevará a cabo conforme a los lineamientos emitidos por la SEPLAN.</w:t>
      </w:r>
    </w:p>
    <w:p w:rsidR="00CC48AD" w:rsidRDefault="007B6BE9">
      <w:pPr>
        <w:spacing w:before="100" w:beforeAutospacing="1" w:after="100" w:afterAutospacing="1"/>
        <w:rPr>
          <w:rFonts w:cs="Arial"/>
        </w:rPr>
      </w:pPr>
      <w:r w:rsidRPr="007B6BE9">
        <w:rPr>
          <w:rFonts w:cs="Arial"/>
          <w:b/>
          <w:bCs/>
        </w:rPr>
        <w:t>Artículo 106. Evaluación</w:t>
      </w:r>
    </w:p>
    <w:p w:rsidR="00CC48AD" w:rsidRDefault="007B6BE9">
      <w:pPr>
        <w:spacing w:before="100" w:beforeAutospacing="1" w:after="100" w:afterAutospacing="1"/>
        <w:rPr>
          <w:rFonts w:cs="Arial"/>
        </w:rPr>
      </w:pPr>
      <w:r w:rsidRPr="007B6BE9">
        <w:rPr>
          <w:rFonts w:cs="Arial"/>
        </w:rPr>
        <w:t xml:space="preserve">La evaluación de los programas presupuestarios a cargo de las dependencias y entidades se sujetará a lo establecido en los Lineamientos generales del Sistema de Seguimiento y Evaluación del Desempeño, la Ley del Presupuesto y Contabilidad Gubernamental del Estado de Yucatán, su reglamento, y a las demás </w:t>
      </w:r>
      <w:r w:rsidRPr="007B6BE9">
        <w:rPr>
          <w:rFonts w:cs="Arial"/>
        </w:rPr>
        <w:lastRenderedPageBreak/>
        <w:t>disposiciones legales aplicables; y se llevará a cabo en los términos del programa anual de evaluación que emita la SEPLAN. Los términos de referencia y el informe de resultados de las evaluaciones se implementarán, mediante el programa anual de evaluación, con base en la normativa emitida para tal efecto.</w:t>
      </w:r>
    </w:p>
    <w:p w:rsidR="00CC48AD" w:rsidRDefault="007B6BE9">
      <w:pPr>
        <w:spacing w:before="100" w:beforeAutospacing="1" w:after="100" w:afterAutospacing="1"/>
        <w:rPr>
          <w:rFonts w:cs="Arial"/>
        </w:rPr>
      </w:pPr>
      <w:r w:rsidRPr="007B6BE9">
        <w:rPr>
          <w:rFonts w:cs="Arial"/>
        </w:rPr>
        <w:t>Con el fin de realizar el seguimiento y evaluar los resultados de la gestión, las dependencias y entidades de la Administración Pública del estado deberán prever la integración de la información estadística y geográfica necesaria para el cálculo confiable de los indicadores, a la vez que deberán facilitar la información necesaria para garantizar la credibilidad de las evaluaciones que se realicen.</w:t>
      </w:r>
    </w:p>
    <w:p w:rsidR="00CC48AD" w:rsidRDefault="007B6BE9">
      <w:pPr>
        <w:spacing w:before="100" w:beforeAutospacing="1" w:after="100" w:afterAutospacing="1"/>
        <w:rPr>
          <w:rFonts w:cs="Arial"/>
        </w:rPr>
      </w:pPr>
      <w:r w:rsidRPr="007B6BE9">
        <w:rPr>
          <w:rFonts w:cs="Arial"/>
          <w:b/>
          <w:bCs/>
        </w:rPr>
        <w:t>Artículo 107. Programa anual de evaluación</w:t>
      </w:r>
    </w:p>
    <w:p w:rsidR="00CC48AD" w:rsidRDefault="007B6BE9">
      <w:pPr>
        <w:spacing w:before="100" w:beforeAutospacing="1" w:after="100" w:afterAutospacing="1"/>
        <w:rPr>
          <w:rFonts w:cs="Arial"/>
        </w:rPr>
      </w:pPr>
      <w:r w:rsidRPr="007B6BE9">
        <w:rPr>
          <w:rFonts w:cs="Arial"/>
        </w:rPr>
        <w:t>La SEPLAN elaborará y publicará el programa anual de evaluación a más tardar el último día natural del mes abril. Para este fin, deberá tomar las previsiones para el financiamiento de las evaluaciones y, en su caso, de su contratación, en términos de las disposiciones normativas aplicables.</w:t>
      </w:r>
    </w:p>
    <w:p w:rsidR="00CC48AD" w:rsidRDefault="007B6BE9">
      <w:pPr>
        <w:spacing w:before="100" w:beforeAutospacing="1" w:after="100" w:afterAutospacing="1"/>
        <w:rPr>
          <w:rFonts w:cs="Arial"/>
        </w:rPr>
      </w:pPr>
      <w:r w:rsidRPr="007B6BE9">
        <w:rPr>
          <w:rFonts w:cs="Arial"/>
        </w:rPr>
        <w:t>El proceso de evaluación será coordinado por la SEPLAN, y en él deberán participar las dependencias y entidades de la Administración Pública estatal mediante la entrega de los datos y demás información que se solicite. Los entes públicos deberán publicar los informes de evaluación en sus sitios de Internet, dentro de los treinta días hábiles siguientes a la fecha en que sean entregados por la SEPLAN.</w:t>
      </w:r>
    </w:p>
    <w:p w:rsidR="00CC48AD" w:rsidRDefault="007B6BE9">
      <w:pPr>
        <w:spacing w:before="100" w:beforeAutospacing="1" w:after="100" w:afterAutospacing="1"/>
        <w:rPr>
          <w:rFonts w:cs="Arial"/>
        </w:rPr>
      </w:pPr>
      <w:r w:rsidRPr="007B6BE9">
        <w:rPr>
          <w:rFonts w:cs="Arial"/>
          <w:b/>
          <w:bCs/>
        </w:rPr>
        <w:t>Artículo 108. Aspectos susceptibles de mejora</w:t>
      </w:r>
    </w:p>
    <w:p w:rsidR="00CC48AD" w:rsidRDefault="007B6BE9">
      <w:pPr>
        <w:spacing w:before="100" w:beforeAutospacing="1" w:after="100" w:afterAutospacing="1"/>
        <w:rPr>
          <w:rFonts w:cs="Arial"/>
        </w:rPr>
      </w:pPr>
      <w:r w:rsidRPr="007B6BE9">
        <w:rPr>
          <w:rFonts w:cs="Arial"/>
        </w:rPr>
        <w:t>Las dependencias y entidades de la Administración Pública estatal deberán tomar en consideración las recomendaciones emitidas en los informes de evaluación para la mejora del diseño e implementación de sus intervenciones públicas.</w:t>
      </w:r>
    </w:p>
    <w:p w:rsidR="00CC48AD" w:rsidRDefault="007B6BE9">
      <w:pPr>
        <w:spacing w:before="100" w:beforeAutospacing="1" w:after="100" w:afterAutospacing="1"/>
        <w:rPr>
          <w:rFonts w:cs="Arial"/>
        </w:rPr>
      </w:pPr>
      <w:r w:rsidRPr="007B6BE9">
        <w:rPr>
          <w:rFonts w:cs="Arial"/>
        </w:rPr>
        <w:t>Las recomendaciones adoptadas constituirán aspectos susceptibles de mejora.</w:t>
      </w:r>
    </w:p>
    <w:p w:rsidR="00CC48AD" w:rsidRDefault="007B6BE9">
      <w:pPr>
        <w:spacing w:before="100" w:beforeAutospacing="1" w:after="100" w:afterAutospacing="1"/>
        <w:rPr>
          <w:rFonts w:cs="Arial"/>
        </w:rPr>
      </w:pPr>
      <w:r w:rsidRPr="007B6BE9">
        <w:rPr>
          <w:rFonts w:cs="Arial"/>
        </w:rPr>
        <w:t>La SEPLAN establecerá los mecanismos para el análisis, identificación, selección y clasificación de las recomendaciones, así como también, para el seguimiento de los aspectos susceptibles de mejora a los que se deberán ajustar las dependencias y entidades de la Administración Pública estatal.</w:t>
      </w:r>
    </w:p>
    <w:p w:rsidR="00CC48AD" w:rsidRDefault="007B6BE9">
      <w:pPr>
        <w:spacing w:before="100" w:beforeAutospacing="1" w:after="100" w:afterAutospacing="1"/>
        <w:rPr>
          <w:rFonts w:cs="Arial"/>
        </w:rPr>
      </w:pPr>
      <w:r w:rsidRPr="007B6BE9">
        <w:rPr>
          <w:rFonts w:cs="Arial"/>
          <w:b/>
          <w:bCs/>
        </w:rPr>
        <w:t>Artículo 109. Informe trimestral de seguimiento a los aspectos susceptibles de mejora</w:t>
      </w:r>
    </w:p>
    <w:p w:rsidR="00CC48AD" w:rsidRDefault="007B6BE9">
      <w:pPr>
        <w:spacing w:before="100" w:beforeAutospacing="1" w:after="100" w:afterAutospacing="1"/>
        <w:rPr>
          <w:rFonts w:cs="Arial"/>
        </w:rPr>
      </w:pPr>
      <w:r w:rsidRPr="007B6BE9">
        <w:rPr>
          <w:rFonts w:cs="Arial"/>
        </w:rPr>
        <w:lastRenderedPageBreak/>
        <w:t>La SEPLAN elaborará un informe trimestral que contenga el avance en el cumplimiento de los aspectos susceptibles de mejora, el cual remitirá a la secretaría, dentro de los veinte días naturales siguientes al término del trimestre que se informa.</w:t>
      </w:r>
    </w:p>
    <w:p w:rsidR="00CC48AD" w:rsidRDefault="007B6BE9">
      <w:pPr>
        <w:spacing w:before="100" w:beforeAutospacing="1" w:after="100" w:afterAutospacing="1"/>
        <w:rPr>
          <w:rFonts w:cs="Arial"/>
        </w:rPr>
      </w:pPr>
      <w:r w:rsidRPr="007B6BE9">
        <w:rPr>
          <w:rFonts w:cs="Arial"/>
          <w:b/>
          <w:bCs/>
        </w:rPr>
        <w:t>Artículo 110. Consideraciones presupuestales</w:t>
      </w:r>
    </w:p>
    <w:p w:rsidR="00CC48AD" w:rsidRDefault="007B6BE9">
      <w:pPr>
        <w:spacing w:before="100" w:beforeAutospacing="1" w:after="100" w:afterAutospacing="1"/>
        <w:rPr>
          <w:rFonts w:cs="Arial"/>
        </w:rPr>
      </w:pPr>
      <w:r w:rsidRPr="007B6BE9">
        <w:rPr>
          <w:rFonts w:cs="Arial"/>
        </w:rPr>
        <w:t>Las recomendaciones que adopten las dependencias y entidades y se comprometan a través de aspectos susceptibles de mejora se utilizarán para mejorar la calidad del gasto público y para que las intervenciones públicas se orienten a resultados.</w:t>
      </w:r>
    </w:p>
    <w:p w:rsidR="00CC48AD" w:rsidRDefault="007B6BE9">
      <w:pPr>
        <w:spacing w:before="100" w:beforeAutospacing="1" w:after="100" w:afterAutospacing="1"/>
        <w:rPr>
          <w:rFonts w:cs="Arial"/>
        </w:rPr>
      </w:pPr>
      <w:r w:rsidRPr="007B6BE9">
        <w:rPr>
          <w:rFonts w:cs="Arial"/>
        </w:rPr>
        <w:t>La SEPLAN, con base en las recomendaciones y el avance de los aspectos susceptibles de mejora, emitirá las consideraciones presupuestales que podrán ser aplicables durante el proceso presupuestario de 2022 que impacte en el siguiente ejercicio fiscal.</w:t>
      </w:r>
    </w:p>
    <w:p w:rsidR="00CC48AD" w:rsidRDefault="007B6BE9">
      <w:pPr>
        <w:spacing w:before="100" w:beforeAutospacing="1" w:after="100" w:afterAutospacing="1"/>
        <w:rPr>
          <w:rFonts w:cs="Arial"/>
        </w:rPr>
      </w:pPr>
      <w:r w:rsidRPr="007B6BE9">
        <w:rPr>
          <w:rFonts w:cs="Arial"/>
          <w:b/>
          <w:bCs/>
        </w:rPr>
        <w:t>Artículo 111. Capacitación en materia de planeación y evaluación</w:t>
      </w:r>
    </w:p>
    <w:p w:rsidR="00CC48AD" w:rsidRDefault="007B6BE9">
      <w:pPr>
        <w:spacing w:before="100" w:beforeAutospacing="1" w:after="100" w:afterAutospacing="1"/>
        <w:rPr>
          <w:rFonts w:cs="Arial"/>
        </w:rPr>
      </w:pPr>
      <w:r w:rsidRPr="007B6BE9">
        <w:rPr>
          <w:rFonts w:cs="Arial"/>
        </w:rPr>
        <w:t>La SEPLAN capacitará a los servidores públicos involucrados en las funciones de planeación, seguimiento y evaluación.</w:t>
      </w:r>
    </w:p>
    <w:p w:rsidR="00CC48AD" w:rsidRDefault="007B6BE9">
      <w:pPr>
        <w:pStyle w:val="Ttulo2"/>
        <w:spacing w:before="100" w:beforeAutospacing="1" w:after="100" w:afterAutospacing="1"/>
        <w:rPr>
          <w:rFonts w:cs="Arial"/>
          <w:szCs w:val="24"/>
        </w:rPr>
      </w:pPr>
      <w:bookmarkStart w:id="57" w:name="capítulo-iii-3"/>
      <w:bookmarkEnd w:id="56"/>
      <w:r w:rsidRPr="007B6BE9">
        <w:rPr>
          <w:rFonts w:cs="Arial"/>
          <w:szCs w:val="24"/>
        </w:rPr>
        <w:t>Capítulo III</w:t>
      </w:r>
      <w:bookmarkStart w:id="58" w:name="seguimiento-y-vigilancia-del-presupuesto"/>
      <w:bookmarkEnd w:id="57"/>
      <w:r w:rsidRPr="007B6BE9">
        <w:rPr>
          <w:rFonts w:cs="Arial"/>
          <w:szCs w:val="24"/>
        </w:rPr>
        <w:br/>
        <w:t>Seguimiento y vigilancia del presupuesto</w:t>
      </w:r>
    </w:p>
    <w:p w:rsidR="00CC48AD" w:rsidRDefault="007B6BE9">
      <w:pPr>
        <w:spacing w:before="100" w:beforeAutospacing="1" w:after="100" w:afterAutospacing="1"/>
        <w:rPr>
          <w:rFonts w:cs="Arial"/>
        </w:rPr>
      </w:pPr>
      <w:r w:rsidRPr="007B6BE9">
        <w:rPr>
          <w:rFonts w:cs="Arial"/>
          <w:b/>
          <w:bCs/>
        </w:rPr>
        <w:t>Artículo 112. Colaboración</w:t>
      </w:r>
    </w:p>
    <w:p w:rsidR="00CC48AD" w:rsidRDefault="007B6BE9">
      <w:pPr>
        <w:spacing w:before="100" w:beforeAutospacing="1" w:after="100" w:afterAutospacing="1"/>
        <w:rPr>
          <w:rFonts w:cs="Arial"/>
        </w:rPr>
      </w:pPr>
      <w:r w:rsidRPr="007B6BE9">
        <w:rPr>
          <w:rFonts w:cs="Arial"/>
        </w:rPr>
        <w:t>Para el eficaz cumplimiento de este decreto, el Poder Ejecutivo y los poderes Legislativo y Judicial, en coordinación con los municipios, colaborarán entre sí para asegurar las mejores condiciones de probidad y veracidad en el intercambio de información presupuestaria, contable y financiera sobre el gasto público.</w:t>
      </w:r>
    </w:p>
    <w:p w:rsidR="00CC48AD" w:rsidRDefault="007B6BE9">
      <w:pPr>
        <w:spacing w:before="100" w:beforeAutospacing="1" w:after="100" w:afterAutospacing="1"/>
        <w:rPr>
          <w:rFonts w:cs="Arial"/>
        </w:rPr>
      </w:pPr>
      <w:r w:rsidRPr="007B6BE9">
        <w:rPr>
          <w:rFonts w:cs="Arial"/>
          <w:b/>
          <w:bCs/>
        </w:rPr>
        <w:t>Artículo 113. Integración de informes trimestrales</w:t>
      </w:r>
    </w:p>
    <w:p w:rsidR="00CC48AD" w:rsidRDefault="007B6BE9">
      <w:pPr>
        <w:spacing w:before="100" w:beforeAutospacing="1" w:after="100" w:afterAutospacing="1"/>
        <w:rPr>
          <w:rFonts w:cs="Arial"/>
        </w:rPr>
      </w:pPr>
      <w:r w:rsidRPr="007B6BE9">
        <w:rPr>
          <w:rFonts w:cs="Arial"/>
        </w:rPr>
        <w:t xml:space="preserve">Los entes públicos deberán proporcionar oportunamente a la secretaría y a la SEPLAN, la información que corresponda para la debida integración de los informes trimestrales. Dichos informes contendrán la información prevista en la Ley del Presupuesto y Contabilidad Gubernamental del Estado de Yucatán, la Ley de Planeación para el Desarrollo del Estado de Yucatán, la Ley General de Contabilidad Gubernamental, la ley de disciplina financiera, los lineamientos del </w:t>
      </w:r>
      <w:r w:rsidRPr="007B6BE9">
        <w:rPr>
          <w:rFonts w:cs="Arial"/>
        </w:rPr>
        <w:lastRenderedPageBreak/>
        <w:t>Consejo Nacional de Armonización Contable y las demás disposiciones legales y normativas aplicables en la materia.</w:t>
      </w:r>
    </w:p>
    <w:p w:rsidR="00CC48AD" w:rsidRDefault="007B6BE9">
      <w:pPr>
        <w:spacing w:before="100" w:beforeAutospacing="1" w:after="100" w:afterAutospacing="1"/>
        <w:rPr>
          <w:rFonts w:cs="Arial"/>
        </w:rPr>
      </w:pPr>
      <w:r w:rsidRPr="007B6BE9">
        <w:rPr>
          <w:rFonts w:cs="Arial"/>
          <w:b/>
          <w:bCs/>
        </w:rPr>
        <w:t>Artículo 114. Medidas para la vigilancia del ejercicio del presupuesto</w:t>
      </w:r>
    </w:p>
    <w:p w:rsidR="00CC48AD" w:rsidRDefault="007B6BE9">
      <w:pPr>
        <w:spacing w:before="100" w:beforeAutospacing="1" w:after="100" w:afterAutospacing="1"/>
        <w:rPr>
          <w:rFonts w:cs="Arial"/>
        </w:rPr>
      </w:pPr>
      <w:r w:rsidRPr="007B6BE9">
        <w:rPr>
          <w:rFonts w:cs="Arial"/>
        </w:rPr>
        <w:t>La secretaría vigilará el adecuado ejercicio del presupuesto. Para tal fin, dictará las medidas pertinentes de acuerdo con las disposiciones que resulten aplicables, y podrá requerir de las propias dependencias y entidades, la información que resulte necesaria, comunicando a la contraloría las irregularidades y desviaciones de que tenga conocimiento con motivo del ejercicio de sus funciones.</w:t>
      </w:r>
    </w:p>
    <w:p w:rsidR="00CC48AD" w:rsidRDefault="007B6BE9">
      <w:pPr>
        <w:spacing w:before="100" w:beforeAutospacing="1" w:after="100" w:afterAutospacing="1"/>
        <w:rPr>
          <w:rFonts w:cs="Arial"/>
        </w:rPr>
      </w:pPr>
      <w:r w:rsidRPr="007B6BE9">
        <w:rPr>
          <w:rFonts w:cs="Arial"/>
          <w:b/>
          <w:bCs/>
        </w:rPr>
        <w:t>Artículo 115. Información trimestral sobre la utilización de fondos</w:t>
      </w:r>
    </w:p>
    <w:p w:rsidR="00CC48AD" w:rsidRDefault="007B6BE9">
      <w:pPr>
        <w:spacing w:before="100" w:beforeAutospacing="1" w:after="100" w:afterAutospacing="1"/>
        <w:rPr>
          <w:rFonts w:cs="Arial"/>
        </w:rPr>
      </w:pPr>
      <w:r w:rsidRPr="007B6BE9">
        <w:rPr>
          <w:rFonts w:cs="Arial"/>
        </w:rPr>
        <w:t>Las dependencias, las entidades y las demás instancias que ejerzan recursos provenientes de las aportaciones federales, proporcionarán trimestralmente, en los primeros veinte días de los meses de enero, abril, julio y octubre, la información sobre la utilización de los fondos.</w:t>
      </w:r>
    </w:p>
    <w:p w:rsidR="00CC48AD" w:rsidRDefault="007B6BE9">
      <w:pPr>
        <w:spacing w:before="100" w:beforeAutospacing="1" w:after="100" w:afterAutospacing="1"/>
        <w:rPr>
          <w:rFonts w:cs="Arial"/>
        </w:rPr>
      </w:pPr>
      <w:r w:rsidRPr="007B6BE9">
        <w:rPr>
          <w:rFonts w:cs="Arial"/>
          <w:b/>
          <w:bCs/>
        </w:rPr>
        <w:t>Artículo 116. Comprobación de las obligaciones legales</w:t>
      </w:r>
    </w:p>
    <w:p w:rsidR="00CC48AD" w:rsidRDefault="007B6BE9">
      <w:pPr>
        <w:spacing w:before="100" w:beforeAutospacing="1" w:after="100" w:afterAutospacing="1"/>
        <w:rPr>
          <w:rFonts w:cs="Arial"/>
        </w:rPr>
      </w:pPr>
      <w:r w:rsidRPr="007B6BE9">
        <w:rPr>
          <w:rFonts w:cs="Arial"/>
        </w:rPr>
        <w:t>El titular de la contraloría y los órganos internos de control de las dependencias y entidades, en el ejercicio de las atribuciones que en materia de inspección, control y vigilancia les confiere la ley, comprobarán el cumplimiento de las propias dependencias y entidades de las obligaciones derivadas de este decreto.</w:t>
      </w:r>
    </w:p>
    <w:p w:rsidR="00CC48AD" w:rsidRDefault="007B6BE9">
      <w:pPr>
        <w:spacing w:before="100" w:beforeAutospacing="1" w:after="100" w:afterAutospacing="1"/>
        <w:rPr>
          <w:rFonts w:cs="Arial"/>
        </w:rPr>
      </w:pPr>
      <w:r w:rsidRPr="007B6BE9">
        <w:rPr>
          <w:rFonts w:cs="Arial"/>
        </w:rPr>
        <w:t>Por lo anterior, dispondrán lo conducente para que se lleven a cabo las inspecciones y auditorías que se requieran, así como para que se finquen las responsabilidades y se apliquen las sanciones que procedan con motivo del incumplimiento de las mencionadas obligaciones, en los términos de la legislación en materia de responsabilidades administrativas.</w:t>
      </w:r>
    </w:p>
    <w:p w:rsidR="00CC48AD" w:rsidRDefault="007B6BE9">
      <w:pPr>
        <w:spacing w:before="100" w:beforeAutospacing="1" w:after="100" w:afterAutospacing="1"/>
        <w:rPr>
          <w:rFonts w:cs="Arial"/>
        </w:rPr>
      </w:pPr>
      <w:r w:rsidRPr="007B6BE9">
        <w:rPr>
          <w:rFonts w:cs="Arial"/>
          <w:b/>
          <w:bCs/>
        </w:rPr>
        <w:t>Artículo 117. Fiscalización y revisión de la cuenta pública</w:t>
      </w:r>
    </w:p>
    <w:p w:rsidR="00CC48AD" w:rsidRDefault="007B6BE9">
      <w:pPr>
        <w:spacing w:before="100" w:beforeAutospacing="1" w:after="100" w:afterAutospacing="1"/>
        <w:rPr>
          <w:rFonts w:cs="Arial"/>
        </w:rPr>
      </w:pPr>
      <w:r w:rsidRPr="007B6BE9">
        <w:rPr>
          <w:rFonts w:cs="Arial"/>
        </w:rPr>
        <w:t>Los poderes Ejecutivo, Legislativo y Judicial, los organismos autónomos y las dependencias y entidades serán responsables de proporcionar a la secretaría, la información para la integración de la cuenta pública del año anterior, con el fin de que consolide la cuenta pública del estado.</w:t>
      </w:r>
    </w:p>
    <w:p w:rsidR="00CC48AD" w:rsidRDefault="007B6BE9">
      <w:pPr>
        <w:spacing w:before="100" w:beforeAutospacing="1" w:after="100" w:afterAutospacing="1"/>
        <w:rPr>
          <w:rFonts w:cs="Arial"/>
        </w:rPr>
      </w:pPr>
      <w:r w:rsidRPr="007B6BE9">
        <w:rPr>
          <w:rFonts w:cs="Arial"/>
        </w:rPr>
        <w:t xml:space="preserve">Las dependencias y entidades estarán obligadas a proporcionar a la secretaría y a la contraloría, la información que les soliciten y permitirle al personal de esta última </w:t>
      </w:r>
      <w:r w:rsidRPr="007B6BE9">
        <w:rPr>
          <w:rFonts w:cs="Arial"/>
        </w:rPr>
        <w:lastRenderedPageBreak/>
        <w:t>la práctica de visitas y auditorías para la comprobación del cumplimiento de las obligaciones derivadas de este decreto y de las demás disposiciones aplicables.</w:t>
      </w:r>
    </w:p>
    <w:p w:rsidR="00CC48AD" w:rsidRDefault="007B6BE9">
      <w:pPr>
        <w:spacing w:before="100" w:beforeAutospacing="1" w:after="100" w:afterAutospacing="1"/>
        <w:rPr>
          <w:rFonts w:cs="Arial"/>
        </w:rPr>
      </w:pPr>
      <w:r w:rsidRPr="007B6BE9">
        <w:rPr>
          <w:rFonts w:cs="Arial"/>
        </w:rPr>
        <w:t>Lo anterior sin perjuicio de que dichos entes públicos cumplan su obligación de presentar su cuenta pública a la Auditoría Superior del Estado, a través de la secretaría, a más tardar el treinta de abril del año siguiente al cierre del ejercicio fiscal correspondiente.</w:t>
      </w:r>
    </w:p>
    <w:p w:rsidR="00CC48AD" w:rsidRDefault="007B6BE9">
      <w:pPr>
        <w:spacing w:before="100" w:beforeAutospacing="1" w:after="100" w:afterAutospacing="1"/>
        <w:rPr>
          <w:rFonts w:cs="Arial"/>
        </w:rPr>
      </w:pPr>
      <w:r w:rsidRPr="007B6BE9">
        <w:rPr>
          <w:rFonts w:cs="Arial"/>
        </w:rPr>
        <w:t>La Auditoría Superior del Estado ejercerá las funciones de fiscalización y revisión de la cuenta pública del Gobierno del Estado de Yucatán, de acuerdo con sus atribuciones.</w:t>
      </w:r>
    </w:p>
    <w:p w:rsidR="00CC48AD" w:rsidRDefault="007B6BE9">
      <w:pPr>
        <w:pStyle w:val="Ttulo2"/>
        <w:spacing w:before="100" w:beforeAutospacing="1" w:after="100" w:afterAutospacing="1"/>
        <w:rPr>
          <w:rFonts w:cs="Arial"/>
          <w:szCs w:val="24"/>
        </w:rPr>
      </w:pPr>
      <w:bookmarkStart w:id="59" w:name="capítulo-iv-2"/>
      <w:bookmarkEnd w:id="58"/>
      <w:r w:rsidRPr="007B6BE9">
        <w:rPr>
          <w:rFonts w:cs="Arial"/>
          <w:szCs w:val="24"/>
        </w:rPr>
        <w:t>Capítulo IV</w:t>
      </w:r>
      <w:bookmarkStart w:id="60" w:name="sanciones"/>
      <w:bookmarkEnd w:id="59"/>
      <w:r w:rsidRPr="007B6BE9">
        <w:rPr>
          <w:rFonts w:cs="Arial"/>
          <w:szCs w:val="24"/>
        </w:rPr>
        <w:br/>
        <w:t>Sanciones</w:t>
      </w:r>
    </w:p>
    <w:p w:rsidR="00CC48AD" w:rsidRDefault="007B6BE9">
      <w:pPr>
        <w:spacing w:before="100" w:beforeAutospacing="1" w:after="100" w:afterAutospacing="1"/>
        <w:rPr>
          <w:rFonts w:cs="Arial"/>
        </w:rPr>
      </w:pPr>
      <w:r w:rsidRPr="007B6BE9">
        <w:rPr>
          <w:rFonts w:cs="Arial"/>
          <w:b/>
          <w:bCs/>
        </w:rPr>
        <w:t>Artículo 118. Responsabilidades</w:t>
      </w:r>
    </w:p>
    <w:p w:rsidR="00CC48AD" w:rsidRDefault="007B6BE9">
      <w:pPr>
        <w:spacing w:before="100" w:beforeAutospacing="1" w:after="100" w:afterAutospacing="1"/>
        <w:rPr>
          <w:rFonts w:cs="Arial"/>
        </w:rPr>
      </w:pPr>
      <w:r w:rsidRPr="007B6BE9">
        <w:rPr>
          <w:rFonts w:cs="Arial"/>
        </w:rPr>
        <w:t>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previstos en este decreto.</w:t>
      </w:r>
    </w:p>
    <w:p w:rsidR="00CC48AD" w:rsidRDefault="007B6BE9">
      <w:pPr>
        <w:spacing w:before="100" w:beforeAutospacing="1" w:after="100" w:afterAutospacing="1"/>
        <w:rPr>
          <w:rFonts w:cs="Arial"/>
        </w:rPr>
      </w:pPr>
      <w:r w:rsidRPr="007B6BE9">
        <w:rPr>
          <w:rFonts w:cs="Arial"/>
        </w:rPr>
        <w:t>El incumplimiento de dichas disposiciones será sancionado en los términos de la legislación aplicable en materia de responsabilidades administrativas.</w:t>
      </w:r>
    </w:p>
    <w:p w:rsidR="00CC48AD" w:rsidRDefault="007B6BE9">
      <w:pPr>
        <w:pStyle w:val="Ttulo2"/>
        <w:spacing w:before="100" w:beforeAutospacing="1" w:after="100" w:afterAutospacing="1"/>
        <w:rPr>
          <w:rFonts w:cs="Arial"/>
          <w:szCs w:val="24"/>
        </w:rPr>
      </w:pPr>
      <w:bookmarkStart w:id="61" w:name="artículos-transitorios"/>
      <w:bookmarkEnd w:id="60"/>
      <w:r w:rsidRPr="007B6BE9">
        <w:rPr>
          <w:rFonts w:cs="Arial"/>
          <w:szCs w:val="24"/>
        </w:rPr>
        <w:t>Artículos transitorios</w:t>
      </w:r>
    </w:p>
    <w:p w:rsidR="00CC48AD" w:rsidRDefault="007B6BE9">
      <w:pPr>
        <w:spacing w:before="100" w:beforeAutospacing="1" w:after="100" w:afterAutospacing="1"/>
        <w:rPr>
          <w:rFonts w:cs="Arial"/>
        </w:rPr>
      </w:pPr>
      <w:r w:rsidRPr="007B6BE9">
        <w:rPr>
          <w:rFonts w:cs="Arial"/>
          <w:b/>
          <w:bCs/>
        </w:rPr>
        <w:t>Primero. Entrada en vigor</w:t>
      </w:r>
    </w:p>
    <w:p w:rsidR="00CC48AD" w:rsidRDefault="007B6BE9">
      <w:pPr>
        <w:spacing w:before="100" w:beforeAutospacing="1" w:after="100" w:afterAutospacing="1"/>
        <w:rPr>
          <w:rFonts w:cs="Arial"/>
        </w:rPr>
      </w:pPr>
      <w:r w:rsidRPr="007B6BE9">
        <w:rPr>
          <w:rFonts w:cs="Arial"/>
        </w:rPr>
        <w:t>Este decreto entrará en vigor el 1 de enero de 2022, previa publicación en el Diario Oficial del Gobierno del Estado de Yucatán.</w:t>
      </w:r>
    </w:p>
    <w:p w:rsidR="00CC48AD" w:rsidRDefault="007B6BE9">
      <w:pPr>
        <w:spacing w:before="100" w:beforeAutospacing="1" w:after="100" w:afterAutospacing="1"/>
        <w:rPr>
          <w:rFonts w:cs="Arial"/>
        </w:rPr>
      </w:pPr>
      <w:r w:rsidRPr="007B6BE9">
        <w:rPr>
          <w:rFonts w:cs="Arial"/>
          <w:b/>
          <w:bCs/>
        </w:rPr>
        <w:t>Segundo. Poderes Legislativo y Judicial, así como organismos autónomos</w:t>
      </w:r>
    </w:p>
    <w:p w:rsidR="00CC48AD" w:rsidRDefault="007B6BE9">
      <w:pPr>
        <w:spacing w:before="100" w:beforeAutospacing="1" w:after="100" w:afterAutospacing="1"/>
        <w:rPr>
          <w:rFonts w:cs="Arial"/>
        </w:rPr>
      </w:pPr>
      <w:r w:rsidRPr="007B6BE9">
        <w:rPr>
          <w:rFonts w:cs="Arial"/>
        </w:rPr>
        <w:t>Los Poderes Legislativo y Judicial, así como los organismos autónomos, cuyos montos solicitados en sus proyectos de presupuestos fueron modificados de acuerdo con las cantidades asignadas en este decreto, deberán actualizarlos en detalle, y proporcionarlos al Congreso del estado y a la Secretaría de Administración y Finanzas para su conocimiento y calendarización, respectivamente, así como publicarlos en sus sitios web a más tardar el 15 de enero de 2022.</w:t>
      </w:r>
    </w:p>
    <w:p w:rsidR="00CC48AD" w:rsidRDefault="007B6BE9">
      <w:pPr>
        <w:spacing w:before="100" w:beforeAutospacing="1" w:after="100" w:afterAutospacing="1"/>
        <w:rPr>
          <w:rFonts w:cs="Arial"/>
        </w:rPr>
      </w:pPr>
      <w:r w:rsidRPr="007B6BE9">
        <w:rPr>
          <w:rFonts w:cs="Arial"/>
          <w:b/>
          <w:bCs/>
        </w:rPr>
        <w:lastRenderedPageBreak/>
        <w:t>Tercero. Modificaciones estructurales a la Administración Pública estatal</w:t>
      </w:r>
    </w:p>
    <w:p w:rsidR="00CC48AD" w:rsidRDefault="007B6BE9">
      <w:pPr>
        <w:spacing w:before="100" w:beforeAutospacing="1" w:after="100" w:afterAutospacing="1"/>
        <w:rPr>
          <w:rFonts w:cs="Arial"/>
        </w:rPr>
      </w:pPr>
      <w:r w:rsidRPr="007B6BE9">
        <w:rPr>
          <w:rFonts w:cs="Arial"/>
        </w:rPr>
        <w:t>El presente presupuesto de egresos se adecuará, en caso de modificaciones a la estructura orgánica, presupuestaria, financiera y material de la Administración Pública del estado, durante el ejercicio 2022.</w:t>
      </w:r>
    </w:p>
    <w:p w:rsidR="00CC48AD" w:rsidRDefault="007B6BE9">
      <w:pPr>
        <w:spacing w:before="100" w:beforeAutospacing="1" w:after="100" w:afterAutospacing="1"/>
        <w:rPr>
          <w:rFonts w:cs="Arial"/>
        </w:rPr>
      </w:pPr>
      <w:r w:rsidRPr="007B6BE9">
        <w:rPr>
          <w:rFonts w:cs="Arial"/>
        </w:rPr>
        <w:t>Para el caso de modificaciones estructurales a la Administración Pública del estado, se faculta al Poder Ejecutivo del estado, a través de la Secretaría de Administración y Finanzas, para que emita las autorizaciones que correspondan a efecto de que los ejecutores de gasto realicen las adecuaciones o los traspasos de recursos humanos, financieros y materiales, incluyendo bienes muebles e inmuebles, que sean necesarios como consecuencia de reformas jurídicas.</w:t>
      </w:r>
    </w:p>
    <w:p w:rsidR="00CC48AD" w:rsidRDefault="007B6BE9">
      <w:pPr>
        <w:spacing w:before="100" w:beforeAutospacing="1" w:after="100" w:afterAutospacing="1"/>
        <w:rPr>
          <w:rFonts w:cs="Arial"/>
        </w:rPr>
      </w:pPr>
      <w:r w:rsidRPr="007B6BE9">
        <w:rPr>
          <w:rFonts w:cs="Arial"/>
        </w:rPr>
        <w:t>Con la finalidad de garantizar y dar continuidad a las acciones de gobierno, las dependencias, entidades y unidades administrativas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p>
    <w:p w:rsidR="00CC48AD" w:rsidRDefault="007B6BE9">
      <w:pPr>
        <w:spacing w:before="100" w:beforeAutospacing="1" w:after="100" w:afterAutospacing="1"/>
        <w:rPr>
          <w:rFonts w:cs="Arial"/>
        </w:rPr>
      </w:pPr>
      <w:r w:rsidRPr="007B6BE9">
        <w:rPr>
          <w:rFonts w:cs="Arial"/>
        </w:rPr>
        <w:t>En este sentido, los ejecutores de gasto deberán realizar, conforme a la normativa aplicable las adecuaciones que sean necesarias para transferir los recursos financieros y las estructuras orgánicas y ocupacionales respecto de las unidades responsables que cambiaron de adscripción o se encuentren en proceso de readscripción como consecuencia de reformas jurídicas.</w:t>
      </w:r>
    </w:p>
    <w:p w:rsidR="00CC48AD" w:rsidRDefault="007B6BE9">
      <w:pPr>
        <w:spacing w:before="100" w:beforeAutospacing="1" w:after="100" w:afterAutospacing="1"/>
        <w:rPr>
          <w:rFonts w:cs="Arial"/>
        </w:rPr>
      </w:pPr>
      <w:r w:rsidRPr="007B6BE9">
        <w:rPr>
          <w:rFonts w:cs="Arial"/>
          <w:b/>
          <w:bCs/>
        </w:rPr>
        <w:t>Cuarto. Reintegro por subejercicio</w:t>
      </w:r>
    </w:p>
    <w:p w:rsidR="00CC48AD" w:rsidRDefault="007B6BE9">
      <w:pPr>
        <w:spacing w:before="100" w:beforeAutospacing="1" w:after="100" w:afterAutospacing="1"/>
        <w:rPr>
          <w:rFonts w:cs="Arial"/>
        </w:rPr>
      </w:pPr>
      <w:r w:rsidRPr="007B6BE9">
        <w:rPr>
          <w:rFonts w:cs="Arial"/>
        </w:rPr>
        <w:t>Los poderes, organismos autónomos y las dependencias y entidades, a los que, durante el ejercicio 2021, se les hubiera transferido recursos presupuestales por cualquier motivo, y que en el transcurso del año 2021 no hubieran ejercido en sus proyectos autorizados o al término del ejercicio conserven recursos estatales previstos en el presupuesto 2021 y, en su caso, los rendimientos obtenidos, deberán reintegrar el importe disponible a la secretaría dentro de los primeros quince días naturales del ejercicio de 2022 en términos del artículo 92 de la Ley del Presupuesto y Contabilidad Gubernamental del Estado de Yucatán.</w:t>
      </w:r>
    </w:p>
    <w:p w:rsidR="00CC48AD" w:rsidRDefault="007B6BE9">
      <w:pPr>
        <w:spacing w:before="100" w:beforeAutospacing="1" w:after="100" w:afterAutospacing="1"/>
        <w:rPr>
          <w:rFonts w:cs="Arial"/>
        </w:rPr>
      </w:pPr>
      <w:r w:rsidRPr="007B6BE9">
        <w:rPr>
          <w:rFonts w:cs="Arial"/>
        </w:rPr>
        <w:t>Por lo que corresponde a los recursos federales se observará lo dispuesto en la normativa federal aplicable.</w:t>
      </w:r>
    </w:p>
    <w:p w:rsidR="00CC48AD" w:rsidRDefault="007B6BE9">
      <w:pPr>
        <w:spacing w:before="100" w:beforeAutospacing="1" w:after="100" w:afterAutospacing="1"/>
        <w:rPr>
          <w:rFonts w:cs="Arial"/>
        </w:rPr>
      </w:pPr>
      <w:r w:rsidRPr="007B6BE9">
        <w:rPr>
          <w:rFonts w:cs="Arial"/>
          <w:b/>
          <w:bCs/>
        </w:rPr>
        <w:lastRenderedPageBreak/>
        <w:t>Quinto. Modificaciones a la ley de disciplina financiera</w:t>
      </w:r>
    </w:p>
    <w:p w:rsidR="00CC48AD" w:rsidRDefault="00CC48AD">
      <w:pPr>
        <w:spacing w:before="100" w:beforeAutospacing="1" w:after="100" w:afterAutospacing="1"/>
        <w:rPr>
          <w:rFonts w:cs="Arial"/>
        </w:rPr>
      </w:pPr>
      <w:r>
        <w:rPr>
          <w:rFonts w:cs="Arial"/>
          <w:noProof/>
          <w:lang w:eastAsia="es-MX"/>
        </w:rPr>
        <w:pict>
          <v:shapetype id="_x0000_t202" coordsize="21600,21600" o:spt="202" path="m,l,21600r21600,l21600,xe">
            <v:stroke joinstyle="miter"/>
            <v:path gradientshapeok="t" o:connecttype="rect"/>
          </v:shapetype>
          <v:shape id="Text Box 2" o:spid="_x0000_s1027" type="#_x0000_t202" style="position:absolute;left:0;text-align:left;margin-left:221.25pt;margin-top:-135.8pt;width:226.75pt;height:54.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" stroked="f">
            <v:textbox>
              <w:txbxContent>
                <w:p w:rsidR="00704F94" w:rsidRPr="00950F8D" w:rsidRDefault="00704F94" w:rsidP="007B0283">
                  <w:pPr>
                    <w:suppressAutoHyphens/>
                    <w:spacing w:before="100" w:beforeAutospacing="1" w:after="100" w:afterAutospacing="1"/>
                    <w:rPr>
                      <w:rFonts w:cs="Arial"/>
                      <w:sz w:val="20"/>
                      <w:szCs w:val="20"/>
                    </w:rPr>
                  </w:pPr>
                  <w:r w:rsidRPr="00950F8D">
                    <w:rPr>
                      <w:rFonts w:cs="Arial"/>
                      <w:sz w:val="20"/>
                      <w:szCs w:val="20"/>
                    </w:rPr>
                    <w:t>Esta hoja de firmas forma parte de la Iniciativa para expedir el Presupuesto de Egresos del Gobierno del Estado de Yucatán para el Ejercicio Fiscal 202</w:t>
                  </w:r>
                  <w:r>
                    <w:rPr>
                      <w:rFonts w:cs="Arial"/>
                      <w:sz w:val="20"/>
                      <w:szCs w:val="20"/>
                    </w:rPr>
                    <w:t>2</w:t>
                  </w:r>
                  <w:r w:rsidRPr="00950F8D">
                    <w:rPr>
                      <w:rFonts w:cs="Arial"/>
                      <w:sz w:val="20"/>
                      <w:szCs w:val="20"/>
                    </w:rPr>
                    <w:t>.</w:t>
                  </w:r>
                </w:p>
              </w:txbxContent>
            </v:textbox>
          </v:shape>
        </w:pict>
      </w:r>
      <w:r w:rsidR="007B6BE9" w:rsidRPr="007B6BE9">
        <w:rPr>
          <w:rFonts w:cs="Arial"/>
        </w:rPr>
        <w:t>En el caso de que durante la vigencia del ejercicio existan reformas o modificaciones a la Ley de Disciplina Financiera de las Entidades Federativas y los Municipios, los entes públicos deberán aplicar dichas disposiciones en el ejercicio del presupuesto durante el año 2022, siempre y cuando su aplicación sea procedente al caso en concreto.</w:t>
      </w:r>
    </w:p>
    <w:p w:rsidR="00CC48AD" w:rsidRDefault="007B6BE9">
      <w:pPr>
        <w:pStyle w:val="Ttulo2"/>
        <w:spacing w:before="100" w:beforeAutospacing="1" w:after="100" w:afterAutospacing="1"/>
        <w:rPr>
          <w:rFonts w:cs="Arial"/>
          <w:szCs w:val="24"/>
        </w:rPr>
      </w:pPr>
      <w:bookmarkStart w:id="62" w:name="atentamente"/>
      <w:bookmarkEnd w:id="61"/>
      <w:r w:rsidRPr="007B6BE9">
        <w:rPr>
          <w:rFonts w:cs="Arial"/>
          <w:b w:val="0"/>
        </w:rPr>
        <w:t>Atentamente</w:t>
      </w:r>
      <w:bookmarkStart w:id="63" w:name="lic.-mauricio-vila-dosal"/>
      <w:bookmarkEnd w:id="62"/>
    </w:p>
    <w:p w:rsidR="00CC48AD" w:rsidRDefault="00CC48AD">
      <w:pPr>
        <w:pStyle w:val="Ttulo2"/>
        <w:spacing w:before="100" w:beforeAutospacing="1" w:after="100" w:afterAutospacing="1"/>
        <w:rPr>
          <w:rFonts w:cs="Arial"/>
          <w:szCs w:val="24"/>
        </w:rPr>
      </w:pPr>
    </w:p>
    <w:p w:rsidR="00CC48AD" w:rsidRDefault="007B6BE9">
      <w:pPr>
        <w:pStyle w:val="Ttulo2"/>
        <w:spacing w:before="100" w:beforeAutospacing="1" w:after="100" w:afterAutospacing="1"/>
        <w:rPr>
          <w:rFonts w:cs="Arial"/>
          <w:szCs w:val="24"/>
        </w:rPr>
      </w:pPr>
      <w:r w:rsidRPr="007B6BE9">
        <w:rPr>
          <w:rFonts w:cs="Arial"/>
          <w:b w:val="0"/>
        </w:rPr>
        <w:t>Lic. Mauricio Vila Dosal</w:t>
      </w:r>
      <w:bookmarkStart w:id="64" w:name="gobernador-del-estado-de-yucatán"/>
      <w:bookmarkEnd w:id="63"/>
      <w:r w:rsidRPr="007B6BE9">
        <w:rPr>
          <w:rFonts w:cs="Arial"/>
          <w:b w:val="0"/>
        </w:rPr>
        <w:br/>
        <w:t>Gobernador del Estado de Yucatán</w:t>
      </w:r>
    </w:p>
    <w:p w:rsidR="00CC48AD" w:rsidRDefault="00CC48AD">
      <w:pPr>
        <w:spacing w:before="100" w:beforeAutospacing="1" w:after="100" w:afterAutospacing="1"/>
        <w:jc w:val="left"/>
        <w:rPr>
          <w:rFonts w:cs="Arial"/>
          <w:b/>
          <w:bCs/>
        </w:rPr>
      </w:pPr>
    </w:p>
    <w:p w:rsidR="003955CD" w:rsidRDefault="007B6BE9" w:rsidP="009A65B3">
      <w:pPr>
        <w:spacing w:before="100" w:beforeAutospacing="1" w:after="100" w:afterAutospacing="1"/>
        <w:jc w:val="left"/>
      </w:pPr>
      <w:r w:rsidRPr="007B6BE9">
        <w:rPr>
          <w:rFonts w:cs="Arial"/>
          <w:b/>
          <w:bCs/>
        </w:rPr>
        <w:t>Abog. María Dolores Fritz Sierra</w:t>
      </w:r>
      <w:r w:rsidRPr="007B6BE9">
        <w:rPr>
          <w:rFonts w:cs="Arial"/>
        </w:rPr>
        <w:br/>
      </w:r>
      <w:r w:rsidRPr="007B6BE9">
        <w:rPr>
          <w:rFonts w:cs="Arial"/>
          <w:b/>
          <w:bCs/>
        </w:rPr>
        <w:t>Secretaria general de Gobierno</w:t>
      </w:r>
      <w:bookmarkEnd w:id="64"/>
    </w:p>
    <w:p w:rsidR="003955CD" w:rsidRDefault="003955CD"/>
    <w:p w:rsidR="003955CD" w:rsidRDefault="003955CD"/>
    <w:p w:rsidR="003955CD" w:rsidRDefault="003955CD"/>
    <w:p w:rsidR="003955CD" w:rsidRDefault="003955CD"/>
    <w:p w:rsidR="003955CD" w:rsidRDefault="003955CD"/>
    <w:p w:rsidR="003955CD" w:rsidRDefault="003955CD"/>
    <w:sectPr w:rsidR="003955CD" w:rsidSect="00742230">
      <w:headerReference w:type="default" r:id="rId9"/>
      <w:footerReference w:type="default" r:id="rId10"/>
      <w:pgSz w:w="12240" w:h="15840"/>
      <w:pgMar w:top="2835" w:right="1701"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0B2602" w15:done="0"/>
  <w15:commentEx w15:paraId="363CB760" w15:paraIdParent="540B2602" w15:done="0"/>
  <w15:commentEx w15:paraId="4ABE1010" w15:done="0"/>
  <w15:commentEx w15:paraId="6FFB5033" w15:paraIdParent="4ABE1010" w15:done="0"/>
  <w15:commentEx w15:paraId="787B20E2" w15:done="0"/>
  <w15:commentEx w15:paraId="71E33128" w15:paraIdParent="787B20E2" w15:done="0"/>
  <w15:commentEx w15:paraId="071B3CE2" w15:done="0"/>
  <w15:commentEx w15:paraId="2B713A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63" w:rsidRDefault="00620F63">
      <w:r>
        <w:separator/>
      </w:r>
    </w:p>
  </w:endnote>
  <w:endnote w:type="continuationSeparator" w:id="0">
    <w:p w:rsidR="00620F63" w:rsidRDefault="00620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rlow">
    <w:panose1 w:val="000005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rlow Bold">
    <w:altName w:val="Calibri"/>
    <w:panose1 w:val="00000800000000000000"/>
    <w:charset w:val="4D"/>
    <w:family w:val="auto"/>
    <w:pitch w:val="variable"/>
    <w:sig w:usb0="00000007" w:usb1="00000000" w:usb2="00000000" w:usb3="00000000" w:csb0="00000093" w:csb1="00000000"/>
  </w:font>
  <w:font w:name="Barlow Medium">
    <w:panose1 w:val="00000600000000000000"/>
    <w:charset w:val="00"/>
    <w:family w:val="auto"/>
    <w:pitch w:val="variable"/>
    <w:sig w:usb0="00000007" w:usb1="00000000" w:usb2="00000000" w:usb3="00000000" w:csb0="00000093" w:csb1="00000000"/>
  </w:font>
  <w:font w:name="Soberana Titular">
    <w:altName w:val="Calibri"/>
    <w:charset w:val="4D"/>
    <w:family w:val="auto"/>
    <w:pitch w:val="variable"/>
    <w:sig w:usb0="800000AF" w:usb1="4000204A" w:usb2="00000000" w:usb3="00000000" w:csb0="00000001" w:csb1="00000000"/>
  </w:font>
  <w:font w:name="Calibri Light">
    <w:altName w:val="Arial"/>
    <w:charset w:val="00"/>
    <w:family w:val="swiss"/>
    <w:pitch w:val="variable"/>
    <w:sig w:usb0="00000000"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3058120"/>
      <w:docPartObj>
        <w:docPartGallery w:val="Page Numbers (Bottom of Page)"/>
        <w:docPartUnique/>
      </w:docPartObj>
    </w:sdtPr>
    <w:sdtContent>
      <w:p w:rsidR="00704F94" w:rsidRPr="00876E51" w:rsidRDefault="00CC48AD">
        <w:pPr>
          <w:pStyle w:val="Piedepgina"/>
          <w:jc w:val="right"/>
          <w:rPr>
            <w:sz w:val="20"/>
            <w:szCs w:val="20"/>
          </w:rPr>
        </w:pPr>
        <w:r w:rsidRPr="007B6BE9">
          <w:rPr>
            <w:sz w:val="20"/>
            <w:szCs w:val="20"/>
          </w:rPr>
          <w:fldChar w:fldCharType="begin"/>
        </w:r>
        <w:r w:rsidR="007B6BE9" w:rsidRPr="007B6BE9">
          <w:rPr>
            <w:sz w:val="20"/>
            <w:szCs w:val="20"/>
          </w:rPr>
          <w:instrText xml:space="preserve"> PAGE   \* MERGEFORMAT </w:instrText>
        </w:r>
        <w:r w:rsidRPr="007B6BE9">
          <w:rPr>
            <w:sz w:val="20"/>
            <w:szCs w:val="20"/>
          </w:rPr>
          <w:fldChar w:fldCharType="separate"/>
        </w:r>
        <w:r w:rsidR="008A2B95">
          <w:rPr>
            <w:noProof/>
            <w:sz w:val="20"/>
            <w:szCs w:val="20"/>
          </w:rPr>
          <w:t>68</w:t>
        </w:r>
        <w:r w:rsidRPr="007B6BE9">
          <w:rPr>
            <w:sz w:val="20"/>
            <w:szCs w:val="20"/>
          </w:rPr>
          <w:fldChar w:fldCharType="end"/>
        </w:r>
      </w:p>
    </w:sdtContent>
  </w:sdt>
  <w:p w:rsidR="00704F94" w:rsidRDefault="00704F94" w:rsidP="007E015C">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63" w:rsidRDefault="00620F63">
      <w:r>
        <w:separator/>
      </w:r>
    </w:p>
  </w:footnote>
  <w:footnote w:type="continuationSeparator" w:id="0">
    <w:p w:rsidR="00620F63" w:rsidRDefault="00620F63">
      <w:r>
        <w:continuationSeparator/>
      </w:r>
    </w:p>
  </w:footnote>
  <w:footnote w:id="1">
    <w:p w:rsidR="00704F94" w:rsidRPr="00AB64D6" w:rsidRDefault="00704F94" w:rsidP="003955CD">
      <w:pPr>
        <w:pStyle w:val="Textonotapie"/>
        <w:rPr>
          <w:rFonts w:ascii="Arial" w:hAnsi="Arial" w:cs="Arial"/>
        </w:rPr>
      </w:pPr>
      <w:r w:rsidRPr="00AB64D6">
        <w:rPr>
          <w:rStyle w:val="Refdenotaalpie"/>
          <w:rFonts w:cs="Arial"/>
        </w:rPr>
        <w:footnoteRef/>
      </w:r>
      <w:r w:rsidRPr="00AB64D6">
        <w:rPr>
          <w:rFonts w:ascii="Arial" w:hAnsi="Arial" w:cs="Arial"/>
        </w:rPr>
        <w:t xml:space="preserve"> Excluye la Venta de Bienes y Servicios.</w:t>
      </w:r>
    </w:p>
  </w:footnote>
  <w:footnote w:id="2">
    <w:p w:rsidR="00704F94" w:rsidRPr="006B7C9B" w:rsidRDefault="00704F94" w:rsidP="003955CD">
      <w:pPr>
        <w:pStyle w:val="Textonotapie"/>
        <w:rPr>
          <w:rFonts w:ascii="Arial" w:hAnsi="Arial" w:cs="Arial"/>
        </w:rPr>
      </w:pPr>
      <w:r w:rsidRPr="006B7C9B">
        <w:rPr>
          <w:rStyle w:val="Refdenotaalpie"/>
          <w:rFonts w:cs="Arial"/>
        </w:rPr>
        <w:footnoteRef/>
      </w:r>
      <w:r w:rsidRPr="006B7C9B">
        <w:rPr>
          <w:rFonts w:ascii="Arial" w:hAnsi="Arial" w:cs="Arial"/>
        </w:rPr>
        <w:t xml:space="preserve"> Excluye </w:t>
      </w:r>
      <w:r>
        <w:rPr>
          <w:rFonts w:ascii="Arial" w:hAnsi="Arial" w:cs="Arial"/>
        </w:rPr>
        <w:t xml:space="preserve">la </w:t>
      </w:r>
      <w:r w:rsidRPr="006B7C9B">
        <w:rPr>
          <w:rFonts w:ascii="Arial" w:hAnsi="Arial" w:cs="Arial"/>
        </w:rPr>
        <w:t xml:space="preserve">Venta de Bienes y Servicios.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94" w:rsidRDefault="00704F94" w:rsidP="007E015C">
    <w:pPr>
      <w:pStyle w:val="Encabezado"/>
      <w:tabs>
        <w:tab w:val="clear" w:pos="4419"/>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4EC5CC"/>
    <w:lvl w:ilvl="0">
      <w:start w:val="1"/>
      <w:numFmt w:val="decimal"/>
      <w:lvlText w:val="%1."/>
      <w:lvlJc w:val="left"/>
      <w:pPr>
        <w:tabs>
          <w:tab w:val="num" w:pos="1492"/>
        </w:tabs>
        <w:ind w:left="1492" w:hanging="360"/>
      </w:pPr>
    </w:lvl>
  </w:abstractNum>
  <w:abstractNum w:abstractNumId="1">
    <w:nsid w:val="FFFFFF7D"/>
    <w:multiLevelType w:val="singleLevel"/>
    <w:tmpl w:val="13AAB5FA"/>
    <w:lvl w:ilvl="0">
      <w:start w:val="1"/>
      <w:numFmt w:val="decimal"/>
      <w:lvlText w:val="%1."/>
      <w:lvlJc w:val="left"/>
      <w:pPr>
        <w:tabs>
          <w:tab w:val="num" w:pos="1209"/>
        </w:tabs>
        <w:ind w:left="1209" w:hanging="360"/>
      </w:pPr>
    </w:lvl>
  </w:abstractNum>
  <w:abstractNum w:abstractNumId="2">
    <w:nsid w:val="FFFFFF7E"/>
    <w:multiLevelType w:val="singleLevel"/>
    <w:tmpl w:val="D0B8D1B8"/>
    <w:lvl w:ilvl="0">
      <w:start w:val="1"/>
      <w:numFmt w:val="decimal"/>
      <w:lvlText w:val="%1."/>
      <w:lvlJc w:val="left"/>
      <w:pPr>
        <w:tabs>
          <w:tab w:val="num" w:pos="926"/>
        </w:tabs>
        <w:ind w:left="926" w:hanging="360"/>
      </w:pPr>
    </w:lvl>
  </w:abstractNum>
  <w:abstractNum w:abstractNumId="3">
    <w:nsid w:val="FFFFFF7F"/>
    <w:multiLevelType w:val="singleLevel"/>
    <w:tmpl w:val="04B638D6"/>
    <w:lvl w:ilvl="0">
      <w:start w:val="1"/>
      <w:numFmt w:val="decimal"/>
      <w:lvlText w:val="%1."/>
      <w:lvlJc w:val="left"/>
      <w:pPr>
        <w:tabs>
          <w:tab w:val="num" w:pos="643"/>
        </w:tabs>
        <w:ind w:left="643" w:hanging="360"/>
      </w:pPr>
    </w:lvl>
  </w:abstractNum>
  <w:abstractNum w:abstractNumId="4">
    <w:nsid w:val="FFFFFF80"/>
    <w:multiLevelType w:val="singleLevel"/>
    <w:tmpl w:val="01C65B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5AC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6AE7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BAF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C26F62"/>
    <w:lvl w:ilvl="0">
      <w:start w:val="1"/>
      <w:numFmt w:val="decimal"/>
      <w:lvlText w:val="%1."/>
      <w:lvlJc w:val="left"/>
      <w:pPr>
        <w:tabs>
          <w:tab w:val="num" w:pos="360"/>
        </w:tabs>
        <w:ind w:left="360" w:hanging="360"/>
      </w:pPr>
    </w:lvl>
  </w:abstractNum>
  <w:abstractNum w:abstractNumId="9">
    <w:nsid w:val="FFFFFF89"/>
    <w:multiLevelType w:val="singleLevel"/>
    <w:tmpl w:val="0E32051E"/>
    <w:lvl w:ilvl="0">
      <w:start w:val="1"/>
      <w:numFmt w:val="bullet"/>
      <w:lvlText w:val=""/>
      <w:lvlJc w:val="left"/>
      <w:pPr>
        <w:tabs>
          <w:tab w:val="num" w:pos="360"/>
        </w:tabs>
        <w:ind w:left="360" w:hanging="360"/>
      </w:pPr>
      <w:rPr>
        <w:rFonts w:ascii="Symbol" w:hAnsi="Symbol" w:hint="default"/>
      </w:rPr>
    </w:lvl>
  </w:abstractNum>
  <w:abstractNum w:abstractNumId="10">
    <w:nsid w:val="0000A990"/>
    <w:multiLevelType w:val="multilevel"/>
    <w:tmpl w:val="2B96772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nsid w:val="05496917"/>
    <w:multiLevelType w:val="hybridMultilevel"/>
    <w:tmpl w:val="AFD88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072718D9"/>
    <w:multiLevelType w:val="hybridMultilevel"/>
    <w:tmpl w:val="42CAB4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097F75CB"/>
    <w:multiLevelType w:val="hybridMultilevel"/>
    <w:tmpl w:val="7E782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E1F6261"/>
    <w:multiLevelType w:val="hybridMultilevel"/>
    <w:tmpl w:val="8C76FB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20919E1"/>
    <w:multiLevelType w:val="hybridMultilevel"/>
    <w:tmpl w:val="045A5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4135D5C"/>
    <w:multiLevelType w:val="hybridMultilevel"/>
    <w:tmpl w:val="DCBA8C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17BD6920"/>
    <w:multiLevelType w:val="hybridMultilevel"/>
    <w:tmpl w:val="114E1D5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8">
    <w:nsid w:val="17BE7A78"/>
    <w:multiLevelType w:val="hybridMultilevel"/>
    <w:tmpl w:val="42CAB4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192A167D"/>
    <w:multiLevelType w:val="hybridMultilevel"/>
    <w:tmpl w:val="E07A6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9D245A3"/>
    <w:multiLevelType w:val="hybridMultilevel"/>
    <w:tmpl w:val="79B6D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A0023DB"/>
    <w:multiLevelType w:val="hybridMultilevel"/>
    <w:tmpl w:val="2A22AFA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1057A82"/>
    <w:multiLevelType w:val="hybridMultilevel"/>
    <w:tmpl w:val="E282556A"/>
    <w:lvl w:ilvl="0" w:tplc="57605D24">
      <w:start w:val="1"/>
      <w:numFmt w:val="bullet"/>
      <w:lvlText w:val=""/>
      <w:lvlJc w:val="left"/>
      <w:pPr>
        <w:ind w:left="643"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C8F13E6"/>
    <w:multiLevelType w:val="hybridMultilevel"/>
    <w:tmpl w:val="1A7676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D112034"/>
    <w:multiLevelType w:val="hybridMultilevel"/>
    <w:tmpl w:val="73422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E9D7A55"/>
    <w:multiLevelType w:val="hybridMultilevel"/>
    <w:tmpl w:val="C090D86E"/>
    <w:lvl w:ilvl="0" w:tplc="8A404854">
      <w:start w:val="1"/>
      <w:numFmt w:val="decimal"/>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F760C53"/>
    <w:multiLevelType w:val="hybridMultilevel"/>
    <w:tmpl w:val="672ED804"/>
    <w:lvl w:ilvl="0" w:tplc="59C06C7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A5058BC"/>
    <w:multiLevelType w:val="hybridMultilevel"/>
    <w:tmpl w:val="BF885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CEE34C6"/>
    <w:multiLevelType w:val="hybridMultilevel"/>
    <w:tmpl w:val="877A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DC26F9B"/>
    <w:multiLevelType w:val="hybridMultilevel"/>
    <w:tmpl w:val="B84A8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FE458CE"/>
    <w:multiLevelType w:val="hybridMultilevel"/>
    <w:tmpl w:val="5FA483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408571CA"/>
    <w:multiLevelType w:val="hybridMultilevel"/>
    <w:tmpl w:val="34285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41E6FE9"/>
    <w:multiLevelType w:val="hybridMultilevel"/>
    <w:tmpl w:val="2AAECB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46DF16A5"/>
    <w:multiLevelType w:val="hybridMultilevel"/>
    <w:tmpl w:val="381C1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73629E6"/>
    <w:multiLevelType w:val="hybridMultilevel"/>
    <w:tmpl w:val="16FAD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B3D18B1"/>
    <w:multiLevelType w:val="hybridMultilevel"/>
    <w:tmpl w:val="C6D68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4BFA6CA6"/>
    <w:multiLevelType w:val="hybridMultilevel"/>
    <w:tmpl w:val="F1BA1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FE43197"/>
    <w:multiLevelType w:val="hybridMultilevel"/>
    <w:tmpl w:val="392CA7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nsid w:val="53453EF0"/>
    <w:multiLevelType w:val="hybridMultilevel"/>
    <w:tmpl w:val="4FDAE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3885749"/>
    <w:multiLevelType w:val="hybridMultilevel"/>
    <w:tmpl w:val="859E8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4AD4A7D"/>
    <w:multiLevelType w:val="hybridMultilevel"/>
    <w:tmpl w:val="C51C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54D37A55"/>
    <w:multiLevelType w:val="hybridMultilevel"/>
    <w:tmpl w:val="E53CE720"/>
    <w:lvl w:ilvl="0" w:tplc="7CC87480">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42">
    <w:nsid w:val="593924A5"/>
    <w:multiLevelType w:val="hybridMultilevel"/>
    <w:tmpl w:val="29806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B813A40"/>
    <w:multiLevelType w:val="hybridMultilevel"/>
    <w:tmpl w:val="B29EF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5F1D370A"/>
    <w:multiLevelType w:val="hybridMultilevel"/>
    <w:tmpl w:val="5BF43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16C2BD8"/>
    <w:multiLevelType w:val="hybridMultilevel"/>
    <w:tmpl w:val="944A73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E2A1FDC"/>
    <w:multiLevelType w:val="hybridMultilevel"/>
    <w:tmpl w:val="E73EC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03B60FD"/>
    <w:multiLevelType w:val="hybridMultilevel"/>
    <w:tmpl w:val="0A2221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9">
    <w:nsid w:val="712A309A"/>
    <w:multiLevelType w:val="hybridMultilevel"/>
    <w:tmpl w:val="92704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76F321D"/>
    <w:multiLevelType w:val="hybridMultilevel"/>
    <w:tmpl w:val="60B6A5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nsid w:val="78C44FDA"/>
    <w:multiLevelType w:val="hybridMultilevel"/>
    <w:tmpl w:val="3C96DA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2">
    <w:nsid w:val="7B27598E"/>
    <w:multiLevelType w:val="hybridMultilevel"/>
    <w:tmpl w:val="ADF88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7F80370C"/>
    <w:multiLevelType w:val="hybridMultilevel"/>
    <w:tmpl w:val="1004A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2"/>
  </w:num>
  <w:num w:numId="3">
    <w:abstractNumId w:val="23"/>
  </w:num>
  <w:num w:numId="4">
    <w:abstractNumId w:val="27"/>
  </w:num>
  <w:num w:numId="5">
    <w:abstractNumId w:val="20"/>
  </w:num>
  <w:num w:numId="6">
    <w:abstractNumId w:val="31"/>
  </w:num>
  <w:num w:numId="7">
    <w:abstractNumId w:val="46"/>
  </w:num>
  <w:num w:numId="8">
    <w:abstractNumId w:val="26"/>
  </w:num>
  <w:num w:numId="9">
    <w:abstractNumId w:val="35"/>
  </w:num>
  <w:num w:numId="10">
    <w:abstractNumId w:val="21"/>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36"/>
  </w:num>
  <w:num w:numId="23">
    <w:abstractNumId w:val="49"/>
  </w:num>
  <w:num w:numId="24">
    <w:abstractNumId w:val="44"/>
  </w:num>
  <w:num w:numId="25">
    <w:abstractNumId w:val="39"/>
  </w:num>
  <w:num w:numId="26">
    <w:abstractNumId w:val="42"/>
  </w:num>
  <w:num w:numId="27">
    <w:abstractNumId w:val="12"/>
  </w:num>
  <w:num w:numId="28">
    <w:abstractNumId w:val="47"/>
  </w:num>
  <w:num w:numId="29">
    <w:abstractNumId w:val="30"/>
  </w:num>
  <w:num w:numId="30">
    <w:abstractNumId w:val="11"/>
  </w:num>
  <w:num w:numId="31">
    <w:abstractNumId w:val="51"/>
  </w:num>
  <w:num w:numId="32">
    <w:abstractNumId w:val="45"/>
  </w:num>
  <w:num w:numId="33">
    <w:abstractNumId w:val="50"/>
  </w:num>
  <w:num w:numId="34">
    <w:abstractNumId w:val="16"/>
  </w:num>
  <w:num w:numId="35">
    <w:abstractNumId w:val="17"/>
  </w:num>
  <w:num w:numId="36">
    <w:abstractNumId w:val="32"/>
  </w:num>
  <w:num w:numId="37">
    <w:abstractNumId w:val="37"/>
  </w:num>
  <w:num w:numId="38">
    <w:abstractNumId w:val="13"/>
  </w:num>
  <w:num w:numId="39">
    <w:abstractNumId w:val="48"/>
  </w:num>
  <w:num w:numId="40">
    <w:abstractNumId w:val="19"/>
  </w:num>
  <w:num w:numId="41">
    <w:abstractNumId w:val="34"/>
  </w:num>
  <w:num w:numId="42">
    <w:abstractNumId w:val="53"/>
  </w:num>
  <w:num w:numId="43">
    <w:abstractNumId w:val="14"/>
  </w:num>
  <w:num w:numId="44">
    <w:abstractNumId w:val="24"/>
  </w:num>
  <w:num w:numId="45">
    <w:abstractNumId w:val="25"/>
  </w:num>
  <w:num w:numId="46">
    <w:abstractNumId w:val="28"/>
  </w:num>
  <w:num w:numId="47">
    <w:abstractNumId w:val="15"/>
  </w:num>
  <w:num w:numId="48">
    <w:abstractNumId w:val="40"/>
  </w:num>
  <w:num w:numId="49">
    <w:abstractNumId w:val="52"/>
  </w:num>
  <w:num w:numId="50">
    <w:abstractNumId w:val="33"/>
  </w:num>
  <w:num w:numId="51">
    <w:abstractNumId w:val="43"/>
  </w:num>
  <w:num w:numId="52">
    <w:abstractNumId w:val="29"/>
  </w:num>
  <w:num w:numId="53">
    <w:abstractNumId w:val="38"/>
  </w:num>
  <w:num w:numId="54">
    <w:abstractNumId w:val="18"/>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rson w15:author="Lucy Guillermo">
    <w15:presenceInfo w15:providerId="None" w15:userId="Lucy Guillermo"/>
  </w15:person>
  <w15:person w15:author="ingrid marisol sosa mugartegui">
    <w15:presenceInfo w15:providerId="Windows Live" w15:userId="83e1a12b38e3b11d"/>
  </w15:person>
  <w15:person w15:author="Elma Kako">
    <w15:presenceInfo w15:providerId="None" w15:userId="Elma Ka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rsids>
    <w:rsidRoot w:val="007C3686"/>
    <w:rsid w:val="0000267D"/>
    <w:rsid w:val="000408AA"/>
    <w:rsid w:val="00046F8C"/>
    <w:rsid w:val="00076CB2"/>
    <w:rsid w:val="00093A11"/>
    <w:rsid w:val="000A23AB"/>
    <w:rsid w:val="000F2DEB"/>
    <w:rsid w:val="00137833"/>
    <w:rsid w:val="001513DC"/>
    <w:rsid w:val="00191E66"/>
    <w:rsid w:val="00262045"/>
    <w:rsid w:val="002959C7"/>
    <w:rsid w:val="002C2E17"/>
    <w:rsid w:val="003955CD"/>
    <w:rsid w:val="003D37BB"/>
    <w:rsid w:val="00461129"/>
    <w:rsid w:val="0057633C"/>
    <w:rsid w:val="005D351E"/>
    <w:rsid w:val="005D4FB2"/>
    <w:rsid w:val="005E2409"/>
    <w:rsid w:val="005F6145"/>
    <w:rsid w:val="00620F63"/>
    <w:rsid w:val="00654F39"/>
    <w:rsid w:val="00681F3E"/>
    <w:rsid w:val="006E59B9"/>
    <w:rsid w:val="00704F94"/>
    <w:rsid w:val="00742230"/>
    <w:rsid w:val="0075364C"/>
    <w:rsid w:val="00785163"/>
    <w:rsid w:val="007B0283"/>
    <w:rsid w:val="007B10E4"/>
    <w:rsid w:val="007B6BE9"/>
    <w:rsid w:val="007C3686"/>
    <w:rsid w:val="007E015C"/>
    <w:rsid w:val="00802B51"/>
    <w:rsid w:val="008202F5"/>
    <w:rsid w:val="00876E51"/>
    <w:rsid w:val="008A2B95"/>
    <w:rsid w:val="008C37E1"/>
    <w:rsid w:val="009A65B3"/>
    <w:rsid w:val="009B1B2F"/>
    <w:rsid w:val="009C7A64"/>
    <w:rsid w:val="00AB5BBD"/>
    <w:rsid w:val="00B27A09"/>
    <w:rsid w:val="00B91409"/>
    <w:rsid w:val="00BE7898"/>
    <w:rsid w:val="00BF2C49"/>
    <w:rsid w:val="00C1023E"/>
    <w:rsid w:val="00CC33E0"/>
    <w:rsid w:val="00CC48AD"/>
    <w:rsid w:val="00D46475"/>
    <w:rsid w:val="00D7793A"/>
    <w:rsid w:val="00D90095"/>
    <w:rsid w:val="00DB0676"/>
    <w:rsid w:val="00DE0AD5"/>
    <w:rsid w:val="00DE33AF"/>
    <w:rsid w:val="00DE4620"/>
    <w:rsid w:val="00DF4EBF"/>
    <w:rsid w:val="00E118D0"/>
    <w:rsid w:val="00E17AA0"/>
    <w:rsid w:val="00E4342D"/>
    <w:rsid w:val="00F758CD"/>
    <w:rsid w:val="00FB592A"/>
    <w:rsid w:val="00FB5D27"/>
    <w:rsid w:val="00FC401C"/>
    <w:rsid w:val="00FD1BE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65"/>
    <w:pPr>
      <w:jc w:val="both"/>
    </w:pPr>
    <w:rPr>
      <w:rFonts w:ascii="Arial" w:hAnsi="Arial"/>
    </w:rPr>
  </w:style>
  <w:style w:type="paragraph" w:styleId="Ttulo1">
    <w:name w:val="heading 1"/>
    <w:basedOn w:val="Normal"/>
    <w:next w:val="Normal"/>
    <w:link w:val="Ttulo1Car"/>
    <w:uiPriority w:val="9"/>
    <w:qFormat/>
    <w:rsid w:val="005A4E65"/>
    <w:pPr>
      <w:keepNext/>
      <w:keepLines/>
      <w:spacing w:before="240"/>
      <w:jc w:val="center"/>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5A4E65"/>
    <w:pPr>
      <w:keepNext/>
      <w:keepLines/>
      <w:jc w:val="center"/>
      <w:outlineLvl w:val="1"/>
    </w:pPr>
    <w:rPr>
      <w:rFonts w:eastAsiaTheme="majorEastAsia" w:cstheme="majorBidi"/>
      <w:b/>
      <w:color w:val="000000" w:themeColor="text1"/>
      <w:szCs w:val="26"/>
    </w:rPr>
  </w:style>
  <w:style w:type="paragraph" w:styleId="Ttulo3">
    <w:name w:val="heading 3"/>
    <w:basedOn w:val="Normal"/>
    <w:next w:val="Normal"/>
    <w:link w:val="Ttulo3Car"/>
    <w:unhideWhenUsed/>
    <w:qFormat/>
    <w:rsid w:val="005A4E65"/>
    <w:pPr>
      <w:keepNext/>
      <w:keepLines/>
      <w:jc w:val="center"/>
      <w:outlineLvl w:val="2"/>
    </w:pPr>
    <w:rPr>
      <w:rFonts w:eastAsiaTheme="majorEastAsia" w:cstheme="majorBidi"/>
      <w:b/>
      <w:color w:val="000000" w:themeColor="text1"/>
    </w:rPr>
  </w:style>
  <w:style w:type="paragraph" w:styleId="Ttulo4">
    <w:name w:val="heading 4"/>
    <w:basedOn w:val="Normal"/>
    <w:next w:val="Normal"/>
    <w:link w:val="Ttulo4Car"/>
    <w:unhideWhenUsed/>
    <w:qFormat/>
    <w:rsid w:val="00F566E7"/>
    <w:pPr>
      <w:keepNext/>
      <w:keepLines/>
      <w:jc w:val="center"/>
      <w:outlineLvl w:val="3"/>
    </w:pPr>
    <w:rPr>
      <w:rFonts w:eastAsiaTheme="majorEastAsia" w:cstheme="majorBidi"/>
      <w:b/>
      <w:iCs/>
      <w:color w:val="000000" w:themeColor="text1"/>
    </w:rPr>
  </w:style>
  <w:style w:type="paragraph" w:styleId="Ttulo5">
    <w:name w:val="heading 5"/>
    <w:basedOn w:val="Normal"/>
    <w:next w:val="Normal"/>
    <w:link w:val="Ttulo5Car"/>
    <w:unhideWhenUsed/>
    <w:qFormat/>
    <w:rsid w:val="00BA52E9"/>
    <w:pPr>
      <w:spacing w:before="100" w:beforeAutospacing="1" w:after="100" w:afterAutospacing="1"/>
      <w:jc w:val="right"/>
      <w:outlineLvl w:val="4"/>
    </w:pPr>
    <w:rPr>
      <w:rFonts w:cs="Arial"/>
    </w:rPr>
  </w:style>
  <w:style w:type="paragraph" w:styleId="Ttulo6">
    <w:name w:val="heading 6"/>
    <w:basedOn w:val="Normal"/>
    <w:next w:val="Normal"/>
    <w:link w:val="Ttulo6Car"/>
    <w:unhideWhenUsed/>
    <w:qFormat/>
    <w:rsid w:val="00B82FED"/>
    <w:pPr>
      <w:pageBreakBefore/>
      <w:framePr w:wrap="around" w:vAnchor="page" w:hAnchor="text" w:y="1"/>
      <w:spacing w:before="40"/>
      <w:jc w:val="center"/>
      <w:outlineLvl w:val="5"/>
    </w:pPr>
    <w:rPr>
      <w:rFonts w:eastAsiaTheme="majorEastAsia"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5080"/>
    <w:pPr>
      <w:tabs>
        <w:tab w:val="center" w:pos="4419"/>
        <w:tab w:val="right" w:pos="8838"/>
      </w:tabs>
    </w:pPr>
  </w:style>
  <w:style w:type="character" w:customStyle="1" w:styleId="PiedepginaCar">
    <w:name w:val="Pie de página Car"/>
    <w:basedOn w:val="Fuentedeprrafopredeter"/>
    <w:link w:val="Piedepgina"/>
    <w:uiPriority w:val="99"/>
    <w:rsid w:val="001B5080"/>
  </w:style>
  <w:style w:type="character" w:styleId="Nmerodepgina">
    <w:name w:val="page number"/>
    <w:basedOn w:val="Fuentedeprrafopredeter"/>
    <w:uiPriority w:val="99"/>
    <w:semiHidden/>
    <w:unhideWhenUsed/>
    <w:rsid w:val="001B5080"/>
  </w:style>
  <w:style w:type="paragraph" w:styleId="Encabezado">
    <w:name w:val="header"/>
    <w:basedOn w:val="Normal"/>
    <w:link w:val="EncabezadoCar"/>
    <w:uiPriority w:val="99"/>
    <w:unhideWhenUsed/>
    <w:rsid w:val="00B97640"/>
    <w:pPr>
      <w:tabs>
        <w:tab w:val="center" w:pos="4419"/>
        <w:tab w:val="right" w:pos="8838"/>
      </w:tabs>
    </w:pPr>
  </w:style>
  <w:style w:type="character" w:customStyle="1" w:styleId="EncabezadoCar">
    <w:name w:val="Encabezado Car"/>
    <w:basedOn w:val="Fuentedeprrafopredeter"/>
    <w:link w:val="Encabezado"/>
    <w:uiPriority w:val="99"/>
    <w:rsid w:val="00B97640"/>
  </w:style>
  <w:style w:type="character" w:customStyle="1" w:styleId="Ttulo1Car">
    <w:name w:val="Título 1 Car"/>
    <w:basedOn w:val="Fuentedeprrafopredeter"/>
    <w:link w:val="Ttulo1"/>
    <w:uiPriority w:val="9"/>
    <w:rsid w:val="005A4E65"/>
    <w:rPr>
      <w:rFonts w:ascii="Arial" w:eastAsiaTheme="majorEastAsia" w:hAnsi="Arial" w:cstheme="majorBidi"/>
      <w:b/>
      <w:color w:val="000000" w:themeColor="text1"/>
      <w:szCs w:val="32"/>
    </w:rPr>
  </w:style>
  <w:style w:type="paragraph" w:styleId="TtulodeTDC">
    <w:name w:val="TOC Heading"/>
    <w:basedOn w:val="Ttulo1"/>
    <w:next w:val="Normal"/>
    <w:uiPriority w:val="39"/>
    <w:unhideWhenUsed/>
    <w:qFormat/>
    <w:rsid w:val="00210E32"/>
    <w:pPr>
      <w:spacing w:line="259" w:lineRule="auto"/>
      <w:outlineLvl w:val="9"/>
    </w:pPr>
    <w:rPr>
      <w:lang w:eastAsia="es-MX"/>
    </w:rPr>
  </w:style>
  <w:style w:type="paragraph" w:styleId="Prrafodelista">
    <w:name w:val="List Paragraph"/>
    <w:basedOn w:val="Normal"/>
    <w:uiPriority w:val="34"/>
    <w:qFormat/>
    <w:rsid w:val="00D14BC9"/>
    <w:pPr>
      <w:spacing w:after="200" w:line="276" w:lineRule="auto"/>
      <w:ind w:left="720"/>
      <w:contextualSpacing/>
    </w:pPr>
    <w:rPr>
      <w:rFonts w:ascii="Calibri" w:eastAsia="Calibri" w:hAnsi="Calibri" w:cs="Times New Roman"/>
      <w:szCs w:val="22"/>
    </w:rPr>
  </w:style>
  <w:style w:type="paragraph" w:styleId="TDC1">
    <w:name w:val="toc 1"/>
    <w:basedOn w:val="Normal"/>
    <w:next w:val="Normal"/>
    <w:autoRedefine/>
    <w:uiPriority w:val="39"/>
    <w:unhideWhenUsed/>
    <w:rsid w:val="00395066"/>
    <w:pPr>
      <w:spacing w:after="100"/>
    </w:pPr>
  </w:style>
  <w:style w:type="character" w:styleId="Hipervnculo">
    <w:name w:val="Hyperlink"/>
    <w:basedOn w:val="Fuentedeprrafopredeter"/>
    <w:uiPriority w:val="99"/>
    <w:unhideWhenUsed/>
    <w:rsid w:val="002011FF"/>
    <w:rPr>
      <w:rFonts w:ascii="Barlow" w:hAnsi="Barlow"/>
      <w:color w:val="0563C1" w:themeColor="hyperlink"/>
      <w:u w:val="single"/>
    </w:rPr>
  </w:style>
  <w:style w:type="character" w:customStyle="1" w:styleId="Ttulo2Car">
    <w:name w:val="Título 2 Car"/>
    <w:basedOn w:val="Fuentedeprrafopredeter"/>
    <w:link w:val="Ttulo2"/>
    <w:uiPriority w:val="9"/>
    <w:rsid w:val="005A4E65"/>
    <w:rPr>
      <w:rFonts w:ascii="Arial" w:eastAsiaTheme="majorEastAsia" w:hAnsi="Arial" w:cstheme="majorBidi"/>
      <w:b/>
      <w:color w:val="000000" w:themeColor="text1"/>
      <w:szCs w:val="26"/>
    </w:rPr>
  </w:style>
  <w:style w:type="character" w:customStyle="1" w:styleId="Ttulo3Car">
    <w:name w:val="Título 3 Car"/>
    <w:basedOn w:val="Fuentedeprrafopredeter"/>
    <w:link w:val="Ttulo3"/>
    <w:rsid w:val="005A4E65"/>
    <w:rPr>
      <w:rFonts w:ascii="Arial" w:eastAsiaTheme="majorEastAsia" w:hAnsi="Arial" w:cstheme="majorBidi"/>
      <w:b/>
      <w:color w:val="000000" w:themeColor="text1"/>
    </w:rPr>
  </w:style>
  <w:style w:type="paragraph" w:styleId="TDC2">
    <w:name w:val="toc 2"/>
    <w:basedOn w:val="Normal"/>
    <w:next w:val="Normal"/>
    <w:autoRedefine/>
    <w:uiPriority w:val="39"/>
    <w:unhideWhenUsed/>
    <w:rsid w:val="00F864DA"/>
    <w:pPr>
      <w:spacing w:after="100"/>
      <w:ind w:left="240"/>
    </w:pPr>
  </w:style>
  <w:style w:type="paragraph" w:styleId="TDC3">
    <w:name w:val="toc 3"/>
    <w:basedOn w:val="Normal"/>
    <w:next w:val="Normal"/>
    <w:autoRedefine/>
    <w:uiPriority w:val="39"/>
    <w:unhideWhenUsed/>
    <w:rsid w:val="00F864DA"/>
    <w:pPr>
      <w:spacing w:after="100"/>
      <w:ind w:left="480"/>
    </w:pPr>
  </w:style>
  <w:style w:type="paragraph" w:styleId="Textodeglobo">
    <w:name w:val="Balloon Text"/>
    <w:basedOn w:val="Normal"/>
    <w:link w:val="TextodegloboCar"/>
    <w:uiPriority w:val="99"/>
    <w:semiHidden/>
    <w:unhideWhenUsed/>
    <w:rsid w:val="00056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4AC"/>
    <w:rPr>
      <w:rFonts w:ascii="Segoe UI" w:hAnsi="Segoe UI" w:cs="Segoe UI"/>
      <w:sz w:val="18"/>
      <w:szCs w:val="18"/>
    </w:rPr>
  </w:style>
  <w:style w:type="character" w:styleId="Hipervnculovisitado">
    <w:name w:val="FollowedHyperlink"/>
    <w:basedOn w:val="Fuentedeprrafopredeter"/>
    <w:uiPriority w:val="99"/>
    <w:semiHidden/>
    <w:unhideWhenUsed/>
    <w:rsid w:val="00F91495"/>
    <w:rPr>
      <w:color w:val="954F72"/>
      <w:u w:val="single"/>
    </w:rPr>
  </w:style>
  <w:style w:type="paragraph" w:customStyle="1" w:styleId="msonormal0">
    <w:name w:val="msonormal"/>
    <w:basedOn w:val="Normal"/>
    <w:rsid w:val="00F91495"/>
    <w:pPr>
      <w:spacing w:before="100" w:beforeAutospacing="1" w:after="100" w:afterAutospacing="1"/>
    </w:pPr>
    <w:rPr>
      <w:rFonts w:ascii="Times New Roman" w:eastAsia="Times New Roman" w:hAnsi="Times New Roman" w:cs="Times New Roman"/>
      <w:lang w:eastAsia="es-MX"/>
    </w:rPr>
  </w:style>
  <w:style w:type="paragraph" w:customStyle="1" w:styleId="xl66">
    <w:name w:val="xl66"/>
    <w:basedOn w:val="Normal"/>
    <w:rsid w:val="00F91495"/>
    <w:pPr>
      <w:spacing w:before="100" w:beforeAutospacing="1" w:after="100" w:afterAutospacing="1"/>
    </w:pPr>
    <w:rPr>
      <w:rFonts w:eastAsia="Times New Roman" w:cs="Times New Roman"/>
      <w:lang w:eastAsia="es-MX"/>
    </w:rPr>
  </w:style>
  <w:style w:type="paragraph" w:customStyle="1" w:styleId="xl67">
    <w:name w:val="xl67"/>
    <w:basedOn w:val="Normal"/>
    <w:rsid w:val="00F91495"/>
    <w:pPr>
      <w:pBdr>
        <w:top w:val="single" w:sz="4" w:space="0" w:color="auto"/>
        <w:bottom w:val="double" w:sz="6" w:space="0" w:color="auto"/>
      </w:pBdr>
      <w:shd w:val="clear" w:color="000000" w:fill="ACB9CA"/>
      <w:spacing w:before="100" w:beforeAutospacing="1" w:after="100" w:afterAutospacing="1"/>
      <w:textAlignment w:val="top"/>
    </w:pPr>
    <w:rPr>
      <w:rFonts w:eastAsia="Times New Roman" w:cs="Times New Roman"/>
      <w:lang w:eastAsia="es-MX"/>
    </w:rPr>
  </w:style>
  <w:style w:type="paragraph" w:customStyle="1" w:styleId="xl68">
    <w:name w:val="xl68"/>
    <w:basedOn w:val="Normal"/>
    <w:rsid w:val="00F91495"/>
    <w:pPr>
      <w:pBdr>
        <w:top w:val="single" w:sz="4" w:space="0" w:color="auto"/>
        <w:bottom w:val="double" w:sz="6" w:space="0" w:color="auto"/>
      </w:pBdr>
      <w:shd w:val="clear" w:color="000000" w:fill="ACB9CA"/>
      <w:spacing w:before="100" w:beforeAutospacing="1" w:after="100" w:afterAutospacing="1"/>
      <w:textAlignment w:val="center"/>
    </w:pPr>
    <w:rPr>
      <w:rFonts w:eastAsia="Times New Roman" w:cs="Times New Roman"/>
      <w:b/>
      <w:bCs/>
      <w:color w:val="000000"/>
      <w:lang w:eastAsia="es-MX"/>
    </w:rPr>
  </w:style>
  <w:style w:type="paragraph" w:customStyle="1" w:styleId="xl69">
    <w:name w:val="xl69"/>
    <w:basedOn w:val="Normal"/>
    <w:rsid w:val="00F91495"/>
    <w:pPr>
      <w:pBdr>
        <w:top w:val="single" w:sz="4" w:space="0" w:color="auto"/>
        <w:bottom w:val="double" w:sz="6" w:space="0" w:color="auto"/>
      </w:pBdr>
      <w:shd w:val="clear" w:color="000000" w:fill="ACB9CA"/>
      <w:spacing w:before="100" w:beforeAutospacing="1" w:after="100" w:afterAutospacing="1"/>
      <w:jc w:val="right"/>
      <w:textAlignment w:val="center"/>
    </w:pPr>
    <w:rPr>
      <w:rFonts w:eastAsia="Times New Roman" w:cs="Times New Roman"/>
      <w:b/>
      <w:bCs/>
      <w:color w:val="000000"/>
      <w:lang w:eastAsia="es-MX"/>
    </w:rPr>
  </w:style>
  <w:style w:type="paragraph" w:customStyle="1" w:styleId="xl70">
    <w:name w:val="xl70"/>
    <w:basedOn w:val="Normal"/>
    <w:rsid w:val="00F91495"/>
    <w:pPr>
      <w:pBdr>
        <w:left w:val="single" w:sz="4" w:space="0" w:color="000000"/>
        <w:bottom w:val="single" w:sz="4" w:space="0" w:color="000000"/>
        <w:right w:val="single" w:sz="4" w:space="0" w:color="000000"/>
      </w:pBdr>
      <w:shd w:val="clear" w:color="000000" w:fill="D6DCE4"/>
      <w:spacing w:before="100" w:beforeAutospacing="1" w:after="100" w:afterAutospacing="1"/>
      <w:textAlignment w:val="top"/>
    </w:pPr>
    <w:rPr>
      <w:rFonts w:eastAsia="Times New Roman" w:cs="Times New Roman"/>
      <w:b/>
      <w:bCs/>
      <w:color w:val="000000"/>
      <w:lang w:eastAsia="es-MX"/>
    </w:rPr>
  </w:style>
  <w:style w:type="paragraph" w:customStyle="1" w:styleId="xl71">
    <w:name w:val="xl71"/>
    <w:basedOn w:val="Normal"/>
    <w:rsid w:val="00F91495"/>
    <w:pPr>
      <w:pBdr>
        <w:left w:val="single" w:sz="4" w:space="0" w:color="000000"/>
        <w:bottom w:val="single" w:sz="4" w:space="0" w:color="000000"/>
        <w:right w:val="single" w:sz="4" w:space="0" w:color="000000"/>
      </w:pBdr>
      <w:shd w:val="clear" w:color="000000" w:fill="D6DCE4"/>
      <w:spacing w:before="100" w:beforeAutospacing="1" w:after="100" w:afterAutospacing="1"/>
      <w:jc w:val="right"/>
      <w:textAlignment w:val="top"/>
    </w:pPr>
    <w:rPr>
      <w:rFonts w:eastAsia="Times New Roman" w:cs="Times New Roman"/>
      <w:b/>
      <w:bCs/>
      <w:color w:val="000000"/>
      <w:lang w:eastAsia="es-MX"/>
    </w:rPr>
  </w:style>
  <w:style w:type="paragraph" w:customStyle="1" w:styleId="xl72">
    <w:name w:val="xl72"/>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color w:val="000000"/>
      <w:lang w:eastAsia="es-MX"/>
    </w:rPr>
  </w:style>
  <w:style w:type="paragraph" w:customStyle="1" w:styleId="xl73">
    <w:name w:val="xl73"/>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color w:val="000000"/>
      <w:lang w:eastAsia="es-MX"/>
    </w:rPr>
  </w:style>
  <w:style w:type="paragraph" w:customStyle="1" w:styleId="xl74">
    <w:name w:val="xl74"/>
    <w:basedOn w:val="Normal"/>
    <w:rsid w:val="00F91495"/>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textAlignment w:val="top"/>
    </w:pPr>
    <w:rPr>
      <w:rFonts w:eastAsia="Times New Roman" w:cs="Times New Roman"/>
      <w:b/>
      <w:bCs/>
      <w:color w:val="000000"/>
      <w:lang w:eastAsia="es-MX"/>
    </w:rPr>
  </w:style>
  <w:style w:type="paragraph" w:customStyle="1" w:styleId="xl75">
    <w:name w:val="xl75"/>
    <w:basedOn w:val="Normal"/>
    <w:rsid w:val="00F91495"/>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jc w:val="right"/>
      <w:textAlignment w:val="top"/>
    </w:pPr>
    <w:rPr>
      <w:rFonts w:eastAsia="Times New Roman" w:cs="Times New Roman"/>
      <w:b/>
      <w:bCs/>
      <w:color w:val="000000"/>
      <w:lang w:eastAsia="es-MX"/>
    </w:rPr>
  </w:style>
  <w:style w:type="paragraph" w:customStyle="1" w:styleId="xl76">
    <w:name w:val="xl76"/>
    <w:basedOn w:val="Normal"/>
    <w:rsid w:val="00F9149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color w:val="000000"/>
      <w:lang w:eastAsia="es-MX"/>
    </w:rPr>
  </w:style>
  <w:style w:type="paragraph" w:customStyle="1" w:styleId="xl77">
    <w:name w:val="xl77"/>
    <w:basedOn w:val="Normal"/>
    <w:rsid w:val="00F9149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color w:val="000000"/>
      <w:lang w:eastAsia="es-MX"/>
    </w:rPr>
  </w:style>
  <w:style w:type="paragraph" w:customStyle="1" w:styleId="xl78">
    <w:name w:val="xl78"/>
    <w:basedOn w:val="Normal"/>
    <w:rsid w:val="00F91495"/>
    <w:pPr>
      <w:pBdr>
        <w:top w:val="single" w:sz="4" w:space="0" w:color="FFFFFF"/>
        <w:left w:val="single" w:sz="4" w:space="0" w:color="FFFFFF"/>
        <w:bottom w:val="single" w:sz="4" w:space="0" w:color="FFFFFF"/>
        <w:right w:val="single" w:sz="4" w:space="0" w:color="FFFFFF"/>
      </w:pBdr>
      <w:shd w:val="clear" w:color="000000" w:fill="FFC000"/>
      <w:spacing w:before="100" w:beforeAutospacing="1" w:after="100" w:afterAutospacing="1"/>
      <w:jc w:val="center"/>
      <w:textAlignment w:val="center"/>
    </w:pPr>
    <w:rPr>
      <w:rFonts w:ascii="Barlow Bold" w:eastAsia="Times New Roman" w:hAnsi="Barlow Bold" w:cs="Times New Roman"/>
      <w:color w:val="111B58"/>
      <w:lang w:eastAsia="es-MX"/>
    </w:rPr>
  </w:style>
  <w:style w:type="paragraph" w:customStyle="1" w:styleId="xl79">
    <w:name w:val="xl79"/>
    <w:basedOn w:val="Normal"/>
    <w:rsid w:val="00F91495"/>
    <w:pPr>
      <w:pBdr>
        <w:top w:val="single" w:sz="4" w:space="0" w:color="FFFFFF"/>
        <w:left w:val="single" w:sz="4" w:space="0" w:color="FFFFFF"/>
        <w:bottom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0">
    <w:name w:val="xl80"/>
    <w:basedOn w:val="Normal"/>
    <w:rsid w:val="00F91495"/>
    <w:pPr>
      <w:pBdr>
        <w:top w:val="single" w:sz="4" w:space="0" w:color="FFFFFF"/>
        <w:bottom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1">
    <w:name w:val="xl81"/>
    <w:basedOn w:val="Normal"/>
    <w:rsid w:val="00F91495"/>
    <w:pPr>
      <w:pBdr>
        <w:top w:val="single" w:sz="4" w:space="0" w:color="FFFFFF"/>
        <w:bottom w:val="single" w:sz="4" w:space="0" w:color="FFFFFF"/>
        <w:right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2">
    <w:name w:val="xl82"/>
    <w:basedOn w:val="Normal"/>
    <w:rsid w:val="00F91495"/>
    <w:pPr>
      <w:pBdr>
        <w:top w:val="single" w:sz="4" w:space="0" w:color="FFFFFF"/>
        <w:left w:val="single" w:sz="4" w:space="0" w:color="FFFFFF"/>
        <w:bottom w:val="single" w:sz="4" w:space="0" w:color="FFFFFF"/>
        <w:right w:val="single" w:sz="4" w:space="0" w:color="FFFFFF"/>
      </w:pBdr>
      <w:shd w:val="clear" w:color="000000" w:fill="1A98C0"/>
      <w:spacing w:before="100" w:beforeAutospacing="1" w:after="100" w:afterAutospacing="1"/>
      <w:textAlignment w:val="center"/>
    </w:pPr>
    <w:rPr>
      <w:rFonts w:ascii="Barlow Bold" w:eastAsia="Times New Roman" w:hAnsi="Barlow Bold" w:cs="Times New Roman"/>
      <w:color w:val="FFFFFF"/>
      <w:lang w:eastAsia="es-MX"/>
    </w:rPr>
  </w:style>
  <w:style w:type="paragraph" w:customStyle="1" w:styleId="xl83">
    <w:name w:val="xl83"/>
    <w:basedOn w:val="Normal"/>
    <w:rsid w:val="00F91495"/>
    <w:pPr>
      <w:pBdr>
        <w:top w:val="single" w:sz="4" w:space="0" w:color="FFFFFF"/>
        <w:left w:val="single" w:sz="4" w:space="0" w:color="FFFFFF"/>
        <w:bottom w:val="single" w:sz="4" w:space="0" w:color="FFFFFF"/>
        <w:right w:val="single" w:sz="4" w:space="0" w:color="FFFFFF"/>
      </w:pBdr>
      <w:shd w:val="clear" w:color="000000" w:fill="1A98C0"/>
      <w:spacing w:before="100" w:beforeAutospacing="1" w:after="100" w:afterAutospacing="1"/>
      <w:jc w:val="center"/>
      <w:textAlignment w:val="center"/>
    </w:pPr>
    <w:rPr>
      <w:rFonts w:ascii="Barlow Bold" w:eastAsia="Times New Roman" w:hAnsi="Barlow Bold" w:cs="Times New Roman"/>
      <w:color w:val="FFFFFF"/>
      <w:lang w:eastAsia="es-MX"/>
    </w:rPr>
  </w:style>
  <w:style w:type="paragraph" w:customStyle="1" w:styleId="xl84">
    <w:name w:val="xl84"/>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b/>
      <w:bCs/>
      <w:color w:val="203764"/>
      <w:lang w:eastAsia="es-MX"/>
    </w:rPr>
  </w:style>
  <w:style w:type="paragraph" w:customStyle="1" w:styleId="xl85">
    <w:name w:val="xl85"/>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xl86">
    <w:name w:val="xl86"/>
    <w:basedOn w:val="Normal"/>
    <w:rsid w:val="006C28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xl87">
    <w:name w:val="xl87"/>
    <w:basedOn w:val="Normal"/>
    <w:rsid w:val="00F468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font5">
    <w:name w:val="font5"/>
    <w:basedOn w:val="Normal"/>
    <w:rsid w:val="008D6DF0"/>
    <w:pPr>
      <w:spacing w:before="100" w:beforeAutospacing="1" w:after="100" w:afterAutospacing="1"/>
    </w:pPr>
    <w:rPr>
      <w:rFonts w:eastAsia="Times New Roman" w:cs="Times New Roman"/>
      <w:b/>
      <w:bCs/>
      <w:color w:val="FFFFFF"/>
      <w:szCs w:val="22"/>
      <w:lang w:eastAsia="es-MX"/>
    </w:rPr>
  </w:style>
  <w:style w:type="paragraph" w:customStyle="1" w:styleId="font6">
    <w:name w:val="font6"/>
    <w:basedOn w:val="Normal"/>
    <w:rsid w:val="008D6DF0"/>
    <w:pPr>
      <w:spacing w:before="100" w:beforeAutospacing="1" w:after="100" w:afterAutospacing="1"/>
    </w:pPr>
    <w:rPr>
      <w:rFonts w:eastAsia="Times New Roman" w:cs="Times New Roman"/>
      <w:color w:val="FFFFFF"/>
      <w:szCs w:val="22"/>
      <w:lang w:eastAsia="es-MX"/>
    </w:rPr>
  </w:style>
  <w:style w:type="paragraph" w:customStyle="1" w:styleId="xl88">
    <w:name w:val="xl88"/>
    <w:basedOn w:val="Normal"/>
    <w:rsid w:val="008D6D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lang w:eastAsia="es-MX"/>
    </w:rPr>
  </w:style>
  <w:style w:type="paragraph" w:customStyle="1" w:styleId="xl89">
    <w:name w:val="xl89"/>
    <w:basedOn w:val="Normal"/>
    <w:rsid w:val="008D6D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color w:val="002060"/>
      <w:lang w:eastAsia="es-MX"/>
    </w:rPr>
  </w:style>
  <w:style w:type="paragraph" w:customStyle="1" w:styleId="xl90">
    <w:name w:val="xl90"/>
    <w:basedOn w:val="Normal"/>
    <w:rsid w:val="008D6DF0"/>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eastAsia="Times New Roman" w:cs="Times New Roman"/>
      <w:color w:val="000000"/>
      <w:lang w:eastAsia="es-MX"/>
    </w:rPr>
  </w:style>
  <w:style w:type="paragraph" w:customStyle="1" w:styleId="xl91">
    <w:name w:val="xl91"/>
    <w:basedOn w:val="Normal"/>
    <w:rsid w:val="008D6DF0"/>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rFonts w:eastAsia="Times New Roman" w:cs="Times New Roman"/>
      <w:lang w:eastAsia="es-MX"/>
    </w:rPr>
  </w:style>
  <w:style w:type="paragraph" w:customStyle="1" w:styleId="xl92">
    <w:name w:val="xl92"/>
    <w:basedOn w:val="Normal"/>
    <w:rsid w:val="008D6DF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eastAsia="Times New Roman" w:cs="Times New Roman"/>
      <w:color w:val="000000"/>
      <w:lang w:eastAsia="es-MX"/>
    </w:rPr>
  </w:style>
  <w:style w:type="paragraph" w:customStyle="1" w:styleId="xl93">
    <w:name w:val="xl93"/>
    <w:basedOn w:val="Normal"/>
    <w:rsid w:val="008D6DF0"/>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textAlignment w:val="center"/>
    </w:pPr>
    <w:rPr>
      <w:rFonts w:eastAsia="Times New Roman" w:cs="Times New Roman"/>
      <w:b/>
      <w:bCs/>
      <w:color w:val="000000"/>
      <w:lang w:eastAsia="es-MX"/>
    </w:rPr>
  </w:style>
  <w:style w:type="paragraph" w:customStyle="1" w:styleId="xl94">
    <w:name w:val="xl94"/>
    <w:basedOn w:val="Normal"/>
    <w:rsid w:val="008D6DF0"/>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right"/>
      <w:textAlignment w:val="center"/>
    </w:pPr>
    <w:rPr>
      <w:rFonts w:eastAsia="Times New Roman" w:cs="Times New Roman"/>
      <w:b/>
      <w:bCs/>
      <w:color w:val="000000"/>
      <w:lang w:eastAsia="es-MX"/>
    </w:rPr>
  </w:style>
  <w:style w:type="paragraph" w:customStyle="1" w:styleId="Default">
    <w:name w:val="Default"/>
    <w:uiPriority w:val="99"/>
    <w:rsid w:val="00764A04"/>
    <w:pPr>
      <w:widowControl w:val="0"/>
      <w:autoSpaceDE w:val="0"/>
      <w:autoSpaceDN w:val="0"/>
      <w:adjustRightInd w:val="0"/>
    </w:pPr>
    <w:rPr>
      <w:rFonts w:ascii="Soberana Titular" w:eastAsia="Times New Roman" w:hAnsi="Soberana Titular" w:cs="Soberana Titular"/>
      <w:color w:val="000000"/>
      <w:lang w:val="es-ES" w:eastAsia="es-ES"/>
    </w:rPr>
  </w:style>
  <w:style w:type="paragraph" w:customStyle="1" w:styleId="CM166">
    <w:name w:val="CM166"/>
    <w:basedOn w:val="Default"/>
    <w:next w:val="Default"/>
    <w:uiPriority w:val="99"/>
    <w:rsid w:val="00764A04"/>
    <w:rPr>
      <w:rFonts w:cs="Times New Roman"/>
      <w:color w:val="auto"/>
    </w:rPr>
  </w:style>
  <w:style w:type="paragraph" w:customStyle="1" w:styleId="xl63">
    <w:name w:val="xl63"/>
    <w:basedOn w:val="Normal"/>
    <w:rsid w:val="00413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Barlow Bold" w:eastAsia="Times New Roman" w:hAnsi="Barlow Bold" w:cs="Times New Roman"/>
      <w:color w:val="111B58"/>
      <w:sz w:val="18"/>
      <w:szCs w:val="18"/>
      <w:lang w:eastAsia="es-MX"/>
    </w:rPr>
  </w:style>
  <w:style w:type="paragraph" w:customStyle="1" w:styleId="xl64">
    <w:name w:val="xl64"/>
    <w:basedOn w:val="Normal"/>
    <w:rsid w:val="004133B4"/>
    <w:pPr>
      <w:pBdr>
        <w:top w:val="single" w:sz="4" w:space="0" w:color="auto"/>
        <w:left w:val="single" w:sz="4" w:space="0" w:color="auto"/>
        <w:bottom w:val="single" w:sz="4" w:space="0" w:color="auto"/>
        <w:right w:val="single" w:sz="4" w:space="0" w:color="auto"/>
      </w:pBdr>
      <w:shd w:val="clear" w:color="000000" w:fill="111B58"/>
      <w:spacing w:before="100" w:beforeAutospacing="1" w:after="100" w:afterAutospacing="1"/>
      <w:jc w:val="center"/>
      <w:textAlignment w:val="center"/>
    </w:pPr>
    <w:rPr>
      <w:rFonts w:ascii="Barlow Medium" w:eastAsia="Times New Roman" w:hAnsi="Barlow Medium" w:cs="Times New Roman"/>
      <w:color w:val="FFFFFF"/>
      <w:sz w:val="18"/>
      <w:szCs w:val="18"/>
      <w:lang w:eastAsia="es-MX"/>
    </w:rPr>
  </w:style>
  <w:style w:type="paragraph" w:customStyle="1" w:styleId="xl65">
    <w:name w:val="xl65"/>
    <w:basedOn w:val="Normal"/>
    <w:autoRedefine/>
    <w:rsid w:val="001F46CD"/>
    <w:pPr>
      <w:shd w:val="solid" w:color="2F75B5" w:fill="auto"/>
      <w:spacing w:before="100" w:beforeAutospacing="1" w:after="100" w:afterAutospacing="1" w:line="360" w:lineRule="auto"/>
      <w:jc w:val="center"/>
    </w:pPr>
    <w:rPr>
      <w:rFonts w:ascii="Barlow Medium" w:eastAsia="Times New Roman" w:hAnsi="Barlow Medium" w:cs="Times New Roman"/>
      <w:b/>
      <w:color w:val="FFFFFF" w:themeColor="background1"/>
      <w:szCs w:val="18"/>
      <w:lang w:eastAsia="es-MX"/>
    </w:rPr>
  </w:style>
  <w:style w:type="paragraph" w:customStyle="1" w:styleId="CM162">
    <w:name w:val="CM162"/>
    <w:basedOn w:val="Default"/>
    <w:next w:val="Default"/>
    <w:uiPriority w:val="99"/>
    <w:rsid w:val="002011FF"/>
    <w:rPr>
      <w:rFonts w:ascii="Barlow" w:hAnsi="Barlow" w:cs="Times New Roman"/>
      <w:color w:val="auto"/>
    </w:rPr>
  </w:style>
  <w:style w:type="paragraph" w:customStyle="1" w:styleId="xl95">
    <w:name w:val="xl95"/>
    <w:basedOn w:val="Normal"/>
    <w:rsid w:val="00CF5073"/>
    <w:pPr>
      <w:spacing w:before="100" w:beforeAutospacing="1" w:after="100" w:afterAutospacing="1"/>
    </w:pPr>
    <w:rPr>
      <w:rFonts w:eastAsia="Times New Roman" w:cs="Times New Roman"/>
      <w:sz w:val="20"/>
      <w:szCs w:val="20"/>
      <w:lang w:eastAsia="es-MX"/>
    </w:rPr>
  </w:style>
  <w:style w:type="paragraph" w:customStyle="1" w:styleId="xl96">
    <w:name w:val="xl96"/>
    <w:basedOn w:val="Normal"/>
    <w:rsid w:val="00CF507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xl97">
    <w:name w:val="xl97"/>
    <w:basedOn w:val="Normal"/>
    <w:rsid w:val="00CF5073"/>
    <w:pPr>
      <w:pBdr>
        <w:top w:val="single" w:sz="4" w:space="0" w:color="auto"/>
        <w:left w:val="single" w:sz="4" w:space="0" w:color="auto"/>
        <w:bottom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xl98">
    <w:name w:val="xl98"/>
    <w:basedOn w:val="Normal"/>
    <w:rsid w:val="00CF5073"/>
    <w:pPr>
      <w:pBdr>
        <w:top w:val="single" w:sz="4" w:space="0" w:color="auto"/>
        <w:bottom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Compacto">
    <w:name w:val="Compacto"/>
    <w:basedOn w:val="Normal"/>
    <w:qFormat/>
    <w:rsid w:val="00E822A2"/>
    <w:pPr>
      <w:shd w:val="clear" w:color="000000" w:fill="FFFFFF" w:themeFill="background1"/>
      <w:spacing w:before="100" w:beforeAutospacing="1" w:after="100" w:afterAutospacing="1"/>
      <w:textAlignment w:val="center"/>
    </w:pPr>
    <w:rPr>
      <w:rFonts w:eastAsia="Times New Roman" w:cs="Times New Roman"/>
      <w:color w:val="000000" w:themeColor="text1"/>
      <w:sz w:val="16"/>
      <w:szCs w:val="20"/>
      <w:lang w:eastAsia="es-MX"/>
    </w:rPr>
  </w:style>
  <w:style w:type="paragraph" w:customStyle="1" w:styleId="xl100">
    <w:name w:val="xl100"/>
    <w:basedOn w:val="Normal"/>
    <w:rsid w:val="00CF507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Barlow Medium" w:eastAsia="Times New Roman" w:hAnsi="Barlow Medium" w:cs="Times New Roman"/>
      <w:color w:val="FFFFFF"/>
      <w:sz w:val="20"/>
      <w:szCs w:val="20"/>
      <w:lang w:eastAsia="es-MX"/>
    </w:rPr>
  </w:style>
  <w:style w:type="paragraph" w:customStyle="1" w:styleId="xl101">
    <w:name w:val="xl101"/>
    <w:basedOn w:val="Normal"/>
    <w:rsid w:val="00272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es-MX"/>
    </w:rPr>
  </w:style>
  <w:style w:type="paragraph" w:customStyle="1" w:styleId="xl102">
    <w:name w:val="xl102"/>
    <w:basedOn w:val="Normal"/>
    <w:rsid w:val="00272EF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es-MX"/>
    </w:rPr>
  </w:style>
  <w:style w:type="paragraph" w:customStyle="1" w:styleId="xl103">
    <w:name w:val="xl103"/>
    <w:basedOn w:val="Normal"/>
    <w:rsid w:val="00272EFE"/>
    <w:pPr>
      <w:spacing w:before="100" w:beforeAutospacing="1" w:after="100" w:afterAutospacing="1"/>
      <w:jc w:val="right"/>
      <w:textAlignment w:val="center"/>
    </w:pPr>
    <w:rPr>
      <w:rFonts w:eastAsia="Times New Roman" w:cs="Times New Roman"/>
      <w:sz w:val="16"/>
      <w:szCs w:val="16"/>
      <w:lang w:eastAsia="es-MX"/>
    </w:rPr>
  </w:style>
  <w:style w:type="paragraph" w:customStyle="1" w:styleId="xl104">
    <w:name w:val="xl104"/>
    <w:basedOn w:val="Normal"/>
    <w:rsid w:val="00272EFE"/>
    <w:pPr>
      <w:spacing w:before="100" w:beforeAutospacing="1" w:after="100" w:afterAutospacing="1"/>
      <w:jc w:val="right"/>
    </w:pPr>
    <w:rPr>
      <w:rFonts w:eastAsia="Times New Roman" w:cs="Times New Roman"/>
      <w:b/>
      <w:bCs/>
      <w:sz w:val="16"/>
      <w:szCs w:val="16"/>
      <w:lang w:eastAsia="es-MX"/>
    </w:rPr>
  </w:style>
  <w:style w:type="paragraph" w:customStyle="1" w:styleId="xl105">
    <w:name w:val="xl105"/>
    <w:basedOn w:val="Normal"/>
    <w:rsid w:val="00272EFE"/>
    <w:pPr>
      <w:pBdr>
        <w:top w:val="single" w:sz="4" w:space="0" w:color="auto"/>
        <w:bottom w:val="single" w:sz="4" w:space="0" w:color="auto"/>
      </w:pBdr>
      <w:spacing w:before="100" w:beforeAutospacing="1" w:after="100" w:afterAutospacing="1"/>
      <w:jc w:val="right"/>
      <w:textAlignment w:val="center"/>
    </w:pPr>
    <w:rPr>
      <w:rFonts w:eastAsia="Times New Roman" w:cs="Times New Roman"/>
      <w:sz w:val="16"/>
      <w:szCs w:val="16"/>
      <w:lang w:eastAsia="es-MX"/>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7363DB"/>
    <w:pPr>
      <w:spacing w:before="100" w:beforeAutospacing="1" w:after="100" w:afterAutospacing="1"/>
    </w:pPr>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B217BD"/>
    <w:rPr>
      <w:sz w:val="16"/>
      <w:szCs w:val="16"/>
    </w:rPr>
  </w:style>
  <w:style w:type="paragraph" w:styleId="Textocomentario">
    <w:name w:val="annotation text"/>
    <w:basedOn w:val="Normal"/>
    <w:link w:val="TextocomentarioCar"/>
    <w:uiPriority w:val="99"/>
    <w:unhideWhenUsed/>
    <w:rsid w:val="00B217BD"/>
    <w:rPr>
      <w:sz w:val="20"/>
      <w:szCs w:val="20"/>
    </w:rPr>
  </w:style>
  <w:style w:type="character" w:customStyle="1" w:styleId="TextocomentarioCar">
    <w:name w:val="Texto comentario Car"/>
    <w:basedOn w:val="Fuentedeprrafopredeter"/>
    <w:link w:val="Textocomentario"/>
    <w:uiPriority w:val="99"/>
    <w:rsid w:val="00B217BD"/>
    <w:rPr>
      <w:sz w:val="20"/>
      <w:szCs w:val="20"/>
    </w:rPr>
  </w:style>
  <w:style w:type="paragraph" w:styleId="Asuntodelcomentario">
    <w:name w:val="annotation subject"/>
    <w:basedOn w:val="Textocomentario"/>
    <w:next w:val="Textocomentario"/>
    <w:link w:val="AsuntodelcomentarioCar"/>
    <w:uiPriority w:val="99"/>
    <w:semiHidden/>
    <w:unhideWhenUsed/>
    <w:rsid w:val="00B217BD"/>
    <w:rPr>
      <w:b/>
      <w:bCs/>
    </w:rPr>
  </w:style>
  <w:style w:type="character" w:customStyle="1" w:styleId="AsuntodelcomentarioCar">
    <w:name w:val="Asunto del comentario Car"/>
    <w:basedOn w:val="TextocomentarioCar"/>
    <w:link w:val="Asuntodelcomentario"/>
    <w:uiPriority w:val="99"/>
    <w:semiHidden/>
    <w:rsid w:val="00B217BD"/>
    <w:rPr>
      <w:b/>
      <w:bCs/>
      <w:sz w:val="20"/>
      <w:szCs w:val="20"/>
    </w:rPr>
  </w:style>
  <w:style w:type="paragraph" w:styleId="Revisin">
    <w:name w:val="Revision"/>
    <w:hidden/>
    <w:uiPriority w:val="99"/>
    <w:semiHidden/>
    <w:rsid w:val="00940CF7"/>
  </w:style>
  <w:style w:type="numbering" w:customStyle="1" w:styleId="Sinlista1">
    <w:name w:val="Sin lista1"/>
    <w:next w:val="Sinlista"/>
    <w:uiPriority w:val="99"/>
    <w:semiHidden/>
    <w:unhideWhenUsed/>
    <w:rsid w:val="00F6743F"/>
  </w:style>
  <w:style w:type="table" w:customStyle="1" w:styleId="TableNormal">
    <w:name w:val="TableNormal"/>
    <w:basedOn w:val="Tablanormal"/>
    <w:uiPriority w:val="99"/>
    <w:rsid w:val="00FD46F2"/>
    <w:tblPr>
      <w:tblStyleRowBandSize w:val="1"/>
      <w:tblInd w:w="0" w:type="dxa"/>
      <w:tblCellMar>
        <w:top w:w="0" w:type="dxa"/>
        <w:left w:w="108" w:type="dxa"/>
        <w:bottom w:w="0" w:type="dxa"/>
        <w:right w:w="108" w:type="dxa"/>
      </w:tblCellMar>
    </w:tblPr>
    <w:tblStylePr w:type="firstRow">
      <w:pPr>
        <w:jc w:val="center"/>
      </w:pPr>
      <w:rPr>
        <w:rFonts w:ascii="Barlow" w:hAnsi="Barlow"/>
        <w:b/>
        <w:color w:val="FFFFFF" w:themeColor="background1"/>
        <w:sz w:val="22"/>
      </w:rPr>
      <w:tblPr/>
      <w:tcPr>
        <w:shd w:val="clear" w:color="auto" w:fill="0070C0"/>
        <w:vAlign w:val="center"/>
      </w:tcPr>
    </w:tblStylePr>
    <w:tblStylePr w:type="firstCol">
      <w:rPr>
        <w:rFonts w:ascii="Barlow" w:hAnsi="Barlow"/>
        <w:color w:val="FFFFFF" w:themeColor="background1"/>
        <w:sz w:val="22"/>
      </w:rPr>
    </w:tblStylePr>
  </w:style>
  <w:style w:type="table" w:styleId="Tablaconcuadrcula">
    <w:name w:val="Table Grid"/>
    <w:basedOn w:val="Tablanormal"/>
    <w:uiPriority w:val="39"/>
    <w:rsid w:val="00E24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qFormat/>
    <w:rsid w:val="003A45F8"/>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rsid w:val="003A45F8"/>
    <w:rPr>
      <w:rFonts w:ascii="Barlow" w:eastAsiaTheme="majorEastAsia" w:hAnsi="Barlow" w:cstheme="majorBidi"/>
      <w:spacing w:val="-10"/>
      <w:kern w:val="28"/>
      <w:sz w:val="56"/>
      <w:szCs w:val="56"/>
    </w:rPr>
  </w:style>
  <w:style w:type="paragraph" w:styleId="Subttulo">
    <w:name w:val="Subtitle"/>
    <w:basedOn w:val="Normal"/>
    <w:next w:val="Normal"/>
    <w:link w:val="SubttuloCar"/>
    <w:qFormat/>
    <w:rsid w:val="003A45F8"/>
    <w:pPr>
      <w:numPr>
        <w:ilvl w:val="1"/>
      </w:numPr>
      <w:spacing w:after="160"/>
    </w:pPr>
    <w:rPr>
      <w:rFonts w:eastAsiaTheme="minorEastAsia"/>
      <w:color w:val="5A5A5A" w:themeColor="text1" w:themeTint="A5"/>
      <w:spacing w:val="15"/>
      <w:szCs w:val="22"/>
    </w:rPr>
  </w:style>
  <w:style w:type="character" w:customStyle="1" w:styleId="SubttuloCar">
    <w:name w:val="Subtítulo Car"/>
    <w:basedOn w:val="Fuentedeprrafopredeter"/>
    <w:link w:val="Subttulo"/>
    <w:rsid w:val="003A45F8"/>
    <w:rPr>
      <w:rFonts w:ascii="Barlow" w:eastAsiaTheme="minorEastAsia" w:hAnsi="Barlow"/>
      <w:color w:val="5A5A5A" w:themeColor="text1" w:themeTint="A5"/>
      <w:spacing w:val="15"/>
      <w:sz w:val="22"/>
      <w:szCs w:val="22"/>
    </w:rPr>
  </w:style>
  <w:style w:type="character" w:styleId="nfasissutil">
    <w:name w:val="Subtle Emphasis"/>
    <w:basedOn w:val="Fuentedeprrafopredeter"/>
    <w:uiPriority w:val="19"/>
    <w:qFormat/>
    <w:rsid w:val="003A45F8"/>
    <w:rPr>
      <w:rFonts w:ascii="Barlow" w:hAnsi="Barlow"/>
      <w:i/>
      <w:iCs/>
      <w:color w:val="404040" w:themeColor="text1" w:themeTint="BF"/>
    </w:rPr>
  </w:style>
  <w:style w:type="character" w:styleId="nfasisintenso">
    <w:name w:val="Intense Emphasis"/>
    <w:basedOn w:val="Fuentedeprrafopredeter"/>
    <w:uiPriority w:val="21"/>
    <w:qFormat/>
    <w:rsid w:val="003A45F8"/>
    <w:rPr>
      <w:rFonts w:ascii="Barlow" w:hAnsi="Barlow"/>
      <w:i/>
      <w:iCs/>
      <w:color w:val="4472C4" w:themeColor="accent1"/>
    </w:rPr>
  </w:style>
  <w:style w:type="character" w:styleId="Textoennegrita">
    <w:name w:val="Strong"/>
    <w:basedOn w:val="Fuentedeprrafopredeter"/>
    <w:uiPriority w:val="22"/>
    <w:qFormat/>
    <w:rsid w:val="003A45F8"/>
    <w:rPr>
      <w:rFonts w:ascii="Barlow" w:hAnsi="Barlow"/>
      <w:b/>
      <w:bCs/>
    </w:rPr>
  </w:style>
  <w:style w:type="paragraph" w:styleId="Cita">
    <w:name w:val="Quote"/>
    <w:basedOn w:val="Normal"/>
    <w:next w:val="Normal"/>
    <w:link w:val="CitaCar"/>
    <w:uiPriority w:val="29"/>
    <w:qFormat/>
    <w:rsid w:val="003A45F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3A45F8"/>
    <w:rPr>
      <w:rFonts w:ascii="Barlow" w:hAnsi="Barlow"/>
      <w:i/>
      <w:iCs/>
      <w:color w:val="404040" w:themeColor="text1" w:themeTint="BF"/>
      <w:sz w:val="22"/>
    </w:rPr>
  </w:style>
  <w:style w:type="character" w:styleId="Referenciasutil">
    <w:name w:val="Subtle Reference"/>
    <w:basedOn w:val="Fuentedeprrafopredeter"/>
    <w:uiPriority w:val="31"/>
    <w:qFormat/>
    <w:rsid w:val="003A45F8"/>
    <w:rPr>
      <w:rFonts w:ascii="Barlow" w:hAnsi="Barlow"/>
      <w:smallCaps/>
      <w:color w:val="5A5A5A" w:themeColor="text1" w:themeTint="A5"/>
    </w:rPr>
  </w:style>
  <w:style w:type="character" w:styleId="Referenciaintensa">
    <w:name w:val="Intense Reference"/>
    <w:basedOn w:val="Fuentedeprrafopredeter"/>
    <w:uiPriority w:val="32"/>
    <w:qFormat/>
    <w:rsid w:val="003A45F8"/>
    <w:rPr>
      <w:rFonts w:ascii="Barlow" w:hAnsi="Barlow"/>
      <w:b/>
      <w:bCs/>
      <w:smallCaps/>
      <w:color w:val="4472C4" w:themeColor="accent1"/>
      <w:spacing w:val="5"/>
    </w:rPr>
  </w:style>
  <w:style w:type="character" w:styleId="Ttulodellibro">
    <w:name w:val="Book Title"/>
    <w:basedOn w:val="Fuentedeprrafopredeter"/>
    <w:uiPriority w:val="33"/>
    <w:qFormat/>
    <w:rsid w:val="003A45F8"/>
    <w:rPr>
      <w:rFonts w:ascii="Barlow" w:hAnsi="Barlow"/>
      <w:b/>
      <w:bCs/>
      <w:i/>
      <w:iCs/>
      <w:spacing w:val="5"/>
    </w:rPr>
  </w:style>
  <w:style w:type="character" w:customStyle="1" w:styleId="Ttulo4Car">
    <w:name w:val="Título 4 Car"/>
    <w:basedOn w:val="Fuentedeprrafopredeter"/>
    <w:link w:val="Ttulo4"/>
    <w:rsid w:val="00F566E7"/>
    <w:rPr>
      <w:rFonts w:ascii="Arial" w:eastAsiaTheme="majorEastAsia" w:hAnsi="Arial" w:cstheme="majorBidi"/>
      <w:b/>
      <w:iCs/>
      <w:color w:val="000000" w:themeColor="text1"/>
    </w:rPr>
  </w:style>
  <w:style w:type="paragraph" w:styleId="Citadestacada">
    <w:name w:val="Intense Quote"/>
    <w:basedOn w:val="Normal"/>
    <w:next w:val="Normal"/>
    <w:link w:val="CitadestacadaCar"/>
    <w:uiPriority w:val="30"/>
    <w:qFormat/>
    <w:rsid w:val="002011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2011FF"/>
    <w:rPr>
      <w:rFonts w:ascii="Barlow" w:hAnsi="Barlow"/>
      <w:i/>
      <w:iCs/>
      <w:color w:val="4472C4" w:themeColor="accent1"/>
      <w:sz w:val="22"/>
    </w:rPr>
  </w:style>
  <w:style w:type="character" w:styleId="nfasis">
    <w:name w:val="Emphasis"/>
    <w:basedOn w:val="Fuentedeprrafopredeter"/>
    <w:uiPriority w:val="20"/>
    <w:qFormat/>
    <w:rsid w:val="002011FF"/>
    <w:rPr>
      <w:rFonts w:ascii="Barlow" w:hAnsi="Barlow"/>
      <w:i/>
      <w:iCs/>
    </w:rPr>
  </w:style>
  <w:style w:type="paragraph" w:customStyle="1" w:styleId="EstiloJustificadoDespus6pto">
    <w:name w:val="Estilo Justificado Después:  6 pto"/>
    <w:basedOn w:val="Normal"/>
    <w:rsid w:val="002011FF"/>
    <w:pPr>
      <w:spacing w:after="120"/>
    </w:pPr>
    <w:rPr>
      <w:rFonts w:eastAsia="Times New Roman" w:cs="Times New Roman"/>
      <w:szCs w:val="20"/>
    </w:rPr>
  </w:style>
  <w:style w:type="character" w:customStyle="1" w:styleId="Ttulo5Car">
    <w:name w:val="Título 5 Car"/>
    <w:basedOn w:val="Fuentedeprrafopredeter"/>
    <w:link w:val="Ttulo5"/>
    <w:rsid w:val="00BA52E9"/>
    <w:rPr>
      <w:rFonts w:ascii="Arial" w:hAnsi="Arial" w:cs="Arial"/>
    </w:rPr>
  </w:style>
  <w:style w:type="character" w:customStyle="1" w:styleId="Ttulo6Car">
    <w:name w:val="Título 6 Car"/>
    <w:basedOn w:val="Fuentedeprrafopredeter"/>
    <w:link w:val="Ttulo6"/>
    <w:rsid w:val="00B82FED"/>
    <w:rPr>
      <w:rFonts w:ascii="Arial" w:eastAsiaTheme="majorEastAsia" w:hAnsi="Arial" w:cstheme="majorBidi"/>
      <w:b/>
      <w:color w:val="000000" w:themeColor="text1"/>
    </w:rPr>
  </w:style>
  <w:style w:type="paragraph" w:customStyle="1" w:styleId="SourceCode">
    <w:name w:val="Source Code"/>
    <w:basedOn w:val="Normal"/>
    <w:rsid w:val="005D4FB2"/>
    <w:pPr>
      <w:shd w:val="clear" w:color="auto" w:fill="F8F8F8"/>
      <w:wordWrap w:val="0"/>
    </w:pPr>
  </w:style>
  <w:style w:type="character" w:customStyle="1" w:styleId="KeywordTok">
    <w:name w:val="KeywordTok"/>
    <w:rsid w:val="005D4FB2"/>
    <w:rPr>
      <w:b/>
      <w:color w:val="204A87"/>
      <w:shd w:val="clear" w:color="auto" w:fill="F8F8F8"/>
    </w:rPr>
  </w:style>
  <w:style w:type="character" w:customStyle="1" w:styleId="DataTypeTok">
    <w:name w:val="DataTypeTok"/>
    <w:rsid w:val="005D4FB2"/>
    <w:rPr>
      <w:color w:val="204A87"/>
      <w:shd w:val="clear" w:color="auto" w:fill="F8F8F8"/>
    </w:rPr>
  </w:style>
  <w:style w:type="character" w:customStyle="1" w:styleId="DecValTok">
    <w:name w:val="DecValTok"/>
    <w:rsid w:val="005D4FB2"/>
    <w:rPr>
      <w:color w:val="0000CF"/>
      <w:shd w:val="clear" w:color="auto" w:fill="F8F8F8"/>
    </w:rPr>
  </w:style>
  <w:style w:type="character" w:customStyle="1" w:styleId="BaseNTok">
    <w:name w:val="BaseNTok"/>
    <w:rsid w:val="005D4FB2"/>
    <w:rPr>
      <w:color w:val="0000CF"/>
      <w:shd w:val="clear" w:color="auto" w:fill="F8F8F8"/>
    </w:rPr>
  </w:style>
  <w:style w:type="character" w:customStyle="1" w:styleId="FloatTok">
    <w:name w:val="FloatTok"/>
    <w:rsid w:val="005D4FB2"/>
    <w:rPr>
      <w:color w:val="0000CF"/>
      <w:shd w:val="clear" w:color="auto" w:fill="F8F8F8"/>
    </w:rPr>
  </w:style>
  <w:style w:type="character" w:customStyle="1" w:styleId="ConstantTok">
    <w:name w:val="ConstantTok"/>
    <w:rsid w:val="005D4FB2"/>
    <w:rPr>
      <w:color w:val="000000"/>
      <w:shd w:val="clear" w:color="auto" w:fill="F8F8F8"/>
    </w:rPr>
  </w:style>
  <w:style w:type="character" w:customStyle="1" w:styleId="CharTok">
    <w:name w:val="CharTok"/>
    <w:rsid w:val="005D4FB2"/>
    <w:rPr>
      <w:color w:val="4E9A06"/>
      <w:shd w:val="clear" w:color="auto" w:fill="F8F8F8"/>
    </w:rPr>
  </w:style>
  <w:style w:type="character" w:customStyle="1" w:styleId="SpecialCharTok">
    <w:name w:val="SpecialCharTok"/>
    <w:rsid w:val="005D4FB2"/>
    <w:rPr>
      <w:color w:val="000000"/>
      <w:shd w:val="clear" w:color="auto" w:fill="F8F8F8"/>
    </w:rPr>
  </w:style>
  <w:style w:type="character" w:customStyle="1" w:styleId="StringTok">
    <w:name w:val="StringTok"/>
    <w:rsid w:val="005D4FB2"/>
    <w:rPr>
      <w:color w:val="4E9A06"/>
      <w:shd w:val="clear" w:color="auto" w:fill="F8F8F8"/>
    </w:rPr>
  </w:style>
  <w:style w:type="character" w:customStyle="1" w:styleId="VerbatimStringTok">
    <w:name w:val="VerbatimStringTok"/>
    <w:rsid w:val="005D4FB2"/>
    <w:rPr>
      <w:color w:val="4E9A06"/>
      <w:shd w:val="clear" w:color="auto" w:fill="F8F8F8"/>
    </w:rPr>
  </w:style>
  <w:style w:type="character" w:customStyle="1" w:styleId="SpecialStringTok">
    <w:name w:val="SpecialStringTok"/>
    <w:rsid w:val="005D4FB2"/>
    <w:rPr>
      <w:color w:val="4E9A06"/>
      <w:shd w:val="clear" w:color="auto" w:fill="F8F8F8"/>
    </w:rPr>
  </w:style>
  <w:style w:type="character" w:customStyle="1" w:styleId="ImportTok">
    <w:name w:val="ImportTok"/>
    <w:rsid w:val="005D4FB2"/>
    <w:rPr>
      <w:shd w:val="clear" w:color="auto" w:fill="F8F8F8"/>
    </w:rPr>
  </w:style>
  <w:style w:type="character" w:customStyle="1" w:styleId="CommentTok">
    <w:name w:val="CommentTok"/>
    <w:rsid w:val="005D4FB2"/>
    <w:rPr>
      <w:i/>
      <w:color w:val="8F5902"/>
      <w:shd w:val="clear" w:color="auto" w:fill="F8F8F8"/>
    </w:rPr>
  </w:style>
  <w:style w:type="character" w:customStyle="1" w:styleId="DocumentationTok">
    <w:name w:val="DocumentationTok"/>
    <w:rsid w:val="005D4FB2"/>
    <w:rPr>
      <w:b/>
      <w:i/>
      <w:color w:val="8F5902"/>
      <w:shd w:val="clear" w:color="auto" w:fill="F8F8F8"/>
    </w:rPr>
  </w:style>
  <w:style w:type="character" w:customStyle="1" w:styleId="AnnotationTok">
    <w:name w:val="AnnotationTok"/>
    <w:rsid w:val="005D4FB2"/>
    <w:rPr>
      <w:b/>
      <w:i/>
      <w:color w:val="8F5902"/>
      <w:shd w:val="clear" w:color="auto" w:fill="F8F8F8"/>
    </w:rPr>
  </w:style>
  <w:style w:type="character" w:customStyle="1" w:styleId="CommentVarTok">
    <w:name w:val="CommentVarTok"/>
    <w:rsid w:val="005D4FB2"/>
    <w:rPr>
      <w:b/>
      <w:i/>
      <w:color w:val="8F5902"/>
      <w:shd w:val="clear" w:color="auto" w:fill="F8F8F8"/>
    </w:rPr>
  </w:style>
  <w:style w:type="character" w:customStyle="1" w:styleId="OtherTok">
    <w:name w:val="OtherTok"/>
    <w:rsid w:val="005D4FB2"/>
    <w:rPr>
      <w:color w:val="8F5902"/>
      <w:shd w:val="clear" w:color="auto" w:fill="F8F8F8"/>
    </w:rPr>
  </w:style>
  <w:style w:type="character" w:customStyle="1" w:styleId="FunctionTok">
    <w:name w:val="FunctionTok"/>
    <w:rsid w:val="005D4FB2"/>
    <w:rPr>
      <w:color w:val="000000"/>
      <w:shd w:val="clear" w:color="auto" w:fill="F8F8F8"/>
    </w:rPr>
  </w:style>
  <w:style w:type="character" w:customStyle="1" w:styleId="VariableTok">
    <w:name w:val="VariableTok"/>
    <w:rsid w:val="005D4FB2"/>
    <w:rPr>
      <w:color w:val="000000"/>
      <w:shd w:val="clear" w:color="auto" w:fill="F8F8F8"/>
    </w:rPr>
  </w:style>
  <w:style w:type="character" w:customStyle="1" w:styleId="ControlFlowTok">
    <w:name w:val="ControlFlowTok"/>
    <w:rsid w:val="005D4FB2"/>
    <w:rPr>
      <w:b/>
      <w:color w:val="204A87"/>
      <w:shd w:val="clear" w:color="auto" w:fill="F8F8F8"/>
    </w:rPr>
  </w:style>
  <w:style w:type="character" w:customStyle="1" w:styleId="OperatorTok">
    <w:name w:val="OperatorTok"/>
    <w:rsid w:val="005D4FB2"/>
    <w:rPr>
      <w:b/>
      <w:color w:val="CE5C00"/>
      <w:shd w:val="clear" w:color="auto" w:fill="F8F8F8"/>
    </w:rPr>
  </w:style>
  <w:style w:type="character" w:customStyle="1" w:styleId="BuiltInTok">
    <w:name w:val="BuiltInTok"/>
    <w:rsid w:val="005D4FB2"/>
    <w:rPr>
      <w:shd w:val="clear" w:color="auto" w:fill="F8F8F8"/>
    </w:rPr>
  </w:style>
  <w:style w:type="character" w:customStyle="1" w:styleId="ExtensionTok">
    <w:name w:val="ExtensionTok"/>
    <w:rsid w:val="005D4FB2"/>
    <w:rPr>
      <w:shd w:val="clear" w:color="auto" w:fill="F8F8F8"/>
    </w:rPr>
  </w:style>
  <w:style w:type="character" w:customStyle="1" w:styleId="PreprocessorTok">
    <w:name w:val="PreprocessorTok"/>
    <w:rsid w:val="005D4FB2"/>
    <w:rPr>
      <w:i/>
      <w:color w:val="8F5902"/>
      <w:shd w:val="clear" w:color="auto" w:fill="F8F8F8"/>
    </w:rPr>
  </w:style>
  <w:style w:type="character" w:customStyle="1" w:styleId="AttributeTok">
    <w:name w:val="AttributeTok"/>
    <w:rsid w:val="005D4FB2"/>
    <w:rPr>
      <w:color w:val="C4A000"/>
      <w:shd w:val="clear" w:color="auto" w:fill="F8F8F8"/>
    </w:rPr>
  </w:style>
  <w:style w:type="character" w:customStyle="1" w:styleId="RegionMarkerTok">
    <w:name w:val="RegionMarkerTok"/>
    <w:rsid w:val="005D4FB2"/>
    <w:rPr>
      <w:shd w:val="clear" w:color="auto" w:fill="F8F8F8"/>
    </w:rPr>
  </w:style>
  <w:style w:type="character" w:customStyle="1" w:styleId="InformationTok">
    <w:name w:val="InformationTok"/>
    <w:rsid w:val="005D4FB2"/>
    <w:rPr>
      <w:b/>
      <w:i/>
      <w:color w:val="8F5902"/>
      <w:shd w:val="clear" w:color="auto" w:fill="F8F8F8"/>
    </w:rPr>
  </w:style>
  <w:style w:type="character" w:customStyle="1" w:styleId="WarningTok">
    <w:name w:val="WarningTok"/>
    <w:rsid w:val="005D4FB2"/>
    <w:rPr>
      <w:b/>
      <w:i/>
      <w:color w:val="8F5902"/>
      <w:shd w:val="clear" w:color="auto" w:fill="F8F8F8"/>
    </w:rPr>
  </w:style>
  <w:style w:type="character" w:customStyle="1" w:styleId="AlertTok">
    <w:name w:val="AlertTok"/>
    <w:rsid w:val="005D4FB2"/>
    <w:rPr>
      <w:color w:val="EF2929"/>
      <w:shd w:val="clear" w:color="auto" w:fill="F8F8F8"/>
    </w:rPr>
  </w:style>
  <w:style w:type="character" w:customStyle="1" w:styleId="ErrorTok">
    <w:name w:val="ErrorTok"/>
    <w:rsid w:val="005D4FB2"/>
    <w:rPr>
      <w:b/>
      <w:color w:val="A40000"/>
      <w:shd w:val="clear" w:color="auto" w:fill="F8F8F8"/>
    </w:rPr>
  </w:style>
  <w:style w:type="character" w:customStyle="1" w:styleId="NormalTok">
    <w:name w:val="NormalTok"/>
    <w:rsid w:val="005D4FB2"/>
    <w:rPr>
      <w:shd w:val="clear" w:color="auto" w:fill="F8F8F8"/>
    </w:rPr>
  </w:style>
  <w:style w:type="paragraph" w:styleId="Textonotapie">
    <w:name w:val="footnote text"/>
    <w:basedOn w:val="Normal"/>
    <w:link w:val="TextonotapieCar"/>
    <w:uiPriority w:val="99"/>
    <w:unhideWhenUsed/>
    <w:rsid w:val="002C2E17"/>
    <w:pPr>
      <w:jc w:val="left"/>
    </w:pPr>
    <w:rPr>
      <w:rFonts w:ascii="Times New Roman" w:eastAsiaTheme="minorEastAsia" w:hAnsi="Times New Roman"/>
      <w:sz w:val="20"/>
      <w:szCs w:val="20"/>
      <w:lang w:eastAsia="es-MX"/>
    </w:rPr>
  </w:style>
  <w:style w:type="character" w:customStyle="1" w:styleId="TextonotapieCar">
    <w:name w:val="Texto nota pie Car"/>
    <w:basedOn w:val="Fuentedeprrafopredeter"/>
    <w:link w:val="Textonotapie"/>
    <w:uiPriority w:val="99"/>
    <w:rsid w:val="002C2E17"/>
    <w:rPr>
      <w:rFonts w:ascii="Times New Roman" w:eastAsiaTheme="minorEastAsia" w:hAnsi="Times New Roman"/>
      <w:sz w:val="20"/>
      <w:szCs w:val="20"/>
      <w:lang w:eastAsia="es-MX"/>
    </w:rPr>
  </w:style>
  <w:style w:type="character" w:styleId="Refdenotaalpie">
    <w:name w:val="footnote reference"/>
    <w:aliases w:val="ftref,脚注引用,16 Point,Superscript 6 Point,Fußnotenzeichen DISS,fr,Superscript 6 Point + 11 pt,BVI fnr,BVI fnr Car Car,BVI fnr Car,BVI fnr Car Car Car Car,Footnote text"/>
    <w:basedOn w:val="Fuentedeprrafopredeter"/>
    <w:uiPriority w:val="99"/>
    <w:unhideWhenUsed/>
    <w:rsid w:val="002C2E17"/>
    <w:rPr>
      <w:vertAlign w:val="superscript"/>
    </w:rPr>
  </w:style>
  <w:style w:type="table" w:styleId="Listaclara-nfasis1">
    <w:name w:val="Light List Accent 1"/>
    <w:basedOn w:val="Tablanormal"/>
    <w:uiPriority w:val="61"/>
    <w:unhideWhenUsed/>
    <w:rsid w:val="003955CD"/>
    <w:rPr>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inespaciado">
    <w:name w:val="No Spacing"/>
    <w:uiPriority w:val="1"/>
    <w:qFormat/>
    <w:rsid w:val="003955CD"/>
    <w:pPr>
      <w:jc w:val="both"/>
    </w:pPr>
    <w:rPr>
      <w:rFonts w:ascii="Barlow Medium" w:eastAsiaTheme="minorEastAsia" w:hAnsi="Barlow Medium" w:cs="Arial"/>
      <w:color w:val="595959" w:themeColor="text1" w:themeTint="A6"/>
      <w:lang w:eastAsia="es-ES"/>
    </w:rPr>
  </w:style>
  <w:style w:type="table" w:styleId="Sombreadoclaro-nfasis2">
    <w:name w:val="Light Shading Accent 2"/>
    <w:basedOn w:val="Tablanormal"/>
    <w:uiPriority w:val="60"/>
    <w:rsid w:val="003955CD"/>
    <w:rPr>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medio1-nfasis5">
    <w:name w:val="Medium Shading 1 Accent 5"/>
    <w:basedOn w:val="Tablanormal"/>
    <w:uiPriority w:val="63"/>
    <w:rsid w:val="003955CD"/>
    <w:rPr>
      <w:sz w:val="22"/>
      <w:szCs w:val="22"/>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Tablaconcuadrcula4-nfasis61">
    <w:name w:val="Tabla con cuadrícula 4 - Énfasis 61"/>
    <w:basedOn w:val="Tablanormal"/>
    <w:uiPriority w:val="49"/>
    <w:rsid w:val="003955CD"/>
    <w:pPr>
      <w:spacing w:before="100" w:beforeAutospacing="1" w:after="100" w:afterAutospacing="1"/>
      <w:jc w:val="both"/>
    </w:pPr>
    <w:rPr>
      <w:rFonts w:eastAsiaTheme="minorEastAsia"/>
      <w:lang w:val="en-US" w:eastAsia="es-ES"/>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3955CD"/>
    <w:rPr>
      <w:rFonts w:ascii="Times New Roman" w:eastAsia="Times New Roman" w:hAnsi="Times New Roman" w:cs="Times New Roman"/>
      <w:lang w:eastAsia="es-MX"/>
    </w:rPr>
  </w:style>
  <w:style w:type="paragraph" w:styleId="Epgrafe">
    <w:name w:val="caption"/>
    <w:basedOn w:val="Normal"/>
    <w:next w:val="Normal"/>
    <w:uiPriority w:val="35"/>
    <w:unhideWhenUsed/>
    <w:qFormat/>
    <w:rsid w:val="003955CD"/>
    <w:pPr>
      <w:widowControl w:val="0"/>
      <w:spacing w:before="100" w:beforeAutospacing="1" w:after="200" w:afterAutospacing="1"/>
    </w:pPr>
    <w:rPr>
      <w:rFonts w:asciiTheme="minorHAnsi" w:hAnsiTheme="minorHAnsi"/>
      <w:b/>
      <w:bCs/>
      <w:color w:val="4472C4" w:themeColor="accent1"/>
      <w:sz w:val="18"/>
      <w:szCs w:val="18"/>
    </w:rPr>
  </w:style>
  <w:style w:type="character" w:customStyle="1" w:styleId="TextonotaalfinalCar">
    <w:name w:val="Texto nota al final Car"/>
    <w:basedOn w:val="Fuentedeprrafopredeter"/>
    <w:link w:val="Textonotaalfinal"/>
    <w:uiPriority w:val="99"/>
    <w:semiHidden/>
    <w:rsid w:val="003955CD"/>
    <w:rPr>
      <w:sz w:val="20"/>
      <w:szCs w:val="20"/>
    </w:rPr>
  </w:style>
  <w:style w:type="paragraph" w:styleId="Textonotaalfinal">
    <w:name w:val="endnote text"/>
    <w:basedOn w:val="Normal"/>
    <w:link w:val="TextonotaalfinalCar"/>
    <w:uiPriority w:val="99"/>
    <w:semiHidden/>
    <w:unhideWhenUsed/>
    <w:rsid w:val="003955CD"/>
    <w:pPr>
      <w:widowControl w:val="0"/>
      <w:spacing w:before="100" w:beforeAutospacing="1" w:after="100" w:afterAutospacing="1"/>
    </w:pPr>
    <w:rPr>
      <w:rFonts w:asciiTheme="minorHAnsi" w:hAnsiTheme="minorHAnsi"/>
      <w:sz w:val="20"/>
      <w:szCs w:val="20"/>
    </w:rPr>
  </w:style>
  <w:style w:type="character" w:customStyle="1" w:styleId="TextonotaalfinalCar1">
    <w:name w:val="Texto nota al final Car1"/>
    <w:basedOn w:val="Fuentedeprrafopredeter"/>
    <w:link w:val="Textonotaalfinal"/>
    <w:uiPriority w:val="99"/>
    <w:semiHidden/>
    <w:rsid w:val="003955CD"/>
    <w:rPr>
      <w:rFonts w:ascii="Arial" w:hAnsi="Arial"/>
      <w:sz w:val="20"/>
      <w:szCs w:val="20"/>
    </w:rPr>
  </w:style>
  <w:style w:type="character" w:styleId="Refdenotaalfinal">
    <w:name w:val="endnote reference"/>
    <w:basedOn w:val="Fuentedeprrafopredeter"/>
    <w:uiPriority w:val="99"/>
    <w:semiHidden/>
    <w:unhideWhenUsed/>
    <w:rsid w:val="003955CD"/>
    <w:rPr>
      <w:vertAlign w:val="superscript"/>
    </w:rPr>
  </w:style>
  <w:style w:type="character" w:customStyle="1" w:styleId="apple-converted-space">
    <w:name w:val="apple-converted-space"/>
    <w:basedOn w:val="Fuentedeprrafopredeter"/>
    <w:rsid w:val="003955CD"/>
  </w:style>
  <w:style w:type="table" w:styleId="Listaclara">
    <w:name w:val="Light List"/>
    <w:basedOn w:val="Tablanormal"/>
    <w:uiPriority w:val="61"/>
    <w:unhideWhenUsed/>
    <w:rsid w:val="003955CD"/>
    <w:pPr>
      <w:spacing w:before="100" w:beforeAutospacing="1" w:after="100" w:afterAutospacing="1"/>
      <w:jc w:val="both"/>
    </w:pPr>
    <w:rPr>
      <w:rFonts w:eastAsiaTheme="minorEastAsia"/>
      <w:sz w:val="22"/>
      <w:szCs w:val="22"/>
      <w:lang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1-nfasis1">
    <w:name w:val="Medium Shading 1 Accent 1"/>
    <w:basedOn w:val="Tablanormal"/>
    <w:uiPriority w:val="63"/>
    <w:unhideWhenUsed/>
    <w:rsid w:val="003955CD"/>
    <w:pPr>
      <w:spacing w:before="100" w:beforeAutospacing="1" w:after="100" w:afterAutospacing="1"/>
      <w:jc w:val="both"/>
    </w:pPr>
    <w:rPr>
      <w:rFonts w:eastAsiaTheme="minorEastAsia"/>
      <w:sz w:val="22"/>
      <w:szCs w:val="22"/>
      <w:lang w:eastAsia="es-MX"/>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cPr>
      <w:shd w:val="clear" w:color="auto" w:fill="F2F2F2" w:themeFill="background1" w:themeFillShade="F2"/>
    </w:tcPr>
    <w:tblStylePr w:type="firstRow">
      <w:pPr>
        <w:spacing w:beforeLines="0" w:beforeAutospacing="0" w:afterLines="0" w:afterAutospacing="0" w:line="240" w:lineRule="auto"/>
      </w:pPr>
      <w:rPr>
        <w:b/>
        <w:bCs/>
        <w:color w:val="FFFFFF" w:themeColor="background1"/>
      </w:rPr>
      <w:tblPr/>
      <w:tcPr>
        <w:shd w:val="clear" w:color="auto" w:fill="16365C"/>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tcBorders>
          <w:insideH w:val="nil"/>
          <w:insideV w:val="nil"/>
        </w:tcBorders>
      </w:tcPr>
    </w:tblStylePr>
  </w:style>
  <w:style w:type="table" w:styleId="Listaclara-nfasis4">
    <w:name w:val="Light List Accent 4"/>
    <w:basedOn w:val="Tablanormal"/>
    <w:uiPriority w:val="61"/>
    <w:unhideWhenUsed/>
    <w:rsid w:val="003955CD"/>
    <w:pPr>
      <w:spacing w:before="100" w:beforeAutospacing="1" w:after="100" w:afterAutospacing="1"/>
      <w:jc w:val="both"/>
    </w:pPr>
    <w:rPr>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FC000" w:themeFill="accent4"/>
      </w:tcPr>
    </w:tblStylePr>
    <w:tblStylePr w:type="lastRow">
      <w:pPr>
        <w:spacing w:beforeLines="0" w:beforeAutospacing="0" w:afterLines="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clara-nfasis4">
    <w:name w:val="Light Grid Accent 4"/>
    <w:basedOn w:val="Tablanormal"/>
    <w:uiPriority w:val="62"/>
    <w:unhideWhenUsed/>
    <w:rsid w:val="003955CD"/>
    <w:pPr>
      <w:spacing w:before="100" w:beforeAutospacing="1" w:after="100" w:afterAutospacing="1"/>
      <w:jc w:val="both"/>
    </w:pPr>
    <w:rPr>
      <w:sz w:val="22"/>
      <w:szCs w:val="22"/>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claro-nfasis5">
    <w:name w:val="Light Shading Accent 5"/>
    <w:basedOn w:val="Tablanormal"/>
    <w:uiPriority w:val="60"/>
    <w:unhideWhenUsed/>
    <w:rsid w:val="003955CD"/>
    <w:pPr>
      <w:spacing w:before="100" w:beforeAutospacing="1" w:after="100" w:afterAutospacing="1"/>
      <w:jc w:val="both"/>
    </w:pPr>
    <w:rPr>
      <w:color w:val="2E74B5" w:themeColor="accent5" w:themeShade="BF"/>
      <w:sz w:val="22"/>
      <w:szCs w:val="22"/>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staclara-nfasis5">
    <w:name w:val="Light List Accent 5"/>
    <w:basedOn w:val="Tablanormal"/>
    <w:uiPriority w:val="61"/>
    <w:unhideWhenUsed/>
    <w:rsid w:val="003955CD"/>
    <w:pPr>
      <w:spacing w:before="100" w:beforeAutospacing="1" w:after="100" w:afterAutospacing="1"/>
      <w:jc w:val="both"/>
    </w:pPr>
    <w:rPr>
      <w:sz w:val="22"/>
      <w:szCs w:val="22"/>
    </w:rPr>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5B9BD5" w:themeFill="accent5"/>
      </w:tcPr>
    </w:tblStylePr>
    <w:tblStylePr w:type="lastRow">
      <w:pPr>
        <w:spacing w:beforeLines="0" w:beforeAutospacing="0" w:afterLines="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Cuadrculamedia1-nfasis5">
    <w:name w:val="Medium Grid 1 Accent 5"/>
    <w:basedOn w:val="Tablanormal"/>
    <w:uiPriority w:val="67"/>
    <w:unhideWhenUsed/>
    <w:rsid w:val="003955CD"/>
    <w:pPr>
      <w:spacing w:before="100" w:beforeAutospacing="1" w:after="100" w:afterAutospacing="1"/>
      <w:jc w:val="both"/>
    </w:pPr>
    <w:rPr>
      <w:sz w:val="22"/>
      <w:szCs w:val="22"/>
    </w:rPr>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CellMar>
        <w:top w:w="0" w:type="dxa"/>
        <w:left w:w="108" w:type="dxa"/>
        <w:bottom w:w="0" w:type="dxa"/>
        <w:right w:w="108" w:type="dxa"/>
      </w:tblCellMar>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ombreadomedio1-nfasis6">
    <w:name w:val="Medium Shading 1 Accent 6"/>
    <w:basedOn w:val="Tablanormal"/>
    <w:uiPriority w:val="63"/>
    <w:unhideWhenUsed/>
    <w:rsid w:val="003955CD"/>
    <w:pPr>
      <w:spacing w:before="100" w:beforeAutospacing="1" w:after="100" w:afterAutospacing="1"/>
      <w:jc w:val="both"/>
    </w:pPr>
    <w:rPr>
      <w:sz w:val="22"/>
      <w:szCs w:val="22"/>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Autospacing="0" w:afterLines="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3955CD"/>
    <w:pPr>
      <w:spacing w:before="100" w:beforeAutospacing="1" w:after="100" w:afterAutospacing="1"/>
      <w:jc w:val="both"/>
    </w:pPr>
    <w:rPr>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table" w:customStyle="1" w:styleId="Listaclara1">
    <w:name w:val="Lista clara1"/>
    <w:basedOn w:val="Tablanormal"/>
    <w:uiPriority w:val="61"/>
    <w:rsid w:val="003955CD"/>
    <w:pPr>
      <w:spacing w:before="100" w:beforeAutospacing="1" w:after="100" w:afterAutospacing="1"/>
      <w:jc w:val="both"/>
    </w:pPr>
    <w:rPr>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cinsinresolver1">
    <w:name w:val="Mención sin resolver1"/>
    <w:basedOn w:val="Fuentedeprrafopredeter"/>
    <w:uiPriority w:val="99"/>
    <w:semiHidden/>
    <w:unhideWhenUsed/>
    <w:rsid w:val="003955CD"/>
    <w:rPr>
      <w:color w:val="605E5C"/>
      <w:shd w:val="clear" w:color="auto" w:fill="E1DFDD"/>
    </w:rPr>
  </w:style>
  <w:style w:type="table" w:customStyle="1" w:styleId="TableNormal1">
    <w:name w:val="Table Normal1"/>
    <w:rsid w:val="003955CD"/>
    <w:pPr>
      <w:spacing w:before="100" w:beforeAutospacing="1" w:after="100" w:afterAutospacing="1" w:line="276" w:lineRule="auto"/>
      <w:jc w:val="both"/>
    </w:pPr>
    <w:rPr>
      <w:rFonts w:ascii="Arial" w:eastAsia="Arial" w:hAnsi="Arial" w:cs="Arial"/>
      <w:sz w:val="22"/>
      <w:szCs w:val="22"/>
      <w:lang w:eastAsia="es-MX"/>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3955CD"/>
    <w:rPr>
      <w:color w:val="808080"/>
    </w:rPr>
  </w:style>
</w:styles>
</file>

<file path=word/webSettings.xml><?xml version="1.0" encoding="utf-8"?>
<w:webSettings xmlns:r="http://schemas.openxmlformats.org/officeDocument/2006/relationships" xmlns:w="http://schemas.openxmlformats.org/wordprocessingml/2006/main">
  <w:divs>
    <w:div w:id="2366378">
      <w:bodyDiv w:val="1"/>
      <w:marLeft w:val="0"/>
      <w:marRight w:val="0"/>
      <w:marTop w:val="0"/>
      <w:marBottom w:val="0"/>
      <w:divBdr>
        <w:top w:val="none" w:sz="0" w:space="0" w:color="auto"/>
        <w:left w:val="none" w:sz="0" w:space="0" w:color="auto"/>
        <w:bottom w:val="none" w:sz="0" w:space="0" w:color="auto"/>
        <w:right w:val="none" w:sz="0" w:space="0" w:color="auto"/>
      </w:divBdr>
    </w:div>
    <w:div w:id="35350041">
      <w:bodyDiv w:val="1"/>
      <w:marLeft w:val="0"/>
      <w:marRight w:val="0"/>
      <w:marTop w:val="0"/>
      <w:marBottom w:val="0"/>
      <w:divBdr>
        <w:top w:val="none" w:sz="0" w:space="0" w:color="auto"/>
        <w:left w:val="none" w:sz="0" w:space="0" w:color="auto"/>
        <w:bottom w:val="none" w:sz="0" w:space="0" w:color="auto"/>
        <w:right w:val="none" w:sz="0" w:space="0" w:color="auto"/>
      </w:divBdr>
    </w:div>
    <w:div w:id="39673524">
      <w:bodyDiv w:val="1"/>
      <w:marLeft w:val="0"/>
      <w:marRight w:val="0"/>
      <w:marTop w:val="0"/>
      <w:marBottom w:val="0"/>
      <w:divBdr>
        <w:top w:val="none" w:sz="0" w:space="0" w:color="auto"/>
        <w:left w:val="none" w:sz="0" w:space="0" w:color="auto"/>
        <w:bottom w:val="none" w:sz="0" w:space="0" w:color="auto"/>
        <w:right w:val="none" w:sz="0" w:space="0" w:color="auto"/>
      </w:divBdr>
    </w:div>
    <w:div w:id="49039730">
      <w:bodyDiv w:val="1"/>
      <w:marLeft w:val="0"/>
      <w:marRight w:val="0"/>
      <w:marTop w:val="0"/>
      <w:marBottom w:val="0"/>
      <w:divBdr>
        <w:top w:val="none" w:sz="0" w:space="0" w:color="auto"/>
        <w:left w:val="none" w:sz="0" w:space="0" w:color="auto"/>
        <w:bottom w:val="none" w:sz="0" w:space="0" w:color="auto"/>
        <w:right w:val="none" w:sz="0" w:space="0" w:color="auto"/>
      </w:divBdr>
    </w:div>
    <w:div w:id="54788465">
      <w:bodyDiv w:val="1"/>
      <w:marLeft w:val="0"/>
      <w:marRight w:val="0"/>
      <w:marTop w:val="0"/>
      <w:marBottom w:val="0"/>
      <w:divBdr>
        <w:top w:val="none" w:sz="0" w:space="0" w:color="auto"/>
        <w:left w:val="none" w:sz="0" w:space="0" w:color="auto"/>
        <w:bottom w:val="none" w:sz="0" w:space="0" w:color="auto"/>
        <w:right w:val="none" w:sz="0" w:space="0" w:color="auto"/>
      </w:divBdr>
    </w:div>
    <w:div w:id="58552073">
      <w:bodyDiv w:val="1"/>
      <w:marLeft w:val="0"/>
      <w:marRight w:val="0"/>
      <w:marTop w:val="0"/>
      <w:marBottom w:val="0"/>
      <w:divBdr>
        <w:top w:val="none" w:sz="0" w:space="0" w:color="auto"/>
        <w:left w:val="none" w:sz="0" w:space="0" w:color="auto"/>
        <w:bottom w:val="none" w:sz="0" w:space="0" w:color="auto"/>
        <w:right w:val="none" w:sz="0" w:space="0" w:color="auto"/>
      </w:divBdr>
    </w:div>
    <w:div w:id="80681257">
      <w:bodyDiv w:val="1"/>
      <w:marLeft w:val="0"/>
      <w:marRight w:val="0"/>
      <w:marTop w:val="0"/>
      <w:marBottom w:val="0"/>
      <w:divBdr>
        <w:top w:val="none" w:sz="0" w:space="0" w:color="auto"/>
        <w:left w:val="none" w:sz="0" w:space="0" w:color="auto"/>
        <w:bottom w:val="none" w:sz="0" w:space="0" w:color="auto"/>
        <w:right w:val="none" w:sz="0" w:space="0" w:color="auto"/>
      </w:divBdr>
    </w:div>
    <w:div w:id="87391701">
      <w:bodyDiv w:val="1"/>
      <w:marLeft w:val="0"/>
      <w:marRight w:val="0"/>
      <w:marTop w:val="0"/>
      <w:marBottom w:val="0"/>
      <w:divBdr>
        <w:top w:val="none" w:sz="0" w:space="0" w:color="auto"/>
        <w:left w:val="none" w:sz="0" w:space="0" w:color="auto"/>
        <w:bottom w:val="none" w:sz="0" w:space="0" w:color="auto"/>
        <w:right w:val="none" w:sz="0" w:space="0" w:color="auto"/>
      </w:divBdr>
    </w:div>
    <w:div w:id="150604590">
      <w:bodyDiv w:val="1"/>
      <w:marLeft w:val="0"/>
      <w:marRight w:val="0"/>
      <w:marTop w:val="0"/>
      <w:marBottom w:val="0"/>
      <w:divBdr>
        <w:top w:val="none" w:sz="0" w:space="0" w:color="auto"/>
        <w:left w:val="none" w:sz="0" w:space="0" w:color="auto"/>
        <w:bottom w:val="none" w:sz="0" w:space="0" w:color="auto"/>
        <w:right w:val="none" w:sz="0" w:space="0" w:color="auto"/>
      </w:divBdr>
    </w:div>
    <w:div w:id="157892719">
      <w:bodyDiv w:val="1"/>
      <w:marLeft w:val="0"/>
      <w:marRight w:val="0"/>
      <w:marTop w:val="0"/>
      <w:marBottom w:val="0"/>
      <w:divBdr>
        <w:top w:val="none" w:sz="0" w:space="0" w:color="auto"/>
        <w:left w:val="none" w:sz="0" w:space="0" w:color="auto"/>
        <w:bottom w:val="none" w:sz="0" w:space="0" w:color="auto"/>
        <w:right w:val="none" w:sz="0" w:space="0" w:color="auto"/>
      </w:divBdr>
    </w:div>
    <w:div w:id="159545996">
      <w:bodyDiv w:val="1"/>
      <w:marLeft w:val="0"/>
      <w:marRight w:val="0"/>
      <w:marTop w:val="0"/>
      <w:marBottom w:val="0"/>
      <w:divBdr>
        <w:top w:val="none" w:sz="0" w:space="0" w:color="auto"/>
        <w:left w:val="none" w:sz="0" w:space="0" w:color="auto"/>
        <w:bottom w:val="none" w:sz="0" w:space="0" w:color="auto"/>
        <w:right w:val="none" w:sz="0" w:space="0" w:color="auto"/>
      </w:divBdr>
    </w:div>
    <w:div w:id="164902048">
      <w:bodyDiv w:val="1"/>
      <w:marLeft w:val="0"/>
      <w:marRight w:val="0"/>
      <w:marTop w:val="0"/>
      <w:marBottom w:val="0"/>
      <w:divBdr>
        <w:top w:val="none" w:sz="0" w:space="0" w:color="auto"/>
        <w:left w:val="none" w:sz="0" w:space="0" w:color="auto"/>
        <w:bottom w:val="none" w:sz="0" w:space="0" w:color="auto"/>
        <w:right w:val="none" w:sz="0" w:space="0" w:color="auto"/>
      </w:divBdr>
    </w:div>
    <w:div w:id="181475397">
      <w:bodyDiv w:val="1"/>
      <w:marLeft w:val="0"/>
      <w:marRight w:val="0"/>
      <w:marTop w:val="0"/>
      <w:marBottom w:val="0"/>
      <w:divBdr>
        <w:top w:val="none" w:sz="0" w:space="0" w:color="auto"/>
        <w:left w:val="none" w:sz="0" w:space="0" w:color="auto"/>
        <w:bottom w:val="none" w:sz="0" w:space="0" w:color="auto"/>
        <w:right w:val="none" w:sz="0" w:space="0" w:color="auto"/>
      </w:divBdr>
    </w:div>
    <w:div w:id="201598273">
      <w:bodyDiv w:val="1"/>
      <w:marLeft w:val="0"/>
      <w:marRight w:val="0"/>
      <w:marTop w:val="0"/>
      <w:marBottom w:val="0"/>
      <w:divBdr>
        <w:top w:val="none" w:sz="0" w:space="0" w:color="auto"/>
        <w:left w:val="none" w:sz="0" w:space="0" w:color="auto"/>
        <w:bottom w:val="none" w:sz="0" w:space="0" w:color="auto"/>
        <w:right w:val="none" w:sz="0" w:space="0" w:color="auto"/>
      </w:divBdr>
    </w:div>
    <w:div w:id="204829371">
      <w:bodyDiv w:val="1"/>
      <w:marLeft w:val="0"/>
      <w:marRight w:val="0"/>
      <w:marTop w:val="0"/>
      <w:marBottom w:val="0"/>
      <w:divBdr>
        <w:top w:val="none" w:sz="0" w:space="0" w:color="auto"/>
        <w:left w:val="none" w:sz="0" w:space="0" w:color="auto"/>
        <w:bottom w:val="none" w:sz="0" w:space="0" w:color="auto"/>
        <w:right w:val="none" w:sz="0" w:space="0" w:color="auto"/>
      </w:divBdr>
    </w:div>
    <w:div w:id="211313088">
      <w:bodyDiv w:val="1"/>
      <w:marLeft w:val="0"/>
      <w:marRight w:val="0"/>
      <w:marTop w:val="0"/>
      <w:marBottom w:val="0"/>
      <w:divBdr>
        <w:top w:val="none" w:sz="0" w:space="0" w:color="auto"/>
        <w:left w:val="none" w:sz="0" w:space="0" w:color="auto"/>
        <w:bottom w:val="none" w:sz="0" w:space="0" w:color="auto"/>
        <w:right w:val="none" w:sz="0" w:space="0" w:color="auto"/>
      </w:divBdr>
    </w:div>
    <w:div w:id="235869734">
      <w:bodyDiv w:val="1"/>
      <w:marLeft w:val="0"/>
      <w:marRight w:val="0"/>
      <w:marTop w:val="0"/>
      <w:marBottom w:val="0"/>
      <w:divBdr>
        <w:top w:val="none" w:sz="0" w:space="0" w:color="auto"/>
        <w:left w:val="none" w:sz="0" w:space="0" w:color="auto"/>
        <w:bottom w:val="none" w:sz="0" w:space="0" w:color="auto"/>
        <w:right w:val="none" w:sz="0" w:space="0" w:color="auto"/>
      </w:divBdr>
    </w:div>
    <w:div w:id="242684253">
      <w:bodyDiv w:val="1"/>
      <w:marLeft w:val="0"/>
      <w:marRight w:val="0"/>
      <w:marTop w:val="0"/>
      <w:marBottom w:val="0"/>
      <w:divBdr>
        <w:top w:val="none" w:sz="0" w:space="0" w:color="auto"/>
        <w:left w:val="none" w:sz="0" w:space="0" w:color="auto"/>
        <w:bottom w:val="none" w:sz="0" w:space="0" w:color="auto"/>
        <w:right w:val="none" w:sz="0" w:space="0" w:color="auto"/>
      </w:divBdr>
    </w:div>
    <w:div w:id="247889281">
      <w:bodyDiv w:val="1"/>
      <w:marLeft w:val="0"/>
      <w:marRight w:val="0"/>
      <w:marTop w:val="0"/>
      <w:marBottom w:val="0"/>
      <w:divBdr>
        <w:top w:val="none" w:sz="0" w:space="0" w:color="auto"/>
        <w:left w:val="none" w:sz="0" w:space="0" w:color="auto"/>
        <w:bottom w:val="none" w:sz="0" w:space="0" w:color="auto"/>
        <w:right w:val="none" w:sz="0" w:space="0" w:color="auto"/>
      </w:divBdr>
    </w:div>
    <w:div w:id="266281692">
      <w:bodyDiv w:val="1"/>
      <w:marLeft w:val="0"/>
      <w:marRight w:val="0"/>
      <w:marTop w:val="0"/>
      <w:marBottom w:val="0"/>
      <w:divBdr>
        <w:top w:val="none" w:sz="0" w:space="0" w:color="auto"/>
        <w:left w:val="none" w:sz="0" w:space="0" w:color="auto"/>
        <w:bottom w:val="none" w:sz="0" w:space="0" w:color="auto"/>
        <w:right w:val="none" w:sz="0" w:space="0" w:color="auto"/>
      </w:divBdr>
    </w:div>
    <w:div w:id="274486314">
      <w:bodyDiv w:val="1"/>
      <w:marLeft w:val="0"/>
      <w:marRight w:val="0"/>
      <w:marTop w:val="0"/>
      <w:marBottom w:val="0"/>
      <w:divBdr>
        <w:top w:val="none" w:sz="0" w:space="0" w:color="auto"/>
        <w:left w:val="none" w:sz="0" w:space="0" w:color="auto"/>
        <w:bottom w:val="none" w:sz="0" w:space="0" w:color="auto"/>
        <w:right w:val="none" w:sz="0" w:space="0" w:color="auto"/>
      </w:divBdr>
    </w:div>
    <w:div w:id="289674593">
      <w:bodyDiv w:val="1"/>
      <w:marLeft w:val="0"/>
      <w:marRight w:val="0"/>
      <w:marTop w:val="0"/>
      <w:marBottom w:val="0"/>
      <w:divBdr>
        <w:top w:val="none" w:sz="0" w:space="0" w:color="auto"/>
        <w:left w:val="none" w:sz="0" w:space="0" w:color="auto"/>
        <w:bottom w:val="none" w:sz="0" w:space="0" w:color="auto"/>
        <w:right w:val="none" w:sz="0" w:space="0" w:color="auto"/>
      </w:divBdr>
    </w:div>
    <w:div w:id="322200385">
      <w:bodyDiv w:val="1"/>
      <w:marLeft w:val="0"/>
      <w:marRight w:val="0"/>
      <w:marTop w:val="0"/>
      <w:marBottom w:val="0"/>
      <w:divBdr>
        <w:top w:val="none" w:sz="0" w:space="0" w:color="auto"/>
        <w:left w:val="none" w:sz="0" w:space="0" w:color="auto"/>
        <w:bottom w:val="none" w:sz="0" w:space="0" w:color="auto"/>
        <w:right w:val="none" w:sz="0" w:space="0" w:color="auto"/>
      </w:divBdr>
    </w:div>
    <w:div w:id="323512575">
      <w:bodyDiv w:val="1"/>
      <w:marLeft w:val="0"/>
      <w:marRight w:val="0"/>
      <w:marTop w:val="0"/>
      <w:marBottom w:val="0"/>
      <w:divBdr>
        <w:top w:val="none" w:sz="0" w:space="0" w:color="auto"/>
        <w:left w:val="none" w:sz="0" w:space="0" w:color="auto"/>
        <w:bottom w:val="none" w:sz="0" w:space="0" w:color="auto"/>
        <w:right w:val="none" w:sz="0" w:space="0" w:color="auto"/>
      </w:divBdr>
    </w:div>
    <w:div w:id="345330308">
      <w:bodyDiv w:val="1"/>
      <w:marLeft w:val="0"/>
      <w:marRight w:val="0"/>
      <w:marTop w:val="0"/>
      <w:marBottom w:val="0"/>
      <w:divBdr>
        <w:top w:val="none" w:sz="0" w:space="0" w:color="auto"/>
        <w:left w:val="none" w:sz="0" w:space="0" w:color="auto"/>
        <w:bottom w:val="none" w:sz="0" w:space="0" w:color="auto"/>
        <w:right w:val="none" w:sz="0" w:space="0" w:color="auto"/>
      </w:divBdr>
    </w:div>
    <w:div w:id="391120132">
      <w:bodyDiv w:val="1"/>
      <w:marLeft w:val="0"/>
      <w:marRight w:val="0"/>
      <w:marTop w:val="0"/>
      <w:marBottom w:val="0"/>
      <w:divBdr>
        <w:top w:val="none" w:sz="0" w:space="0" w:color="auto"/>
        <w:left w:val="none" w:sz="0" w:space="0" w:color="auto"/>
        <w:bottom w:val="none" w:sz="0" w:space="0" w:color="auto"/>
        <w:right w:val="none" w:sz="0" w:space="0" w:color="auto"/>
      </w:divBdr>
    </w:div>
    <w:div w:id="396435638">
      <w:bodyDiv w:val="1"/>
      <w:marLeft w:val="0"/>
      <w:marRight w:val="0"/>
      <w:marTop w:val="0"/>
      <w:marBottom w:val="0"/>
      <w:divBdr>
        <w:top w:val="none" w:sz="0" w:space="0" w:color="auto"/>
        <w:left w:val="none" w:sz="0" w:space="0" w:color="auto"/>
        <w:bottom w:val="none" w:sz="0" w:space="0" w:color="auto"/>
        <w:right w:val="none" w:sz="0" w:space="0" w:color="auto"/>
      </w:divBdr>
    </w:div>
    <w:div w:id="418329739">
      <w:bodyDiv w:val="1"/>
      <w:marLeft w:val="0"/>
      <w:marRight w:val="0"/>
      <w:marTop w:val="0"/>
      <w:marBottom w:val="0"/>
      <w:divBdr>
        <w:top w:val="none" w:sz="0" w:space="0" w:color="auto"/>
        <w:left w:val="none" w:sz="0" w:space="0" w:color="auto"/>
        <w:bottom w:val="none" w:sz="0" w:space="0" w:color="auto"/>
        <w:right w:val="none" w:sz="0" w:space="0" w:color="auto"/>
      </w:divBdr>
    </w:div>
    <w:div w:id="482744499">
      <w:bodyDiv w:val="1"/>
      <w:marLeft w:val="0"/>
      <w:marRight w:val="0"/>
      <w:marTop w:val="0"/>
      <w:marBottom w:val="0"/>
      <w:divBdr>
        <w:top w:val="none" w:sz="0" w:space="0" w:color="auto"/>
        <w:left w:val="none" w:sz="0" w:space="0" w:color="auto"/>
        <w:bottom w:val="none" w:sz="0" w:space="0" w:color="auto"/>
        <w:right w:val="none" w:sz="0" w:space="0" w:color="auto"/>
      </w:divBdr>
    </w:div>
    <w:div w:id="485172379">
      <w:bodyDiv w:val="1"/>
      <w:marLeft w:val="0"/>
      <w:marRight w:val="0"/>
      <w:marTop w:val="0"/>
      <w:marBottom w:val="0"/>
      <w:divBdr>
        <w:top w:val="none" w:sz="0" w:space="0" w:color="auto"/>
        <w:left w:val="none" w:sz="0" w:space="0" w:color="auto"/>
        <w:bottom w:val="none" w:sz="0" w:space="0" w:color="auto"/>
        <w:right w:val="none" w:sz="0" w:space="0" w:color="auto"/>
      </w:divBdr>
    </w:div>
    <w:div w:id="485896508">
      <w:bodyDiv w:val="1"/>
      <w:marLeft w:val="0"/>
      <w:marRight w:val="0"/>
      <w:marTop w:val="0"/>
      <w:marBottom w:val="0"/>
      <w:divBdr>
        <w:top w:val="none" w:sz="0" w:space="0" w:color="auto"/>
        <w:left w:val="none" w:sz="0" w:space="0" w:color="auto"/>
        <w:bottom w:val="none" w:sz="0" w:space="0" w:color="auto"/>
        <w:right w:val="none" w:sz="0" w:space="0" w:color="auto"/>
      </w:divBdr>
    </w:div>
    <w:div w:id="514269449">
      <w:bodyDiv w:val="1"/>
      <w:marLeft w:val="0"/>
      <w:marRight w:val="0"/>
      <w:marTop w:val="0"/>
      <w:marBottom w:val="0"/>
      <w:divBdr>
        <w:top w:val="none" w:sz="0" w:space="0" w:color="auto"/>
        <w:left w:val="none" w:sz="0" w:space="0" w:color="auto"/>
        <w:bottom w:val="none" w:sz="0" w:space="0" w:color="auto"/>
        <w:right w:val="none" w:sz="0" w:space="0" w:color="auto"/>
      </w:divBdr>
    </w:div>
    <w:div w:id="514274158">
      <w:bodyDiv w:val="1"/>
      <w:marLeft w:val="0"/>
      <w:marRight w:val="0"/>
      <w:marTop w:val="0"/>
      <w:marBottom w:val="0"/>
      <w:divBdr>
        <w:top w:val="none" w:sz="0" w:space="0" w:color="auto"/>
        <w:left w:val="none" w:sz="0" w:space="0" w:color="auto"/>
        <w:bottom w:val="none" w:sz="0" w:space="0" w:color="auto"/>
        <w:right w:val="none" w:sz="0" w:space="0" w:color="auto"/>
      </w:divBdr>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9317733">
      <w:bodyDiv w:val="1"/>
      <w:marLeft w:val="0"/>
      <w:marRight w:val="0"/>
      <w:marTop w:val="0"/>
      <w:marBottom w:val="0"/>
      <w:divBdr>
        <w:top w:val="none" w:sz="0" w:space="0" w:color="auto"/>
        <w:left w:val="none" w:sz="0" w:space="0" w:color="auto"/>
        <w:bottom w:val="none" w:sz="0" w:space="0" w:color="auto"/>
        <w:right w:val="none" w:sz="0" w:space="0" w:color="auto"/>
      </w:divBdr>
    </w:div>
    <w:div w:id="566644354">
      <w:bodyDiv w:val="1"/>
      <w:marLeft w:val="0"/>
      <w:marRight w:val="0"/>
      <w:marTop w:val="0"/>
      <w:marBottom w:val="0"/>
      <w:divBdr>
        <w:top w:val="none" w:sz="0" w:space="0" w:color="auto"/>
        <w:left w:val="none" w:sz="0" w:space="0" w:color="auto"/>
        <w:bottom w:val="none" w:sz="0" w:space="0" w:color="auto"/>
        <w:right w:val="none" w:sz="0" w:space="0" w:color="auto"/>
      </w:divBdr>
    </w:div>
    <w:div w:id="572619519">
      <w:bodyDiv w:val="1"/>
      <w:marLeft w:val="0"/>
      <w:marRight w:val="0"/>
      <w:marTop w:val="0"/>
      <w:marBottom w:val="0"/>
      <w:divBdr>
        <w:top w:val="none" w:sz="0" w:space="0" w:color="auto"/>
        <w:left w:val="none" w:sz="0" w:space="0" w:color="auto"/>
        <w:bottom w:val="none" w:sz="0" w:space="0" w:color="auto"/>
        <w:right w:val="none" w:sz="0" w:space="0" w:color="auto"/>
      </w:divBdr>
    </w:div>
    <w:div w:id="610474326">
      <w:bodyDiv w:val="1"/>
      <w:marLeft w:val="0"/>
      <w:marRight w:val="0"/>
      <w:marTop w:val="0"/>
      <w:marBottom w:val="0"/>
      <w:divBdr>
        <w:top w:val="none" w:sz="0" w:space="0" w:color="auto"/>
        <w:left w:val="none" w:sz="0" w:space="0" w:color="auto"/>
        <w:bottom w:val="none" w:sz="0" w:space="0" w:color="auto"/>
        <w:right w:val="none" w:sz="0" w:space="0" w:color="auto"/>
      </w:divBdr>
    </w:div>
    <w:div w:id="619453301">
      <w:bodyDiv w:val="1"/>
      <w:marLeft w:val="0"/>
      <w:marRight w:val="0"/>
      <w:marTop w:val="0"/>
      <w:marBottom w:val="0"/>
      <w:divBdr>
        <w:top w:val="none" w:sz="0" w:space="0" w:color="auto"/>
        <w:left w:val="none" w:sz="0" w:space="0" w:color="auto"/>
        <w:bottom w:val="none" w:sz="0" w:space="0" w:color="auto"/>
        <w:right w:val="none" w:sz="0" w:space="0" w:color="auto"/>
      </w:divBdr>
    </w:div>
    <w:div w:id="620260374">
      <w:bodyDiv w:val="1"/>
      <w:marLeft w:val="0"/>
      <w:marRight w:val="0"/>
      <w:marTop w:val="0"/>
      <w:marBottom w:val="0"/>
      <w:divBdr>
        <w:top w:val="none" w:sz="0" w:space="0" w:color="auto"/>
        <w:left w:val="none" w:sz="0" w:space="0" w:color="auto"/>
        <w:bottom w:val="none" w:sz="0" w:space="0" w:color="auto"/>
        <w:right w:val="none" w:sz="0" w:space="0" w:color="auto"/>
      </w:divBdr>
    </w:div>
    <w:div w:id="623078049">
      <w:bodyDiv w:val="1"/>
      <w:marLeft w:val="0"/>
      <w:marRight w:val="0"/>
      <w:marTop w:val="0"/>
      <w:marBottom w:val="0"/>
      <w:divBdr>
        <w:top w:val="none" w:sz="0" w:space="0" w:color="auto"/>
        <w:left w:val="none" w:sz="0" w:space="0" w:color="auto"/>
        <w:bottom w:val="none" w:sz="0" w:space="0" w:color="auto"/>
        <w:right w:val="none" w:sz="0" w:space="0" w:color="auto"/>
      </w:divBdr>
    </w:div>
    <w:div w:id="624000038">
      <w:bodyDiv w:val="1"/>
      <w:marLeft w:val="0"/>
      <w:marRight w:val="0"/>
      <w:marTop w:val="0"/>
      <w:marBottom w:val="0"/>
      <w:divBdr>
        <w:top w:val="none" w:sz="0" w:space="0" w:color="auto"/>
        <w:left w:val="none" w:sz="0" w:space="0" w:color="auto"/>
        <w:bottom w:val="none" w:sz="0" w:space="0" w:color="auto"/>
        <w:right w:val="none" w:sz="0" w:space="0" w:color="auto"/>
      </w:divBdr>
    </w:div>
    <w:div w:id="669255368">
      <w:bodyDiv w:val="1"/>
      <w:marLeft w:val="0"/>
      <w:marRight w:val="0"/>
      <w:marTop w:val="0"/>
      <w:marBottom w:val="0"/>
      <w:divBdr>
        <w:top w:val="none" w:sz="0" w:space="0" w:color="auto"/>
        <w:left w:val="none" w:sz="0" w:space="0" w:color="auto"/>
        <w:bottom w:val="none" w:sz="0" w:space="0" w:color="auto"/>
        <w:right w:val="none" w:sz="0" w:space="0" w:color="auto"/>
      </w:divBdr>
    </w:div>
    <w:div w:id="734283276">
      <w:bodyDiv w:val="1"/>
      <w:marLeft w:val="0"/>
      <w:marRight w:val="0"/>
      <w:marTop w:val="0"/>
      <w:marBottom w:val="0"/>
      <w:divBdr>
        <w:top w:val="none" w:sz="0" w:space="0" w:color="auto"/>
        <w:left w:val="none" w:sz="0" w:space="0" w:color="auto"/>
        <w:bottom w:val="none" w:sz="0" w:space="0" w:color="auto"/>
        <w:right w:val="none" w:sz="0" w:space="0" w:color="auto"/>
      </w:divBdr>
    </w:div>
    <w:div w:id="778262221">
      <w:bodyDiv w:val="1"/>
      <w:marLeft w:val="0"/>
      <w:marRight w:val="0"/>
      <w:marTop w:val="0"/>
      <w:marBottom w:val="0"/>
      <w:divBdr>
        <w:top w:val="none" w:sz="0" w:space="0" w:color="auto"/>
        <w:left w:val="none" w:sz="0" w:space="0" w:color="auto"/>
        <w:bottom w:val="none" w:sz="0" w:space="0" w:color="auto"/>
        <w:right w:val="none" w:sz="0" w:space="0" w:color="auto"/>
      </w:divBdr>
    </w:div>
    <w:div w:id="778796879">
      <w:bodyDiv w:val="1"/>
      <w:marLeft w:val="0"/>
      <w:marRight w:val="0"/>
      <w:marTop w:val="0"/>
      <w:marBottom w:val="0"/>
      <w:divBdr>
        <w:top w:val="none" w:sz="0" w:space="0" w:color="auto"/>
        <w:left w:val="none" w:sz="0" w:space="0" w:color="auto"/>
        <w:bottom w:val="none" w:sz="0" w:space="0" w:color="auto"/>
        <w:right w:val="none" w:sz="0" w:space="0" w:color="auto"/>
      </w:divBdr>
    </w:div>
    <w:div w:id="828638547">
      <w:bodyDiv w:val="1"/>
      <w:marLeft w:val="0"/>
      <w:marRight w:val="0"/>
      <w:marTop w:val="0"/>
      <w:marBottom w:val="0"/>
      <w:divBdr>
        <w:top w:val="none" w:sz="0" w:space="0" w:color="auto"/>
        <w:left w:val="none" w:sz="0" w:space="0" w:color="auto"/>
        <w:bottom w:val="none" w:sz="0" w:space="0" w:color="auto"/>
        <w:right w:val="none" w:sz="0" w:space="0" w:color="auto"/>
      </w:divBdr>
    </w:div>
    <w:div w:id="838302485">
      <w:bodyDiv w:val="1"/>
      <w:marLeft w:val="0"/>
      <w:marRight w:val="0"/>
      <w:marTop w:val="0"/>
      <w:marBottom w:val="0"/>
      <w:divBdr>
        <w:top w:val="none" w:sz="0" w:space="0" w:color="auto"/>
        <w:left w:val="none" w:sz="0" w:space="0" w:color="auto"/>
        <w:bottom w:val="none" w:sz="0" w:space="0" w:color="auto"/>
        <w:right w:val="none" w:sz="0" w:space="0" w:color="auto"/>
      </w:divBdr>
    </w:div>
    <w:div w:id="843856411">
      <w:bodyDiv w:val="1"/>
      <w:marLeft w:val="0"/>
      <w:marRight w:val="0"/>
      <w:marTop w:val="0"/>
      <w:marBottom w:val="0"/>
      <w:divBdr>
        <w:top w:val="none" w:sz="0" w:space="0" w:color="auto"/>
        <w:left w:val="none" w:sz="0" w:space="0" w:color="auto"/>
        <w:bottom w:val="none" w:sz="0" w:space="0" w:color="auto"/>
        <w:right w:val="none" w:sz="0" w:space="0" w:color="auto"/>
      </w:divBdr>
    </w:div>
    <w:div w:id="844327009">
      <w:bodyDiv w:val="1"/>
      <w:marLeft w:val="0"/>
      <w:marRight w:val="0"/>
      <w:marTop w:val="0"/>
      <w:marBottom w:val="0"/>
      <w:divBdr>
        <w:top w:val="none" w:sz="0" w:space="0" w:color="auto"/>
        <w:left w:val="none" w:sz="0" w:space="0" w:color="auto"/>
        <w:bottom w:val="none" w:sz="0" w:space="0" w:color="auto"/>
        <w:right w:val="none" w:sz="0" w:space="0" w:color="auto"/>
      </w:divBdr>
    </w:div>
    <w:div w:id="846166584">
      <w:bodyDiv w:val="1"/>
      <w:marLeft w:val="0"/>
      <w:marRight w:val="0"/>
      <w:marTop w:val="0"/>
      <w:marBottom w:val="0"/>
      <w:divBdr>
        <w:top w:val="none" w:sz="0" w:space="0" w:color="auto"/>
        <w:left w:val="none" w:sz="0" w:space="0" w:color="auto"/>
        <w:bottom w:val="none" w:sz="0" w:space="0" w:color="auto"/>
        <w:right w:val="none" w:sz="0" w:space="0" w:color="auto"/>
      </w:divBdr>
    </w:div>
    <w:div w:id="849611906">
      <w:bodyDiv w:val="1"/>
      <w:marLeft w:val="0"/>
      <w:marRight w:val="0"/>
      <w:marTop w:val="0"/>
      <w:marBottom w:val="0"/>
      <w:divBdr>
        <w:top w:val="none" w:sz="0" w:space="0" w:color="auto"/>
        <w:left w:val="none" w:sz="0" w:space="0" w:color="auto"/>
        <w:bottom w:val="none" w:sz="0" w:space="0" w:color="auto"/>
        <w:right w:val="none" w:sz="0" w:space="0" w:color="auto"/>
      </w:divBdr>
    </w:div>
    <w:div w:id="875584646">
      <w:bodyDiv w:val="1"/>
      <w:marLeft w:val="0"/>
      <w:marRight w:val="0"/>
      <w:marTop w:val="0"/>
      <w:marBottom w:val="0"/>
      <w:divBdr>
        <w:top w:val="none" w:sz="0" w:space="0" w:color="auto"/>
        <w:left w:val="none" w:sz="0" w:space="0" w:color="auto"/>
        <w:bottom w:val="none" w:sz="0" w:space="0" w:color="auto"/>
        <w:right w:val="none" w:sz="0" w:space="0" w:color="auto"/>
      </w:divBdr>
    </w:div>
    <w:div w:id="899750663">
      <w:bodyDiv w:val="1"/>
      <w:marLeft w:val="0"/>
      <w:marRight w:val="0"/>
      <w:marTop w:val="0"/>
      <w:marBottom w:val="0"/>
      <w:divBdr>
        <w:top w:val="none" w:sz="0" w:space="0" w:color="auto"/>
        <w:left w:val="none" w:sz="0" w:space="0" w:color="auto"/>
        <w:bottom w:val="none" w:sz="0" w:space="0" w:color="auto"/>
        <w:right w:val="none" w:sz="0" w:space="0" w:color="auto"/>
      </w:divBdr>
    </w:div>
    <w:div w:id="907303471">
      <w:bodyDiv w:val="1"/>
      <w:marLeft w:val="0"/>
      <w:marRight w:val="0"/>
      <w:marTop w:val="0"/>
      <w:marBottom w:val="0"/>
      <w:divBdr>
        <w:top w:val="none" w:sz="0" w:space="0" w:color="auto"/>
        <w:left w:val="none" w:sz="0" w:space="0" w:color="auto"/>
        <w:bottom w:val="none" w:sz="0" w:space="0" w:color="auto"/>
        <w:right w:val="none" w:sz="0" w:space="0" w:color="auto"/>
      </w:divBdr>
    </w:div>
    <w:div w:id="909120009">
      <w:bodyDiv w:val="1"/>
      <w:marLeft w:val="0"/>
      <w:marRight w:val="0"/>
      <w:marTop w:val="0"/>
      <w:marBottom w:val="0"/>
      <w:divBdr>
        <w:top w:val="none" w:sz="0" w:space="0" w:color="auto"/>
        <w:left w:val="none" w:sz="0" w:space="0" w:color="auto"/>
        <w:bottom w:val="none" w:sz="0" w:space="0" w:color="auto"/>
        <w:right w:val="none" w:sz="0" w:space="0" w:color="auto"/>
      </w:divBdr>
    </w:div>
    <w:div w:id="910777934">
      <w:bodyDiv w:val="1"/>
      <w:marLeft w:val="0"/>
      <w:marRight w:val="0"/>
      <w:marTop w:val="0"/>
      <w:marBottom w:val="0"/>
      <w:divBdr>
        <w:top w:val="none" w:sz="0" w:space="0" w:color="auto"/>
        <w:left w:val="none" w:sz="0" w:space="0" w:color="auto"/>
        <w:bottom w:val="none" w:sz="0" w:space="0" w:color="auto"/>
        <w:right w:val="none" w:sz="0" w:space="0" w:color="auto"/>
      </w:divBdr>
    </w:div>
    <w:div w:id="920257746">
      <w:bodyDiv w:val="1"/>
      <w:marLeft w:val="0"/>
      <w:marRight w:val="0"/>
      <w:marTop w:val="0"/>
      <w:marBottom w:val="0"/>
      <w:divBdr>
        <w:top w:val="none" w:sz="0" w:space="0" w:color="auto"/>
        <w:left w:val="none" w:sz="0" w:space="0" w:color="auto"/>
        <w:bottom w:val="none" w:sz="0" w:space="0" w:color="auto"/>
        <w:right w:val="none" w:sz="0" w:space="0" w:color="auto"/>
      </w:divBdr>
    </w:div>
    <w:div w:id="933169207">
      <w:bodyDiv w:val="1"/>
      <w:marLeft w:val="0"/>
      <w:marRight w:val="0"/>
      <w:marTop w:val="0"/>
      <w:marBottom w:val="0"/>
      <w:divBdr>
        <w:top w:val="none" w:sz="0" w:space="0" w:color="auto"/>
        <w:left w:val="none" w:sz="0" w:space="0" w:color="auto"/>
        <w:bottom w:val="none" w:sz="0" w:space="0" w:color="auto"/>
        <w:right w:val="none" w:sz="0" w:space="0" w:color="auto"/>
      </w:divBdr>
    </w:div>
    <w:div w:id="935404984">
      <w:bodyDiv w:val="1"/>
      <w:marLeft w:val="0"/>
      <w:marRight w:val="0"/>
      <w:marTop w:val="0"/>
      <w:marBottom w:val="0"/>
      <w:divBdr>
        <w:top w:val="none" w:sz="0" w:space="0" w:color="auto"/>
        <w:left w:val="none" w:sz="0" w:space="0" w:color="auto"/>
        <w:bottom w:val="none" w:sz="0" w:space="0" w:color="auto"/>
        <w:right w:val="none" w:sz="0" w:space="0" w:color="auto"/>
      </w:divBdr>
    </w:div>
    <w:div w:id="941574753">
      <w:bodyDiv w:val="1"/>
      <w:marLeft w:val="0"/>
      <w:marRight w:val="0"/>
      <w:marTop w:val="0"/>
      <w:marBottom w:val="0"/>
      <w:divBdr>
        <w:top w:val="none" w:sz="0" w:space="0" w:color="auto"/>
        <w:left w:val="none" w:sz="0" w:space="0" w:color="auto"/>
        <w:bottom w:val="none" w:sz="0" w:space="0" w:color="auto"/>
        <w:right w:val="none" w:sz="0" w:space="0" w:color="auto"/>
      </w:divBdr>
    </w:div>
    <w:div w:id="956912763">
      <w:bodyDiv w:val="1"/>
      <w:marLeft w:val="0"/>
      <w:marRight w:val="0"/>
      <w:marTop w:val="0"/>
      <w:marBottom w:val="0"/>
      <w:divBdr>
        <w:top w:val="none" w:sz="0" w:space="0" w:color="auto"/>
        <w:left w:val="none" w:sz="0" w:space="0" w:color="auto"/>
        <w:bottom w:val="none" w:sz="0" w:space="0" w:color="auto"/>
        <w:right w:val="none" w:sz="0" w:space="0" w:color="auto"/>
      </w:divBdr>
    </w:div>
    <w:div w:id="962543670">
      <w:bodyDiv w:val="1"/>
      <w:marLeft w:val="0"/>
      <w:marRight w:val="0"/>
      <w:marTop w:val="0"/>
      <w:marBottom w:val="0"/>
      <w:divBdr>
        <w:top w:val="none" w:sz="0" w:space="0" w:color="auto"/>
        <w:left w:val="none" w:sz="0" w:space="0" w:color="auto"/>
        <w:bottom w:val="none" w:sz="0" w:space="0" w:color="auto"/>
        <w:right w:val="none" w:sz="0" w:space="0" w:color="auto"/>
      </w:divBdr>
    </w:div>
    <w:div w:id="1017384273">
      <w:bodyDiv w:val="1"/>
      <w:marLeft w:val="0"/>
      <w:marRight w:val="0"/>
      <w:marTop w:val="0"/>
      <w:marBottom w:val="0"/>
      <w:divBdr>
        <w:top w:val="none" w:sz="0" w:space="0" w:color="auto"/>
        <w:left w:val="none" w:sz="0" w:space="0" w:color="auto"/>
        <w:bottom w:val="none" w:sz="0" w:space="0" w:color="auto"/>
        <w:right w:val="none" w:sz="0" w:space="0" w:color="auto"/>
      </w:divBdr>
    </w:div>
    <w:div w:id="1054236748">
      <w:bodyDiv w:val="1"/>
      <w:marLeft w:val="0"/>
      <w:marRight w:val="0"/>
      <w:marTop w:val="0"/>
      <w:marBottom w:val="0"/>
      <w:divBdr>
        <w:top w:val="none" w:sz="0" w:space="0" w:color="auto"/>
        <w:left w:val="none" w:sz="0" w:space="0" w:color="auto"/>
        <w:bottom w:val="none" w:sz="0" w:space="0" w:color="auto"/>
        <w:right w:val="none" w:sz="0" w:space="0" w:color="auto"/>
      </w:divBdr>
    </w:div>
    <w:div w:id="1057439876">
      <w:bodyDiv w:val="1"/>
      <w:marLeft w:val="0"/>
      <w:marRight w:val="0"/>
      <w:marTop w:val="0"/>
      <w:marBottom w:val="0"/>
      <w:divBdr>
        <w:top w:val="none" w:sz="0" w:space="0" w:color="auto"/>
        <w:left w:val="none" w:sz="0" w:space="0" w:color="auto"/>
        <w:bottom w:val="none" w:sz="0" w:space="0" w:color="auto"/>
        <w:right w:val="none" w:sz="0" w:space="0" w:color="auto"/>
      </w:divBdr>
    </w:div>
    <w:div w:id="1067528898">
      <w:bodyDiv w:val="1"/>
      <w:marLeft w:val="0"/>
      <w:marRight w:val="0"/>
      <w:marTop w:val="0"/>
      <w:marBottom w:val="0"/>
      <w:divBdr>
        <w:top w:val="none" w:sz="0" w:space="0" w:color="auto"/>
        <w:left w:val="none" w:sz="0" w:space="0" w:color="auto"/>
        <w:bottom w:val="none" w:sz="0" w:space="0" w:color="auto"/>
        <w:right w:val="none" w:sz="0" w:space="0" w:color="auto"/>
      </w:divBdr>
    </w:div>
    <w:div w:id="1092316467">
      <w:bodyDiv w:val="1"/>
      <w:marLeft w:val="0"/>
      <w:marRight w:val="0"/>
      <w:marTop w:val="0"/>
      <w:marBottom w:val="0"/>
      <w:divBdr>
        <w:top w:val="none" w:sz="0" w:space="0" w:color="auto"/>
        <w:left w:val="none" w:sz="0" w:space="0" w:color="auto"/>
        <w:bottom w:val="none" w:sz="0" w:space="0" w:color="auto"/>
        <w:right w:val="none" w:sz="0" w:space="0" w:color="auto"/>
      </w:divBdr>
    </w:div>
    <w:div w:id="1094394778">
      <w:bodyDiv w:val="1"/>
      <w:marLeft w:val="0"/>
      <w:marRight w:val="0"/>
      <w:marTop w:val="0"/>
      <w:marBottom w:val="0"/>
      <w:divBdr>
        <w:top w:val="none" w:sz="0" w:space="0" w:color="auto"/>
        <w:left w:val="none" w:sz="0" w:space="0" w:color="auto"/>
        <w:bottom w:val="none" w:sz="0" w:space="0" w:color="auto"/>
        <w:right w:val="none" w:sz="0" w:space="0" w:color="auto"/>
      </w:divBdr>
    </w:div>
    <w:div w:id="1128666021">
      <w:bodyDiv w:val="1"/>
      <w:marLeft w:val="0"/>
      <w:marRight w:val="0"/>
      <w:marTop w:val="0"/>
      <w:marBottom w:val="0"/>
      <w:divBdr>
        <w:top w:val="none" w:sz="0" w:space="0" w:color="auto"/>
        <w:left w:val="none" w:sz="0" w:space="0" w:color="auto"/>
        <w:bottom w:val="none" w:sz="0" w:space="0" w:color="auto"/>
        <w:right w:val="none" w:sz="0" w:space="0" w:color="auto"/>
      </w:divBdr>
    </w:div>
    <w:div w:id="1136527856">
      <w:bodyDiv w:val="1"/>
      <w:marLeft w:val="0"/>
      <w:marRight w:val="0"/>
      <w:marTop w:val="0"/>
      <w:marBottom w:val="0"/>
      <w:divBdr>
        <w:top w:val="none" w:sz="0" w:space="0" w:color="auto"/>
        <w:left w:val="none" w:sz="0" w:space="0" w:color="auto"/>
        <w:bottom w:val="none" w:sz="0" w:space="0" w:color="auto"/>
        <w:right w:val="none" w:sz="0" w:space="0" w:color="auto"/>
      </w:divBdr>
    </w:div>
    <w:div w:id="1148547506">
      <w:bodyDiv w:val="1"/>
      <w:marLeft w:val="0"/>
      <w:marRight w:val="0"/>
      <w:marTop w:val="0"/>
      <w:marBottom w:val="0"/>
      <w:divBdr>
        <w:top w:val="none" w:sz="0" w:space="0" w:color="auto"/>
        <w:left w:val="none" w:sz="0" w:space="0" w:color="auto"/>
        <w:bottom w:val="none" w:sz="0" w:space="0" w:color="auto"/>
        <w:right w:val="none" w:sz="0" w:space="0" w:color="auto"/>
      </w:divBdr>
    </w:div>
    <w:div w:id="1150058162">
      <w:bodyDiv w:val="1"/>
      <w:marLeft w:val="0"/>
      <w:marRight w:val="0"/>
      <w:marTop w:val="0"/>
      <w:marBottom w:val="0"/>
      <w:divBdr>
        <w:top w:val="none" w:sz="0" w:space="0" w:color="auto"/>
        <w:left w:val="none" w:sz="0" w:space="0" w:color="auto"/>
        <w:bottom w:val="none" w:sz="0" w:space="0" w:color="auto"/>
        <w:right w:val="none" w:sz="0" w:space="0" w:color="auto"/>
      </w:divBdr>
    </w:div>
    <w:div w:id="1162963439">
      <w:bodyDiv w:val="1"/>
      <w:marLeft w:val="0"/>
      <w:marRight w:val="0"/>
      <w:marTop w:val="0"/>
      <w:marBottom w:val="0"/>
      <w:divBdr>
        <w:top w:val="none" w:sz="0" w:space="0" w:color="auto"/>
        <w:left w:val="none" w:sz="0" w:space="0" w:color="auto"/>
        <w:bottom w:val="none" w:sz="0" w:space="0" w:color="auto"/>
        <w:right w:val="none" w:sz="0" w:space="0" w:color="auto"/>
      </w:divBdr>
    </w:div>
    <w:div w:id="1182086592">
      <w:bodyDiv w:val="1"/>
      <w:marLeft w:val="0"/>
      <w:marRight w:val="0"/>
      <w:marTop w:val="0"/>
      <w:marBottom w:val="0"/>
      <w:divBdr>
        <w:top w:val="none" w:sz="0" w:space="0" w:color="auto"/>
        <w:left w:val="none" w:sz="0" w:space="0" w:color="auto"/>
        <w:bottom w:val="none" w:sz="0" w:space="0" w:color="auto"/>
        <w:right w:val="none" w:sz="0" w:space="0" w:color="auto"/>
      </w:divBdr>
    </w:div>
    <w:div w:id="1186822204">
      <w:bodyDiv w:val="1"/>
      <w:marLeft w:val="0"/>
      <w:marRight w:val="0"/>
      <w:marTop w:val="0"/>
      <w:marBottom w:val="0"/>
      <w:divBdr>
        <w:top w:val="none" w:sz="0" w:space="0" w:color="auto"/>
        <w:left w:val="none" w:sz="0" w:space="0" w:color="auto"/>
        <w:bottom w:val="none" w:sz="0" w:space="0" w:color="auto"/>
        <w:right w:val="none" w:sz="0" w:space="0" w:color="auto"/>
      </w:divBdr>
    </w:div>
    <w:div w:id="1193611656">
      <w:bodyDiv w:val="1"/>
      <w:marLeft w:val="0"/>
      <w:marRight w:val="0"/>
      <w:marTop w:val="0"/>
      <w:marBottom w:val="0"/>
      <w:divBdr>
        <w:top w:val="none" w:sz="0" w:space="0" w:color="auto"/>
        <w:left w:val="none" w:sz="0" w:space="0" w:color="auto"/>
        <w:bottom w:val="none" w:sz="0" w:space="0" w:color="auto"/>
        <w:right w:val="none" w:sz="0" w:space="0" w:color="auto"/>
      </w:divBdr>
    </w:div>
    <w:div w:id="1212038123">
      <w:bodyDiv w:val="1"/>
      <w:marLeft w:val="0"/>
      <w:marRight w:val="0"/>
      <w:marTop w:val="0"/>
      <w:marBottom w:val="0"/>
      <w:divBdr>
        <w:top w:val="none" w:sz="0" w:space="0" w:color="auto"/>
        <w:left w:val="none" w:sz="0" w:space="0" w:color="auto"/>
        <w:bottom w:val="none" w:sz="0" w:space="0" w:color="auto"/>
        <w:right w:val="none" w:sz="0" w:space="0" w:color="auto"/>
      </w:divBdr>
    </w:div>
    <w:div w:id="1217470175">
      <w:bodyDiv w:val="1"/>
      <w:marLeft w:val="0"/>
      <w:marRight w:val="0"/>
      <w:marTop w:val="0"/>
      <w:marBottom w:val="0"/>
      <w:divBdr>
        <w:top w:val="none" w:sz="0" w:space="0" w:color="auto"/>
        <w:left w:val="none" w:sz="0" w:space="0" w:color="auto"/>
        <w:bottom w:val="none" w:sz="0" w:space="0" w:color="auto"/>
        <w:right w:val="none" w:sz="0" w:space="0" w:color="auto"/>
      </w:divBdr>
    </w:div>
    <w:div w:id="1251892505">
      <w:bodyDiv w:val="1"/>
      <w:marLeft w:val="0"/>
      <w:marRight w:val="0"/>
      <w:marTop w:val="0"/>
      <w:marBottom w:val="0"/>
      <w:divBdr>
        <w:top w:val="none" w:sz="0" w:space="0" w:color="auto"/>
        <w:left w:val="none" w:sz="0" w:space="0" w:color="auto"/>
        <w:bottom w:val="none" w:sz="0" w:space="0" w:color="auto"/>
        <w:right w:val="none" w:sz="0" w:space="0" w:color="auto"/>
      </w:divBdr>
    </w:div>
    <w:div w:id="1299602720">
      <w:bodyDiv w:val="1"/>
      <w:marLeft w:val="0"/>
      <w:marRight w:val="0"/>
      <w:marTop w:val="0"/>
      <w:marBottom w:val="0"/>
      <w:divBdr>
        <w:top w:val="none" w:sz="0" w:space="0" w:color="auto"/>
        <w:left w:val="none" w:sz="0" w:space="0" w:color="auto"/>
        <w:bottom w:val="none" w:sz="0" w:space="0" w:color="auto"/>
        <w:right w:val="none" w:sz="0" w:space="0" w:color="auto"/>
      </w:divBdr>
    </w:div>
    <w:div w:id="1300040086">
      <w:bodyDiv w:val="1"/>
      <w:marLeft w:val="0"/>
      <w:marRight w:val="0"/>
      <w:marTop w:val="0"/>
      <w:marBottom w:val="0"/>
      <w:divBdr>
        <w:top w:val="none" w:sz="0" w:space="0" w:color="auto"/>
        <w:left w:val="none" w:sz="0" w:space="0" w:color="auto"/>
        <w:bottom w:val="none" w:sz="0" w:space="0" w:color="auto"/>
        <w:right w:val="none" w:sz="0" w:space="0" w:color="auto"/>
      </w:divBdr>
    </w:div>
    <w:div w:id="1306467370">
      <w:bodyDiv w:val="1"/>
      <w:marLeft w:val="0"/>
      <w:marRight w:val="0"/>
      <w:marTop w:val="0"/>
      <w:marBottom w:val="0"/>
      <w:divBdr>
        <w:top w:val="none" w:sz="0" w:space="0" w:color="auto"/>
        <w:left w:val="none" w:sz="0" w:space="0" w:color="auto"/>
        <w:bottom w:val="none" w:sz="0" w:space="0" w:color="auto"/>
        <w:right w:val="none" w:sz="0" w:space="0" w:color="auto"/>
      </w:divBdr>
    </w:div>
    <w:div w:id="1307934222">
      <w:bodyDiv w:val="1"/>
      <w:marLeft w:val="0"/>
      <w:marRight w:val="0"/>
      <w:marTop w:val="0"/>
      <w:marBottom w:val="0"/>
      <w:divBdr>
        <w:top w:val="none" w:sz="0" w:space="0" w:color="auto"/>
        <w:left w:val="none" w:sz="0" w:space="0" w:color="auto"/>
        <w:bottom w:val="none" w:sz="0" w:space="0" w:color="auto"/>
        <w:right w:val="none" w:sz="0" w:space="0" w:color="auto"/>
      </w:divBdr>
    </w:div>
    <w:div w:id="1315453125">
      <w:bodyDiv w:val="1"/>
      <w:marLeft w:val="0"/>
      <w:marRight w:val="0"/>
      <w:marTop w:val="0"/>
      <w:marBottom w:val="0"/>
      <w:divBdr>
        <w:top w:val="none" w:sz="0" w:space="0" w:color="auto"/>
        <w:left w:val="none" w:sz="0" w:space="0" w:color="auto"/>
        <w:bottom w:val="none" w:sz="0" w:space="0" w:color="auto"/>
        <w:right w:val="none" w:sz="0" w:space="0" w:color="auto"/>
      </w:divBdr>
    </w:div>
    <w:div w:id="1319921574">
      <w:bodyDiv w:val="1"/>
      <w:marLeft w:val="0"/>
      <w:marRight w:val="0"/>
      <w:marTop w:val="0"/>
      <w:marBottom w:val="0"/>
      <w:divBdr>
        <w:top w:val="none" w:sz="0" w:space="0" w:color="auto"/>
        <w:left w:val="none" w:sz="0" w:space="0" w:color="auto"/>
        <w:bottom w:val="none" w:sz="0" w:space="0" w:color="auto"/>
        <w:right w:val="none" w:sz="0" w:space="0" w:color="auto"/>
      </w:divBdr>
    </w:div>
    <w:div w:id="1325666820">
      <w:bodyDiv w:val="1"/>
      <w:marLeft w:val="0"/>
      <w:marRight w:val="0"/>
      <w:marTop w:val="0"/>
      <w:marBottom w:val="0"/>
      <w:divBdr>
        <w:top w:val="none" w:sz="0" w:space="0" w:color="auto"/>
        <w:left w:val="none" w:sz="0" w:space="0" w:color="auto"/>
        <w:bottom w:val="none" w:sz="0" w:space="0" w:color="auto"/>
        <w:right w:val="none" w:sz="0" w:space="0" w:color="auto"/>
      </w:divBdr>
    </w:div>
    <w:div w:id="1337655658">
      <w:bodyDiv w:val="1"/>
      <w:marLeft w:val="0"/>
      <w:marRight w:val="0"/>
      <w:marTop w:val="0"/>
      <w:marBottom w:val="0"/>
      <w:divBdr>
        <w:top w:val="none" w:sz="0" w:space="0" w:color="auto"/>
        <w:left w:val="none" w:sz="0" w:space="0" w:color="auto"/>
        <w:bottom w:val="none" w:sz="0" w:space="0" w:color="auto"/>
        <w:right w:val="none" w:sz="0" w:space="0" w:color="auto"/>
      </w:divBdr>
    </w:div>
    <w:div w:id="1340700254">
      <w:bodyDiv w:val="1"/>
      <w:marLeft w:val="0"/>
      <w:marRight w:val="0"/>
      <w:marTop w:val="0"/>
      <w:marBottom w:val="0"/>
      <w:divBdr>
        <w:top w:val="none" w:sz="0" w:space="0" w:color="auto"/>
        <w:left w:val="none" w:sz="0" w:space="0" w:color="auto"/>
        <w:bottom w:val="none" w:sz="0" w:space="0" w:color="auto"/>
        <w:right w:val="none" w:sz="0" w:space="0" w:color="auto"/>
      </w:divBdr>
    </w:div>
    <w:div w:id="1343705118">
      <w:bodyDiv w:val="1"/>
      <w:marLeft w:val="0"/>
      <w:marRight w:val="0"/>
      <w:marTop w:val="0"/>
      <w:marBottom w:val="0"/>
      <w:divBdr>
        <w:top w:val="none" w:sz="0" w:space="0" w:color="auto"/>
        <w:left w:val="none" w:sz="0" w:space="0" w:color="auto"/>
        <w:bottom w:val="none" w:sz="0" w:space="0" w:color="auto"/>
        <w:right w:val="none" w:sz="0" w:space="0" w:color="auto"/>
      </w:divBdr>
    </w:div>
    <w:div w:id="1381249706">
      <w:bodyDiv w:val="1"/>
      <w:marLeft w:val="0"/>
      <w:marRight w:val="0"/>
      <w:marTop w:val="0"/>
      <w:marBottom w:val="0"/>
      <w:divBdr>
        <w:top w:val="none" w:sz="0" w:space="0" w:color="auto"/>
        <w:left w:val="none" w:sz="0" w:space="0" w:color="auto"/>
        <w:bottom w:val="none" w:sz="0" w:space="0" w:color="auto"/>
        <w:right w:val="none" w:sz="0" w:space="0" w:color="auto"/>
      </w:divBdr>
    </w:div>
    <w:div w:id="1412501675">
      <w:bodyDiv w:val="1"/>
      <w:marLeft w:val="0"/>
      <w:marRight w:val="0"/>
      <w:marTop w:val="0"/>
      <w:marBottom w:val="0"/>
      <w:divBdr>
        <w:top w:val="none" w:sz="0" w:space="0" w:color="auto"/>
        <w:left w:val="none" w:sz="0" w:space="0" w:color="auto"/>
        <w:bottom w:val="none" w:sz="0" w:space="0" w:color="auto"/>
        <w:right w:val="none" w:sz="0" w:space="0" w:color="auto"/>
      </w:divBdr>
    </w:div>
    <w:div w:id="1451703634">
      <w:bodyDiv w:val="1"/>
      <w:marLeft w:val="0"/>
      <w:marRight w:val="0"/>
      <w:marTop w:val="0"/>
      <w:marBottom w:val="0"/>
      <w:divBdr>
        <w:top w:val="none" w:sz="0" w:space="0" w:color="auto"/>
        <w:left w:val="none" w:sz="0" w:space="0" w:color="auto"/>
        <w:bottom w:val="none" w:sz="0" w:space="0" w:color="auto"/>
        <w:right w:val="none" w:sz="0" w:space="0" w:color="auto"/>
      </w:divBdr>
    </w:div>
    <w:div w:id="1484277568">
      <w:bodyDiv w:val="1"/>
      <w:marLeft w:val="0"/>
      <w:marRight w:val="0"/>
      <w:marTop w:val="0"/>
      <w:marBottom w:val="0"/>
      <w:divBdr>
        <w:top w:val="none" w:sz="0" w:space="0" w:color="auto"/>
        <w:left w:val="none" w:sz="0" w:space="0" w:color="auto"/>
        <w:bottom w:val="none" w:sz="0" w:space="0" w:color="auto"/>
        <w:right w:val="none" w:sz="0" w:space="0" w:color="auto"/>
      </w:divBdr>
    </w:div>
    <w:div w:id="1485928528">
      <w:bodyDiv w:val="1"/>
      <w:marLeft w:val="0"/>
      <w:marRight w:val="0"/>
      <w:marTop w:val="0"/>
      <w:marBottom w:val="0"/>
      <w:divBdr>
        <w:top w:val="none" w:sz="0" w:space="0" w:color="auto"/>
        <w:left w:val="none" w:sz="0" w:space="0" w:color="auto"/>
        <w:bottom w:val="none" w:sz="0" w:space="0" w:color="auto"/>
        <w:right w:val="none" w:sz="0" w:space="0" w:color="auto"/>
      </w:divBdr>
    </w:div>
    <w:div w:id="1507550196">
      <w:bodyDiv w:val="1"/>
      <w:marLeft w:val="0"/>
      <w:marRight w:val="0"/>
      <w:marTop w:val="0"/>
      <w:marBottom w:val="0"/>
      <w:divBdr>
        <w:top w:val="none" w:sz="0" w:space="0" w:color="auto"/>
        <w:left w:val="none" w:sz="0" w:space="0" w:color="auto"/>
        <w:bottom w:val="none" w:sz="0" w:space="0" w:color="auto"/>
        <w:right w:val="none" w:sz="0" w:space="0" w:color="auto"/>
      </w:divBdr>
    </w:div>
    <w:div w:id="1509061882">
      <w:bodyDiv w:val="1"/>
      <w:marLeft w:val="0"/>
      <w:marRight w:val="0"/>
      <w:marTop w:val="0"/>
      <w:marBottom w:val="0"/>
      <w:divBdr>
        <w:top w:val="none" w:sz="0" w:space="0" w:color="auto"/>
        <w:left w:val="none" w:sz="0" w:space="0" w:color="auto"/>
        <w:bottom w:val="none" w:sz="0" w:space="0" w:color="auto"/>
        <w:right w:val="none" w:sz="0" w:space="0" w:color="auto"/>
      </w:divBdr>
    </w:div>
    <w:div w:id="1509951583">
      <w:bodyDiv w:val="1"/>
      <w:marLeft w:val="0"/>
      <w:marRight w:val="0"/>
      <w:marTop w:val="0"/>
      <w:marBottom w:val="0"/>
      <w:divBdr>
        <w:top w:val="none" w:sz="0" w:space="0" w:color="auto"/>
        <w:left w:val="none" w:sz="0" w:space="0" w:color="auto"/>
        <w:bottom w:val="none" w:sz="0" w:space="0" w:color="auto"/>
        <w:right w:val="none" w:sz="0" w:space="0" w:color="auto"/>
      </w:divBdr>
    </w:div>
    <w:div w:id="1516993474">
      <w:bodyDiv w:val="1"/>
      <w:marLeft w:val="0"/>
      <w:marRight w:val="0"/>
      <w:marTop w:val="0"/>
      <w:marBottom w:val="0"/>
      <w:divBdr>
        <w:top w:val="none" w:sz="0" w:space="0" w:color="auto"/>
        <w:left w:val="none" w:sz="0" w:space="0" w:color="auto"/>
        <w:bottom w:val="none" w:sz="0" w:space="0" w:color="auto"/>
        <w:right w:val="none" w:sz="0" w:space="0" w:color="auto"/>
      </w:divBdr>
    </w:div>
    <w:div w:id="1553226672">
      <w:bodyDiv w:val="1"/>
      <w:marLeft w:val="0"/>
      <w:marRight w:val="0"/>
      <w:marTop w:val="0"/>
      <w:marBottom w:val="0"/>
      <w:divBdr>
        <w:top w:val="none" w:sz="0" w:space="0" w:color="auto"/>
        <w:left w:val="none" w:sz="0" w:space="0" w:color="auto"/>
        <w:bottom w:val="none" w:sz="0" w:space="0" w:color="auto"/>
        <w:right w:val="none" w:sz="0" w:space="0" w:color="auto"/>
      </w:divBdr>
    </w:div>
    <w:div w:id="1554350017">
      <w:bodyDiv w:val="1"/>
      <w:marLeft w:val="0"/>
      <w:marRight w:val="0"/>
      <w:marTop w:val="0"/>
      <w:marBottom w:val="0"/>
      <w:divBdr>
        <w:top w:val="none" w:sz="0" w:space="0" w:color="auto"/>
        <w:left w:val="none" w:sz="0" w:space="0" w:color="auto"/>
        <w:bottom w:val="none" w:sz="0" w:space="0" w:color="auto"/>
        <w:right w:val="none" w:sz="0" w:space="0" w:color="auto"/>
      </w:divBdr>
    </w:div>
    <w:div w:id="1576669288">
      <w:bodyDiv w:val="1"/>
      <w:marLeft w:val="0"/>
      <w:marRight w:val="0"/>
      <w:marTop w:val="0"/>
      <w:marBottom w:val="0"/>
      <w:divBdr>
        <w:top w:val="none" w:sz="0" w:space="0" w:color="auto"/>
        <w:left w:val="none" w:sz="0" w:space="0" w:color="auto"/>
        <w:bottom w:val="none" w:sz="0" w:space="0" w:color="auto"/>
        <w:right w:val="none" w:sz="0" w:space="0" w:color="auto"/>
      </w:divBdr>
    </w:div>
    <w:div w:id="1607498026">
      <w:bodyDiv w:val="1"/>
      <w:marLeft w:val="0"/>
      <w:marRight w:val="0"/>
      <w:marTop w:val="0"/>
      <w:marBottom w:val="0"/>
      <w:divBdr>
        <w:top w:val="none" w:sz="0" w:space="0" w:color="auto"/>
        <w:left w:val="none" w:sz="0" w:space="0" w:color="auto"/>
        <w:bottom w:val="none" w:sz="0" w:space="0" w:color="auto"/>
        <w:right w:val="none" w:sz="0" w:space="0" w:color="auto"/>
      </w:divBdr>
    </w:div>
    <w:div w:id="1614283322">
      <w:bodyDiv w:val="1"/>
      <w:marLeft w:val="0"/>
      <w:marRight w:val="0"/>
      <w:marTop w:val="0"/>
      <w:marBottom w:val="0"/>
      <w:divBdr>
        <w:top w:val="none" w:sz="0" w:space="0" w:color="auto"/>
        <w:left w:val="none" w:sz="0" w:space="0" w:color="auto"/>
        <w:bottom w:val="none" w:sz="0" w:space="0" w:color="auto"/>
        <w:right w:val="none" w:sz="0" w:space="0" w:color="auto"/>
      </w:divBdr>
    </w:div>
    <w:div w:id="1654487527">
      <w:bodyDiv w:val="1"/>
      <w:marLeft w:val="0"/>
      <w:marRight w:val="0"/>
      <w:marTop w:val="0"/>
      <w:marBottom w:val="0"/>
      <w:divBdr>
        <w:top w:val="none" w:sz="0" w:space="0" w:color="auto"/>
        <w:left w:val="none" w:sz="0" w:space="0" w:color="auto"/>
        <w:bottom w:val="none" w:sz="0" w:space="0" w:color="auto"/>
        <w:right w:val="none" w:sz="0" w:space="0" w:color="auto"/>
      </w:divBdr>
    </w:div>
    <w:div w:id="1659533394">
      <w:bodyDiv w:val="1"/>
      <w:marLeft w:val="0"/>
      <w:marRight w:val="0"/>
      <w:marTop w:val="0"/>
      <w:marBottom w:val="0"/>
      <w:divBdr>
        <w:top w:val="none" w:sz="0" w:space="0" w:color="auto"/>
        <w:left w:val="none" w:sz="0" w:space="0" w:color="auto"/>
        <w:bottom w:val="none" w:sz="0" w:space="0" w:color="auto"/>
        <w:right w:val="none" w:sz="0" w:space="0" w:color="auto"/>
      </w:divBdr>
    </w:div>
    <w:div w:id="1661808736">
      <w:bodyDiv w:val="1"/>
      <w:marLeft w:val="0"/>
      <w:marRight w:val="0"/>
      <w:marTop w:val="0"/>
      <w:marBottom w:val="0"/>
      <w:divBdr>
        <w:top w:val="none" w:sz="0" w:space="0" w:color="auto"/>
        <w:left w:val="none" w:sz="0" w:space="0" w:color="auto"/>
        <w:bottom w:val="none" w:sz="0" w:space="0" w:color="auto"/>
        <w:right w:val="none" w:sz="0" w:space="0" w:color="auto"/>
      </w:divBdr>
    </w:div>
    <w:div w:id="1667632141">
      <w:bodyDiv w:val="1"/>
      <w:marLeft w:val="0"/>
      <w:marRight w:val="0"/>
      <w:marTop w:val="0"/>
      <w:marBottom w:val="0"/>
      <w:divBdr>
        <w:top w:val="none" w:sz="0" w:space="0" w:color="auto"/>
        <w:left w:val="none" w:sz="0" w:space="0" w:color="auto"/>
        <w:bottom w:val="none" w:sz="0" w:space="0" w:color="auto"/>
        <w:right w:val="none" w:sz="0" w:space="0" w:color="auto"/>
      </w:divBdr>
    </w:div>
    <w:div w:id="1695225545">
      <w:bodyDiv w:val="1"/>
      <w:marLeft w:val="0"/>
      <w:marRight w:val="0"/>
      <w:marTop w:val="0"/>
      <w:marBottom w:val="0"/>
      <w:divBdr>
        <w:top w:val="none" w:sz="0" w:space="0" w:color="auto"/>
        <w:left w:val="none" w:sz="0" w:space="0" w:color="auto"/>
        <w:bottom w:val="none" w:sz="0" w:space="0" w:color="auto"/>
        <w:right w:val="none" w:sz="0" w:space="0" w:color="auto"/>
      </w:divBdr>
    </w:div>
    <w:div w:id="1701465542">
      <w:bodyDiv w:val="1"/>
      <w:marLeft w:val="0"/>
      <w:marRight w:val="0"/>
      <w:marTop w:val="0"/>
      <w:marBottom w:val="0"/>
      <w:divBdr>
        <w:top w:val="none" w:sz="0" w:space="0" w:color="auto"/>
        <w:left w:val="none" w:sz="0" w:space="0" w:color="auto"/>
        <w:bottom w:val="none" w:sz="0" w:space="0" w:color="auto"/>
        <w:right w:val="none" w:sz="0" w:space="0" w:color="auto"/>
      </w:divBdr>
    </w:div>
    <w:div w:id="1728648851">
      <w:bodyDiv w:val="1"/>
      <w:marLeft w:val="0"/>
      <w:marRight w:val="0"/>
      <w:marTop w:val="0"/>
      <w:marBottom w:val="0"/>
      <w:divBdr>
        <w:top w:val="none" w:sz="0" w:space="0" w:color="auto"/>
        <w:left w:val="none" w:sz="0" w:space="0" w:color="auto"/>
        <w:bottom w:val="none" w:sz="0" w:space="0" w:color="auto"/>
        <w:right w:val="none" w:sz="0" w:space="0" w:color="auto"/>
      </w:divBdr>
    </w:div>
    <w:div w:id="1734548717">
      <w:bodyDiv w:val="1"/>
      <w:marLeft w:val="0"/>
      <w:marRight w:val="0"/>
      <w:marTop w:val="0"/>
      <w:marBottom w:val="0"/>
      <w:divBdr>
        <w:top w:val="none" w:sz="0" w:space="0" w:color="auto"/>
        <w:left w:val="none" w:sz="0" w:space="0" w:color="auto"/>
        <w:bottom w:val="none" w:sz="0" w:space="0" w:color="auto"/>
        <w:right w:val="none" w:sz="0" w:space="0" w:color="auto"/>
      </w:divBdr>
    </w:div>
    <w:div w:id="1792935677">
      <w:bodyDiv w:val="1"/>
      <w:marLeft w:val="0"/>
      <w:marRight w:val="0"/>
      <w:marTop w:val="0"/>
      <w:marBottom w:val="0"/>
      <w:divBdr>
        <w:top w:val="none" w:sz="0" w:space="0" w:color="auto"/>
        <w:left w:val="none" w:sz="0" w:space="0" w:color="auto"/>
        <w:bottom w:val="none" w:sz="0" w:space="0" w:color="auto"/>
        <w:right w:val="none" w:sz="0" w:space="0" w:color="auto"/>
      </w:divBdr>
    </w:div>
    <w:div w:id="1803422092">
      <w:bodyDiv w:val="1"/>
      <w:marLeft w:val="0"/>
      <w:marRight w:val="0"/>
      <w:marTop w:val="0"/>
      <w:marBottom w:val="0"/>
      <w:divBdr>
        <w:top w:val="none" w:sz="0" w:space="0" w:color="auto"/>
        <w:left w:val="none" w:sz="0" w:space="0" w:color="auto"/>
        <w:bottom w:val="none" w:sz="0" w:space="0" w:color="auto"/>
        <w:right w:val="none" w:sz="0" w:space="0" w:color="auto"/>
      </w:divBdr>
    </w:div>
    <w:div w:id="1812016570">
      <w:bodyDiv w:val="1"/>
      <w:marLeft w:val="0"/>
      <w:marRight w:val="0"/>
      <w:marTop w:val="0"/>
      <w:marBottom w:val="0"/>
      <w:divBdr>
        <w:top w:val="none" w:sz="0" w:space="0" w:color="auto"/>
        <w:left w:val="none" w:sz="0" w:space="0" w:color="auto"/>
        <w:bottom w:val="none" w:sz="0" w:space="0" w:color="auto"/>
        <w:right w:val="none" w:sz="0" w:space="0" w:color="auto"/>
      </w:divBdr>
    </w:div>
    <w:div w:id="1853832987">
      <w:bodyDiv w:val="1"/>
      <w:marLeft w:val="0"/>
      <w:marRight w:val="0"/>
      <w:marTop w:val="0"/>
      <w:marBottom w:val="0"/>
      <w:divBdr>
        <w:top w:val="none" w:sz="0" w:space="0" w:color="auto"/>
        <w:left w:val="none" w:sz="0" w:space="0" w:color="auto"/>
        <w:bottom w:val="none" w:sz="0" w:space="0" w:color="auto"/>
        <w:right w:val="none" w:sz="0" w:space="0" w:color="auto"/>
      </w:divBdr>
    </w:div>
    <w:div w:id="1867061342">
      <w:bodyDiv w:val="1"/>
      <w:marLeft w:val="0"/>
      <w:marRight w:val="0"/>
      <w:marTop w:val="0"/>
      <w:marBottom w:val="0"/>
      <w:divBdr>
        <w:top w:val="none" w:sz="0" w:space="0" w:color="auto"/>
        <w:left w:val="none" w:sz="0" w:space="0" w:color="auto"/>
        <w:bottom w:val="none" w:sz="0" w:space="0" w:color="auto"/>
        <w:right w:val="none" w:sz="0" w:space="0" w:color="auto"/>
      </w:divBdr>
    </w:div>
    <w:div w:id="1887326790">
      <w:bodyDiv w:val="1"/>
      <w:marLeft w:val="0"/>
      <w:marRight w:val="0"/>
      <w:marTop w:val="0"/>
      <w:marBottom w:val="0"/>
      <w:divBdr>
        <w:top w:val="none" w:sz="0" w:space="0" w:color="auto"/>
        <w:left w:val="none" w:sz="0" w:space="0" w:color="auto"/>
        <w:bottom w:val="none" w:sz="0" w:space="0" w:color="auto"/>
        <w:right w:val="none" w:sz="0" w:space="0" w:color="auto"/>
      </w:divBdr>
    </w:div>
    <w:div w:id="1887638875">
      <w:bodyDiv w:val="1"/>
      <w:marLeft w:val="0"/>
      <w:marRight w:val="0"/>
      <w:marTop w:val="0"/>
      <w:marBottom w:val="0"/>
      <w:divBdr>
        <w:top w:val="none" w:sz="0" w:space="0" w:color="auto"/>
        <w:left w:val="none" w:sz="0" w:space="0" w:color="auto"/>
        <w:bottom w:val="none" w:sz="0" w:space="0" w:color="auto"/>
        <w:right w:val="none" w:sz="0" w:space="0" w:color="auto"/>
      </w:divBdr>
    </w:div>
    <w:div w:id="1891113732">
      <w:bodyDiv w:val="1"/>
      <w:marLeft w:val="0"/>
      <w:marRight w:val="0"/>
      <w:marTop w:val="0"/>
      <w:marBottom w:val="0"/>
      <w:divBdr>
        <w:top w:val="none" w:sz="0" w:space="0" w:color="auto"/>
        <w:left w:val="none" w:sz="0" w:space="0" w:color="auto"/>
        <w:bottom w:val="none" w:sz="0" w:space="0" w:color="auto"/>
        <w:right w:val="none" w:sz="0" w:space="0" w:color="auto"/>
      </w:divBdr>
    </w:div>
    <w:div w:id="1897272936">
      <w:bodyDiv w:val="1"/>
      <w:marLeft w:val="0"/>
      <w:marRight w:val="0"/>
      <w:marTop w:val="0"/>
      <w:marBottom w:val="0"/>
      <w:divBdr>
        <w:top w:val="none" w:sz="0" w:space="0" w:color="auto"/>
        <w:left w:val="none" w:sz="0" w:space="0" w:color="auto"/>
        <w:bottom w:val="none" w:sz="0" w:space="0" w:color="auto"/>
        <w:right w:val="none" w:sz="0" w:space="0" w:color="auto"/>
      </w:divBdr>
    </w:div>
    <w:div w:id="1903326972">
      <w:bodyDiv w:val="1"/>
      <w:marLeft w:val="0"/>
      <w:marRight w:val="0"/>
      <w:marTop w:val="0"/>
      <w:marBottom w:val="0"/>
      <w:divBdr>
        <w:top w:val="none" w:sz="0" w:space="0" w:color="auto"/>
        <w:left w:val="none" w:sz="0" w:space="0" w:color="auto"/>
        <w:bottom w:val="none" w:sz="0" w:space="0" w:color="auto"/>
        <w:right w:val="none" w:sz="0" w:space="0" w:color="auto"/>
      </w:divBdr>
    </w:div>
    <w:div w:id="1909069953">
      <w:bodyDiv w:val="1"/>
      <w:marLeft w:val="0"/>
      <w:marRight w:val="0"/>
      <w:marTop w:val="0"/>
      <w:marBottom w:val="0"/>
      <w:divBdr>
        <w:top w:val="none" w:sz="0" w:space="0" w:color="auto"/>
        <w:left w:val="none" w:sz="0" w:space="0" w:color="auto"/>
        <w:bottom w:val="none" w:sz="0" w:space="0" w:color="auto"/>
        <w:right w:val="none" w:sz="0" w:space="0" w:color="auto"/>
      </w:divBdr>
    </w:div>
    <w:div w:id="1936672236">
      <w:bodyDiv w:val="1"/>
      <w:marLeft w:val="0"/>
      <w:marRight w:val="0"/>
      <w:marTop w:val="0"/>
      <w:marBottom w:val="0"/>
      <w:divBdr>
        <w:top w:val="none" w:sz="0" w:space="0" w:color="auto"/>
        <w:left w:val="none" w:sz="0" w:space="0" w:color="auto"/>
        <w:bottom w:val="none" w:sz="0" w:space="0" w:color="auto"/>
        <w:right w:val="none" w:sz="0" w:space="0" w:color="auto"/>
      </w:divBdr>
    </w:div>
    <w:div w:id="1953854565">
      <w:bodyDiv w:val="1"/>
      <w:marLeft w:val="0"/>
      <w:marRight w:val="0"/>
      <w:marTop w:val="0"/>
      <w:marBottom w:val="0"/>
      <w:divBdr>
        <w:top w:val="none" w:sz="0" w:space="0" w:color="auto"/>
        <w:left w:val="none" w:sz="0" w:space="0" w:color="auto"/>
        <w:bottom w:val="none" w:sz="0" w:space="0" w:color="auto"/>
        <w:right w:val="none" w:sz="0" w:space="0" w:color="auto"/>
      </w:divBdr>
    </w:div>
    <w:div w:id="1972857933">
      <w:bodyDiv w:val="1"/>
      <w:marLeft w:val="0"/>
      <w:marRight w:val="0"/>
      <w:marTop w:val="0"/>
      <w:marBottom w:val="0"/>
      <w:divBdr>
        <w:top w:val="none" w:sz="0" w:space="0" w:color="auto"/>
        <w:left w:val="none" w:sz="0" w:space="0" w:color="auto"/>
        <w:bottom w:val="none" w:sz="0" w:space="0" w:color="auto"/>
        <w:right w:val="none" w:sz="0" w:space="0" w:color="auto"/>
      </w:divBdr>
    </w:div>
    <w:div w:id="1975065284">
      <w:bodyDiv w:val="1"/>
      <w:marLeft w:val="0"/>
      <w:marRight w:val="0"/>
      <w:marTop w:val="0"/>
      <w:marBottom w:val="0"/>
      <w:divBdr>
        <w:top w:val="none" w:sz="0" w:space="0" w:color="auto"/>
        <w:left w:val="none" w:sz="0" w:space="0" w:color="auto"/>
        <w:bottom w:val="none" w:sz="0" w:space="0" w:color="auto"/>
        <w:right w:val="none" w:sz="0" w:space="0" w:color="auto"/>
      </w:divBdr>
    </w:div>
    <w:div w:id="1986740866">
      <w:bodyDiv w:val="1"/>
      <w:marLeft w:val="0"/>
      <w:marRight w:val="0"/>
      <w:marTop w:val="0"/>
      <w:marBottom w:val="0"/>
      <w:divBdr>
        <w:top w:val="none" w:sz="0" w:space="0" w:color="auto"/>
        <w:left w:val="none" w:sz="0" w:space="0" w:color="auto"/>
        <w:bottom w:val="none" w:sz="0" w:space="0" w:color="auto"/>
        <w:right w:val="none" w:sz="0" w:space="0" w:color="auto"/>
      </w:divBdr>
    </w:div>
    <w:div w:id="2026789717">
      <w:bodyDiv w:val="1"/>
      <w:marLeft w:val="0"/>
      <w:marRight w:val="0"/>
      <w:marTop w:val="0"/>
      <w:marBottom w:val="0"/>
      <w:divBdr>
        <w:top w:val="none" w:sz="0" w:space="0" w:color="auto"/>
        <w:left w:val="none" w:sz="0" w:space="0" w:color="auto"/>
        <w:bottom w:val="none" w:sz="0" w:space="0" w:color="auto"/>
        <w:right w:val="none" w:sz="0" w:space="0" w:color="auto"/>
      </w:divBdr>
    </w:div>
    <w:div w:id="2039428416">
      <w:bodyDiv w:val="1"/>
      <w:marLeft w:val="0"/>
      <w:marRight w:val="0"/>
      <w:marTop w:val="0"/>
      <w:marBottom w:val="0"/>
      <w:divBdr>
        <w:top w:val="none" w:sz="0" w:space="0" w:color="auto"/>
        <w:left w:val="none" w:sz="0" w:space="0" w:color="auto"/>
        <w:bottom w:val="none" w:sz="0" w:space="0" w:color="auto"/>
        <w:right w:val="none" w:sz="0" w:space="0" w:color="auto"/>
      </w:divBdr>
    </w:div>
    <w:div w:id="2052924290">
      <w:bodyDiv w:val="1"/>
      <w:marLeft w:val="0"/>
      <w:marRight w:val="0"/>
      <w:marTop w:val="0"/>
      <w:marBottom w:val="0"/>
      <w:divBdr>
        <w:top w:val="none" w:sz="0" w:space="0" w:color="auto"/>
        <w:left w:val="none" w:sz="0" w:space="0" w:color="auto"/>
        <w:bottom w:val="none" w:sz="0" w:space="0" w:color="auto"/>
        <w:right w:val="none" w:sz="0" w:space="0" w:color="auto"/>
      </w:divBdr>
    </w:div>
    <w:div w:id="2055277006">
      <w:bodyDiv w:val="1"/>
      <w:marLeft w:val="0"/>
      <w:marRight w:val="0"/>
      <w:marTop w:val="0"/>
      <w:marBottom w:val="0"/>
      <w:divBdr>
        <w:top w:val="none" w:sz="0" w:space="0" w:color="auto"/>
        <w:left w:val="none" w:sz="0" w:space="0" w:color="auto"/>
        <w:bottom w:val="none" w:sz="0" w:space="0" w:color="auto"/>
        <w:right w:val="none" w:sz="0" w:space="0" w:color="auto"/>
      </w:divBdr>
    </w:div>
    <w:div w:id="2128044122">
      <w:bodyDiv w:val="1"/>
      <w:marLeft w:val="0"/>
      <w:marRight w:val="0"/>
      <w:marTop w:val="0"/>
      <w:marBottom w:val="0"/>
      <w:divBdr>
        <w:top w:val="none" w:sz="0" w:space="0" w:color="auto"/>
        <w:left w:val="none" w:sz="0" w:space="0" w:color="auto"/>
        <w:bottom w:val="none" w:sz="0" w:space="0" w:color="auto"/>
        <w:right w:val="none" w:sz="0" w:space="0" w:color="auto"/>
      </w:divBdr>
    </w:div>
    <w:div w:id="2128504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autoTitleDeleted val="1"/>
    <c:plotArea>
      <c:layout/>
      <c:barChart>
        <c:barDir val="col"/>
        <c:grouping val="clustered"/>
        <c:ser>
          <c:idx val="0"/>
          <c:order val="0"/>
          <c:tx>
            <c:strRef>
              <c:f>Hoja1!$B$1</c:f>
              <c:strCache>
                <c:ptCount val="1"/>
                <c:pt idx="0">
                  <c:v>Avance</c:v>
                </c:pt>
              </c:strCache>
            </c:strRef>
          </c:tx>
          <c:spPr>
            <a:solidFill>
              <a:schemeClr val="accent1"/>
            </a:solidFill>
            <a:ln>
              <a:noFill/>
            </a:ln>
            <a:effectLst/>
          </c:spPr>
          <c:dPt>
            <c:idx val="1"/>
            <c:spPr>
              <a:solidFill>
                <a:schemeClr val="tx2"/>
              </a:solidFill>
              <a:ln>
                <a:noFill/>
              </a:ln>
              <a:effectLst/>
            </c:spPr>
            <c:extLst xmlns:c16r2="http://schemas.microsoft.com/office/drawing/2015/06/chart">
              <c:ext xmlns:c16="http://schemas.microsoft.com/office/drawing/2014/chart" uri="{C3380CC4-5D6E-409C-BE32-E72D297353CC}">
                <c16:uniqueId val="{00000001-F6FB-4B1B-9FEF-31DF5CBDCC5C}"/>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6FB-4B1B-9FEF-31DF5CBDCC5C}"/>
                </c:ext>
              </c:extLst>
            </c:dLbl>
            <c:dLbl>
              <c:idx val="1"/>
              <c:layout>
                <c:manualLayout>
                  <c:x val="-1.1151533788046809E-17"/>
                  <c:y val="5.89022757697457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6FB-4B1B-9FEF-31DF5CBDCC5C}"/>
                </c:ext>
              </c:extLst>
            </c:dLbl>
            <c:dLbl>
              <c:idx val="3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6FB-4B1B-9FEF-31DF5CBDCC5C}"/>
                </c:ext>
              </c:extLst>
            </c:dLbl>
            <c:delete val="1"/>
            <c:spPr>
              <a:solidFill>
                <a:schemeClr val="tx2">
                  <a:lumMod val="65000"/>
                  <a:lumOff val="35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Barlow" panose="00000500000000000000" pitchFamily="2" charset="0"/>
                    <a:ea typeface="+mn-ea"/>
                    <a:cs typeface="+mn-cs"/>
                  </a:defRPr>
                </a:pPr>
                <a:endParaRPr lang="es-MX"/>
              </a:p>
            </c:txP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Hoja1!$A$2:$A$33</c:f>
              <c:strCache>
                <c:ptCount val="32"/>
                <c:pt idx="0">
                  <c:v>Guanajuato</c:v>
                </c:pt>
                <c:pt idx="1">
                  <c:v>Yucatán</c:v>
                </c:pt>
                <c:pt idx="2">
                  <c:v>Oaxaca</c:v>
                </c:pt>
                <c:pt idx="3">
                  <c:v>Puebla</c:v>
                </c:pt>
                <c:pt idx="4">
                  <c:v>Jalisco</c:v>
                </c:pt>
                <c:pt idx="5">
                  <c:v>Estado de México</c:v>
                </c:pt>
                <c:pt idx="6">
                  <c:v>Baja California</c:v>
                </c:pt>
                <c:pt idx="7">
                  <c:v>Sonora</c:v>
                </c:pt>
                <c:pt idx="8">
                  <c:v>Nayarit</c:v>
                </c:pt>
                <c:pt idx="9">
                  <c:v>Chihuahua</c:v>
                </c:pt>
                <c:pt idx="10">
                  <c:v>Hidalgo</c:v>
                </c:pt>
                <c:pt idx="11">
                  <c:v>CDMX</c:v>
                </c:pt>
                <c:pt idx="12">
                  <c:v>Colima</c:v>
                </c:pt>
                <c:pt idx="13">
                  <c:v>Zacatecas</c:v>
                </c:pt>
                <c:pt idx="14">
                  <c:v>Durango</c:v>
                </c:pt>
                <c:pt idx="15">
                  <c:v>Campeche</c:v>
                </c:pt>
                <c:pt idx="16">
                  <c:v>Quintana Roo</c:v>
                </c:pt>
                <c:pt idx="17">
                  <c:v>Nuevo León</c:v>
                </c:pt>
                <c:pt idx="18">
                  <c:v>Chiapas</c:v>
                </c:pt>
                <c:pt idx="19">
                  <c:v>San Luis Potosí</c:v>
                </c:pt>
                <c:pt idx="20">
                  <c:v>Michoacán</c:v>
                </c:pt>
                <c:pt idx="21">
                  <c:v>Tabasco</c:v>
                </c:pt>
                <c:pt idx="22">
                  <c:v>Queretaro</c:v>
                </c:pt>
                <c:pt idx="23">
                  <c:v>Morelos</c:v>
                </c:pt>
                <c:pt idx="24">
                  <c:v>Tamaulipas</c:v>
                </c:pt>
                <c:pt idx="25">
                  <c:v>Sinaloa </c:v>
                </c:pt>
                <c:pt idx="26">
                  <c:v>Coahuila</c:v>
                </c:pt>
                <c:pt idx="27">
                  <c:v>Tlaxcala</c:v>
                </c:pt>
                <c:pt idx="28">
                  <c:v>Aguascalientes</c:v>
                </c:pt>
                <c:pt idx="29">
                  <c:v>Veracruz</c:v>
                </c:pt>
                <c:pt idx="30">
                  <c:v>Baja California Sur</c:v>
                </c:pt>
                <c:pt idx="31">
                  <c:v>Guerrero</c:v>
                </c:pt>
              </c:strCache>
            </c:strRef>
          </c:cat>
          <c:val>
            <c:numRef>
              <c:f>Hoja1!$B$2:$B$33</c:f>
              <c:numCache>
                <c:formatCode>0.0</c:formatCode>
                <c:ptCount val="32"/>
                <c:pt idx="0">
                  <c:v>94.1</c:v>
                </c:pt>
                <c:pt idx="1">
                  <c:v>90.5</c:v>
                </c:pt>
                <c:pt idx="2">
                  <c:v>90.2</c:v>
                </c:pt>
                <c:pt idx="3">
                  <c:v>89.8</c:v>
                </c:pt>
                <c:pt idx="4">
                  <c:v>88.2</c:v>
                </c:pt>
                <c:pt idx="5">
                  <c:v>87</c:v>
                </c:pt>
                <c:pt idx="6">
                  <c:v>86.6</c:v>
                </c:pt>
                <c:pt idx="7">
                  <c:v>84.5</c:v>
                </c:pt>
                <c:pt idx="8">
                  <c:v>80.7</c:v>
                </c:pt>
                <c:pt idx="9">
                  <c:v>80.599999999999994</c:v>
                </c:pt>
                <c:pt idx="10">
                  <c:v>80</c:v>
                </c:pt>
                <c:pt idx="11">
                  <c:v>78.8</c:v>
                </c:pt>
                <c:pt idx="12">
                  <c:v>77.599999999999994</c:v>
                </c:pt>
                <c:pt idx="13">
                  <c:v>75.3</c:v>
                </c:pt>
                <c:pt idx="14">
                  <c:v>75.099999999999994</c:v>
                </c:pt>
                <c:pt idx="15">
                  <c:v>74.2</c:v>
                </c:pt>
                <c:pt idx="16">
                  <c:v>73.900000000000006</c:v>
                </c:pt>
                <c:pt idx="17">
                  <c:v>73.5</c:v>
                </c:pt>
                <c:pt idx="18">
                  <c:v>72.8</c:v>
                </c:pt>
                <c:pt idx="19">
                  <c:v>71.900000000000006</c:v>
                </c:pt>
                <c:pt idx="20">
                  <c:v>70.900000000000006</c:v>
                </c:pt>
                <c:pt idx="21">
                  <c:v>69.099999999999994</c:v>
                </c:pt>
                <c:pt idx="22">
                  <c:v>67.099999999999994</c:v>
                </c:pt>
                <c:pt idx="23">
                  <c:v>66.7</c:v>
                </c:pt>
                <c:pt idx="24">
                  <c:v>66.599999999999994</c:v>
                </c:pt>
                <c:pt idx="25">
                  <c:v>65.400000000000006</c:v>
                </c:pt>
                <c:pt idx="26">
                  <c:v>64.400000000000006</c:v>
                </c:pt>
                <c:pt idx="27">
                  <c:v>62.2</c:v>
                </c:pt>
                <c:pt idx="28">
                  <c:v>60.5</c:v>
                </c:pt>
                <c:pt idx="29">
                  <c:v>57.6</c:v>
                </c:pt>
                <c:pt idx="30">
                  <c:v>55.5</c:v>
                </c:pt>
                <c:pt idx="31">
                  <c:v>45</c:v>
                </c:pt>
              </c:numCache>
            </c:numRef>
          </c:val>
          <c:extLst xmlns:c16r2="http://schemas.microsoft.com/office/drawing/2015/06/chart">
            <c:ext xmlns:c16="http://schemas.microsoft.com/office/drawing/2014/chart" uri="{C3380CC4-5D6E-409C-BE32-E72D297353CC}">
              <c16:uniqueId val="{00000008-F6FB-4B1B-9FEF-31DF5CBDCC5C}"/>
            </c:ext>
          </c:extLst>
        </c:ser>
        <c:gapWidth val="219"/>
        <c:axId val="88092032"/>
        <c:axId val="88110208"/>
      </c:barChart>
      <c:lineChart>
        <c:grouping val="standard"/>
        <c:ser>
          <c:idx val="1"/>
          <c:order val="1"/>
          <c:tx>
            <c:strRef>
              <c:f>Hoja1!$C$1</c:f>
              <c:strCache>
                <c:ptCount val="1"/>
                <c:pt idx="0">
                  <c:v>Promedio Nacional</c:v>
                </c:pt>
              </c:strCache>
            </c:strRef>
          </c:tx>
          <c:spPr>
            <a:ln w="28575" cap="rnd">
              <a:solidFill>
                <a:schemeClr val="accent2"/>
              </a:solidFill>
              <a:round/>
            </a:ln>
            <a:effectLst/>
          </c:spPr>
          <c:marker>
            <c:symbol val="none"/>
          </c:marker>
          <c:dLbls>
            <c:dLbl>
              <c:idx val="2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6FB-4B1B-9FEF-31DF5CBDCC5C}"/>
                </c:ext>
              </c:extLst>
            </c:dLbl>
            <c:delete val="1"/>
            <c:spPr>
              <a:solidFill>
                <a:schemeClr val="accent2"/>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Barlow" panose="00000500000000000000" pitchFamily="2" charset="0"/>
                    <a:ea typeface="+mn-ea"/>
                    <a:cs typeface="+mn-cs"/>
                  </a:defRPr>
                </a:pPr>
                <a:endParaRPr lang="es-MX"/>
              </a:p>
            </c:txP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Hoja1!$A$2:$A$33</c:f>
              <c:strCache>
                <c:ptCount val="32"/>
                <c:pt idx="0">
                  <c:v>Guanajuato</c:v>
                </c:pt>
                <c:pt idx="1">
                  <c:v>Yucatán</c:v>
                </c:pt>
                <c:pt idx="2">
                  <c:v>Oaxaca</c:v>
                </c:pt>
                <c:pt idx="3">
                  <c:v>Puebla</c:v>
                </c:pt>
                <c:pt idx="4">
                  <c:v>Jalisco</c:v>
                </c:pt>
                <c:pt idx="5">
                  <c:v>Estado de México</c:v>
                </c:pt>
                <c:pt idx="6">
                  <c:v>Baja California</c:v>
                </c:pt>
                <c:pt idx="7">
                  <c:v>Sonora</c:v>
                </c:pt>
                <c:pt idx="8">
                  <c:v>Nayarit</c:v>
                </c:pt>
                <c:pt idx="9">
                  <c:v>Chihuahua</c:v>
                </c:pt>
                <c:pt idx="10">
                  <c:v>Hidalgo</c:v>
                </c:pt>
                <c:pt idx="11">
                  <c:v>CDMX</c:v>
                </c:pt>
                <c:pt idx="12">
                  <c:v>Colima</c:v>
                </c:pt>
                <c:pt idx="13">
                  <c:v>Zacatecas</c:v>
                </c:pt>
                <c:pt idx="14">
                  <c:v>Durango</c:v>
                </c:pt>
                <c:pt idx="15">
                  <c:v>Campeche</c:v>
                </c:pt>
                <c:pt idx="16">
                  <c:v>Quintana Roo</c:v>
                </c:pt>
                <c:pt idx="17">
                  <c:v>Nuevo León</c:v>
                </c:pt>
                <c:pt idx="18">
                  <c:v>Chiapas</c:v>
                </c:pt>
                <c:pt idx="19">
                  <c:v>San Luis Potosí</c:v>
                </c:pt>
                <c:pt idx="20">
                  <c:v>Michoacán</c:v>
                </c:pt>
                <c:pt idx="21">
                  <c:v>Tabasco</c:v>
                </c:pt>
                <c:pt idx="22">
                  <c:v>Queretaro</c:v>
                </c:pt>
                <c:pt idx="23">
                  <c:v>Morelos</c:v>
                </c:pt>
                <c:pt idx="24">
                  <c:v>Tamaulipas</c:v>
                </c:pt>
                <c:pt idx="25">
                  <c:v>Sinaloa </c:v>
                </c:pt>
                <c:pt idx="26">
                  <c:v>Coahuila</c:v>
                </c:pt>
                <c:pt idx="27">
                  <c:v>Tlaxcala</c:v>
                </c:pt>
                <c:pt idx="28">
                  <c:v>Aguascalientes</c:v>
                </c:pt>
                <c:pt idx="29">
                  <c:v>Veracruz</c:v>
                </c:pt>
                <c:pt idx="30">
                  <c:v>Baja California Sur</c:v>
                </c:pt>
                <c:pt idx="31">
                  <c:v>Guerrero</c:v>
                </c:pt>
              </c:strCache>
            </c:strRef>
          </c:cat>
          <c:val>
            <c:numRef>
              <c:f>Hoja1!$C$2:$C$33</c:f>
              <c:numCache>
                <c:formatCode>General</c:formatCode>
                <c:ptCount val="32"/>
                <c:pt idx="0">
                  <c:v>74.3</c:v>
                </c:pt>
                <c:pt idx="1">
                  <c:v>74.3</c:v>
                </c:pt>
                <c:pt idx="2">
                  <c:v>74.3</c:v>
                </c:pt>
                <c:pt idx="3">
                  <c:v>74.3</c:v>
                </c:pt>
                <c:pt idx="4">
                  <c:v>74.3</c:v>
                </c:pt>
                <c:pt idx="5">
                  <c:v>74.3</c:v>
                </c:pt>
                <c:pt idx="6">
                  <c:v>74.3</c:v>
                </c:pt>
                <c:pt idx="7">
                  <c:v>74.3</c:v>
                </c:pt>
                <c:pt idx="8">
                  <c:v>74.3</c:v>
                </c:pt>
                <c:pt idx="9">
                  <c:v>74.3</c:v>
                </c:pt>
                <c:pt idx="10">
                  <c:v>74.3</c:v>
                </c:pt>
                <c:pt idx="11">
                  <c:v>74.3</c:v>
                </c:pt>
                <c:pt idx="12">
                  <c:v>74.3</c:v>
                </c:pt>
                <c:pt idx="13">
                  <c:v>74.3</c:v>
                </c:pt>
                <c:pt idx="14">
                  <c:v>74.3</c:v>
                </c:pt>
                <c:pt idx="15">
                  <c:v>74.3</c:v>
                </c:pt>
                <c:pt idx="16">
                  <c:v>74.3</c:v>
                </c:pt>
                <c:pt idx="17">
                  <c:v>74.3</c:v>
                </c:pt>
                <c:pt idx="18">
                  <c:v>74.3</c:v>
                </c:pt>
                <c:pt idx="19">
                  <c:v>74.3</c:v>
                </c:pt>
                <c:pt idx="20">
                  <c:v>74.3</c:v>
                </c:pt>
                <c:pt idx="21">
                  <c:v>74.3</c:v>
                </c:pt>
                <c:pt idx="22">
                  <c:v>74.3</c:v>
                </c:pt>
                <c:pt idx="23">
                  <c:v>74.3</c:v>
                </c:pt>
                <c:pt idx="24">
                  <c:v>74.3</c:v>
                </c:pt>
                <c:pt idx="25">
                  <c:v>74.3</c:v>
                </c:pt>
                <c:pt idx="26">
                  <c:v>74.3</c:v>
                </c:pt>
                <c:pt idx="27">
                  <c:v>74.3</c:v>
                </c:pt>
                <c:pt idx="28">
                  <c:v>74.3</c:v>
                </c:pt>
                <c:pt idx="29">
                  <c:v>74.3</c:v>
                </c:pt>
                <c:pt idx="30">
                  <c:v>74.3</c:v>
                </c:pt>
                <c:pt idx="31">
                  <c:v>74.3</c:v>
                </c:pt>
              </c:numCache>
            </c:numRef>
          </c:val>
          <c:extLst xmlns:c16r2="http://schemas.microsoft.com/office/drawing/2015/06/chart">
            <c:ext xmlns:c16="http://schemas.microsoft.com/office/drawing/2014/chart" uri="{C3380CC4-5D6E-409C-BE32-E72D297353CC}">
              <c16:uniqueId val="{0000000A-F6FB-4B1B-9FEF-31DF5CBDCC5C}"/>
            </c:ext>
          </c:extLst>
        </c:ser>
        <c:marker val="1"/>
        <c:axId val="88092032"/>
        <c:axId val="88110208"/>
      </c:lineChart>
      <c:catAx>
        <c:axId val="88092032"/>
        <c:scaling>
          <c:orientation val="minMax"/>
        </c:scaling>
        <c:axPos val="b"/>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rlow" panose="00000500000000000000" pitchFamily="2" charset="0"/>
                <a:ea typeface="+mn-ea"/>
                <a:cs typeface="+mn-cs"/>
              </a:defRPr>
            </a:pPr>
            <a:endParaRPr lang="es-MX"/>
          </a:p>
        </c:txPr>
        <c:crossAx val="88110208"/>
        <c:crosses val="autoZero"/>
        <c:auto val="1"/>
        <c:lblAlgn val="ctr"/>
        <c:lblOffset val="100"/>
      </c:catAx>
      <c:valAx>
        <c:axId val="88110208"/>
        <c:scaling>
          <c:orientation val="minMax"/>
          <c:min val="40"/>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arlow" panose="00000500000000000000" pitchFamily="2" charset="0"/>
                <a:ea typeface="+mn-ea"/>
                <a:cs typeface="+mn-cs"/>
              </a:defRPr>
            </a:pPr>
            <a:endParaRPr lang="es-MX"/>
          </a:p>
        </c:txPr>
        <c:crossAx val="880920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rlow" panose="00000500000000000000" pitchFamily="2" charset="0"/>
              <a:ea typeface="+mn-ea"/>
              <a:cs typeface="+mn-cs"/>
            </a:defRPr>
          </a:pPr>
          <a:endParaRPr lang="es-MX"/>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Barlow" panose="00000500000000000000" pitchFamily="2" charset="0"/>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EA87-FA1D-4CC4-A2AE-AB9B2410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20355</Words>
  <Characters>111958</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132049</CharactersWithSpaces>
  <SharedDoc>false</SharedDoc>
  <HLinks>
    <vt:vector size="174" baseType="variant">
      <vt:variant>
        <vt:i4>1507382</vt:i4>
      </vt:variant>
      <vt:variant>
        <vt:i4>170</vt:i4>
      </vt:variant>
      <vt:variant>
        <vt:i4>0</vt:i4>
      </vt:variant>
      <vt:variant>
        <vt:i4>5</vt:i4>
      </vt:variant>
      <vt:variant>
        <vt:lpwstr/>
      </vt:variant>
      <vt:variant>
        <vt:lpwstr>_Toc41308998</vt:lpwstr>
      </vt:variant>
      <vt:variant>
        <vt:i4>1572918</vt:i4>
      </vt:variant>
      <vt:variant>
        <vt:i4>164</vt:i4>
      </vt:variant>
      <vt:variant>
        <vt:i4>0</vt:i4>
      </vt:variant>
      <vt:variant>
        <vt:i4>5</vt:i4>
      </vt:variant>
      <vt:variant>
        <vt:lpwstr/>
      </vt:variant>
      <vt:variant>
        <vt:lpwstr>_Toc41308997</vt:lpwstr>
      </vt:variant>
      <vt:variant>
        <vt:i4>1638454</vt:i4>
      </vt:variant>
      <vt:variant>
        <vt:i4>158</vt:i4>
      </vt:variant>
      <vt:variant>
        <vt:i4>0</vt:i4>
      </vt:variant>
      <vt:variant>
        <vt:i4>5</vt:i4>
      </vt:variant>
      <vt:variant>
        <vt:lpwstr/>
      </vt:variant>
      <vt:variant>
        <vt:lpwstr>_Toc41308996</vt:lpwstr>
      </vt:variant>
      <vt:variant>
        <vt:i4>1703990</vt:i4>
      </vt:variant>
      <vt:variant>
        <vt:i4>152</vt:i4>
      </vt:variant>
      <vt:variant>
        <vt:i4>0</vt:i4>
      </vt:variant>
      <vt:variant>
        <vt:i4>5</vt:i4>
      </vt:variant>
      <vt:variant>
        <vt:lpwstr/>
      </vt:variant>
      <vt:variant>
        <vt:lpwstr>_Toc41308995</vt:lpwstr>
      </vt:variant>
      <vt:variant>
        <vt:i4>1769526</vt:i4>
      </vt:variant>
      <vt:variant>
        <vt:i4>146</vt:i4>
      </vt:variant>
      <vt:variant>
        <vt:i4>0</vt:i4>
      </vt:variant>
      <vt:variant>
        <vt:i4>5</vt:i4>
      </vt:variant>
      <vt:variant>
        <vt:lpwstr/>
      </vt:variant>
      <vt:variant>
        <vt:lpwstr>_Toc41308994</vt:lpwstr>
      </vt:variant>
      <vt:variant>
        <vt:i4>1835062</vt:i4>
      </vt:variant>
      <vt:variant>
        <vt:i4>140</vt:i4>
      </vt:variant>
      <vt:variant>
        <vt:i4>0</vt:i4>
      </vt:variant>
      <vt:variant>
        <vt:i4>5</vt:i4>
      </vt:variant>
      <vt:variant>
        <vt:lpwstr/>
      </vt:variant>
      <vt:variant>
        <vt:lpwstr>_Toc41308993</vt:lpwstr>
      </vt:variant>
      <vt:variant>
        <vt:i4>1900598</vt:i4>
      </vt:variant>
      <vt:variant>
        <vt:i4>134</vt:i4>
      </vt:variant>
      <vt:variant>
        <vt:i4>0</vt:i4>
      </vt:variant>
      <vt:variant>
        <vt:i4>5</vt:i4>
      </vt:variant>
      <vt:variant>
        <vt:lpwstr/>
      </vt:variant>
      <vt:variant>
        <vt:lpwstr>_Toc41308992</vt:lpwstr>
      </vt:variant>
      <vt:variant>
        <vt:i4>1966134</vt:i4>
      </vt:variant>
      <vt:variant>
        <vt:i4>128</vt:i4>
      </vt:variant>
      <vt:variant>
        <vt:i4>0</vt:i4>
      </vt:variant>
      <vt:variant>
        <vt:i4>5</vt:i4>
      </vt:variant>
      <vt:variant>
        <vt:lpwstr/>
      </vt:variant>
      <vt:variant>
        <vt:lpwstr>_Toc41308991</vt:lpwstr>
      </vt:variant>
      <vt:variant>
        <vt:i4>2031670</vt:i4>
      </vt:variant>
      <vt:variant>
        <vt:i4>122</vt:i4>
      </vt:variant>
      <vt:variant>
        <vt:i4>0</vt:i4>
      </vt:variant>
      <vt:variant>
        <vt:i4>5</vt:i4>
      </vt:variant>
      <vt:variant>
        <vt:lpwstr/>
      </vt:variant>
      <vt:variant>
        <vt:lpwstr>_Toc41308990</vt:lpwstr>
      </vt:variant>
      <vt:variant>
        <vt:i4>1441847</vt:i4>
      </vt:variant>
      <vt:variant>
        <vt:i4>116</vt:i4>
      </vt:variant>
      <vt:variant>
        <vt:i4>0</vt:i4>
      </vt:variant>
      <vt:variant>
        <vt:i4>5</vt:i4>
      </vt:variant>
      <vt:variant>
        <vt:lpwstr/>
      </vt:variant>
      <vt:variant>
        <vt:lpwstr>_Toc41308989</vt:lpwstr>
      </vt:variant>
      <vt:variant>
        <vt:i4>1507383</vt:i4>
      </vt:variant>
      <vt:variant>
        <vt:i4>110</vt:i4>
      </vt:variant>
      <vt:variant>
        <vt:i4>0</vt:i4>
      </vt:variant>
      <vt:variant>
        <vt:i4>5</vt:i4>
      </vt:variant>
      <vt:variant>
        <vt:lpwstr/>
      </vt:variant>
      <vt:variant>
        <vt:lpwstr>_Toc41308988</vt:lpwstr>
      </vt:variant>
      <vt:variant>
        <vt:i4>1572919</vt:i4>
      </vt:variant>
      <vt:variant>
        <vt:i4>104</vt:i4>
      </vt:variant>
      <vt:variant>
        <vt:i4>0</vt:i4>
      </vt:variant>
      <vt:variant>
        <vt:i4>5</vt:i4>
      </vt:variant>
      <vt:variant>
        <vt:lpwstr/>
      </vt:variant>
      <vt:variant>
        <vt:lpwstr>_Toc41308987</vt:lpwstr>
      </vt:variant>
      <vt:variant>
        <vt:i4>1638455</vt:i4>
      </vt:variant>
      <vt:variant>
        <vt:i4>98</vt:i4>
      </vt:variant>
      <vt:variant>
        <vt:i4>0</vt:i4>
      </vt:variant>
      <vt:variant>
        <vt:i4>5</vt:i4>
      </vt:variant>
      <vt:variant>
        <vt:lpwstr/>
      </vt:variant>
      <vt:variant>
        <vt:lpwstr>_Toc41308986</vt:lpwstr>
      </vt:variant>
      <vt:variant>
        <vt:i4>1703991</vt:i4>
      </vt:variant>
      <vt:variant>
        <vt:i4>92</vt:i4>
      </vt:variant>
      <vt:variant>
        <vt:i4>0</vt:i4>
      </vt:variant>
      <vt:variant>
        <vt:i4>5</vt:i4>
      </vt:variant>
      <vt:variant>
        <vt:lpwstr/>
      </vt:variant>
      <vt:variant>
        <vt:lpwstr>_Toc41308985</vt:lpwstr>
      </vt:variant>
      <vt:variant>
        <vt:i4>1769527</vt:i4>
      </vt:variant>
      <vt:variant>
        <vt:i4>86</vt:i4>
      </vt:variant>
      <vt:variant>
        <vt:i4>0</vt:i4>
      </vt:variant>
      <vt:variant>
        <vt:i4>5</vt:i4>
      </vt:variant>
      <vt:variant>
        <vt:lpwstr/>
      </vt:variant>
      <vt:variant>
        <vt:lpwstr>_Toc41308984</vt:lpwstr>
      </vt:variant>
      <vt:variant>
        <vt:i4>1835063</vt:i4>
      </vt:variant>
      <vt:variant>
        <vt:i4>80</vt:i4>
      </vt:variant>
      <vt:variant>
        <vt:i4>0</vt:i4>
      </vt:variant>
      <vt:variant>
        <vt:i4>5</vt:i4>
      </vt:variant>
      <vt:variant>
        <vt:lpwstr/>
      </vt:variant>
      <vt:variant>
        <vt:lpwstr>_Toc41308983</vt:lpwstr>
      </vt:variant>
      <vt:variant>
        <vt:i4>1900599</vt:i4>
      </vt:variant>
      <vt:variant>
        <vt:i4>74</vt:i4>
      </vt:variant>
      <vt:variant>
        <vt:i4>0</vt:i4>
      </vt:variant>
      <vt:variant>
        <vt:i4>5</vt:i4>
      </vt:variant>
      <vt:variant>
        <vt:lpwstr/>
      </vt:variant>
      <vt:variant>
        <vt:lpwstr>_Toc41308982</vt:lpwstr>
      </vt:variant>
      <vt:variant>
        <vt:i4>1966135</vt:i4>
      </vt:variant>
      <vt:variant>
        <vt:i4>68</vt:i4>
      </vt:variant>
      <vt:variant>
        <vt:i4>0</vt:i4>
      </vt:variant>
      <vt:variant>
        <vt:i4>5</vt:i4>
      </vt:variant>
      <vt:variant>
        <vt:lpwstr/>
      </vt:variant>
      <vt:variant>
        <vt:lpwstr>_Toc41308981</vt:lpwstr>
      </vt:variant>
      <vt:variant>
        <vt:i4>2031671</vt:i4>
      </vt:variant>
      <vt:variant>
        <vt:i4>62</vt:i4>
      </vt:variant>
      <vt:variant>
        <vt:i4>0</vt:i4>
      </vt:variant>
      <vt:variant>
        <vt:i4>5</vt:i4>
      </vt:variant>
      <vt:variant>
        <vt:lpwstr/>
      </vt:variant>
      <vt:variant>
        <vt:lpwstr>_Toc41308980</vt:lpwstr>
      </vt:variant>
      <vt:variant>
        <vt:i4>1441848</vt:i4>
      </vt:variant>
      <vt:variant>
        <vt:i4>56</vt:i4>
      </vt:variant>
      <vt:variant>
        <vt:i4>0</vt:i4>
      </vt:variant>
      <vt:variant>
        <vt:i4>5</vt:i4>
      </vt:variant>
      <vt:variant>
        <vt:lpwstr/>
      </vt:variant>
      <vt:variant>
        <vt:lpwstr>_Toc41308979</vt:lpwstr>
      </vt:variant>
      <vt:variant>
        <vt:i4>1507384</vt:i4>
      </vt:variant>
      <vt:variant>
        <vt:i4>50</vt:i4>
      </vt:variant>
      <vt:variant>
        <vt:i4>0</vt:i4>
      </vt:variant>
      <vt:variant>
        <vt:i4>5</vt:i4>
      </vt:variant>
      <vt:variant>
        <vt:lpwstr/>
      </vt:variant>
      <vt:variant>
        <vt:lpwstr>_Toc41308978</vt:lpwstr>
      </vt:variant>
      <vt:variant>
        <vt:i4>1572920</vt:i4>
      </vt:variant>
      <vt:variant>
        <vt:i4>44</vt:i4>
      </vt:variant>
      <vt:variant>
        <vt:i4>0</vt:i4>
      </vt:variant>
      <vt:variant>
        <vt:i4>5</vt:i4>
      </vt:variant>
      <vt:variant>
        <vt:lpwstr/>
      </vt:variant>
      <vt:variant>
        <vt:lpwstr>_Toc41308977</vt:lpwstr>
      </vt:variant>
      <vt:variant>
        <vt:i4>1638456</vt:i4>
      </vt:variant>
      <vt:variant>
        <vt:i4>38</vt:i4>
      </vt:variant>
      <vt:variant>
        <vt:i4>0</vt:i4>
      </vt:variant>
      <vt:variant>
        <vt:i4>5</vt:i4>
      </vt:variant>
      <vt:variant>
        <vt:lpwstr/>
      </vt:variant>
      <vt:variant>
        <vt:lpwstr>_Toc41308976</vt:lpwstr>
      </vt:variant>
      <vt:variant>
        <vt:i4>1703992</vt:i4>
      </vt:variant>
      <vt:variant>
        <vt:i4>32</vt:i4>
      </vt:variant>
      <vt:variant>
        <vt:i4>0</vt:i4>
      </vt:variant>
      <vt:variant>
        <vt:i4>5</vt:i4>
      </vt:variant>
      <vt:variant>
        <vt:lpwstr/>
      </vt:variant>
      <vt:variant>
        <vt:lpwstr>_Toc41308975</vt:lpwstr>
      </vt:variant>
      <vt:variant>
        <vt:i4>1769528</vt:i4>
      </vt:variant>
      <vt:variant>
        <vt:i4>26</vt:i4>
      </vt:variant>
      <vt:variant>
        <vt:i4>0</vt:i4>
      </vt:variant>
      <vt:variant>
        <vt:i4>5</vt:i4>
      </vt:variant>
      <vt:variant>
        <vt:lpwstr/>
      </vt:variant>
      <vt:variant>
        <vt:lpwstr>_Toc41308974</vt:lpwstr>
      </vt:variant>
      <vt:variant>
        <vt:i4>1835064</vt:i4>
      </vt:variant>
      <vt:variant>
        <vt:i4>20</vt:i4>
      </vt:variant>
      <vt:variant>
        <vt:i4>0</vt:i4>
      </vt:variant>
      <vt:variant>
        <vt:i4>5</vt:i4>
      </vt:variant>
      <vt:variant>
        <vt:lpwstr/>
      </vt:variant>
      <vt:variant>
        <vt:lpwstr>_Toc41308973</vt:lpwstr>
      </vt:variant>
      <vt:variant>
        <vt:i4>1900600</vt:i4>
      </vt:variant>
      <vt:variant>
        <vt:i4>14</vt:i4>
      </vt:variant>
      <vt:variant>
        <vt:i4>0</vt:i4>
      </vt:variant>
      <vt:variant>
        <vt:i4>5</vt:i4>
      </vt:variant>
      <vt:variant>
        <vt:lpwstr/>
      </vt:variant>
      <vt:variant>
        <vt:lpwstr>_Toc41308972</vt:lpwstr>
      </vt:variant>
      <vt:variant>
        <vt:i4>1966136</vt:i4>
      </vt:variant>
      <vt:variant>
        <vt:i4>8</vt:i4>
      </vt:variant>
      <vt:variant>
        <vt:i4>0</vt:i4>
      </vt:variant>
      <vt:variant>
        <vt:i4>5</vt:i4>
      </vt:variant>
      <vt:variant>
        <vt:lpwstr/>
      </vt:variant>
      <vt:variant>
        <vt:lpwstr>_Toc41308971</vt:lpwstr>
      </vt:variant>
      <vt:variant>
        <vt:i4>2031672</vt:i4>
      </vt:variant>
      <vt:variant>
        <vt:i4>2</vt:i4>
      </vt:variant>
      <vt:variant>
        <vt:i4>0</vt:i4>
      </vt:variant>
      <vt:variant>
        <vt:i4>5</vt:i4>
      </vt:variant>
      <vt:variant>
        <vt:lpwstr/>
      </vt:variant>
      <vt:variant>
        <vt:lpwstr>_Toc41308970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Bri</dc:creator>
  <cp:lastModifiedBy>lida.arrigunaga</cp:lastModifiedBy>
  <cp:revision>2</cp:revision>
  <cp:lastPrinted>2021-11-25T21:46:00Z</cp:lastPrinted>
  <dcterms:created xsi:type="dcterms:W3CDTF">2021-11-25T22:43:00Z</dcterms:created>
  <dcterms:modified xsi:type="dcterms:W3CDTF">2021-11-25T22:43:00Z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