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8747D" w14:textId="77777777" w:rsidR="00F64068" w:rsidRDefault="00F64068" w:rsidP="00F6406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INICIATIVA DE LA LEY DE INGRESOS DEL MUNICIPIO DE TEMAX, YUCATÁN, PARA EL EJERCICIO FISCAL 2025:</w:t>
      </w:r>
    </w:p>
    <w:p w14:paraId="1589DBDE" w14:textId="77777777" w:rsidR="00F64068" w:rsidRDefault="00F64068" w:rsidP="00F64068">
      <w:pPr>
        <w:pStyle w:val="Textoindependiente"/>
        <w:rPr>
          <w:rFonts w:ascii="Arial" w:hAnsi="Arial" w:cs="Arial"/>
          <w:b/>
          <w:highlight w:val="yellow"/>
        </w:rPr>
      </w:pPr>
    </w:p>
    <w:p w14:paraId="64C4A23F" w14:textId="77777777" w:rsidR="00F64068" w:rsidRDefault="00F64068" w:rsidP="00F6406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TÍTULO PRIMERO</w:t>
      </w:r>
    </w:p>
    <w:p w14:paraId="6691397B" w14:textId="77777777" w:rsidR="00F64068" w:rsidRDefault="00F64068" w:rsidP="00F6406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DISPOSICIONES GENERALES</w:t>
      </w:r>
    </w:p>
    <w:p w14:paraId="6C57016B" w14:textId="77777777" w:rsidR="00F64068" w:rsidRDefault="00F64068" w:rsidP="00F64068">
      <w:pPr>
        <w:pStyle w:val="Textoindependiente"/>
        <w:rPr>
          <w:rFonts w:ascii="Arial" w:hAnsi="Arial" w:cs="Arial"/>
          <w:b/>
        </w:rPr>
      </w:pPr>
    </w:p>
    <w:p w14:paraId="60DE48A0" w14:textId="77777777" w:rsidR="00F64068" w:rsidRDefault="00F64068" w:rsidP="00F6406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I</w:t>
      </w:r>
    </w:p>
    <w:p w14:paraId="4A950B8C" w14:textId="77777777" w:rsidR="00F64068" w:rsidRDefault="00F64068" w:rsidP="00F6406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 la Naturaleza y Objetivos de la Ley</w:t>
      </w:r>
    </w:p>
    <w:p w14:paraId="52E8E980" w14:textId="77777777" w:rsidR="00F64068" w:rsidRDefault="00F64068" w:rsidP="00F64068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C52C611" w14:textId="77777777" w:rsidR="00F64068" w:rsidRDefault="00F64068" w:rsidP="00F64068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1.- </w:t>
      </w:r>
      <w:r>
        <w:rPr>
          <w:rFonts w:ascii="Arial" w:hAnsi="Arial" w:cs="Arial"/>
        </w:rPr>
        <w:t xml:space="preserve">Esta Ley es de orden público y de interés social, y tiene por objeto establecer los ingresos que percibirá la Hacienda Pública del Municipio de </w:t>
      </w:r>
      <w:proofErr w:type="spellStart"/>
      <w:r>
        <w:rPr>
          <w:rFonts w:ascii="Arial" w:hAnsi="Arial" w:cs="Arial"/>
        </w:rPr>
        <w:t>Temax</w:t>
      </w:r>
      <w:proofErr w:type="spellEnd"/>
      <w:r>
        <w:rPr>
          <w:rFonts w:ascii="Arial" w:hAnsi="Arial" w:cs="Arial"/>
        </w:rPr>
        <w:t>, Yucatán a través de su Tesorería Municipal, durante el ejercicio fiscal del año 2025.</w:t>
      </w:r>
    </w:p>
    <w:p w14:paraId="1E85499A" w14:textId="77777777" w:rsidR="00F64068" w:rsidRDefault="00F64068" w:rsidP="00F64068">
      <w:pPr>
        <w:pStyle w:val="Textoindependiente"/>
        <w:spacing w:line="360" w:lineRule="auto"/>
        <w:rPr>
          <w:rFonts w:ascii="Arial" w:hAnsi="Arial" w:cs="Arial"/>
        </w:rPr>
      </w:pPr>
    </w:p>
    <w:p w14:paraId="7A656119" w14:textId="77777777" w:rsidR="00F64068" w:rsidRDefault="00F64068" w:rsidP="00F64068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2.- </w:t>
      </w:r>
      <w:r>
        <w:rPr>
          <w:rFonts w:ascii="Arial" w:hAnsi="Arial" w:cs="Arial"/>
        </w:rPr>
        <w:t xml:space="preserve">Las personas domiciliadas dentro del Municipio de </w:t>
      </w:r>
      <w:proofErr w:type="spellStart"/>
      <w:r>
        <w:rPr>
          <w:rFonts w:ascii="Arial" w:hAnsi="Arial" w:cs="Arial"/>
        </w:rPr>
        <w:t>Temax</w:t>
      </w:r>
      <w:proofErr w:type="spellEnd"/>
      <w:r>
        <w:rPr>
          <w:rFonts w:ascii="Arial" w:hAnsi="Arial" w:cs="Arial"/>
        </w:rPr>
        <w:t xml:space="preserve">, Yucatán, que tuvieren bienes en su territorio o celebren actos que surtan efectos en el mismo, están obligados a contribuir para los gastos públicos de la manera que disponga la presente Ley, así como la Ley de Hacienda del Municipio de </w:t>
      </w:r>
      <w:proofErr w:type="spellStart"/>
      <w:r>
        <w:rPr>
          <w:rFonts w:ascii="Arial" w:hAnsi="Arial" w:cs="Arial"/>
        </w:rPr>
        <w:t>Temax</w:t>
      </w:r>
      <w:proofErr w:type="spellEnd"/>
      <w:r>
        <w:rPr>
          <w:rFonts w:ascii="Arial" w:hAnsi="Arial" w:cs="Arial"/>
        </w:rPr>
        <w:t>, Yucatán, el Código Fiscal del Estado de Yucatán y los demás ordenamientos fiscales de carácter local y federal.</w:t>
      </w:r>
    </w:p>
    <w:p w14:paraId="1E4AF937" w14:textId="77777777" w:rsidR="00F64068" w:rsidRDefault="00F64068" w:rsidP="00F64068">
      <w:pPr>
        <w:pStyle w:val="Textoindependiente"/>
        <w:rPr>
          <w:rFonts w:ascii="Arial" w:hAnsi="Arial" w:cs="Arial"/>
        </w:rPr>
      </w:pPr>
    </w:p>
    <w:p w14:paraId="3D4773A5" w14:textId="77777777" w:rsidR="00F64068" w:rsidRDefault="00F64068" w:rsidP="00F64068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3.- </w:t>
      </w:r>
      <w:r>
        <w:rPr>
          <w:rFonts w:ascii="Arial" w:hAnsi="Arial" w:cs="Arial"/>
        </w:rPr>
        <w:t xml:space="preserve">Los ingresos que se recauden por los conceptos señalados en esta Ley, se destinarán a sufragar los gastos públicos establecidos y autorizados en el Presupuesto de Egresos del Municipio de </w:t>
      </w:r>
      <w:proofErr w:type="spellStart"/>
      <w:r>
        <w:rPr>
          <w:rFonts w:ascii="Arial" w:hAnsi="Arial" w:cs="Arial"/>
        </w:rPr>
        <w:t>Temax</w:t>
      </w:r>
      <w:proofErr w:type="spellEnd"/>
      <w:r>
        <w:rPr>
          <w:rFonts w:ascii="Arial" w:hAnsi="Arial" w:cs="Arial"/>
        </w:rPr>
        <w:t>, Yucatán, así como en lo dispuesto en los convenios de coordinación fiscal y en las leyes en que se fundamenten.</w:t>
      </w:r>
    </w:p>
    <w:p w14:paraId="792C5169" w14:textId="77777777" w:rsidR="00F64068" w:rsidRDefault="00F64068" w:rsidP="00F64068">
      <w:pPr>
        <w:pStyle w:val="Textoindependiente"/>
        <w:rPr>
          <w:rFonts w:ascii="Arial" w:hAnsi="Arial" w:cs="Arial"/>
        </w:rPr>
      </w:pPr>
    </w:p>
    <w:p w14:paraId="343C2C7F" w14:textId="77777777" w:rsidR="00F64068" w:rsidRDefault="00F64068" w:rsidP="00F6406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ll</w:t>
      </w:r>
    </w:p>
    <w:p w14:paraId="0383C7A7" w14:textId="77777777" w:rsidR="00F64068" w:rsidRDefault="00F64068" w:rsidP="00F6406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 los Conceptos de Ingresos y sus Pronósticos</w:t>
      </w:r>
    </w:p>
    <w:p w14:paraId="718EF807" w14:textId="77777777" w:rsidR="00F64068" w:rsidRDefault="00F64068" w:rsidP="00F64068">
      <w:pPr>
        <w:pStyle w:val="Textoindependiente"/>
        <w:rPr>
          <w:rFonts w:ascii="Arial" w:hAnsi="Arial" w:cs="Arial"/>
          <w:b/>
        </w:rPr>
      </w:pPr>
    </w:p>
    <w:p w14:paraId="14CE24C0" w14:textId="77777777" w:rsidR="00F64068" w:rsidRDefault="00F64068" w:rsidP="00F64068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4.- </w:t>
      </w:r>
      <w:r>
        <w:rPr>
          <w:rFonts w:ascii="Arial" w:hAnsi="Arial" w:cs="Arial"/>
        </w:rPr>
        <w:t xml:space="preserve">Los conceptos por los que la Hacienda Pública del Municipio de </w:t>
      </w:r>
      <w:proofErr w:type="spellStart"/>
      <w:r>
        <w:rPr>
          <w:rFonts w:ascii="Arial" w:hAnsi="Arial" w:cs="Arial"/>
        </w:rPr>
        <w:t>Temax</w:t>
      </w:r>
      <w:proofErr w:type="spellEnd"/>
      <w:r>
        <w:rPr>
          <w:rFonts w:ascii="Arial" w:hAnsi="Arial" w:cs="Arial"/>
        </w:rPr>
        <w:t>, Yucatán percibirá ingresos, serán los siguientes:</w:t>
      </w:r>
    </w:p>
    <w:p w14:paraId="43648522" w14:textId="77777777" w:rsidR="00F64068" w:rsidRDefault="00F64068" w:rsidP="00F64068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27"/>
      </w:tblGrid>
      <w:tr w:rsidR="00F64068" w14:paraId="701577D5" w14:textId="77777777" w:rsidTr="00F64068">
        <w:tc>
          <w:tcPr>
            <w:tcW w:w="704" w:type="dxa"/>
            <w:hideMark/>
          </w:tcPr>
          <w:p w14:paraId="025449B7" w14:textId="77777777" w:rsidR="00F64068" w:rsidRDefault="00F64068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I.-</w:t>
            </w:r>
          </w:p>
        </w:tc>
        <w:tc>
          <w:tcPr>
            <w:tcW w:w="3827" w:type="dxa"/>
            <w:hideMark/>
          </w:tcPr>
          <w:p w14:paraId="769C9538" w14:textId="77777777" w:rsidR="00F64068" w:rsidRDefault="00F64068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Impuestos;</w:t>
            </w:r>
          </w:p>
        </w:tc>
      </w:tr>
      <w:tr w:rsidR="00F64068" w14:paraId="4A7F286D" w14:textId="77777777" w:rsidTr="00F64068">
        <w:tc>
          <w:tcPr>
            <w:tcW w:w="704" w:type="dxa"/>
            <w:hideMark/>
          </w:tcPr>
          <w:p w14:paraId="02A32C48" w14:textId="77777777" w:rsidR="00F64068" w:rsidRDefault="00F64068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II.-</w:t>
            </w:r>
          </w:p>
        </w:tc>
        <w:tc>
          <w:tcPr>
            <w:tcW w:w="3827" w:type="dxa"/>
            <w:hideMark/>
          </w:tcPr>
          <w:p w14:paraId="48E66A0C" w14:textId="77777777" w:rsidR="00F64068" w:rsidRDefault="00F64068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Derechos;</w:t>
            </w:r>
          </w:p>
        </w:tc>
      </w:tr>
      <w:tr w:rsidR="00F64068" w14:paraId="706FC9A3" w14:textId="77777777" w:rsidTr="00F64068">
        <w:tc>
          <w:tcPr>
            <w:tcW w:w="704" w:type="dxa"/>
            <w:hideMark/>
          </w:tcPr>
          <w:p w14:paraId="0B3EB4D1" w14:textId="77777777" w:rsidR="00F64068" w:rsidRDefault="00F64068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III.-</w:t>
            </w:r>
          </w:p>
        </w:tc>
        <w:tc>
          <w:tcPr>
            <w:tcW w:w="3827" w:type="dxa"/>
            <w:hideMark/>
          </w:tcPr>
          <w:p w14:paraId="7FAB79E2" w14:textId="77777777" w:rsidR="00F64068" w:rsidRDefault="00F64068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Contribuciones de mejoras;</w:t>
            </w:r>
          </w:p>
        </w:tc>
      </w:tr>
      <w:tr w:rsidR="00F64068" w14:paraId="69D6959E" w14:textId="77777777" w:rsidTr="00F64068">
        <w:tc>
          <w:tcPr>
            <w:tcW w:w="704" w:type="dxa"/>
            <w:hideMark/>
          </w:tcPr>
          <w:p w14:paraId="0B9759D8" w14:textId="77777777" w:rsidR="00F64068" w:rsidRDefault="00F64068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IV.-</w:t>
            </w:r>
          </w:p>
        </w:tc>
        <w:tc>
          <w:tcPr>
            <w:tcW w:w="3827" w:type="dxa"/>
            <w:hideMark/>
          </w:tcPr>
          <w:p w14:paraId="485E6F09" w14:textId="77777777" w:rsidR="00F64068" w:rsidRDefault="00F64068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Productos;</w:t>
            </w:r>
          </w:p>
        </w:tc>
      </w:tr>
      <w:tr w:rsidR="00F64068" w14:paraId="03EC9420" w14:textId="77777777" w:rsidTr="00F64068">
        <w:tc>
          <w:tcPr>
            <w:tcW w:w="704" w:type="dxa"/>
            <w:hideMark/>
          </w:tcPr>
          <w:p w14:paraId="6836B712" w14:textId="77777777" w:rsidR="00F64068" w:rsidRDefault="00F64068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V.-</w:t>
            </w:r>
          </w:p>
        </w:tc>
        <w:tc>
          <w:tcPr>
            <w:tcW w:w="3827" w:type="dxa"/>
            <w:hideMark/>
          </w:tcPr>
          <w:p w14:paraId="161A243A" w14:textId="77777777" w:rsidR="00F64068" w:rsidRDefault="00F64068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Aprovechamientos;</w:t>
            </w:r>
          </w:p>
        </w:tc>
      </w:tr>
      <w:tr w:rsidR="00F64068" w14:paraId="511040F4" w14:textId="77777777" w:rsidTr="00F64068">
        <w:tc>
          <w:tcPr>
            <w:tcW w:w="704" w:type="dxa"/>
            <w:hideMark/>
          </w:tcPr>
          <w:p w14:paraId="25FB34F1" w14:textId="77777777" w:rsidR="00F64068" w:rsidRDefault="00F64068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VI.-</w:t>
            </w:r>
          </w:p>
        </w:tc>
        <w:tc>
          <w:tcPr>
            <w:tcW w:w="3827" w:type="dxa"/>
            <w:hideMark/>
          </w:tcPr>
          <w:p w14:paraId="312AC690" w14:textId="77777777" w:rsidR="00F64068" w:rsidRDefault="00F64068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Participaciones federales y estatales;</w:t>
            </w:r>
          </w:p>
        </w:tc>
      </w:tr>
      <w:tr w:rsidR="00F64068" w14:paraId="4E6CC6E8" w14:textId="77777777" w:rsidTr="00F64068">
        <w:tc>
          <w:tcPr>
            <w:tcW w:w="704" w:type="dxa"/>
            <w:hideMark/>
          </w:tcPr>
          <w:p w14:paraId="7798A4C8" w14:textId="77777777" w:rsidR="00F64068" w:rsidRDefault="00F64068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VII.-</w:t>
            </w:r>
          </w:p>
        </w:tc>
        <w:tc>
          <w:tcPr>
            <w:tcW w:w="3827" w:type="dxa"/>
            <w:hideMark/>
          </w:tcPr>
          <w:p w14:paraId="35F68C2F" w14:textId="77777777" w:rsidR="00F64068" w:rsidRDefault="00F64068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Aportaciones, y</w:t>
            </w:r>
          </w:p>
        </w:tc>
      </w:tr>
      <w:tr w:rsidR="00F64068" w14:paraId="55BAE064" w14:textId="77777777" w:rsidTr="00F64068">
        <w:tc>
          <w:tcPr>
            <w:tcW w:w="704" w:type="dxa"/>
            <w:hideMark/>
          </w:tcPr>
          <w:p w14:paraId="3E179856" w14:textId="77777777" w:rsidR="00F64068" w:rsidRDefault="00F64068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VIII.-</w:t>
            </w:r>
          </w:p>
        </w:tc>
        <w:tc>
          <w:tcPr>
            <w:tcW w:w="3827" w:type="dxa"/>
            <w:hideMark/>
          </w:tcPr>
          <w:p w14:paraId="2A3BDDDB" w14:textId="77777777" w:rsidR="00F64068" w:rsidRDefault="00F64068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Ingresos Extraordinarios</w:t>
            </w:r>
          </w:p>
        </w:tc>
      </w:tr>
    </w:tbl>
    <w:p w14:paraId="7D3F4141" w14:textId="77777777" w:rsidR="00F64068" w:rsidRDefault="00F64068" w:rsidP="00F64068">
      <w:pPr>
        <w:pStyle w:val="Textoindependiente"/>
        <w:jc w:val="both"/>
        <w:rPr>
          <w:rFonts w:ascii="Arial" w:hAnsi="Arial" w:cs="Arial"/>
        </w:rPr>
      </w:pPr>
    </w:p>
    <w:p w14:paraId="7EB74E26" w14:textId="77777777" w:rsidR="00F64068" w:rsidRDefault="00F64068" w:rsidP="00F64068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5.- </w:t>
      </w:r>
      <w:r>
        <w:rPr>
          <w:rFonts w:ascii="Arial" w:hAnsi="Arial" w:cs="Arial"/>
        </w:rPr>
        <w:t xml:space="preserve">Los ingresos que la Tesorería Municipal de </w:t>
      </w:r>
      <w:proofErr w:type="spellStart"/>
      <w:r>
        <w:rPr>
          <w:rFonts w:ascii="Arial" w:hAnsi="Arial" w:cs="Arial"/>
        </w:rPr>
        <w:t>Temax</w:t>
      </w:r>
      <w:proofErr w:type="spellEnd"/>
      <w:r>
        <w:rPr>
          <w:rFonts w:ascii="Arial" w:hAnsi="Arial" w:cs="Arial"/>
        </w:rPr>
        <w:t xml:space="preserve">, Yucatán calcula recaudar durante el </w:t>
      </w:r>
      <w:r>
        <w:rPr>
          <w:rFonts w:ascii="Arial" w:hAnsi="Arial" w:cs="Arial"/>
        </w:rPr>
        <w:lastRenderedPageBreak/>
        <w:t>Ejercicio Fiscal del año 2025, en concepto de Impuestos, son los siguientes:</w:t>
      </w:r>
    </w:p>
    <w:p w14:paraId="593E0B9A" w14:textId="77777777" w:rsidR="00F64068" w:rsidRDefault="00F64068" w:rsidP="00F64068">
      <w:pPr>
        <w:pStyle w:val="Textoindependiente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2"/>
        <w:gridCol w:w="1425"/>
      </w:tblGrid>
      <w:tr w:rsidR="00F64068" w:rsidRPr="00F64068" w14:paraId="38FB3524" w14:textId="77777777" w:rsidTr="00F64068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F05918E" w14:textId="77777777" w:rsidR="00F64068" w:rsidRPr="00F64068" w:rsidRDefault="00F64068" w:rsidP="00F640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640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Impuestos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DAE0F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640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1,512,110.00</w:t>
            </w:r>
          </w:p>
        </w:tc>
      </w:tr>
      <w:tr w:rsidR="00F64068" w:rsidRPr="00F64068" w14:paraId="1BFC4148" w14:textId="77777777" w:rsidTr="00F64068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68B1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sobre los ingresos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1422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225,996.00</w:t>
            </w:r>
          </w:p>
        </w:tc>
      </w:tr>
      <w:tr w:rsidR="00F64068" w:rsidRPr="00F64068" w14:paraId="4AF1F091" w14:textId="77777777" w:rsidTr="00F64068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3455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sobre el patrimonio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7E2B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354,945.00</w:t>
            </w:r>
          </w:p>
        </w:tc>
      </w:tr>
      <w:tr w:rsidR="00F64068" w:rsidRPr="00F64068" w14:paraId="2EF039E4" w14:textId="77777777" w:rsidTr="00F64068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C650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sobre la producción, el consumo y las transacciones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CA86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931,169.00</w:t>
            </w:r>
          </w:p>
        </w:tc>
      </w:tr>
      <w:tr w:rsidR="00F64068" w:rsidRPr="00F64068" w14:paraId="355F18F7" w14:textId="77777777" w:rsidTr="00F64068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B70B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al comercio exterior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B52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F64068" w:rsidRPr="00F64068" w14:paraId="21554697" w14:textId="77777777" w:rsidTr="00F64068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7CD8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sobre Nóminas y Asimilables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E63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F64068" w:rsidRPr="00F64068" w14:paraId="7270660A" w14:textId="77777777" w:rsidTr="00F64068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48A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Ecológicos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8921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F64068" w:rsidRPr="00F64068" w14:paraId="770DABD4" w14:textId="77777777" w:rsidTr="00F64068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9088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Accesorios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97D6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F64068" w:rsidRPr="00F64068" w14:paraId="7BFC8BFD" w14:textId="77777777" w:rsidTr="00F64068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E1F8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Impuestos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CDF8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F64068" w:rsidRPr="00F64068" w14:paraId="47A13CE5" w14:textId="77777777" w:rsidTr="00F64068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7481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3BA1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16780AC8" w14:textId="77777777" w:rsidR="00F64068" w:rsidRDefault="00F64068" w:rsidP="00F64068">
      <w:pPr>
        <w:pStyle w:val="Textoindependiente"/>
        <w:rPr>
          <w:rFonts w:ascii="Arial" w:hAnsi="Arial" w:cs="Arial"/>
        </w:rPr>
      </w:pPr>
    </w:p>
    <w:p w14:paraId="16424631" w14:textId="77777777" w:rsidR="00F64068" w:rsidRDefault="00F64068" w:rsidP="00F64068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6.- </w:t>
      </w:r>
      <w:r>
        <w:rPr>
          <w:rFonts w:ascii="Arial" w:hAnsi="Arial" w:cs="Arial"/>
        </w:rPr>
        <w:t xml:space="preserve">Los ingresos que la Tesorería Municipal de </w:t>
      </w:r>
      <w:proofErr w:type="spellStart"/>
      <w:r>
        <w:rPr>
          <w:rFonts w:ascii="Arial" w:hAnsi="Arial" w:cs="Arial"/>
        </w:rPr>
        <w:t>Temax</w:t>
      </w:r>
      <w:proofErr w:type="spellEnd"/>
      <w:r>
        <w:rPr>
          <w:rFonts w:ascii="Arial" w:hAnsi="Arial" w:cs="Arial"/>
        </w:rPr>
        <w:t>, Yucatán calcula recaudar durante el Ejercicio Fiscal del año 2025, en concepto de Derechos, son los siguientes:</w:t>
      </w:r>
    </w:p>
    <w:p w14:paraId="078B8DBC" w14:textId="77777777" w:rsidR="00F64068" w:rsidRDefault="00F64068" w:rsidP="00F64068">
      <w:pPr>
        <w:pStyle w:val="Textoindependiente"/>
        <w:jc w:val="both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2"/>
        <w:gridCol w:w="1425"/>
      </w:tblGrid>
      <w:tr w:rsidR="00F64068" w:rsidRPr="00F64068" w14:paraId="1C6CC71C" w14:textId="77777777" w:rsidTr="00F64068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30301B2" w14:textId="77777777" w:rsidR="00F64068" w:rsidRPr="00F64068" w:rsidRDefault="00F64068" w:rsidP="00F640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640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Derechos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4F08A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640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7,957,702.00</w:t>
            </w:r>
          </w:p>
        </w:tc>
      </w:tr>
      <w:tr w:rsidR="00F64068" w:rsidRPr="00F64068" w14:paraId="3C79A46C" w14:textId="77777777" w:rsidTr="00F64068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4302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624C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36,267.00</w:t>
            </w:r>
          </w:p>
        </w:tc>
      </w:tr>
      <w:tr w:rsidR="00F64068" w:rsidRPr="00F64068" w14:paraId="66A7EEC3" w14:textId="77777777" w:rsidTr="00F64068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A086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 por prestación de servicios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ED9F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F64068" w:rsidRPr="00F64068" w14:paraId="3B52594B" w14:textId="77777777" w:rsidTr="00F64068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8E4C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Derechos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E32F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F64068" w:rsidRPr="00F64068" w14:paraId="1D06E013" w14:textId="77777777" w:rsidTr="00F64068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5634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Accesorios de derechos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FF6D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6,834,149.00</w:t>
            </w:r>
          </w:p>
        </w:tc>
      </w:tr>
      <w:tr w:rsidR="00F64068" w:rsidRPr="00F64068" w14:paraId="4647DCB1" w14:textId="77777777" w:rsidTr="00F64068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0CD3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BEEA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1,082,804.00</w:t>
            </w:r>
          </w:p>
        </w:tc>
      </w:tr>
    </w:tbl>
    <w:p w14:paraId="30CCC510" w14:textId="77777777" w:rsidR="00F64068" w:rsidRDefault="00F64068" w:rsidP="00F64068">
      <w:pPr>
        <w:pStyle w:val="Textoindependiente"/>
        <w:spacing w:line="360" w:lineRule="auto"/>
        <w:rPr>
          <w:rFonts w:ascii="Arial" w:hAnsi="Arial" w:cs="Arial"/>
        </w:rPr>
      </w:pPr>
    </w:p>
    <w:p w14:paraId="3AB0D31E" w14:textId="77777777" w:rsidR="00F64068" w:rsidRDefault="00F64068" w:rsidP="00F64068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7.- </w:t>
      </w:r>
      <w:r>
        <w:rPr>
          <w:rFonts w:ascii="Arial" w:hAnsi="Arial" w:cs="Arial"/>
        </w:rPr>
        <w:t xml:space="preserve">Los ingresos que la tesorería Municipal de </w:t>
      </w:r>
      <w:proofErr w:type="spellStart"/>
      <w:r>
        <w:rPr>
          <w:rFonts w:ascii="Arial" w:hAnsi="Arial" w:cs="Arial"/>
        </w:rPr>
        <w:t>Temax</w:t>
      </w:r>
      <w:proofErr w:type="spellEnd"/>
      <w:r>
        <w:rPr>
          <w:rFonts w:ascii="Arial" w:hAnsi="Arial" w:cs="Arial"/>
        </w:rPr>
        <w:t>, Yucatán calcula recaudar durante el Ejercicio Fiscal del año 2025, en concepto de Contribuciones de Mejoras, son los siguientes:</w:t>
      </w:r>
    </w:p>
    <w:p w14:paraId="2C9FE819" w14:textId="77777777" w:rsidR="00F64068" w:rsidRDefault="00F64068" w:rsidP="00F64068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27"/>
      </w:tblGrid>
      <w:tr w:rsidR="00F64068" w:rsidRPr="00F64068" w14:paraId="2004FEFF" w14:textId="77777777" w:rsidTr="00F64068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8EBAF0F" w14:textId="77777777" w:rsidR="00F64068" w:rsidRPr="00F64068" w:rsidRDefault="00F64068" w:rsidP="00F640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640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Contribuciones de mejoras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7AF83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640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7,811.00</w:t>
            </w:r>
          </w:p>
        </w:tc>
      </w:tr>
      <w:tr w:rsidR="00F64068" w:rsidRPr="00F64068" w14:paraId="4ECDEA0E" w14:textId="77777777" w:rsidTr="00F64068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3E45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Contribución de mejoras por obras públicas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E1C3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7,811.00</w:t>
            </w:r>
          </w:p>
        </w:tc>
      </w:tr>
      <w:tr w:rsidR="00F64068" w:rsidRPr="00F64068" w14:paraId="07CA8160" w14:textId="77777777" w:rsidTr="00F64068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EA5C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AC02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5B857EAE" w14:textId="77777777" w:rsidR="00F64068" w:rsidRDefault="00F64068" w:rsidP="00F64068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B59BC91" w14:textId="77777777" w:rsidR="00F64068" w:rsidRDefault="00F64068" w:rsidP="00F64068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8.- </w:t>
      </w:r>
      <w:r>
        <w:rPr>
          <w:rFonts w:ascii="Arial" w:hAnsi="Arial" w:cs="Arial"/>
        </w:rPr>
        <w:t xml:space="preserve">Los ingreso que la Tesorería Municipal de </w:t>
      </w:r>
      <w:proofErr w:type="spellStart"/>
      <w:r>
        <w:rPr>
          <w:rFonts w:ascii="Arial" w:hAnsi="Arial" w:cs="Arial"/>
        </w:rPr>
        <w:t>Temax</w:t>
      </w:r>
      <w:proofErr w:type="spellEnd"/>
      <w:r>
        <w:rPr>
          <w:rFonts w:ascii="Arial" w:hAnsi="Arial" w:cs="Arial"/>
        </w:rPr>
        <w:t>, Yucatán calcula recaudar durante el Ejercicio Fiscal del año 2025, en concepto de Productos, son los siguientes:</w:t>
      </w:r>
    </w:p>
    <w:p w14:paraId="2CA3DAF9" w14:textId="77777777" w:rsidR="00F64068" w:rsidRDefault="00F64068" w:rsidP="00F64068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27"/>
      </w:tblGrid>
      <w:tr w:rsidR="00F64068" w:rsidRPr="00F64068" w14:paraId="0CFA15D0" w14:textId="77777777" w:rsidTr="00F64068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CA32CEF" w14:textId="77777777" w:rsidR="00F64068" w:rsidRPr="00F64068" w:rsidRDefault="00F64068" w:rsidP="00F640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640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Productos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FA8C4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640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1,479.00</w:t>
            </w:r>
          </w:p>
        </w:tc>
      </w:tr>
      <w:tr w:rsidR="00F64068" w:rsidRPr="00F64068" w14:paraId="4AF153D2" w14:textId="77777777" w:rsidTr="00F64068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7F49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1298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1,479.00</w:t>
            </w:r>
          </w:p>
        </w:tc>
      </w:tr>
      <w:tr w:rsidR="00F64068" w:rsidRPr="00F64068" w14:paraId="5854A316" w14:textId="77777777" w:rsidTr="00F64068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69D8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530A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6C0CC64D" w14:textId="77777777" w:rsidR="00F64068" w:rsidRDefault="00F64068" w:rsidP="00F64068">
      <w:pPr>
        <w:pStyle w:val="Textoindependiente"/>
        <w:spacing w:line="360" w:lineRule="auto"/>
        <w:rPr>
          <w:rFonts w:ascii="Arial" w:hAnsi="Arial" w:cs="Arial"/>
        </w:rPr>
      </w:pPr>
    </w:p>
    <w:p w14:paraId="4120715B" w14:textId="77777777" w:rsidR="00F64068" w:rsidRDefault="00F64068" w:rsidP="00F64068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9.- </w:t>
      </w:r>
      <w:r>
        <w:rPr>
          <w:rFonts w:ascii="Arial" w:hAnsi="Arial" w:cs="Arial"/>
        </w:rPr>
        <w:t xml:space="preserve">Los ingresos que la Tesorería Municipal de </w:t>
      </w:r>
      <w:proofErr w:type="spellStart"/>
      <w:r>
        <w:rPr>
          <w:rFonts w:ascii="Arial" w:hAnsi="Arial" w:cs="Arial"/>
        </w:rPr>
        <w:t>Temax</w:t>
      </w:r>
      <w:proofErr w:type="spellEnd"/>
      <w:r>
        <w:rPr>
          <w:rFonts w:ascii="Arial" w:hAnsi="Arial" w:cs="Arial"/>
        </w:rPr>
        <w:t>, Yucatán, calcula recaudar durante el Ejercicio Fiscal del año 2025, en concepto de Aprovechamientos, son los siguientes:</w:t>
      </w:r>
    </w:p>
    <w:p w14:paraId="14A993CB" w14:textId="77777777" w:rsidR="00F64068" w:rsidRDefault="00F64068" w:rsidP="00F64068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27"/>
      </w:tblGrid>
      <w:tr w:rsidR="00F64068" w:rsidRPr="00F64068" w14:paraId="284F4FA7" w14:textId="77777777" w:rsidTr="00F64068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8E8A1AE" w14:textId="77777777" w:rsidR="00F64068" w:rsidRPr="00F64068" w:rsidRDefault="00F64068" w:rsidP="00F640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640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Aprovechamientos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F5226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640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F64068" w:rsidRPr="00F64068" w14:paraId="65C8BF99" w14:textId="77777777" w:rsidTr="00F64068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76F7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Aprovechamientos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852C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F64068" w:rsidRPr="00F64068" w14:paraId="15656901" w14:textId="77777777" w:rsidTr="00F64068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4FE2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Aprovechamientos patrimoniales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823E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F64068" w:rsidRPr="00F64068" w14:paraId="5822A219" w14:textId="77777777" w:rsidTr="00F64068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152A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Accesorios de aprovechamientos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E93D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F64068" w:rsidRPr="00F64068" w14:paraId="4F9EA82B" w14:textId="77777777" w:rsidTr="00F64068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8A39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9130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5C2C2C02" w14:textId="77777777" w:rsidR="00F64068" w:rsidRDefault="00F64068" w:rsidP="00F64068">
      <w:pPr>
        <w:pStyle w:val="Textoindependiente"/>
        <w:spacing w:line="360" w:lineRule="auto"/>
        <w:rPr>
          <w:rFonts w:ascii="Arial" w:hAnsi="Arial" w:cs="Arial"/>
        </w:rPr>
      </w:pPr>
    </w:p>
    <w:p w14:paraId="25A1275D" w14:textId="77777777" w:rsidR="00F64068" w:rsidRDefault="00F64068" w:rsidP="00F64068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10.- </w:t>
      </w:r>
      <w:r>
        <w:rPr>
          <w:rFonts w:ascii="Arial" w:hAnsi="Arial" w:cs="Arial"/>
        </w:rPr>
        <w:t xml:space="preserve">Los ingresos que la Tesorería Municipal de </w:t>
      </w:r>
      <w:proofErr w:type="spellStart"/>
      <w:r>
        <w:rPr>
          <w:rFonts w:ascii="Arial" w:hAnsi="Arial" w:cs="Arial"/>
        </w:rPr>
        <w:t>Temax</w:t>
      </w:r>
      <w:proofErr w:type="spellEnd"/>
      <w:r>
        <w:rPr>
          <w:rFonts w:ascii="Arial" w:hAnsi="Arial" w:cs="Arial"/>
        </w:rPr>
        <w:t>, Yucatán calcula recaudar durante el Ejercicio Fiscal del año 2025, en concepto de Participaciones y Aportaciones, son los siguientes:</w:t>
      </w:r>
    </w:p>
    <w:p w14:paraId="326FDE12" w14:textId="77777777" w:rsidR="00F64068" w:rsidRDefault="00F64068" w:rsidP="00F64068">
      <w:pPr>
        <w:pStyle w:val="Textoindependiente"/>
        <w:jc w:val="both"/>
        <w:rPr>
          <w:rFonts w:ascii="Arial" w:hAnsi="Arial" w:cs="Arial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8"/>
        <w:gridCol w:w="284"/>
        <w:gridCol w:w="1420"/>
      </w:tblGrid>
      <w:tr w:rsidR="00F64068" w14:paraId="720A2B41" w14:textId="77777777" w:rsidTr="00F64068">
        <w:trPr>
          <w:trHeight w:val="2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8A736BA" w14:textId="77777777" w:rsidR="00F64068" w:rsidRDefault="00F6406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 y Aportaciones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1EB3D6A" w14:textId="77777777" w:rsidR="00F64068" w:rsidRDefault="00F6406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FB5B2" w14:textId="2AEA1E29" w:rsidR="00F64068" w:rsidRDefault="00FF11AC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45</w:t>
            </w:r>
            <w:r w:rsidR="00F640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,570,916.00</w:t>
            </w:r>
          </w:p>
        </w:tc>
      </w:tr>
      <w:tr w:rsidR="00F64068" w14:paraId="5186D5CB" w14:textId="77777777" w:rsidTr="00F64068">
        <w:trPr>
          <w:trHeight w:val="2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2A424B" w14:textId="77777777" w:rsidR="00F64068" w:rsidRPr="00F64068" w:rsidRDefault="00F6406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ab/>
              <w:t>Participaciones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3DFD74" w14:textId="77777777" w:rsidR="00F64068" w:rsidRDefault="00F6406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12C8C" w14:textId="7ED549AA" w:rsidR="00F64068" w:rsidRDefault="00F64068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23,106,402.00</w:t>
            </w:r>
          </w:p>
        </w:tc>
      </w:tr>
      <w:tr w:rsidR="00F64068" w14:paraId="67F5EAED" w14:textId="77777777" w:rsidTr="00F64068">
        <w:trPr>
          <w:trHeight w:val="2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C4ABE8" w14:textId="77777777" w:rsidR="00F64068" w:rsidRPr="00F64068" w:rsidRDefault="00F64068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6406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&gt; Participaciones Federales y Estatales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03B0FB" w14:textId="77777777" w:rsidR="00F64068" w:rsidRDefault="00F6406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974E3" w14:textId="64D8DC7C" w:rsidR="00F64068" w:rsidRDefault="00F64068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23,106,402.00</w:t>
            </w:r>
          </w:p>
        </w:tc>
      </w:tr>
      <w:tr w:rsidR="00F64068" w14:paraId="27D31741" w14:textId="77777777" w:rsidTr="00F64068">
        <w:trPr>
          <w:trHeight w:val="2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42645B" w14:textId="77777777" w:rsidR="00F64068" w:rsidRPr="00F64068" w:rsidRDefault="00F6406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ab/>
              <w:t xml:space="preserve">Aportaciones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10E43A" w14:textId="77777777" w:rsidR="00F64068" w:rsidRDefault="00F6406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077DD" w14:textId="211AD9DC" w:rsidR="00F64068" w:rsidRDefault="00F64068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22,464,514.00</w:t>
            </w:r>
          </w:p>
        </w:tc>
      </w:tr>
      <w:tr w:rsidR="00F64068" w14:paraId="6F99F68E" w14:textId="77777777" w:rsidTr="00F64068">
        <w:trPr>
          <w:trHeight w:val="2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2FD467" w14:textId="77777777" w:rsidR="00F64068" w:rsidRPr="00F64068" w:rsidRDefault="00F64068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6406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&gt; Fondo de Aportaciones para la Infraestructura Social </w:t>
            </w:r>
            <w:r w:rsidRPr="00F6406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6406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6406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6406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Municipal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F471AD" w14:textId="77777777" w:rsidR="00F64068" w:rsidRDefault="00F6406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9AFCB" w14:textId="00A5F4E8" w:rsidR="00F64068" w:rsidRDefault="00F64068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640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15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Pr="00F640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828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Pr="00F640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038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64068" w14:paraId="5DB5C450" w14:textId="77777777" w:rsidTr="00F64068">
        <w:trPr>
          <w:trHeight w:val="2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949083" w14:textId="77777777" w:rsidR="00F64068" w:rsidRPr="00F64068" w:rsidRDefault="00F64068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6406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&gt; Fondo de Aportaciones para el Fortalecimiento Municipal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78ACDB" w14:textId="77777777" w:rsidR="00F64068" w:rsidRDefault="00F6406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C4166" w14:textId="67B72036" w:rsidR="00F64068" w:rsidRDefault="00F64068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640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Pr="00F640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636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Pr="00F640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476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64068" w14:paraId="301CBE6D" w14:textId="77777777" w:rsidTr="00F64068">
        <w:trPr>
          <w:trHeight w:val="2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391E3C" w14:textId="77777777" w:rsidR="00F64068" w:rsidRPr="00F64068" w:rsidRDefault="00F6406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ab/>
              <w:t>Convenios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49B03A" w14:textId="77777777" w:rsidR="00F64068" w:rsidRDefault="00F6406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A5F09" w14:textId="77777777" w:rsidR="00F64068" w:rsidRDefault="00F64068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0,000.00</w:t>
            </w:r>
          </w:p>
        </w:tc>
      </w:tr>
      <w:tr w:rsidR="00F64068" w14:paraId="4647A184" w14:textId="77777777" w:rsidTr="00F64068">
        <w:trPr>
          <w:trHeight w:val="2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C2337D" w14:textId="77777777" w:rsidR="00F64068" w:rsidRPr="00F64068" w:rsidRDefault="00F64068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6406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&gt; Con la Federación o el Estado: </w:t>
            </w:r>
            <w:proofErr w:type="spellStart"/>
            <w:r w:rsidRPr="00F6406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Habitat</w:t>
            </w:r>
            <w:proofErr w:type="spellEnd"/>
            <w:r w:rsidRPr="00F6406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, Tu Casa, 3x1 </w:t>
            </w:r>
            <w:r w:rsidRPr="00F6406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6406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6406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migrantes, Rescate de Espacios Públicos, </w:t>
            </w:r>
            <w:proofErr w:type="spellStart"/>
            <w:r w:rsidRPr="00F6406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Subsemun</w:t>
            </w:r>
            <w:proofErr w:type="spellEnd"/>
            <w:r w:rsidRPr="00F6406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, entre </w:t>
            </w:r>
            <w:r w:rsidRPr="00F6406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6406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6406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otros.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3E1EBA" w14:textId="77777777" w:rsidR="00F64068" w:rsidRDefault="00F6406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D70A8" w14:textId="77777777" w:rsidR="00F64068" w:rsidRDefault="00F64068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0,000.00</w:t>
            </w:r>
          </w:p>
        </w:tc>
      </w:tr>
    </w:tbl>
    <w:p w14:paraId="450C1F8B" w14:textId="77777777" w:rsidR="00F64068" w:rsidRDefault="00F64068" w:rsidP="00F64068">
      <w:pPr>
        <w:pStyle w:val="Textoindependiente"/>
        <w:jc w:val="both"/>
        <w:rPr>
          <w:rFonts w:ascii="Arial" w:hAnsi="Arial" w:cs="Arial"/>
        </w:rPr>
      </w:pPr>
    </w:p>
    <w:p w14:paraId="7D22E21F" w14:textId="1E2490E2" w:rsidR="00F64068" w:rsidRDefault="00F64068" w:rsidP="00F64068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11.- </w:t>
      </w:r>
      <w:r>
        <w:rPr>
          <w:rFonts w:ascii="Arial" w:hAnsi="Arial" w:cs="Arial"/>
        </w:rPr>
        <w:t xml:space="preserve">Los ingresos que la Tesorería Municipal de </w:t>
      </w:r>
      <w:proofErr w:type="spellStart"/>
      <w:r>
        <w:rPr>
          <w:rFonts w:ascii="Arial" w:hAnsi="Arial" w:cs="Arial"/>
        </w:rPr>
        <w:t>Temax</w:t>
      </w:r>
      <w:proofErr w:type="spellEnd"/>
      <w:r>
        <w:rPr>
          <w:rFonts w:ascii="Arial" w:hAnsi="Arial" w:cs="Arial"/>
        </w:rPr>
        <w:t>, Yucatán, calcula recaudar durante el Ejercicio Fiscal del año 2025, en concepto de Ingresos Extraordinarios, son los siguientes:</w:t>
      </w:r>
    </w:p>
    <w:p w14:paraId="7BD6FE46" w14:textId="01E5AAE9" w:rsidR="00F64068" w:rsidRDefault="00F64068" w:rsidP="00F64068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5"/>
        <w:gridCol w:w="1242"/>
      </w:tblGrid>
      <w:tr w:rsidR="00F64068" w:rsidRPr="00F64068" w14:paraId="3BE94C10" w14:textId="77777777" w:rsidTr="00F64068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B923F" w14:textId="77777777" w:rsidR="00F64068" w:rsidRPr="00F64068" w:rsidRDefault="00F64068" w:rsidP="00F640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por ventas de bienes, prestaciones de servicios y otros ingresos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65A0C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640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135,797.00</w:t>
            </w:r>
          </w:p>
        </w:tc>
      </w:tr>
      <w:tr w:rsidR="00F64068" w:rsidRPr="00F64068" w14:paraId="4E620BC0" w14:textId="77777777" w:rsidTr="00F64068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C327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por venta de bienes y </w:t>
            </w:r>
            <w:proofErr w:type="spellStart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prestacion</w:t>
            </w:r>
            <w:proofErr w:type="spellEnd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servicios de instituciones </w:t>
            </w:r>
            <w:proofErr w:type="spellStart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publicas</w:t>
            </w:r>
            <w:proofErr w:type="spellEnd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seguridad social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71A2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135,797.00</w:t>
            </w:r>
          </w:p>
        </w:tc>
      </w:tr>
      <w:tr w:rsidR="00F64068" w:rsidRPr="00F64068" w14:paraId="16B2C44F" w14:textId="77777777" w:rsidTr="00F64068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9932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por venta de bienes y </w:t>
            </w:r>
            <w:proofErr w:type="spellStart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prestacion</w:t>
            </w:r>
            <w:proofErr w:type="spellEnd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servicio de empresas productivas del estado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E1D7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F64068" w:rsidRPr="00F64068" w14:paraId="0E79D98A" w14:textId="77777777" w:rsidTr="00F64068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BDF3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por venta de bienes y </w:t>
            </w:r>
            <w:proofErr w:type="spellStart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prestacion</w:t>
            </w:r>
            <w:proofErr w:type="spellEnd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servicios de entidades paraestatales y fideicomisos no empresariales y no financieros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F669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F64068" w:rsidRPr="00F64068" w14:paraId="41A547F2" w14:textId="77777777" w:rsidTr="00F64068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29DE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por venta de bienes y </w:t>
            </w:r>
            <w:proofErr w:type="spellStart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prestacion</w:t>
            </w:r>
            <w:proofErr w:type="spellEnd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servicios de entidades paraestatales empresariales no financieras con </w:t>
            </w:r>
            <w:proofErr w:type="spellStart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paticipacion</w:t>
            </w:r>
            <w:proofErr w:type="spellEnd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estatal mayoritaria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2655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F64068" w:rsidRPr="00F64068" w14:paraId="0647A569" w14:textId="77777777" w:rsidTr="00F64068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EA2C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por venta de bienes y </w:t>
            </w:r>
            <w:proofErr w:type="spellStart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prestacion</w:t>
            </w:r>
            <w:proofErr w:type="spellEnd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servicios de entidades paraestatales empresariales financieras monetarias  con </w:t>
            </w:r>
            <w:proofErr w:type="spellStart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paticipacion</w:t>
            </w:r>
            <w:proofErr w:type="spellEnd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estatal mayoritaria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A354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F64068" w:rsidRPr="00F64068" w14:paraId="4E93731B" w14:textId="77777777" w:rsidTr="00F64068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6319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por venta de bienes y </w:t>
            </w:r>
            <w:proofErr w:type="spellStart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prestacion</w:t>
            </w:r>
            <w:proofErr w:type="spellEnd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servicios de entidades paraestatales empresariales financieras no monetarias con </w:t>
            </w:r>
            <w:proofErr w:type="spellStart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</w:t>
            </w:r>
            <w:proofErr w:type="spellEnd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estatal mayoritaria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612B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F64068" w:rsidRPr="00F64068" w14:paraId="76F7CC1D" w14:textId="77777777" w:rsidTr="00F64068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AD67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por venta de bienes y </w:t>
            </w:r>
            <w:proofErr w:type="spellStart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prwestacion</w:t>
            </w:r>
            <w:proofErr w:type="spellEnd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servicios de fideicomisos financieros </w:t>
            </w:r>
            <w:proofErr w:type="spellStart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publicos</w:t>
            </w:r>
            <w:proofErr w:type="spellEnd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con </w:t>
            </w:r>
            <w:proofErr w:type="spellStart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</w:t>
            </w:r>
            <w:proofErr w:type="spellEnd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estatal </w:t>
            </w:r>
            <w:proofErr w:type="spellStart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mayoriteria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ECAF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F64068" w:rsidRPr="00F64068" w14:paraId="1E550F7E" w14:textId="77777777" w:rsidTr="00F64068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6CDF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por venta de bienes y </w:t>
            </w:r>
            <w:proofErr w:type="spellStart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prestacion</w:t>
            </w:r>
            <w:proofErr w:type="spellEnd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servicios de los poderes legislativo y judicial y de los </w:t>
            </w:r>
            <w:proofErr w:type="spellStart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organos</w:t>
            </w:r>
            <w:proofErr w:type="spellEnd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autonomos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7610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F64068" w:rsidRPr="00F64068" w14:paraId="424F118A" w14:textId="77777777" w:rsidTr="00F64068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19C8" w14:textId="77777777" w:rsidR="00F64068" w:rsidRPr="00F64068" w:rsidRDefault="00F64068" w:rsidP="00F6406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ventas de bienes y servicios producidos en establecimientos del Gobierno Central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F2A8" w14:textId="77777777" w:rsidR="00F64068" w:rsidRPr="00F64068" w:rsidRDefault="00F64068" w:rsidP="00F64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4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62DA5A46" w14:textId="77777777" w:rsidR="00F64068" w:rsidRDefault="00F64068" w:rsidP="00F64068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3E49BC2B" w14:textId="14A11465" w:rsidR="00F64068" w:rsidRDefault="00F64068" w:rsidP="00F64068">
      <w:pPr>
        <w:pStyle w:val="Textoindependiente"/>
        <w:rPr>
          <w:rFonts w:ascii="Arial" w:hAnsi="Arial" w:cs="Arial"/>
        </w:rPr>
      </w:pPr>
    </w:p>
    <w:p w14:paraId="02982C3B" w14:textId="22E57621" w:rsidR="00FF11AC" w:rsidRDefault="00FF11AC" w:rsidP="00F64068">
      <w:pPr>
        <w:pStyle w:val="Textoindependiente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27"/>
      </w:tblGrid>
      <w:tr w:rsidR="00FF11AC" w:rsidRPr="00FF11AC" w14:paraId="53719871" w14:textId="77777777" w:rsidTr="00FF11AC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93FE9" w14:textId="77777777" w:rsidR="00FF11AC" w:rsidRPr="00FF11AC" w:rsidRDefault="00FF11AC" w:rsidP="00FF11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11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Transferencias, Asignaciones, Subsidios y subvenciones, y pensiones y jubilaciones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5A396" w14:textId="77777777" w:rsidR="00FF11AC" w:rsidRPr="00FF11AC" w:rsidRDefault="00FF11AC" w:rsidP="00FF11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F11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FF11AC" w:rsidRPr="00FF11AC" w14:paraId="40792FBF" w14:textId="77777777" w:rsidTr="00FF11A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16EB" w14:textId="77777777" w:rsidR="00FF11AC" w:rsidRPr="00FF11AC" w:rsidRDefault="00FF11AC" w:rsidP="00FF11A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F11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Transferenias</w:t>
            </w:r>
            <w:proofErr w:type="spellEnd"/>
            <w:r w:rsidRPr="00FF11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asignaciones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167B" w14:textId="77777777" w:rsidR="00FF11AC" w:rsidRPr="00FF11AC" w:rsidRDefault="00FF11AC" w:rsidP="00FF1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1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F11AC" w:rsidRPr="00FF11AC" w14:paraId="55770E93" w14:textId="77777777" w:rsidTr="00FF11A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7BAC" w14:textId="77777777" w:rsidR="00FF11AC" w:rsidRPr="00FF11AC" w:rsidRDefault="00FF11AC" w:rsidP="00FF11A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11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1B53" w14:textId="77777777" w:rsidR="00FF11AC" w:rsidRPr="00FF11AC" w:rsidRDefault="00FF11AC" w:rsidP="00FF1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1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F11AC" w:rsidRPr="00FF11AC" w14:paraId="43F19C60" w14:textId="77777777" w:rsidTr="00FF11A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0BEC" w14:textId="77777777" w:rsidR="00FF11AC" w:rsidRPr="00FF11AC" w:rsidRDefault="00FF11AC" w:rsidP="00FF11A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11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Pensiones y Jubilaciones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3381" w14:textId="77777777" w:rsidR="00FF11AC" w:rsidRPr="00FF11AC" w:rsidRDefault="00FF11AC" w:rsidP="00FF1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1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F11AC" w:rsidRPr="00FF11AC" w14:paraId="58748394" w14:textId="77777777" w:rsidTr="00FF11A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F7C7" w14:textId="77777777" w:rsidR="00FF11AC" w:rsidRPr="00FF11AC" w:rsidRDefault="00FF11AC" w:rsidP="00FF11A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11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Fideicomisos, mandatos y análogos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4C29" w14:textId="77777777" w:rsidR="00FF11AC" w:rsidRPr="00FF11AC" w:rsidRDefault="00FF11AC" w:rsidP="00FF1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1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14:paraId="57F18749" w14:textId="77777777" w:rsidR="00FF11AC" w:rsidRDefault="00FF11AC" w:rsidP="00F64068">
      <w:pPr>
        <w:pStyle w:val="Textoindependiente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27"/>
      </w:tblGrid>
      <w:tr w:rsidR="00FF11AC" w:rsidRPr="00FF11AC" w14:paraId="3EDE3497" w14:textId="77777777" w:rsidTr="00FF11AC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F8E3F" w14:textId="77777777" w:rsidR="00FF11AC" w:rsidRPr="00FF11AC" w:rsidRDefault="00FF11AC" w:rsidP="00FF11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11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derivados de Financiamientos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103DE" w14:textId="77777777" w:rsidR="00FF11AC" w:rsidRPr="00FF11AC" w:rsidRDefault="00FF11AC" w:rsidP="00FF11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F11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FF11AC" w:rsidRPr="00FF11AC" w14:paraId="74C12CAE" w14:textId="77777777" w:rsidTr="00FF11A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4FA2" w14:textId="77777777" w:rsidR="00FF11AC" w:rsidRPr="00FF11AC" w:rsidRDefault="00FF11AC" w:rsidP="00FF11A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11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Endeudamiento interno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DE54" w14:textId="77777777" w:rsidR="00FF11AC" w:rsidRPr="00FF11AC" w:rsidRDefault="00FF11AC" w:rsidP="00FF1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11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FF11AC" w:rsidRPr="00FF11AC" w14:paraId="6D896990" w14:textId="77777777" w:rsidTr="00FF11A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0C44" w14:textId="77777777" w:rsidR="00FF11AC" w:rsidRPr="00FF11AC" w:rsidRDefault="00FF11AC" w:rsidP="00FF11A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11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Endeudamiento externo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6CAF" w14:textId="77777777" w:rsidR="00FF11AC" w:rsidRPr="00FF11AC" w:rsidRDefault="00FF11AC" w:rsidP="00FF1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11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FF11AC" w:rsidRPr="00FF11AC" w14:paraId="2B50CF4F" w14:textId="77777777" w:rsidTr="00FF11AC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9A0B" w14:textId="77777777" w:rsidR="00FF11AC" w:rsidRPr="00FF11AC" w:rsidRDefault="00FF11AC" w:rsidP="00FF11A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11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Financiamiento Interno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8504" w14:textId="77777777" w:rsidR="00FF11AC" w:rsidRPr="00FF11AC" w:rsidRDefault="00FF11AC" w:rsidP="00FF1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11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0E6D0D6C" w14:textId="5980BEEF" w:rsidR="00F64068" w:rsidRDefault="00F64068" w:rsidP="00F64068">
      <w:pPr>
        <w:pStyle w:val="Textoindependiente"/>
        <w:spacing w:line="360" w:lineRule="auto"/>
        <w:rPr>
          <w:rFonts w:ascii="Arial" w:hAnsi="Arial" w:cs="Arial"/>
        </w:rPr>
      </w:pPr>
    </w:p>
    <w:p w14:paraId="3B29B456" w14:textId="77777777" w:rsidR="00FF11AC" w:rsidRDefault="00FF11AC" w:rsidP="00F64068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7227"/>
        <w:gridCol w:w="249"/>
        <w:gridCol w:w="1734"/>
      </w:tblGrid>
      <w:tr w:rsidR="00F64068" w14:paraId="69A40693" w14:textId="77777777" w:rsidTr="00F64068">
        <w:trPr>
          <w:trHeight w:val="654"/>
        </w:trPr>
        <w:tc>
          <w:tcPr>
            <w:tcW w:w="7230" w:type="dxa"/>
            <w:hideMark/>
          </w:tcPr>
          <w:p w14:paraId="08A8AA2D" w14:textId="77777777" w:rsidR="00F64068" w:rsidRDefault="00F64068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DE INGRESOS QUE EL MUNICIPIO DE TEMAX, YUCATÁN PERCIBIRÁ DURANTE EL EJERCICIO FISCAL 2025, ASCENDERÁ A: </w:t>
            </w:r>
          </w:p>
        </w:tc>
        <w:tc>
          <w:tcPr>
            <w:tcW w:w="249" w:type="dxa"/>
          </w:tcPr>
          <w:p w14:paraId="49952DD4" w14:textId="77777777" w:rsidR="00F64068" w:rsidRDefault="00F64068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14:paraId="7B0C01AB" w14:textId="77777777" w:rsidR="00F64068" w:rsidRDefault="00F64068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</w:p>
          <w:p w14:paraId="16A8ED4B" w14:textId="5171DAB2" w:rsidR="00F64068" w:rsidRDefault="00F64068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FF11AC">
              <w:rPr>
                <w:rFonts w:ascii="Arial" w:hAnsi="Arial" w:cs="Arial"/>
                <w:b/>
              </w:rPr>
              <w:t>55</w:t>
            </w:r>
            <w:r>
              <w:rPr>
                <w:rFonts w:ascii="Arial" w:hAnsi="Arial" w:cs="Arial"/>
                <w:b/>
              </w:rPr>
              <w:t>,</w:t>
            </w:r>
            <w:r w:rsidR="00FF11AC">
              <w:rPr>
                <w:rFonts w:ascii="Arial" w:hAnsi="Arial" w:cs="Arial"/>
                <w:b/>
              </w:rPr>
              <w:t>185</w:t>
            </w:r>
            <w:r>
              <w:rPr>
                <w:rFonts w:ascii="Arial" w:hAnsi="Arial" w:cs="Arial"/>
                <w:b/>
              </w:rPr>
              <w:t>,</w:t>
            </w:r>
            <w:r w:rsidR="00FF11AC">
              <w:rPr>
                <w:rFonts w:ascii="Arial" w:hAnsi="Arial" w:cs="Arial"/>
                <w:b/>
              </w:rPr>
              <w:t>815</w:t>
            </w:r>
            <w:r>
              <w:rPr>
                <w:rFonts w:ascii="Arial" w:hAnsi="Arial" w:cs="Arial"/>
                <w:b/>
              </w:rPr>
              <w:t>.00</w:t>
            </w:r>
          </w:p>
        </w:tc>
      </w:tr>
    </w:tbl>
    <w:p w14:paraId="6EC450A0" w14:textId="77777777" w:rsidR="008A183B" w:rsidRDefault="008A183B" w:rsidP="008A183B">
      <w:pPr>
        <w:pStyle w:val="Textoindependiente"/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MX"/>
        </w:rPr>
      </w:pPr>
    </w:p>
    <w:p w14:paraId="4E8081CF" w14:textId="7C55F33F" w:rsidR="008A183B" w:rsidRDefault="008A183B" w:rsidP="008A183B">
      <w:pPr>
        <w:pStyle w:val="Textoindependiente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A183B">
        <w:rPr>
          <w:rFonts w:asciiTheme="minorHAnsi" w:hAnsiTheme="minorHAnsi" w:cs="Arial"/>
          <w:b/>
          <w:sz w:val="24"/>
          <w:szCs w:val="24"/>
        </w:rPr>
        <w:t>Artículo</w:t>
      </w:r>
      <w:r w:rsidRPr="008A183B">
        <w:rPr>
          <w:rFonts w:asciiTheme="minorHAnsi" w:hAnsiTheme="minorHAnsi" w:cs="Arial"/>
          <w:b/>
          <w:spacing w:val="14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b/>
          <w:sz w:val="24"/>
          <w:szCs w:val="24"/>
        </w:rPr>
        <w:t>12.-</w:t>
      </w:r>
      <w:r w:rsidRPr="008A183B">
        <w:rPr>
          <w:rFonts w:asciiTheme="minorHAnsi" w:hAnsiTheme="minorHAnsi" w:cs="Arial"/>
          <w:b/>
          <w:spacing w:val="14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Las</w:t>
      </w:r>
      <w:r w:rsidRPr="008A183B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contribuciones</w:t>
      </w:r>
      <w:r w:rsidRPr="008A183B">
        <w:rPr>
          <w:rFonts w:asciiTheme="minorHAnsi" w:hAnsiTheme="minorHAnsi" w:cs="Arial"/>
          <w:spacing w:val="13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causadas</w:t>
      </w:r>
      <w:r w:rsidRPr="008A183B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en</w:t>
      </w:r>
      <w:r w:rsidRPr="008A183B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ejercicios</w:t>
      </w:r>
      <w:r w:rsidRPr="008A183B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fiscales</w:t>
      </w:r>
      <w:r w:rsidRPr="008A183B">
        <w:rPr>
          <w:rFonts w:asciiTheme="minorHAnsi" w:hAnsiTheme="minorHAnsi" w:cs="Arial"/>
          <w:spacing w:val="15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anteriores,</w:t>
      </w:r>
      <w:r w:rsidRPr="008A183B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pendientes</w:t>
      </w:r>
      <w:r w:rsidRPr="008A183B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de</w:t>
      </w:r>
      <w:r w:rsidRPr="008A183B">
        <w:rPr>
          <w:rFonts w:asciiTheme="minorHAnsi" w:hAnsiTheme="minorHAnsi" w:cs="Arial"/>
          <w:spacing w:val="13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liquidación,</w:t>
      </w:r>
      <w:r w:rsidRPr="008A183B">
        <w:rPr>
          <w:rFonts w:asciiTheme="minorHAnsi" w:hAnsiTheme="minorHAnsi" w:cs="Arial"/>
          <w:spacing w:val="-53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o pago se cubrirán de conformidad con las disposiciones legales que rigieron en la época en que se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causaron.</w:t>
      </w:r>
    </w:p>
    <w:p w14:paraId="0861B219" w14:textId="77777777" w:rsidR="008A183B" w:rsidRPr="008A183B" w:rsidRDefault="008A183B" w:rsidP="008A183B">
      <w:pPr>
        <w:pStyle w:val="Textoindependiente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300D1EB" w14:textId="26FA2673" w:rsidR="008A183B" w:rsidRDefault="008A183B" w:rsidP="008A183B">
      <w:pPr>
        <w:pStyle w:val="Textoindependiente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A183B">
        <w:rPr>
          <w:rFonts w:asciiTheme="minorHAnsi" w:hAnsiTheme="minorHAnsi" w:cs="Arial"/>
          <w:b/>
          <w:sz w:val="24"/>
          <w:szCs w:val="24"/>
        </w:rPr>
        <w:t>Artículo</w:t>
      </w:r>
      <w:r w:rsidRPr="008A183B">
        <w:rPr>
          <w:rFonts w:asciiTheme="minorHAnsi" w:hAnsiTheme="minorHAnsi" w:cs="Arial"/>
          <w:b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b/>
          <w:sz w:val="24"/>
          <w:szCs w:val="24"/>
        </w:rPr>
        <w:t>13.-</w:t>
      </w:r>
      <w:r w:rsidRPr="008A183B">
        <w:rPr>
          <w:rFonts w:asciiTheme="minorHAnsi" w:hAnsiTheme="minorHAnsi" w:cs="Arial"/>
          <w:b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El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pago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de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las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contribuciones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se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acreditará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con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el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recibo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oficial</w:t>
      </w:r>
      <w:r w:rsidRPr="008A183B">
        <w:rPr>
          <w:rFonts w:asciiTheme="minorHAnsi" w:hAnsiTheme="minorHAnsi" w:cs="Arial"/>
          <w:spacing w:val="55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expedido</w:t>
      </w:r>
      <w:r w:rsidRPr="008A183B">
        <w:rPr>
          <w:rFonts w:asciiTheme="minorHAnsi" w:hAnsiTheme="minorHAnsi" w:cs="Arial"/>
          <w:spacing w:val="56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por</w:t>
      </w:r>
      <w:r w:rsidRPr="008A183B">
        <w:rPr>
          <w:rFonts w:asciiTheme="minorHAnsi" w:hAnsiTheme="minorHAnsi" w:cs="Arial"/>
          <w:spacing w:val="55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la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Tesorería</w:t>
      </w:r>
      <w:r w:rsidRPr="008A183B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del</w:t>
      </w:r>
      <w:r w:rsidRPr="008A183B">
        <w:rPr>
          <w:rFonts w:asciiTheme="minorHAnsi" w:hAnsiTheme="minorHAnsi" w:cs="Arial"/>
          <w:spacing w:val="15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Municipio</w:t>
      </w:r>
      <w:r w:rsidRPr="008A183B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de</w:t>
      </w:r>
      <w:r w:rsidRPr="008A183B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proofErr w:type="spellStart"/>
      <w:r w:rsidRPr="008A183B">
        <w:rPr>
          <w:rFonts w:asciiTheme="minorHAnsi" w:hAnsiTheme="minorHAnsi" w:cs="Arial"/>
          <w:sz w:val="24"/>
          <w:szCs w:val="24"/>
        </w:rPr>
        <w:t>Temax</w:t>
      </w:r>
      <w:proofErr w:type="spellEnd"/>
      <w:r w:rsidRPr="008A183B">
        <w:rPr>
          <w:rFonts w:asciiTheme="minorHAnsi" w:hAnsiTheme="minorHAnsi" w:cs="Arial"/>
          <w:sz w:val="24"/>
          <w:szCs w:val="24"/>
        </w:rPr>
        <w:t>,</w:t>
      </w:r>
      <w:r w:rsidRPr="008A183B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Yucatán</w:t>
      </w:r>
      <w:r w:rsidRPr="008A183B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o</w:t>
      </w:r>
      <w:r w:rsidRPr="008A183B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con</w:t>
      </w:r>
      <w:r w:rsidRPr="008A183B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los</w:t>
      </w:r>
      <w:r w:rsidRPr="008A183B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formatos</w:t>
      </w:r>
      <w:r w:rsidRPr="008A183B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de</w:t>
      </w:r>
      <w:r w:rsidRPr="008A183B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declaración</w:t>
      </w:r>
      <w:r w:rsidRPr="008A183B">
        <w:rPr>
          <w:rFonts w:asciiTheme="minorHAnsi" w:hAnsiTheme="minorHAnsi" w:cs="Arial"/>
          <w:spacing w:val="15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sellados</w:t>
      </w:r>
      <w:r w:rsidRPr="008A183B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y</w:t>
      </w:r>
      <w:r w:rsidRPr="008A183B">
        <w:rPr>
          <w:rFonts w:asciiTheme="minorHAnsi" w:hAnsiTheme="minorHAnsi" w:cs="Arial"/>
          <w:spacing w:val="17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tarjados</w:t>
      </w:r>
      <w:r w:rsidRPr="008A183B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por</w:t>
      </w:r>
      <w:r w:rsidRPr="008A183B">
        <w:rPr>
          <w:rFonts w:asciiTheme="minorHAnsi" w:hAnsiTheme="minorHAnsi" w:cs="Arial"/>
          <w:spacing w:val="-53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la</w:t>
      </w:r>
      <w:r w:rsidRPr="008A183B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misma</w:t>
      </w:r>
      <w:r w:rsidRPr="008A183B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Tesorería</w:t>
      </w:r>
      <w:r w:rsidRPr="008A183B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o</w:t>
      </w:r>
      <w:r w:rsidRPr="008A183B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por</w:t>
      </w:r>
      <w:r w:rsidRPr="008A183B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las</w:t>
      </w:r>
      <w:r w:rsidRPr="008A183B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Instituciones</w:t>
      </w:r>
      <w:r w:rsidRPr="008A183B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bancarias</w:t>
      </w:r>
      <w:r w:rsidRPr="008A183B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autorizadas</w:t>
      </w:r>
      <w:r w:rsidRPr="008A183B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para</w:t>
      </w:r>
      <w:r w:rsidRPr="008A183B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tal</w:t>
      </w:r>
      <w:r w:rsidRPr="008A183B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efecto.</w:t>
      </w:r>
    </w:p>
    <w:p w14:paraId="65A1DA8C" w14:textId="77777777" w:rsidR="008A183B" w:rsidRPr="008A183B" w:rsidRDefault="008A183B" w:rsidP="008A183B">
      <w:pPr>
        <w:pStyle w:val="Textoindependiente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181F78B" w14:textId="77777777" w:rsidR="008A183B" w:rsidRPr="008A183B" w:rsidRDefault="008A183B" w:rsidP="008A183B">
      <w:pPr>
        <w:pStyle w:val="Textoindependiente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A183B">
        <w:rPr>
          <w:rFonts w:asciiTheme="minorHAnsi" w:hAnsiTheme="minorHAnsi" w:cs="Arial"/>
          <w:b/>
          <w:sz w:val="24"/>
          <w:szCs w:val="24"/>
        </w:rPr>
        <w:t xml:space="preserve">Artículo 14.- </w:t>
      </w:r>
      <w:r w:rsidRPr="008A183B">
        <w:rPr>
          <w:rFonts w:asciiTheme="minorHAnsi" w:hAnsiTheme="minorHAnsi" w:cs="Arial"/>
          <w:sz w:val="24"/>
          <w:szCs w:val="24"/>
        </w:rPr>
        <w:t>Las contribuciones se causarán, liquidarán y recaudarán en los términos de la Ley de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 xml:space="preserve">Hacienda para el Municipio de </w:t>
      </w:r>
      <w:proofErr w:type="spellStart"/>
      <w:r w:rsidRPr="008A183B">
        <w:rPr>
          <w:rFonts w:asciiTheme="minorHAnsi" w:hAnsiTheme="minorHAnsi" w:cs="Arial"/>
          <w:sz w:val="24"/>
          <w:szCs w:val="24"/>
        </w:rPr>
        <w:t>Temax</w:t>
      </w:r>
      <w:proofErr w:type="spellEnd"/>
      <w:r w:rsidRPr="008A183B">
        <w:rPr>
          <w:rFonts w:asciiTheme="minorHAnsi" w:hAnsiTheme="minorHAnsi" w:cs="Arial"/>
          <w:sz w:val="24"/>
          <w:szCs w:val="24"/>
        </w:rPr>
        <w:t xml:space="preserve"> Yucatán, y a falta de disposición procedimental expresa, se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aplicarán supletoriamente el Código Fiscal del Estado de Yucatán y el Código Fiscal de la Federación,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respectivamente.</w:t>
      </w:r>
    </w:p>
    <w:p w14:paraId="32025ACD" w14:textId="77777777" w:rsidR="008A183B" w:rsidRPr="008A183B" w:rsidRDefault="008A183B" w:rsidP="008A183B">
      <w:pPr>
        <w:pStyle w:val="Textoindependiente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F623301" w14:textId="77777777" w:rsidR="008A183B" w:rsidRPr="008A183B" w:rsidRDefault="008A183B" w:rsidP="008A183B">
      <w:pPr>
        <w:pStyle w:val="Textoindependiente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A183B">
        <w:rPr>
          <w:rFonts w:asciiTheme="minorHAnsi" w:hAnsiTheme="minorHAnsi" w:cs="Arial"/>
          <w:b/>
          <w:sz w:val="24"/>
          <w:szCs w:val="24"/>
        </w:rPr>
        <w:t>Artículo</w:t>
      </w:r>
      <w:r w:rsidRPr="008A183B">
        <w:rPr>
          <w:rFonts w:asciiTheme="minorHAnsi" w:hAnsiTheme="minorHAnsi" w:cs="Arial"/>
          <w:b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b/>
          <w:sz w:val="24"/>
          <w:szCs w:val="24"/>
        </w:rPr>
        <w:t>15.-</w:t>
      </w:r>
      <w:r w:rsidRPr="008A183B">
        <w:rPr>
          <w:rFonts w:asciiTheme="minorHAnsi" w:hAnsiTheme="minorHAnsi" w:cs="Arial"/>
          <w:b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El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Ayuntamiento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de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proofErr w:type="spellStart"/>
      <w:r w:rsidRPr="008A183B">
        <w:rPr>
          <w:rFonts w:asciiTheme="minorHAnsi" w:hAnsiTheme="minorHAnsi" w:cs="Arial"/>
          <w:sz w:val="24"/>
          <w:szCs w:val="24"/>
        </w:rPr>
        <w:t>Temax</w:t>
      </w:r>
      <w:proofErr w:type="spellEnd"/>
      <w:r w:rsidRPr="008A183B">
        <w:rPr>
          <w:rFonts w:asciiTheme="minorHAnsi" w:hAnsiTheme="minorHAnsi" w:cs="Arial"/>
          <w:sz w:val="24"/>
          <w:szCs w:val="24"/>
        </w:rPr>
        <w:t>,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Yucatán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podrá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celebrar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con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el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Gobierno</w:t>
      </w:r>
      <w:r w:rsidRPr="008A183B">
        <w:rPr>
          <w:rFonts w:asciiTheme="minorHAnsi" w:hAnsiTheme="minorHAnsi" w:cs="Arial"/>
          <w:spacing w:val="55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Estatal</w:t>
      </w:r>
      <w:r w:rsidRPr="008A183B">
        <w:rPr>
          <w:rFonts w:asciiTheme="minorHAnsi" w:hAnsiTheme="minorHAnsi" w:cs="Arial"/>
          <w:spacing w:val="56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los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convenios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necesarios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para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coordinarse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administrativamente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en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las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funciones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de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recaudación,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comprobación,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determinación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y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cobranza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de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las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contribuciones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y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créditos</w:t>
      </w:r>
      <w:r w:rsidRPr="008A183B">
        <w:rPr>
          <w:rFonts w:asciiTheme="minorHAnsi" w:hAnsiTheme="minorHAnsi" w:cs="Arial"/>
          <w:spacing w:val="55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fiscales</w:t>
      </w:r>
      <w:r w:rsidRPr="008A183B">
        <w:rPr>
          <w:rFonts w:asciiTheme="minorHAnsi" w:hAnsiTheme="minorHAnsi" w:cs="Arial"/>
          <w:spacing w:val="56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estatales</w:t>
      </w:r>
      <w:r w:rsidRPr="008A183B">
        <w:rPr>
          <w:rFonts w:asciiTheme="minorHAnsi" w:hAnsiTheme="minorHAnsi" w:cs="Arial"/>
          <w:spacing w:val="55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y</w:t>
      </w:r>
      <w:r w:rsidRPr="008A183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A183B">
        <w:rPr>
          <w:rFonts w:asciiTheme="minorHAnsi" w:hAnsiTheme="minorHAnsi" w:cs="Arial"/>
          <w:sz w:val="24"/>
          <w:szCs w:val="24"/>
        </w:rPr>
        <w:t>federales.</w:t>
      </w:r>
    </w:p>
    <w:p w14:paraId="154B809D" w14:textId="77777777" w:rsidR="008A183B" w:rsidRPr="008A183B" w:rsidRDefault="008A183B" w:rsidP="008A183B">
      <w:pPr>
        <w:pStyle w:val="Textoindependiente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C91B2F2" w14:textId="77777777" w:rsidR="008A183B" w:rsidRPr="008A183B" w:rsidRDefault="008A183B" w:rsidP="008A183B">
      <w:pPr>
        <w:spacing w:line="360" w:lineRule="auto"/>
        <w:jc w:val="center"/>
        <w:rPr>
          <w:rFonts w:cs="Arial"/>
          <w:b/>
          <w:sz w:val="24"/>
          <w:szCs w:val="24"/>
          <w:lang w:val="pt-BR"/>
        </w:rPr>
      </w:pPr>
      <w:bookmarkStart w:id="0" w:name="_GoBack"/>
      <w:r w:rsidRPr="008A183B">
        <w:rPr>
          <w:rFonts w:cs="Arial"/>
          <w:b/>
          <w:sz w:val="24"/>
          <w:szCs w:val="24"/>
          <w:lang w:val="pt-BR"/>
        </w:rPr>
        <w:t>T R A N S I T O R I O</w:t>
      </w:r>
    </w:p>
    <w:bookmarkEnd w:id="0"/>
    <w:p w14:paraId="4C8AB253" w14:textId="77777777" w:rsidR="008A183B" w:rsidRPr="008A183B" w:rsidRDefault="008A183B" w:rsidP="008A183B">
      <w:pPr>
        <w:pStyle w:val="Textoindependiente"/>
        <w:spacing w:line="360" w:lineRule="auto"/>
        <w:jc w:val="both"/>
        <w:rPr>
          <w:rFonts w:asciiTheme="minorHAnsi" w:hAnsiTheme="minorHAnsi" w:cs="Arial"/>
          <w:b/>
          <w:sz w:val="24"/>
          <w:szCs w:val="24"/>
          <w:lang w:val="pt-BR"/>
        </w:rPr>
      </w:pPr>
    </w:p>
    <w:p w14:paraId="6D075CD0" w14:textId="7FE7EDC5" w:rsidR="008A183B" w:rsidRPr="008A183B" w:rsidRDefault="008A183B" w:rsidP="008A183B">
      <w:pPr>
        <w:spacing w:line="360" w:lineRule="auto"/>
        <w:jc w:val="both"/>
        <w:rPr>
          <w:sz w:val="24"/>
          <w:szCs w:val="24"/>
        </w:rPr>
      </w:pPr>
      <w:r w:rsidRPr="008A183B">
        <w:rPr>
          <w:rFonts w:cs="Arial"/>
          <w:b/>
          <w:sz w:val="24"/>
          <w:szCs w:val="24"/>
        </w:rPr>
        <w:t xml:space="preserve">Artículo </w:t>
      </w:r>
      <w:proofErr w:type="gramStart"/>
      <w:r w:rsidRPr="008A183B">
        <w:rPr>
          <w:rFonts w:cs="Arial"/>
          <w:b/>
          <w:sz w:val="24"/>
          <w:szCs w:val="24"/>
        </w:rPr>
        <w:t>Único.-</w:t>
      </w:r>
      <w:proofErr w:type="gramEnd"/>
      <w:r w:rsidRPr="008A183B">
        <w:rPr>
          <w:rFonts w:cs="Arial"/>
          <w:b/>
          <w:sz w:val="24"/>
          <w:szCs w:val="24"/>
        </w:rPr>
        <w:t xml:space="preserve"> </w:t>
      </w:r>
      <w:r w:rsidRPr="008A183B">
        <w:rPr>
          <w:rFonts w:cs="Arial"/>
          <w:sz w:val="24"/>
          <w:szCs w:val="24"/>
        </w:rPr>
        <w:t>Para poder percibir aprovechamientos vía infracciones por faltas administrativas, el</w:t>
      </w:r>
      <w:r w:rsidRPr="008A183B">
        <w:rPr>
          <w:rFonts w:cs="Arial"/>
          <w:spacing w:val="1"/>
          <w:sz w:val="24"/>
          <w:szCs w:val="24"/>
        </w:rPr>
        <w:t xml:space="preserve"> </w:t>
      </w:r>
      <w:r w:rsidRPr="008A183B">
        <w:rPr>
          <w:rFonts w:cs="Arial"/>
          <w:sz w:val="24"/>
          <w:szCs w:val="24"/>
        </w:rPr>
        <w:t>Ayuntamiento deberá contar con los reglamentos municipales respectivos, los que establecerán los</w:t>
      </w:r>
      <w:r w:rsidRPr="008A183B">
        <w:rPr>
          <w:rFonts w:cs="Arial"/>
          <w:spacing w:val="1"/>
          <w:sz w:val="24"/>
          <w:szCs w:val="24"/>
        </w:rPr>
        <w:t xml:space="preserve"> </w:t>
      </w:r>
      <w:r w:rsidRPr="008A183B">
        <w:rPr>
          <w:rFonts w:cs="Arial"/>
          <w:sz w:val="24"/>
          <w:szCs w:val="24"/>
        </w:rPr>
        <w:t>montos</w:t>
      </w:r>
      <w:r w:rsidRPr="008A183B">
        <w:rPr>
          <w:rFonts w:cs="Arial"/>
          <w:spacing w:val="-2"/>
          <w:sz w:val="24"/>
          <w:szCs w:val="24"/>
        </w:rPr>
        <w:t xml:space="preserve"> </w:t>
      </w:r>
      <w:r w:rsidRPr="008A183B">
        <w:rPr>
          <w:rFonts w:cs="Arial"/>
          <w:sz w:val="24"/>
          <w:szCs w:val="24"/>
        </w:rPr>
        <w:t>de</w:t>
      </w:r>
      <w:r w:rsidRPr="008A183B">
        <w:rPr>
          <w:rFonts w:cs="Arial"/>
          <w:spacing w:val="-1"/>
          <w:sz w:val="24"/>
          <w:szCs w:val="24"/>
        </w:rPr>
        <w:t xml:space="preserve"> </w:t>
      </w:r>
      <w:r w:rsidRPr="008A183B">
        <w:rPr>
          <w:rFonts w:cs="Arial"/>
          <w:sz w:val="24"/>
          <w:szCs w:val="24"/>
        </w:rPr>
        <w:t>las</w:t>
      </w:r>
      <w:r w:rsidRPr="008A183B">
        <w:rPr>
          <w:rFonts w:cs="Arial"/>
          <w:spacing w:val="-1"/>
          <w:sz w:val="24"/>
          <w:szCs w:val="24"/>
        </w:rPr>
        <w:t xml:space="preserve"> </w:t>
      </w:r>
      <w:r w:rsidRPr="008A183B">
        <w:rPr>
          <w:rFonts w:cs="Arial"/>
          <w:sz w:val="24"/>
          <w:szCs w:val="24"/>
        </w:rPr>
        <w:t>sanciones</w:t>
      </w:r>
      <w:r w:rsidRPr="008A183B">
        <w:rPr>
          <w:rFonts w:cs="Arial"/>
          <w:spacing w:val="-1"/>
          <w:sz w:val="24"/>
          <w:szCs w:val="24"/>
        </w:rPr>
        <w:t xml:space="preserve"> </w:t>
      </w:r>
      <w:r w:rsidRPr="008A183B">
        <w:rPr>
          <w:rFonts w:cs="Arial"/>
          <w:sz w:val="24"/>
          <w:szCs w:val="24"/>
        </w:rPr>
        <w:t>correspondientes</w:t>
      </w:r>
    </w:p>
    <w:sectPr w:rsidR="008A183B" w:rsidRPr="008A18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68"/>
    <w:rsid w:val="008A183B"/>
    <w:rsid w:val="00F5502B"/>
    <w:rsid w:val="00F64068"/>
    <w:rsid w:val="00FF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EB0D"/>
  <w15:chartTrackingRefBased/>
  <w15:docId w15:val="{A8B61E5F-022A-41E3-BCFF-B7F44189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0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F640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F64068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tuyuk</cp:lastModifiedBy>
  <cp:revision>2</cp:revision>
  <dcterms:created xsi:type="dcterms:W3CDTF">2024-11-22T17:39:00Z</dcterms:created>
  <dcterms:modified xsi:type="dcterms:W3CDTF">2024-11-22T17:39:00Z</dcterms:modified>
</cp:coreProperties>
</file>