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86" w:rsidRPr="00B23828" w:rsidRDefault="008E46E1" w:rsidP="005472C9">
      <w:pPr>
        <w:pStyle w:val="Textoindependiente"/>
        <w:kinsoku w:val="0"/>
        <w:overflowPunct w:val="0"/>
        <w:spacing w:before="0" w:line="360" w:lineRule="auto"/>
        <w:ind w:left="0"/>
        <w:jc w:val="both"/>
        <w:rPr>
          <w:rFonts w:ascii="Arial" w:hAnsi="Arial" w:cs="Arial"/>
          <w:sz w:val="20"/>
          <w:szCs w:val="20"/>
        </w:rPr>
      </w:pPr>
      <w:bookmarkStart w:id="0" w:name="_GoBack"/>
      <w:bookmarkEnd w:id="0"/>
      <w:r>
        <w:rPr>
          <w:rFonts w:ascii="Arial" w:hAnsi="Arial" w:cs="Arial"/>
          <w:b/>
          <w:bCs/>
          <w:sz w:val="20"/>
          <w:szCs w:val="20"/>
        </w:rPr>
        <w:t xml:space="preserve">LI.- </w:t>
      </w:r>
      <w:r w:rsidR="00EF6B86" w:rsidRPr="00B23828">
        <w:rPr>
          <w:rFonts w:ascii="Arial" w:hAnsi="Arial" w:cs="Arial"/>
          <w:b/>
          <w:bCs/>
          <w:sz w:val="20"/>
          <w:szCs w:val="20"/>
        </w:rPr>
        <w:t>LEY DE INGRESOS DEL MUNICIPIO DE MOTUL, YUCATÁN, PARA EL EJERCICIO FISCAL 2023:</w:t>
      </w:r>
    </w:p>
    <w:p w:rsidR="00EF6B86" w:rsidRPr="00B23828" w:rsidRDefault="00EF6B86" w:rsidP="008E46E1">
      <w:pPr>
        <w:pStyle w:val="Textoindependiente"/>
        <w:kinsoku w:val="0"/>
        <w:overflowPunct w:val="0"/>
        <w:spacing w:before="0"/>
        <w:ind w:left="0"/>
        <w:rPr>
          <w:rFonts w:ascii="Arial" w:hAnsi="Arial" w:cs="Arial"/>
          <w:sz w:val="20"/>
          <w:szCs w:val="20"/>
        </w:rPr>
      </w:pPr>
    </w:p>
    <w:p w:rsidR="006F2601" w:rsidRPr="0069601B" w:rsidRDefault="00EF6B86" w:rsidP="005472C9">
      <w:pPr>
        <w:pStyle w:val="Cuerpo"/>
        <w:shd w:val="clear" w:color="auto" w:fill="FFFFFF"/>
        <w:spacing w:line="360" w:lineRule="auto"/>
        <w:jc w:val="center"/>
        <w:rPr>
          <w:rStyle w:val="Ninguno"/>
          <w:rFonts w:ascii="Arial" w:hAnsi="Arial" w:cs="Arial"/>
          <w:b/>
          <w:bCs/>
          <w:sz w:val="20"/>
          <w:szCs w:val="20"/>
        </w:rPr>
      </w:pPr>
      <w:r w:rsidRPr="0069601B">
        <w:rPr>
          <w:rStyle w:val="Ninguno"/>
          <w:rFonts w:ascii="Arial" w:hAnsi="Arial" w:cs="Arial"/>
          <w:b/>
          <w:bCs/>
          <w:sz w:val="20"/>
          <w:szCs w:val="20"/>
        </w:rPr>
        <w:t>CAPÍTULO I</w:t>
      </w:r>
    </w:p>
    <w:p w:rsidR="00F50AA2" w:rsidRPr="0069601B" w:rsidRDefault="00EF6B86" w:rsidP="005472C9">
      <w:pPr>
        <w:pStyle w:val="Cuerpo"/>
        <w:shd w:val="clear" w:color="auto" w:fill="FFFFFF"/>
        <w:spacing w:line="360" w:lineRule="auto"/>
        <w:jc w:val="center"/>
        <w:rPr>
          <w:rStyle w:val="Ninguno"/>
          <w:rFonts w:ascii="Arial" w:eastAsia="Arial" w:hAnsi="Arial" w:cs="Arial"/>
          <w:b/>
          <w:bCs/>
          <w:sz w:val="20"/>
          <w:szCs w:val="20"/>
        </w:rPr>
      </w:pPr>
      <w:r w:rsidRPr="0069601B">
        <w:rPr>
          <w:rStyle w:val="Ninguno"/>
          <w:rFonts w:ascii="Arial" w:hAnsi="Arial" w:cs="Arial"/>
          <w:b/>
          <w:bCs/>
          <w:sz w:val="20"/>
          <w:szCs w:val="20"/>
        </w:rPr>
        <w:t>D</w:t>
      </w:r>
      <w:r w:rsidR="00F6547B">
        <w:rPr>
          <w:rStyle w:val="Ninguno"/>
          <w:rFonts w:ascii="Arial" w:hAnsi="Arial" w:cs="Arial"/>
          <w:b/>
          <w:bCs/>
          <w:sz w:val="20"/>
          <w:szCs w:val="20"/>
        </w:rPr>
        <w:t xml:space="preserve">isposiciones generales </w:t>
      </w:r>
    </w:p>
    <w:p w:rsidR="00F50AA2" w:rsidRPr="0069601B" w:rsidRDefault="00F50AA2" w:rsidP="008E46E1">
      <w:pPr>
        <w:pStyle w:val="Cuerpo"/>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69601B">
        <w:rPr>
          <w:rStyle w:val="Ninguno"/>
          <w:rFonts w:ascii="Arial" w:hAnsi="Arial" w:cs="Arial"/>
          <w:b/>
          <w:bCs/>
          <w:sz w:val="20"/>
          <w:szCs w:val="20"/>
        </w:rPr>
        <w:t>Artículo 1. Objeto</w:t>
      </w:r>
    </w:p>
    <w:p w:rsidR="00F50AA2" w:rsidRPr="00B23828" w:rsidRDefault="0069601B" w:rsidP="005472C9">
      <w:pPr>
        <w:pStyle w:val="Cuerpo"/>
        <w:spacing w:line="360" w:lineRule="auto"/>
        <w:rPr>
          <w:rStyle w:val="Ninguno"/>
          <w:rFonts w:ascii="Arial" w:eastAsia="Arial" w:hAnsi="Arial" w:cs="Arial"/>
          <w:sz w:val="20"/>
          <w:szCs w:val="20"/>
        </w:rPr>
      </w:pPr>
      <w:r>
        <w:rPr>
          <w:rStyle w:val="Ninguno"/>
          <w:rFonts w:ascii="Arial" w:hAnsi="Arial" w:cs="Arial"/>
          <w:sz w:val="20"/>
          <w:szCs w:val="20"/>
        </w:rPr>
        <w:t xml:space="preserve">Esta ley </w:t>
      </w:r>
      <w:r w:rsidR="00F50AA2" w:rsidRPr="00B23828">
        <w:rPr>
          <w:rStyle w:val="Ninguno"/>
          <w:rFonts w:ascii="Arial" w:hAnsi="Arial" w:cs="Arial"/>
          <w:sz w:val="20"/>
          <w:szCs w:val="20"/>
        </w:rPr>
        <w:t xml:space="preserve">tiene por objeto que el municipio de </w:t>
      </w:r>
      <w:proofErr w:type="spellStart"/>
      <w:r w:rsidR="00F50AA2" w:rsidRPr="00B23828">
        <w:rPr>
          <w:rStyle w:val="Ninguno"/>
          <w:rFonts w:ascii="Arial" w:hAnsi="Arial" w:cs="Arial"/>
          <w:sz w:val="20"/>
          <w:szCs w:val="20"/>
        </w:rPr>
        <w:t>Motul</w:t>
      </w:r>
      <w:proofErr w:type="spellEnd"/>
      <w:r w:rsidR="00F50AA2" w:rsidRPr="00B23828">
        <w:rPr>
          <w:rStyle w:val="Ninguno"/>
          <w:rFonts w:ascii="Arial" w:hAnsi="Arial" w:cs="Arial"/>
          <w:sz w:val="20"/>
          <w:szCs w:val="20"/>
        </w:rPr>
        <w:t xml:space="preserve"> cuente con los ingresos que permitan el financiamiento del gasto público local que se autorice en el </w:t>
      </w:r>
      <w:r w:rsidR="00791403">
        <w:rPr>
          <w:rStyle w:val="Ninguno"/>
          <w:rFonts w:ascii="Arial" w:hAnsi="Arial" w:cs="Arial"/>
          <w:sz w:val="20"/>
          <w:szCs w:val="20"/>
        </w:rPr>
        <w:t>p</w:t>
      </w:r>
      <w:r w:rsidR="00F50AA2" w:rsidRPr="00B23828">
        <w:rPr>
          <w:rStyle w:val="Ninguno"/>
          <w:rFonts w:ascii="Arial" w:hAnsi="Arial" w:cs="Arial"/>
          <w:sz w:val="20"/>
          <w:szCs w:val="20"/>
        </w:rPr>
        <w:t xml:space="preserve">resupuesto de </w:t>
      </w:r>
      <w:r w:rsidR="00791403">
        <w:rPr>
          <w:rStyle w:val="Ninguno"/>
          <w:rFonts w:ascii="Arial" w:hAnsi="Arial" w:cs="Arial"/>
          <w:sz w:val="20"/>
          <w:szCs w:val="20"/>
        </w:rPr>
        <w:t>e</w:t>
      </w:r>
      <w:r w:rsidR="00F50AA2" w:rsidRPr="00B23828">
        <w:rPr>
          <w:rStyle w:val="Ninguno"/>
          <w:rFonts w:ascii="Arial" w:hAnsi="Arial" w:cs="Arial"/>
          <w:sz w:val="20"/>
          <w:szCs w:val="20"/>
        </w:rPr>
        <w:t>gresos municipal.</w:t>
      </w:r>
    </w:p>
    <w:p w:rsidR="00F50AA2" w:rsidRPr="00B23828" w:rsidRDefault="00F50AA2" w:rsidP="008E46E1">
      <w:pPr>
        <w:pStyle w:val="Cuerpo"/>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2. Integración de la Hacienda</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Los ingresos municipales se integrarán con los siguientes conceptos: impuestos, derechos, contribuciones de mejoras, productos, aprovechamientos, participaciones, aportaciones e ingresos extraordinarios.</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3. Obligación de contribuir en el gasto público</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Las personas físicas o morales que tengan bienes o celebren actos que surtan efectos en territorio del municipio están obligadas a su contribución fiscal de conformidad con esta ley, la Ley de Hacienda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el Código Fiscal del Estado de Yucatán y demás ordenamientos aplicables de carácter federal, estatal y municipal.</w:t>
      </w:r>
    </w:p>
    <w:p w:rsidR="00F6547B" w:rsidRDefault="00F6547B" w:rsidP="008E46E1">
      <w:pPr>
        <w:pStyle w:val="Cuerpo"/>
        <w:rPr>
          <w:rFonts w:ascii="Arial" w:hAnsi="Arial" w:cs="Arial"/>
          <w:sz w:val="20"/>
          <w:szCs w:val="20"/>
        </w:rPr>
      </w:pPr>
    </w:p>
    <w:p w:rsidR="00F50AA2" w:rsidRPr="00B23828" w:rsidRDefault="00F50AA2" w:rsidP="00F6547B">
      <w:pPr>
        <w:pStyle w:val="Cuerpo"/>
        <w:spacing w:line="360" w:lineRule="auto"/>
        <w:ind w:firstLine="708"/>
        <w:rPr>
          <w:rStyle w:val="Ninguno"/>
          <w:rFonts w:ascii="Arial" w:eastAsia="Arial" w:hAnsi="Arial" w:cs="Arial"/>
          <w:sz w:val="20"/>
          <w:szCs w:val="20"/>
        </w:rPr>
      </w:pPr>
      <w:r w:rsidRPr="00B23828">
        <w:rPr>
          <w:rFonts w:ascii="Arial" w:hAnsi="Arial" w:cs="Arial"/>
          <w:sz w:val="20"/>
          <w:szCs w:val="20"/>
        </w:rPr>
        <w:t>Los organismos públicos de los tres órdenes de gobierno, sean centralizados o entidades paraestatales, así como las personas de derecho público con autonomía están obligados a pagar contribuciones, salvo que alguna legislación o norma los eximan expresamente.</w:t>
      </w:r>
    </w:p>
    <w:p w:rsidR="00F50AA2" w:rsidRPr="00B23828" w:rsidRDefault="00F50AA2" w:rsidP="008E46E1">
      <w:pPr>
        <w:pStyle w:val="Cuerpo"/>
        <w:jc w:val="center"/>
        <w:rPr>
          <w:rStyle w:val="Ninguno"/>
          <w:rFonts w:ascii="Arial" w:eastAsia="Arial" w:hAnsi="Arial" w:cs="Arial"/>
          <w:sz w:val="20"/>
          <w:szCs w:val="20"/>
        </w:rPr>
      </w:pPr>
    </w:p>
    <w:p w:rsidR="006F2601" w:rsidRPr="00F6547B" w:rsidRDefault="005472C9" w:rsidP="005472C9">
      <w:pPr>
        <w:pStyle w:val="Cuerpo"/>
        <w:spacing w:line="360" w:lineRule="auto"/>
        <w:jc w:val="center"/>
        <w:rPr>
          <w:rStyle w:val="Ninguno"/>
          <w:rFonts w:ascii="Arial" w:hAnsi="Arial" w:cs="Arial"/>
          <w:b/>
          <w:bCs/>
          <w:sz w:val="20"/>
          <w:szCs w:val="20"/>
        </w:rPr>
      </w:pPr>
      <w:r w:rsidRPr="00F6547B">
        <w:rPr>
          <w:rStyle w:val="Ninguno"/>
          <w:rFonts w:ascii="Arial" w:hAnsi="Arial" w:cs="Arial"/>
          <w:b/>
          <w:bCs/>
          <w:sz w:val="20"/>
          <w:szCs w:val="20"/>
        </w:rPr>
        <w:t>CAPÍTULO II</w:t>
      </w:r>
    </w:p>
    <w:p w:rsidR="00F50AA2" w:rsidRPr="00B23828" w:rsidRDefault="00F50AA2" w:rsidP="005472C9">
      <w:pPr>
        <w:pStyle w:val="Cuerpo"/>
        <w:spacing w:line="360" w:lineRule="auto"/>
        <w:jc w:val="center"/>
        <w:rPr>
          <w:rStyle w:val="Ninguno"/>
          <w:rFonts w:ascii="Arial" w:eastAsia="Arial" w:hAnsi="Arial" w:cs="Arial"/>
          <w:b/>
          <w:bCs/>
          <w:sz w:val="20"/>
          <w:szCs w:val="20"/>
        </w:rPr>
      </w:pPr>
      <w:r w:rsidRPr="00F6547B">
        <w:rPr>
          <w:rStyle w:val="Ninguno"/>
          <w:rFonts w:ascii="Arial" w:hAnsi="Arial" w:cs="Arial"/>
          <w:b/>
          <w:bCs/>
          <w:sz w:val="20"/>
          <w:szCs w:val="20"/>
        </w:rPr>
        <w:t>Conceptos de ingres</w:t>
      </w:r>
      <w:r w:rsidRPr="00B23828">
        <w:rPr>
          <w:rStyle w:val="Ninguno"/>
          <w:rFonts w:ascii="Arial" w:hAnsi="Arial" w:cs="Arial"/>
          <w:b/>
          <w:bCs/>
          <w:sz w:val="20"/>
          <w:szCs w:val="20"/>
        </w:rPr>
        <w:t>o y sus estimaciones</w:t>
      </w:r>
    </w:p>
    <w:p w:rsidR="00F50AA2" w:rsidRPr="00B23828" w:rsidRDefault="00F50AA2" w:rsidP="008E46E1">
      <w:pPr>
        <w:pStyle w:val="Cuerpo"/>
        <w:jc w:val="center"/>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4. Monto total de ingresos</w:t>
      </w:r>
    </w:p>
    <w:p w:rsidR="00F50AA2" w:rsidRPr="00B23828" w:rsidRDefault="00F50AA2" w:rsidP="005472C9">
      <w:pPr>
        <w:pStyle w:val="Cuerpo"/>
        <w:widowControl w:val="0"/>
        <w:spacing w:line="360" w:lineRule="auto"/>
        <w:rPr>
          <w:rStyle w:val="Ninguno"/>
          <w:rFonts w:ascii="Arial" w:eastAsia="Arial" w:hAnsi="Arial" w:cs="Arial"/>
          <w:bCs/>
          <w:sz w:val="20"/>
          <w:szCs w:val="20"/>
        </w:rPr>
      </w:pPr>
      <w:r w:rsidRPr="00B23828">
        <w:rPr>
          <w:rStyle w:val="Ninguno"/>
          <w:rFonts w:ascii="Arial" w:hAnsi="Arial" w:cs="Arial"/>
          <w:sz w:val="20"/>
          <w:szCs w:val="20"/>
        </w:rPr>
        <w:t xml:space="preserve">El total de ingresos para el ejercicio fiscal 2023 será de </w:t>
      </w:r>
      <w:r w:rsidRPr="00782680">
        <w:rPr>
          <w:rStyle w:val="Ninguno"/>
          <w:rFonts w:ascii="Arial" w:hAnsi="Arial" w:cs="Arial"/>
          <w:b/>
          <w:sz w:val="20"/>
          <w:szCs w:val="20"/>
        </w:rPr>
        <w:t>1</w:t>
      </w:r>
      <w:r w:rsidRPr="00782680">
        <w:rPr>
          <w:rStyle w:val="Ninguno"/>
          <w:rFonts w:ascii="Arial" w:hAnsi="Arial" w:cs="Arial"/>
          <w:b/>
          <w:sz w:val="20"/>
          <w:szCs w:val="20"/>
          <w:lang w:val="es-MX"/>
        </w:rPr>
        <w:t>40</w:t>
      </w:r>
      <w:r w:rsidRPr="00782680">
        <w:rPr>
          <w:rStyle w:val="Ninguno"/>
          <w:rFonts w:ascii="Arial" w:hAnsi="Arial" w:cs="Arial"/>
          <w:b/>
          <w:sz w:val="20"/>
          <w:szCs w:val="20"/>
        </w:rPr>
        <w:t xml:space="preserve"> millones 9</w:t>
      </w:r>
      <w:r w:rsidRPr="00782680">
        <w:rPr>
          <w:rStyle w:val="Ninguno"/>
          <w:rFonts w:ascii="Arial" w:hAnsi="Arial" w:cs="Arial"/>
          <w:b/>
          <w:sz w:val="20"/>
          <w:szCs w:val="20"/>
          <w:lang w:val="es-MX"/>
        </w:rPr>
        <w:t>04</w:t>
      </w:r>
      <w:r w:rsidRPr="00782680">
        <w:rPr>
          <w:rStyle w:val="Ninguno"/>
          <w:rFonts w:ascii="Arial" w:hAnsi="Arial" w:cs="Arial"/>
          <w:b/>
          <w:sz w:val="20"/>
          <w:szCs w:val="20"/>
        </w:rPr>
        <w:t xml:space="preserve"> mil </w:t>
      </w:r>
      <w:r w:rsidRPr="00782680">
        <w:rPr>
          <w:rStyle w:val="Ninguno"/>
          <w:rFonts w:ascii="Arial" w:hAnsi="Arial" w:cs="Arial"/>
          <w:b/>
          <w:sz w:val="20"/>
          <w:szCs w:val="20"/>
          <w:lang w:val="es-MX"/>
        </w:rPr>
        <w:t>50</w:t>
      </w:r>
      <w:r w:rsidRPr="00782680">
        <w:rPr>
          <w:rStyle w:val="Ninguno"/>
          <w:rFonts w:ascii="Arial" w:hAnsi="Arial" w:cs="Arial"/>
          <w:b/>
          <w:sz w:val="20"/>
          <w:szCs w:val="20"/>
        </w:rPr>
        <w:t xml:space="preserve">8 pesos con </w:t>
      </w:r>
      <w:r w:rsidRPr="00782680">
        <w:rPr>
          <w:rStyle w:val="Ninguno"/>
          <w:rFonts w:ascii="Arial" w:hAnsi="Arial" w:cs="Arial"/>
          <w:b/>
          <w:sz w:val="20"/>
          <w:szCs w:val="20"/>
          <w:lang w:val="es-MX"/>
        </w:rPr>
        <w:t>91</w:t>
      </w:r>
      <w:r w:rsidRPr="00782680">
        <w:rPr>
          <w:rStyle w:val="Ninguno"/>
          <w:rFonts w:ascii="Arial" w:hAnsi="Arial" w:cs="Arial"/>
          <w:b/>
          <w:sz w:val="20"/>
          <w:szCs w:val="20"/>
        </w:rPr>
        <w:t xml:space="preserve">  centavos</w:t>
      </w:r>
      <w:r w:rsidRPr="00B23828">
        <w:rPr>
          <w:rStyle w:val="Ninguno"/>
          <w:rFonts w:ascii="Arial" w:hAnsi="Arial" w:cs="Arial"/>
          <w:sz w:val="20"/>
          <w:szCs w:val="20"/>
        </w:rPr>
        <w:t>, moneda nacional</w:t>
      </w:r>
      <w:r w:rsidRPr="00B23828">
        <w:rPr>
          <w:rStyle w:val="Ninguno"/>
          <w:rFonts w:ascii="Arial" w:hAnsi="Arial" w:cs="Arial"/>
          <w:b/>
          <w:bCs/>
          <w:sz w:val="20"/>
          <w:szCs w:val="20"/>
        </w:rPr>
        <w:t>.</w:t>
      </w:r>
    </w:p>
    <w:p w:rsidR="008E46E1" w:rsidRDefault="008E46E1" w:rsidP="008E46E1">
      <w:pPr>
        <w:pStyle w:val="Cuerpo"/>
        <w:rPr>
          <w:rStyle w:val="Ninguno"/>
          <w:rFonts w:ascii="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5. Ingresos del ejercicio fiscal</w:t>
      </w:r>
    </w:p>
    <w:p w:rsidR="00F50AA2" w:rsidRDefault="00F50AA2" w:rsidP="005472C9">
      <w:pPr>
        <w:pStyle w:val="Cuerpo"/>
        <w:spacing w:line="360" w:lineRule="auto"/>
        <w:rPr>
          <w:rStyle w:val="Ninguno"/>
          <w:rFonts w:ascii="Arial" w:hAnsi="Arial" w:cs="Arial"/>
          <w:sz w:val="20"/>
          <w:szCs w:val="20"/>
        </w:rPr>
      </w:pPr>
      <w:r w:rsidRPr="00B23828">
        <w:rPr>
          <w:rStyle w:val="Ninguno"/>
          <w:rFonts w:ascii="Arial" w:hAnsi="Arial" w:cs="Arial"/>
          <w:sz w:val="20"/>
          <w:szCs w:val="20"/>
        </w:rPr>
        <w:t>Los ingresos que el municipio percibiría durante el ejercicio fiscal 2023 serían los provenientes de los rubros, tipos y en las cantidades estimadas que a continuación se describen, de conformidad con las normas del Consejo Nacional de Armonización Contable (CONAC):</w:t>
      </w:r>
    </w:p>
    <w:tbl>
      <w:tblPr>
        <w:tblStyle w:val="Tablaconcuadrcula"/>
        <w:tblW w:w="9111" w:type="dxa"/>
        <w:tblLook w:val="04A0" w:firstRow="1" w:lastRow="0" w:firstColumn="1" w:lastColumn="0" w:noHBand="0" w:noVBand="1"/>
      </w:tblPr>
      <w:tblGrid>
        <w:gridCol w:w="6658"/>
        <w:gridCol w:w="425"/>
        <w:gridCol w:w="2028"/>
      </w:tblGrid>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Total</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140,904,508.91</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 Impuestos </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4,543,880.00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1.1.</w:t>
            </w:r>
            <w:r w:rsidRPr="00B23828">
              <w:rPr>
                <w:rFonts w:ascii="Arial" w:eastAsia="Times New Roman" w:hAnsi="Arial" w:cs="Arial"/>
                <w:color w:val="000000"/>
                <w:sz w:val="20"/>
                <w:szCs w:val="20"/>
                <w:lang w:val="zh-CN"/>
              </w:rPr>
              <w:t xml:space="preserve"> Impuestos</w:t>
            </w:r>
            <w:r w:rsidRPr="00B23828">
              <w:rPr>
                <w:rFonts w:ascii="Arial" w:eastAsia="Times New Roman" w:hAnsi="Arial" w:cs="Arial"/>
                <w:color w:val="000000"/>
                <w:sz w:val="20"/>
                <w:szCs w:val="20"/>
              </w:rPr>
              <w:t xml:space="preserve"> sobre los ingresos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20,000.00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1.1.1. Impuesto sobre espectáculos y diversiones públicas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20,000.00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1.2. Impuestos sobre el patrimonio</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1,913,880.00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1.2.1. Impuesto predial</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1,913,880.00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1.3 Impuesto sobre la producción, el consumo y las transacciones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2,610,000.00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1.3.1. Impuesto sobre adquisición de bienes inmuebles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2,610,000.00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1.7. Accesorios de impuestos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1.7.1. Actualizaciones y recargos de impuestos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1.7.2. Multas de impuestos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1.7.3. Gastos de ejecución de impuestos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BE5A93" w:rsidP="005472C9">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1.8. Otros i</w:t>
            </w:r>
            <w:r w:rsidR="0025629F" w:rsidRPr="00B23828">
              <w:rPr>
                <w:rFonts w:ascii="Arial" w:eastAsia="Times New Roman" w:hAnsi="Arial" w:cs="Arial"/>
                <w:b/>
                <w:bCs/>
                <w:color w:val="000000"/>
                <w:sz w:val="20"/>
                <w:szCs w:val="20"/>
              </w:rPr>
              <w:t>mpuestos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tcPr>
          <w:p w:rsidR="0025629F" w:rsidRPr="00B23828" w:rsidRDefault="0025629F" w:rsidP="00BE5A93">
            <w:pPr>
              <w:spacing w:after="0" w:line="360" w:lineRule="auto"/>
              <w:jc w:val="both"/>
              <w:rPr>
                <w:rFonts w:ascii="Arial" w:eastAsia="Times New Roman" w:hAnsi="Arial" w:cs="Arial"/>
                <w:color w:val="000000"/>
                <w:sz w:val="20"/>
                <w:szCs w:val="20"/>
              </w:rPr>
            </w:pPr>
            <w:r w:rsidRPr="00B23828">
              <w:rPr>
                <w:rFonts w:ascii="Arial" w:eastAsia="Times New Roman" w:hAnsi="Arial" w:cs="Arial"/>
                <w:color w:val="000000"/>
                <w:sz w:val="20"/>
                <w:szCs w:val="20"/>
              </w:rPr>
              <w:t xml:space="preserve">1.9. Impuestos no comprendidos en la </w:t>
            </w:r>
            <w:r w:rsidR="00BE5A93">
              <w:rPr>
                <w:rFonts w:ascii="Arial" w:eastAsia="Times New Roman" w:hAnsi="Arial" w:cs="Arial"/>
                <w:color w:val="000000"/>
                <w:sz w:val="20"/>
                <w:szCs w:val="20"/>
              </w:rPr>
              <w:t>l</w:t>
            </w:r>
            <w:r w:rsidRPr="00B23828">
              <w:rPr>
                <w:rFonts w:ascii="Arial" w:eastAsia="Times New Roman" w:hAnsi="Arial" w:cs="Arial"/>
                <w:color w:val="000000"/>
                <w:sz w:val="20"/>
                <w:szCs w:val="20"/>
              </w:rPr>
              <w:t xml:space="preserve">ey de </w:t>
            </w:r>
            <w:r w:rsidR="00BE5A93">
              <w:rPr>
                <w:rFonts w:ascii="Arial" w:eastAsia="Times New Roman" w:hAnsi="Arial" w:cs="Arial"/>
                <w:color w:val="000000"/>
                <w:sz w:val="20"/>
                <w:szCs w:val="20"/>
              </w:rPr>
              <w:t>i</w:t>
            </w:r>
            <w:r w:rsidRPr="00B23828">
              <w:rPr>
                <w:rFonts w:ascii="Arial" w:eastAsia="Times New Roman" w:hAnsi="Arial" w:cs="Arial"/>
                <w:color w:val="000000"/>
                <w:sz w:val="20"/>
                <w:szCs w:val="20"/>
              </w:rPr>
              <w:t>ngresos vigente, causados en ejercicios fiscales anteriores pendientes de liquidación o pago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2. Cuotas y aportaciones de seguridad social </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3. Contribuciones de mejoras  </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 Derechos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11,859,072.10</w:t>
            </w:r>
          </w:p>
        </w:tc>
      </w:tr>
      <w:tr w:rsidR="0025629F" w:rsidRPr="00B23828" w:rsidTr="00B23828">
        <w:trPr>
          <w:trHeight w:val="20"/>
        </w:trPr>
        <w:tc>
          <w:tcPr>
            <w:tcW w:w="6658" w:type="dxa"/>
          </w:tcPr>
          <w:p w:rsidR="0025629F" w:rsidRPr="00B23828" w:rsidRDefault="0025629F" w:rsidP="00BE5A93">
            <w:pPr>
              <w:spacing w:after="0" w:line="360" w:lineRule="auto"/>
              <w:jc w:val="both"/>
              <w:rPr>
                <w:rFonts w:ascii="Arial" w:eastAsia="Times New Roman" w:hAnsi="Arial" w:cs="Arial"/>
                <w:color w:val="000000"/>
                <w:sz w:val="20"/>
                <w:szCs w:val="20"/>
              </w:rPr>
            </w:pPr>
            <w:r w:rsidRPr="00B23828">
              <w:rPr>
                <w:rFonts w:ascii="Arial" w:eastAsia="Times New Roman" w:hAnsi="Arial" w:cs="Arial"/>
                <w:color w:val="000000"/>
                <w:sz w:val="20"/>
                <w:szCs w:val="20"/>
              </w:rPr>
              <w:t>4.1. Derechos por el uso, goce, aprovechamiento o explotación de bienes del dominio público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100,854.00</w:t>
            </w:r>
          </w:p>
        </w:tc>
      </w:tr>
      <w:tr w:rsidR="0025629F" w:rsidRPr="00B23828" w:rsidTr="00B23828">
        <w:trPr>
          <w:trHeight w:val="20"/>
        </w:trPr>
        <w:tc>
          <w:tcPr>
            <w:tcW w:w="6658" w:type="dxa"/>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4.1.1. Por el uso de locales o pisos de mercados, espacios en la vía o en los parques públicos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72,000.00</w:t>
            </w:r>
          </w:p>
        </w:tc>
      </w:tr>
      <w:tr w:rsidR="0025629F" w:rsidRPr="00B23828" w:rsidTr="00B23828">
        <w:trPr>
          <w:trHeight w:val="20"/>
        </w:trPr>
        <w:tc>
          <w:tcPr>
            <w:tcW w:w="6658" w:type="dxa"/>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4.1.2. Por el uso y aprovechamiento de los bienes de dominio público del patrimonio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28,854.00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4.3. Derechos por prestación de servicios </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8,896,756.50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4.3.1. Servicios de agua potable, drenaje y alcantarillado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5,209,920.00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lastRenderedPageBreak/>
              <w:t>4.3.2. Servicio de alumbrado público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2,266,704.00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4.3.3. Servicio de limpia, recolección, traslado y disposición final de residuos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160,024.00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4.3.4. Servicio de mercados y centrales de abasto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62,964.00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4.3.5. Servicio de panteones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105,780.00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4.3.6. Servicio de rastro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264,449.00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4.3.7. Servicio de seguridad pública (Policía Preventiva y Tránsito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79,333.00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4.3.8. Servicio de catastro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747,582.50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4.4. Otros derechos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2,861,461.60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4.4.1. Licencias de funcionamiento y permisos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2,490,200.00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4.4.2. Servicios que presta la Dirección de Obras Públicas y Desarrollo Urbano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250,000.00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4.4.3. Expedición de certificados, constancias, fotografías, copias y formas oficiales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120,261.60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4.4.4. Servicios que presta la Unidad de Acceso a la Información Pública</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4.5. Accesorios de derechos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4.5.1. Actualizaciones y recargos de derechos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4.5.2. Multas de derechos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4.5.3. Gastos de ejecución de derechos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DF5AE7" w:rsidRPr="00B23828" w:rsidTr="00B23828">
        <w:trPr>
          <w:trHeight w:val="20"/>
        </w:trPr>
        <w:tc>
          <w:tcPr>
            <w:tcW w:w="6658" w:type="dxa"/>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4.9. Derechos no comprendidos en la Ley de Ingresos vigente, causados en ejercicios fiscales anteriores pendientes de liquidación o pago</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5. Productos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105.00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5.1. Productos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105.00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5.1.1. Derivados de productos financieros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105.00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6. Aprovechamientos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320,544.00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6.1. Aprovechamientos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320,544.00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6.1.1. Infracciones por faltas administrativas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125,928.00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6.1.2. Sanciones por faltas al reglamento de tránsito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194,616.00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6.2. Aprovechamientos patrimoniales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6.3. Accesorios de aprovechamientos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6.9. Aprovechamientos no comprendidos en la Ley de Ingresos vigente, causados en ejercicios fiscales anteriores pendientes de liquidación o pago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7. Ingresos por venta de bienes, prestación de servicios y otros ingresos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DF5AE7" w:rsidRPr="00B23828" w:rsidTr="00B23828">
        <w:trPr>
          <w:trHeight w:val="20"/>
        </w:trPr>
        <w:tc>
          <w:tcPr>
            <w:tcW w:w="6658" w:type="dxa"/>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8. Participaciones, aportaciones y convenios, incentivos derivados de la colaboración fiscal y fondos distintos de aportaciones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124,180,907.81</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 Participaciones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60,292,877.68</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8.1.1. Fondo General de Participaciones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36,674,647.56</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8.1.2. Fondo de Fiscalización y Recaudación</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3,986,909.10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8.1.3. Fondo de Fomento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15,499,669.25</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8.1.4. Impuesto especial sobre producción y servicios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715,934.85</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8.1.5. Impuesto especial sobre la venta final de gasolina y diésel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2,125,621.71</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8.1.6. Impuesto sobre automóviles nuevos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457,706.59</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8.1.7. Fondo de Compensación del Impuesto sobre Automóviles Nuevos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122,526.76</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8.1.8. Impuestos estatales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709,861.86</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8.1.9. Fondo ISR</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8.2. Aportaciones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57,888,030.13</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8.2.1. Fondo de Aportaciones para la Infraestructura Social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28,992,148.51</w:t>
            </w:r>
          </w:p>
          <w:p w:rsidR="0025629F" w:rsidRPr="00B23828" w:rsidRDefault="0025629F" w:rsidP="005472C9">
            <w:pPr>
              <w:spacing w:after="0" w:line="360" w:lineRule="auto"/>
              <w:jc w:val="right"/>
              <w:rPr>
                <w:rFonts w:ascii="Arial" w:eastAsia="Times New Roman" w:hAnsi="Arial" w:cs="Arial"/>
                <w:color w:val="000000"/>
                <w:sz w:val="20"/>
                <w:szCs w:val="20"/>
              </w:rPr>
            </w:pP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8.2.2. Fondo de Aportaciones para el Fortalecimiento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28,895,881.62</w:t>
            </w:r>
          </w:p>
          <w:p w:rsidR="0025629F" w:rsidRPr="00B23828" w:rsidRDefault="0025629F" w:rsidP="005472C9">
            <w:pPr>
              <w:spacing w:after="0" w:line="360" w:lineRule="auto"/>
              <w:jc w:val="right"/>
              <w:rPr>
                <w:rFonts w:ascii="Arial" w:eastAsia="Times New Roman" w:hAnsi="Arial" w:cs="Arial"/>
                <w:color w:val="000000"/>
                <w:sz w:val="20"/>
                <w:szCs w:val="20"/>
              </w:rPr>
            </w:pP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8.3. Convenios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6,000,000.00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8.3.1. Social y Humano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6,000,000.00</w:t>
            </w:r>
          </w:p>
        </w:tc>
      </w:tr>
      <w:tr w:rsidR="0025629F" w:rsidRPr="00B23828" w:rsidTr="00B23828">
        <w:trPr>
          <w:trHeight w:val="20"/>
        </w:trPr>
        <w:tc>
          <w:tcPr>
            <w:tcW w:w="6658" w:type="dxa"/>
          </w:tcPr>
          <w:p w:rsidR="0025629F" w:rsidRPr="00B23828" w:rsidRDefault="0025629F" w:rsidP="00B903D9">
            <w:pPr>
              <w:spacing w:after="0" w:line="360" w:lineRule="auto"/>
              <w:jc w:val="both"/>
              <w:rPr>
                <w:rFonts w:ascii="Arial" w:eastAsia="Times New Roman" w:hAnsi="Arial" w:cs="Arial"/>
                <w:color w:val="000000"/>
                <w:sz w:val="20"/>
                <w:szCs w:val="20"/>
              </w:rPr>
            </w:pPr>
            <w:r w:rsidRPr="00B23828">
              <w:rPr>
                <w:rFonts w:ascii="Arial" w:eastAsia="Times New Roman" w:hAnsi="Arial" w:cs="Arial"/>
                <w:color w:val="000000"/>
                <w:sz w:val="20"/>
                <w:szCs w:val="20"/>
              </w:rPr>
              <w:t>8.3.2. Convenio con el gobierno del estado, gobierno federal o particulares para el pago de laudos de ex trabajadores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9. Transferencias, asignaciones, subsidios y subvenciones, y pensiones y jubilaciones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10. Ingresos derivados de financiamientos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bl>
    <w:p w:rsidR="005472C9" w:rsidRDefault="005472C9" w:rsidP="005472C9">
      <w:pPr>
        <w:pStyle w:val="Cuerpo"/>
        <w:spacing w:line="360" w:lineRule="auto"/>
        <w:rPr>
          <w:rStyle w:val="Ninguno"/>
          <w:rFonts w:ascii="Arial" w:eastAsia="Arial" w:hAnsi="Arial" w:cs="Arial"/>
          <w:sz w:val="20"/>
          <w:szCs w:val="20"/>
        </w:rPr>
      </w:pPr>
    </w:p>
    <w:p w:rsidR="00DF5AE7" w:rsidRPr="00527FC8" w:rsidRDefault="005472C9" w:rsidP="008E46E1">
      <w:pPr>
        <w:pStyle w:val="Cuerpo"/>
        <w:spacing w:line="360" w:lineRule="auto"/>
        <w:jc w:val="center"/>
        <w:rPr>
          <w:rStyle w:val="Ninguno"/>
          <w:rFonts w:ascii="Arial" w:hAnsi="Arial" w:cs="Arial"/>
          <w:b/>
          <w:bCs/>
          <w:sz w:val="20"/>
          <w:szCs w:val="20"/>
        </w:rPr>
      </w:pPr>
      <w:r w:rsidRPr="00527FC8">
        <w:rPr>
          <w:rStyle w:val="Ninguno"/>
          <w:rFonts w:ascii="Arial" w:hAnsi="Arial" w:cs="Arial"/>
          <w:b/>
          <w:bCs/>
          <w:sz w:val="20"/>
          <w:szCs w:val="20"/>
        </w:rPr>
        <w:t>CAPÍTULO III</w:t>
      </w:r>
    </w:p>
    <w:p w:rsidR="00F50AA2" w:rsidRPr="00B23828" w:rsidRDefault="00F50AA2" w:rsidP="005472C9">
      <w:pPr>
        <w:pStyle w:val="Cuerpo"/>
        <w:spacing w:line="360" w:lineRule="auto"/>
        <w:jc w:val="center"/>
        <w:rPr>
          <w:rStyle w:val="Ninguno"/>
          <w:rFonts w:ascii="Arial" w:eastAsia="Arial" w:hAnsi="Arial" w:cs="Arial"/>
          <w:b/>
          <w:bCs/>
          <w:sz w:val="20"/>
          <w:szCs w:val="20"/>
        </w:rPr>
      </w:pPr>
      <w:r w:rsidRPr="00527FC8">
        <w:rPr>
          <w:rStyle w:val="Ninguno"/>
          <w:rFonts w:ascii="Arial" w:hAnsi="Arial" w:cs="Arial"/>
          <w:b/>
          <w:bCs/>
          <w:sz w:val="20"/>
          <w:szCs w:val="20"/>
        </w:rPr>
        <w:t>Disposiciones para los contribuyentes</w:t>
      </w:r>
    </w:p>
    <w:p w:rsidR="00F50AA2" w:rsidRPr="00B23828" w:rsidRDefault="00F50AA2" w:rsidP="008E46E1">
      <w:pPr>
        <w:pStyle w:val="Cuerpo"/>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6. Marco jurídico aplicable</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Las contribuciones se causarán, liquidarán y recaudarán en los términos de la Ley de Hacienda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y a falta de disposición expresa acerca del procedimiento se aplicarán supletoriamente el Código Fiscal del Estado de Yucatán y el Código Fiscal de la Federación.</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7. Acreditación del pago de contribuciones</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El pago de los ingresos señalados en esta ley se acreditará con el recibo oficial expedido por la Dirección de Administración, Finanzas y Tesorería del Ayuntamiento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o con los formatos de declaración sellados por la misma dirección.</w:t>
      </w:r>
    </w:p>
    <w:p w:rsidR="00F50AA2" w:rsidRPr="00B23828" w:rsidRDefault="00F50AA2" w:rsidP="008E46E1">
      <w:pPr>
        <w:pStyle w:val="Cuerpo"/>
        <w:rPr>
          <w:rStyle w:val="Ninguno"/>
          <w:rFonts w:ascii="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8. Recargos y actualizaciones</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El monto de las contribuciones o las devoluciones a cargo del fisco municipal se actualizarán por el transcurso del tiempo y con motivo de los cambios de precios en el país, en términos de la Ley de Hacienda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Las cantidades actualizadas conservan la naturaleza jurídica que tenían antes de la actualización.</w:t>
      </w:r>
    </w:p>
    <w:p w:rsidR="00182C2B" w:rsidRDefault="00182C2B" w:rsidP="008E46E1">
      <w:pPr>
        <w:pStyle w:val="Cuerpo"/>
        <w:rPr>
          <w:rStyle w:val="Ninguno"/>
          <w:rFonts w:ascii="Arial" w:hAnsi="Arial" w:cs="Arial"/>
          <w:sz w:val="20"/>
          <w:szCs w:val="20"/>
        </w:rPr>
      </w:pPr>
    </w:p>
    <w:p w:rsidR="00F50AA2" w:rsidRPr="00B23828" w:rsidRDefault="00F50AA2" w:rsidP="00182C2B">
      <w:pPr>
        <w:pStyle w:val="Cuerpo"/>
        <w:spacing w:line="360" w:lineRule="auto"/>
        <w:ind w:firstLine="708"/>
        <w:rPr>
          <w:rStyle w:val="Ninguno"/>
          <w:rFonts w:ascii="Arial" w:eastAsia="Arial" w:hAnsi="Arial" w:cs="Arial"/>
          <w:sz w:val="20"/>
          <w:szCs w:val="20"/>
        </w:rPr>
      </w:pPr>
      <w:r w:rsidRPr="00B23828">
        <w:rPr>
          <w:rStyle w:val="Ninguno"/>
          <w:rFonts w:ascii="Arial" w:hAnsi="Arial" w:cs="Arial"/>
          <w:sz w:val="20"/>
          <w:szCs w:val="20"/>
        </w:rPr>
        <w:t>La falta de pago puntual de los impuestos, derechos y contr</w:t>
      </w:r>
      <w:r w:rsidR="00182C2B">
        <w:rPr>
          <w:rStyle w:val="Ninguno"/>
          <w:rFonts w:ascii="Arial" w:hAnsi="Arial" w:cs="Arial"/>
          <w:sz w:val="20"/>
          <w:szCs w:val="20"/>
        </w:rPr>
        <w:t xml:space="preserve">ibuciones de mejoras causará la </w:t>
      </w:r>
      <w:r w:rsidRPr="00B23828">
        <w:rPr>
          <w:rStyle w:val="Ninguno"/>
          <w:rFonts w:ascii="Arial" w:hAnsi="Arial" w:cs="Arial"/>
          <w:sz w:val="20"/>
          <w:szCs w:val="20"/>
        </w:rPr>
        <w:t>actualización a que se refiere el párrafo anterior, recargos y, en su caso, gastos de ejecución. Los recargos y los gastos de ejecución son accesorios de las contribuciones y participan de su naturaleza.</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9. Contribuciones de ejercicios fiscales anteriores</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b/>
          <w:bCs/>
          <w:sz w:val="20"/>
          <w:szCs w:val="20"/>
        </w:rPr>
        <w:t>Artículo 10. Programas de apoyo</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El cabildo del Ayuntamiento de municipio de </w:t>
      </w:r>
      <w:proofErr w:type="spellStart"/>
      <w:r w:rsidRPr="00B23828">
        <w:rPr>
          <w:rStyle w:val="Ninguno"/>
          <w:rFonts w:ascii="Arial" w:hAnsi="Arial" w:cs="Arial"/>
          <w:sz w:val="20"/>
          <w:szCs w:val="20"/>
        </w:rPr>
        <w:t>Motul</w:t>
      </w:r>
      <w:proofErr w:type="spellEnd"/>
      <w:r w:rsidR="00182C2B">
        <w:rPr>
          <w:rStyle w:val="Ninguno"/>
          <w:rFonts w:ascii="Arial" w:hAnsi="Arial" w:cs="Arial"/>
          <w:sz w:val="20"/>
          <w:szCs w:val="20"/>
        </w:rPr>
        <w:t>,</w:t>
      </w:r>
      <w:r w:rsidRPr="00B23828">
        <w:rPr>
          <w:rStyle w:val="Ninguno"/>
          <w:rFonts w:ascii="Arial" w:hAnsi="Arial" w:cs="Arial"/>
          <w:sz w:val="20"/>
          <w:szCs w:val="20"/>
        </w:rPr>
        <w:t xml:space="preserve"> establecerá programas de apoyo a los contribuyentes, los cuales se deberán publicar en la gaceta municipal. En dichos programas de apoyo, entre otras acciones, se podrá establecer la condonación total o parcial de contribuciones y aprovechamientos, así como de sus accesorios.</w:t>
      </w:r>
    </w:p>
    <w:p w:rsidR="00F50AA2" w:rsidRPr="00B23828" w:rsidRDefault="00F50AA2" w:rsidP="005472C9">
      <w:pPr>
        <w:pStyle w:val="Cuerpo"/>
        <w:spacing w:line="360" w:lineRule="auto"/>
        <w:rPr>
          <w:rStyle w:val="Ninguno"/>
          <w:rFonts w:ascii="Arial" w:eastAsia="Arial" w:hAnsi="Arial" w:cs="Arial"/>
          <w:sz w:val="20"/>
          <w:szCs w:val="20"/>
        </w:rPr>
      </w:pPr>
    </w:p>
    <w:p w:rsidR="00DF5AE7" w:rsidRPr="00B23828" w:rsidRDefault="005472C9" w:rsidP="005472C9">
      <w:pPr>
        <w:pStyle w:val="Cuerpo"/>
        <w:spacing w:line="360" w:lineRule="auto"/>
        <w:jc w:val="center"/>
        <w:rPr>
          <w:rStyle w:val="Ninguno"/>
          <w:rFonts w:ascii="Arial" w:hAnsi="Arial" w:cs="Arial"/>
          <w:b/>
          <w:bCs/>
          <w:sz w:val="20"/>
          <w:szCs w:val="20"/>
        </w:rPr>
      </w:pPr>
      <w:r w:rsidRPr="001F0438">
        <w:rPr>
          <w:rStyle w:val="Ninguno"/>
          <w:rFonts w:ascii="Arial" w:hAnsi="Arial" w:cs="Arial"/>
          <w:b/>
          <w:bCs/>
          <w:sz w:val="20"/>
          <w:szCs w:val="20"/>
        </w:rPr>
        <w:t>CAPÍTULO IV</w:t>
      </w:r>
    </w:p>
    <w:p w:rsidR="00F50AA2" w:rsidRPr="00B23828" w:rsidRDefault="00F50AA2" w:rsidP="005472C9">
      <w:pPr>
        <w:pStyle w:val="Cuerpo"/>
        <w:spacing w:line="360" w:lineRule="auto"/>
        <w:jc w:val="center"/>
        <w:rPr>
          <w:rStyle w:val="Ninguno"/>
          <w:rFonts w:ascii="Arial" w:eastAsia="Arial" w:hAnsi="Arial" w:cs="Arial"/>
          <w:b/>
          <w:bCs/>
          <w:sz w:val="20"/>
          <w:szCs w:val="20"/>
        </w:rPr>
      </w:pPr>
      <w:r w:rsidRPr="00B23828">
        <w:rPr>
          <w:rStyle w:val="Ninguno"/>
          <w:rFonts w:ascii="Arial" w:hAnsi="Arial" w:cs="Arial"/>
          <w:b/>
          <w:bCs/>
          <w:sz w:val="20"/>
          <w:szCs w:val="20"/>
        </w:rPr>
        <w:t>Disposiciones administrativas</w:t>
      </w:r>
    </w:p>
    <w:p w:rsidR="00F50AA2" w:rsidRPr="00B23828" w:rsidRDefault="00F50AA2" w:rsidP="008E46E1">
      <w:pPr>
        <w:pStyle w:val="Cuerpo"/>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b/>
          <w:bCs/>
          <w:sz w:val="20"/>
          <w:szCs w:val="20"/>
        </w:rPr>
        <w:t>Artículo 11. Imposibilidad práctica de cobro</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Se faculta a las autoridades fiscales para que lleven a cabo la cancelación de los créditos fiscales, cuyo cobro les corresponda efectuar, en los casos en que exista imposibilidad práctica de cobro. 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1F0438" w:rsidRDefault="001F0438" w:rsidP="008E46E1">
      <w:pPr>
        <w:pStyle w:val="Cuerpo"/>
        <w:rPr>
          <w:rStyle w:val="Ninguno"/>
          <w:rFonts w:ascii="Arial" w:hAnsi="Arial" w:cs="Arial"/>
          <w:sz w:val="20"/>
          <w:szCs w:val="20"/>
        </w:rPr>
      </w:pPr>
    </w:p>
    <w:p w:rsidR="00F50AA2" w:rsidRPr="00B1444C" w:rsidRDefault="00F50AA2" w:rsidP="00B1444C">
      <w:pPr>
        <w:pStyle w:val="Cuerpo"/>
        <w:spacing w:line="360" w:lineRule="auto"/>
        <w:ind w:firstLine="708"/>
        <w:rPr>
          <w:rStyle w:val="Ninguno"/>
          <w:rFonts w:ascii="Arial" w:hAnsi="Arial" w:cs="Arial"/>
          <w:sz w:val="20"/>
          <w:szCs w:val="20"/>
        </w:rPr>
      </w:pPr>
      <w:r w:rsidRPr="00B23828">
        <w:rPr>
          <w:rStyle w:val="Ninguno"/>
          <w:rFonts w:ascii="Arial" w:hAnsi="Arial" w:cs="Arial"/>
          <w:sz w:val="20"/>
          <w:szCs w:val="20"/>
        </w:rPr>
        <w:t>Las autoridades, previo a la cancelación de un crédito fiscal,</w:t>
      </w:r>
      <w:r w:rsidR="00B1444C">
        <w:rPr>
          <w:rStyle w:val="Ninguno"/>
          <w:rFonts w:ascii="Arial" w:hAnsi="Arial" w:cs="Arial"/>
          <w:sz w:val="20"/>
          <w:szCs w:val="20"/>
        </w:rPr>
        <w:t xml:space="preserve"> deberán integrar un expediente </w:t>
      </w:r>
      <w:r w:rsidRPr="00B23828">
        <w:rPr>
          <w:rStyle w:val="Ninguno"/>
          <w:rFonts w:ascii="Arial" w:hAnsi="Arial" w:cs="Arial"/>
          <w:sz w:val="20"/>
          <w:szCs w:val="20"/>
        </w:rPr>
        <w:t>que contenga los documentos y las constancias que acrediten la imposibilidad práctica de cobro. Los expedientes deberán integrarse de acuerdo con los lineamientos que para tal efecto establezca el cabildo.</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b/>
          <w:bCs/>
          <w:sz w:val="20"/>
          <w:szCs w:val="20"/>
        </w:rPr>
        <w:t>Artículo 12. Créditos fiscales incosteables</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Se faculta a las autoridades fiscales para que lleven a cabo la cancelación de los créditos fiscales cuyo cobro les corresponda efectuar, en los casos en que sean incosteables.</w:t>
      </w:r>
    </w:p>
    <w:p w:rsidR="001F0438" w:rsidRDefault="001F0438" w:rsidP="008E46E1">
      <w:pPr>
        <w:pStyle w:val="Cuerpo"/>
        <w:ind w:firstLine="708"/>
        <w:rPr>
          <w:rStyle w:val="Ninguno"/>
          <w:rFonts w:ascii="Arial" w:hAnsi="Arial" w:cs="Arial"/>
          <w:sz w:val="20"/>
          <w:szCs w:val="20"/>
        </w:rPr>
      </w:pPr>
    </w:p>
    <w:p w:rsidR="00F50AA2" w:rsidRPr="00B23828" w:rsidRDefault="00F50AA2" w:rsidP="001F0438">
      <w:pPr>
        <w:pStyle w:val="Cuerpo"/>
        <w:spacing w:line="360" w:lineRule="auto"/>
        <w:ind w:firstLine="708"/>
        <w:rPr>
          <w:rStyle w:val="Ninguno"/>
          <w:rFonts w:ascii="Arial" w:eastAsia="Arial" w:hAnsi="Arial" w:cs="Arial"/>
          <w:sz w:val="20"/>
          <w:szCs w:val="20"/>
        </w:rPr>
      </w:pPr>
      <w:r w:rsidRPr="00B23828">
        <w:rPr>
          <w:rStyle w:val="Ninguno"/>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rsidR="001F0438" w:rsidRDefault="001F0438" w:rsidP="008E46E1">
      <w:pPr>
        <w:pStyle w:val="Cuerpo"/>
        <w:rPr>
          <w:rStyle w:val="Ninguno"/>
          <w:rFonts w:ascii="Arial" w:hAnsi="Arial" w:cs="Arial"/>
          <w:sz w:val="20"/>
          <w:szCs w:val="20"/>
        </w:rPr>
      </w:pPr>
    </w:p>
    <w:p w:rsidR="00F50AA2" w:rsidRPr="00B23828" w:rsidRDefault="00F50AA2" w:rsidP="001F0438">
      <w:pPr>
        <w:pStyle w:val="Cuerpo"/>
        <w:spacing w:line="360" w:lineRule="auto"/>
        <w:ind w:firstLine="708"/>
        <w:rPr>
          <w:rStyle w:val="Ninguno"/>
          <w:rFonts w:ascii="Arial" w:eastAsia="Arial" w:hAnsi="Arial" w:cs="Arial"/>
          <w:sz w:val="20"/>
          <w:szCs w:val="20"/>
        </w:rPr>
      </w:pPr>
      <w:r w:rsidRPr="00B23828">
        <w:rPr>
          <w:rStyle w:val="Ninguno"/>
          <w:rFonts w:ascii="Arial" w:hAnsi="Arial" w:cs="Arial"/>
          <w:sz w:val="20"/>
          <w:szCs w:val="20"/>
        </w:rPr>
        <w:t>Para efectos de lo dispuesto en este artículo, el cabildo establece</w:t>
      </w:r>
      <w:r w:rsidR="00CF1681">
        <w:rPr>
          <w:rStyle w:val="Ninguno"/>
          <w:rFonts w:ascii="Arial" w:hAnsi="Arial" w:cs="Arial"/>
          <w:sz w:val="20"/>
          <w:szCs w:val="20"/>
        </w:rPr>
        <w:t xml:space="preserve">rá el tipo de casos o supuestos </w:t>
      </w:r>
      <w:r w:rsidRPr="00B23828">
        <w:rPr>
          <w:rStyle w:val="Ninguno"/>
          <w:rFonts w:ascii="Arial" w:hAnsi="Arial" w:cs="Arial"/>
          <w:sz w:val="20"/>
          <w:szCs w:val="20"/>
        </w:rPr>
        <w:t>en que procederá la cancelación por créditos fiscales incosteables.</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13. Convenios con otros órdenes de gobierno</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El Ayuntamiento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xml:space="preserve"> podrá celebrar con el </w:t>
      </w:r>
      <w:r w:rsidR="00CF1681">
        <w:rPr>
          <w:rStyle w:val="Ninguno"/>
          <w:rFonts w:ascii="Arial" w:hAnsi="Arial" w:cs="Arial"/>
          <w:sz w:val="20"/>
          <w:szCs w:val="20"/>
        </w:rPr>
        <w:t>g</w:t>
      </w:r>
      <w:r w:rsidRPr="00B23828">
        <w:rPr>
          <w:rStyle w:val="Ninguno"/>
          <w:rFonts w:ascii="Arial" w:hAnsi="Arial" w:cs="Arial"/>
          <w:sz w:val="20"/>
          <w:szCs w:val="20"/>
        </w:rPr>
        <w:t xml:space="preserve">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F50AA2" w:rsidRPr="00B23828" w:rsidRDefault="00F50AA2" w:rsidP="008E46E1">
      <w:pPr>
        <w:pStyle w:val="Cuerpo"/>
        <w:jc w:val="center"/>
        <w:rPr>
          <w:rStyle w:val="Ninguno"/>
          <w:rFonts w:ascii="Arial" w:eastAsia="Arial" w:hAnsi="Arial" w:cs="Arial"/>
          <w:sz w:val="20"/>
          <w:szCs w:val="20"/>
        </w:rPr>
      </w:pPr>
    </w:p>
    <w:p w:rsidR="00F50AA2" w:rsidRDefault="00DF5AE7" w:rsidP="005472C9">
      <w:pPr>
        <w:pStyle w:val="Cuerpo"/>
        <w:spacing w:line="360" w:lineRule="auto"/>
        <w:jc w:val="center"/>
        <w:rPr>
          <w:rStyle w:val="Ninguno"/>
          <w:rFonts w:ascii="Arial" w:hAnsi="Arial" w:cs="Arial"/>
          <w:b/>
          <w:bCs/>
          <w:sz w:val="20"/>
          <w:szCs w:val="20"/>
        </w:rPr>
      </w:pPr>
      <w:r w:rsidRPr="00B23828">
        <w:rPr>
          <w:rStyle w:val="Ninguno"/>
          <w:rFonts w:ascii="Arial" w:hAnsi="Arial" w:cs="Arial"/>
          <w:b/>
          <w:bCs/>
          <w:sz w:val="20"/>
          <w:szCs w:val="20"/>
        </w:rPr>
        <w:t xml:space="preserve"> T r a n s i t o r i o</w:t>
      </w:r>
    </w:p>
    <w:p w:rsidR="00CF1681" w:rsidRDefault="00CF1681" w:rsidP="008E46E1">
      <w:pPr>
        <w:pStyle w:val="Cuerpo"/>
        <w:jc w:val="center"/>
        <w:rPr>
          <w:rStyle w:val="Ninguno"/>
          <w:rFonts w:ascii="Arial" w:hAnsi="Arial" w:cs="Arial"/>
          <w:b/>
          <w:bCs/>
          <w:sz w:val="20"/>
          <w:szCs w:val="20"/>
        </w:rPr>
      </w:pPr>
    </w:p>
    <w:p w:rsidR="00CF1681" w:rsidRPr="00E46FFC" w:rsidRDefault="00CF1681" w:rsidP="00CF1681">
      <w:pPr>
        <w:pStyle w:val="Textoindependiente"/>
        <w:spacing w:line="360" w:lineRule="auto"/>
        <w:jc w:val="both"/>
        <w:rPr>
          <w:rFonts w:ascii="Arial" w:hAnsi="Arial" w:cs="Arial"/>
        </w:rPr>
      </w:pPr>
      <w:r>
        <w:rPr>
          <w:rFonts w:ascii="Arial" w:hAnsi="Arial" w:cs="Arial"/>
          <w:b/>
        </w:rPr>
        <w:t>Artículo ú</w:t>
      </w:r>
      <w:r w:rsidRPr="00E46FFC">
        <w:rPr>
          <w:rFonts w:ascii="Arial" w:hAnsi="Arial" w:cs="Arial"/>
          <w:b/>
        </w:rPr>
        <w:t xml:space="preserve">nico. </w:t>
      </w:r>
      <w:r w:rsidRPr="00E46FFC">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CF1681" w:rsidRPr="00B23828" w:rsidRDefault="00CF1681" w:rsidP="005472C9">
      <w:pPr>
        <w:pStyle w:val="Cuerpo"/>
        <w:spacing w:line="360" w:lineRule="auto"/>
        <w:jc w:val="center"/>
        <w:rPr>
          <w:rStyle w:val="Ninguno"/>
          <w:rFonts w:ascii="Arial" w:eastAsia="Arial" w:hAnsi="Arial" w:cs="Arial"/>
          <w:b/>
          <w:bCs/>
          <w:sz w:val="20"/>
          <w:szCs w:val="20"/>
        </w:rPr>
      </w:pPr>
    </w:p>
    <w:sectPr w:rsidR="00CF1681" w:rsidRPr="00B23828" w:rsidSect="006F2601">
      <w:headerReference w:type="default" r:id="rId7"/>
      <w:footerReference w:type="default" r:id="rId8"/>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86" w:rsidRDefault="00EF6B86" w:rsidP="00EF6B86">
      <w:pPr>
        <w:spacing w:after="0" w:line="240" w:lineRule="auto"/>
      </w:pPr>
      <w:r>
        <w:separator/>
      </w:r>
    </w:p>
  </w:endnote>
  <w:endnote w:type="continuationSeparator" w:id="0">
    <w:p w:rsidR="00EF6B86" w:rsidRDefault="00EF6B86" w:rsidP="00EF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514528"/>
      <w:docPartObj>
        <w:docPartGallery w:val="Page Numbers (Bottom of Page)"/>
        <w:docPartUnique/>
      </w:docPartObj>
    </w:sdtPr>
    <w:sdtEndPr>
      <w:rPr>
        <w:rFonts w:ascii="Arial" w:hAnsi="Arial" w:cs="Arial"/>
        <w:sz w:val="20"/>
      </w:rPr>
    </w:sdtEndPr>
    <w:sdtContent>
      <w:p w:rsidR="00DF5AE7" w:rsidRPr="00DF5AE7" w:rsidRDefault="00DF5AE7">
        <w:pPr>
          <w:pStyle w:val="Piedepgina"/>
          <w:jc w:val="center"/>
          <w:rPr>
            <w:rFonts w:ascii="Arial" w:hAnsi="Arial" w:cs="Arial"/>
            <w:sz w:val="20"/>
          </w:rPr>
        </w:pPr>
        <w:r w:rsidRPr="00DF5AE7">
          <w:rPr>
            <w:rFonts w:ascii="Arial" w:hAnsi="Arial" w:cs="Arial"/>
            <w:sz w:val="20"/>
          </w:rPr>
          <w:fldChar w:fldCharType="begin"/>
        </w:r>
        <w:r w:rsidRPr="00DF5AE7">
          <w:rPr>
            <w:rFonts w:ascii="Arial" w:hAnsi="Arial" w:cs="Arial"/>
            <w:sz w:val="20"/>
          </w:rPr>
          <w:instrText>PAGE   \* MERGEFORMAT</w:instrText>
        </w:r>
        <w:r w:rsidRPr="00DF5AE7">
          <w:rPr>
            <w:rFonts w:ascii="Arial" w:hAnsi="Arial" w:cs="Arial"/>
            <w:sz w:val="20"/>
          </w:rPr>
          <w:fldChar w:fldCharType="separate"/>
        </w:r>
        <w:r w:rsidR="008E46E1" w:rsidRPr="008E46E1">
          <w:rPr>
            <w:rFonts w:ascii="Arial" w:hAnsi="Arial" w:cs="Arial"/>
            <w:noProof/>
            <w:sz w:val="20"/>
            <w:lang w:val="es-ES"/>
          </w:rPr>
          <w:t>6</w:t>
        </w:r>
        <w:r w:rsidRPr="00DF5AE7">
          <w:rPr>
            <w:rFonts w:ascii="Arial" w:hAnsi="Arial" w:cs="Arial"/>
            <w:sz w:val="20"/>
          </w:rPr>
          <w:fldChar w:fldCharType="end"/>
        </w:r>
      </w:p>
    </w:sdtContent>
  </w:sdt>
  <w:p w:rsidR="00DF5AE7" w:rsidRDefault="00DF5A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86" w:rsidRDefault="00EF6B86" w:rsidP="00EF6B86">
      <w:pPr>
        <w:spacing w:after="0" w:line="240" w:lineRule="auto"/>
      </w:pPr>
      <w:r>
        <w:separator/>
      </w:r>
    </w:p>
  </w:footnote>
  <w:footnote w:type="continuationSeparator" w:id="0">
    <w:p w:rsidR="00EF6B86" w:rsidRDefault="00EF6B86" w:rsidP="00EF6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86" w:rsidRDefault="00EF6B86" w:rsidP="00EF6B86">
    <w:pPr>
      <w:pStyle w:val="Encabezado"/>
    </w:pPr>
    <w:r>
      <w:rPr>
        <w:noProof/>
      </w:rPr>
      <mc:AlternateContent>
        <mc:Choice Requires="wpg">
          <w:drawing>
            <wp:anchor distT="0" distB="0" distL="114300" distR="114300" simplePos="0" relativeHeight="251659264" behindDoc="0" locked="0" layoutInCell="1" allowOverlap="1">
              <wp:simplePos x="0" y="0"/>
              <wp:positionH relativeFrom="column">
                <wp:posOffset>-20320</wp:posOffset>
              </wp:positionH>
              <wp:positionV relativeFrom="paragraph">
                <wp:posOffset>-219075</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B86" w:rsidRPr="001E34E0" w:rsidRDefault="00EF6B86" w:rsidP="00EF6B86">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EF6B86" w:rsidRDefault="00EF6B86" w:rsidP="00EF6B86">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B86" w:rsidRDefault="00EF6B86" w:rsidP="00EF6B86">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EF6B86" w:rsidRDefault="00EF6B86" w:rsidP="00EF6B86">
                              <w:pPr>
                                <w:spacing w:after="0" w:line="240" w:lineRule="auto"/>
                                <w:ind w:left="-851"/>
                                <w:jc w:val="center"/>
                                <w:rPr>
                                  <w:rFonts w:ascii="Tahoma" w:hAnsi="Tahoma" w:cs="Tahoma"/>
                                  <w:sz w:val="16"/>
                                  <w:szCs w:val="16"/>
                                </w:rPr>
                              </w:pPr>
                              <w:r>
                                <w:rPr>
                                  <w:rFonts w:ascii="Tahoma" w:hAnsi="Tahoma" w:cs="Tahoma"/>
                                  <w:sz w:val="16"/>
                                  <w:szCs w:val="16"/>
                                </w:rPr>
                                <w:t>LIBRE Y SOBERANO</w:t>
                              </w:r>
                            </w:p>
                            <w:p w:rsidR="00EF6B86" w:rsidRPr="00603AF2" w:rsidRDefault="00EF6B86" w:rsidP="00EF6B86">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upo 1" o:spid="_x0000_s1026" style="position:absolute;margin-left:-1.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CP4rfbhAAAACg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EF6B86" w:rsidRPr="001E34E0" w:rsidRDefault="00EF6B86" w:rsidP="00EF6B86">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EF6B86" w:rsidRDefault="00EF6B86" w:rsidP="00EF6B86">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F6B86" w:rsidRDefault="00EF6B86" w:rsidP="00EF6B86">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EF6B86" w:rsidRDefault="00EF6B86" w:rsidP="00EF6B86">
                        <w:pPr>
                          <w:spacing w:after="0" w:line="240" w:lineRule="auto"/>
                          <w:ind w:left="-851"/>
                          <w:jc w:val="center"/>
                          <w:rPr>
                            <w:rFonts w:ascii="Tahoma" w:hAnsi="Tahoma" w:cs="Tahoma"/>
                            <w:sz w:val="16"/>
                            <w:szCs w:val="16"/>
                          </w:rPr>
                        </w:pPr>
                        <w:r>
                          <w:rPr>
                            <w:rFonts w:ascii="Tahoma" w:hAnsi="Tahoma" w:cs="Tahoma"/>
                            <w:sz w:val="16"/>
                            <w:szCs w:val="16"/>
                          </w:rPr>
                          <w:t>LIBRE Y SOBERANO</w:t>
                        </w:r>
                      </w:p>
                      <w:p w:rsidR="00EF6B86" w:rsidRPr="00603AF2" w:rsidRDefault="00EF6B86" w:rsidP="00EF6B86">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p w:rsidR="00EF6B86" w:rsidRPr="00DF5AE7" w:rsidRDefault="00EF6B86">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313"/>
    <w:multiLevelType w:val="multilevel"/>
    <w:tmpl w:val="03603313"/>
    <w:lvl w:ilvl="0">
      <w:start w:val="1"/>
      <w:numFmt w:val="lowerLetter"/>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upperLetter"/>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upperLetter"/>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upperLetter"/>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upperLetter"/>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upperLetter"/>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upperLetter"/>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upperLetter"/>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upperLetter"/>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A2"/>
    <w:rsid w:val="00062DE9"/>
    <w:rsid w:val="00182C2B"/>
    <w:rsid w:val="001F0438"/>
    <w:rsid w:val="0025629F"/>
    <w:rsid w:val="00527FC8"/>
    <w:rsid w:val="005472C9"/>
    <w:rsid w:val="0069601B"/>
    <w:rsid w:val="006F2601"/>
    <w:rsid w:val="00782680"/>
    <w:rsid w:val="00791403"/>
    <w:rsid w:val="008E46E1"/>
    <w:rsid w:val="00965075"/>
    <w:rsid w:val="00B1444C"/>
    <w:rsid w:val="00B23828"/>
    <w:rsid w:val="00B903D9"/>
    <w:rsid w:val="00BE5A93"/>
    <w:rsid w:val="00CF1681"/>
    <w:rsid w:val="00DF5AE7"/>
    <w:rsid w:val="00EE11E4"/>
    <w:rsid w:val="00EF6B86"/>
    <w:rsid w:val="00F50AA2"/>
    <w:rsid w:val="00F65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A2348D0-E4EA-4CFD-AF89-DFEF2F71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A2"/>
    <w:pPr>
      <w:spacing w:after="200" w:line="276" w:lineRule="auto"/>
    </w:pPr>
    <w:rPr>
      <w:rFonts w:ascii="Calibri" w:eastAsia="Calibri" w:hAnsi="Calibri" w:cs="Calibri"/>
      <w:lang w:eastAsia="es-MX"/>
    </w:rPr>
  </w:style>
  <w:style w:type="paragraph" w:styleId="Ttulo5">
    <w:name w:val="heading 5"/>
    <w:basedOn w:val="Normal"/>
    <w:next w:val="Normal"/>
    <w:link w:val="Ttulo5Car"/>
    <w:qFormat/>
    <w:rsid w:val="00EF6B8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50AA2"/>
    <w:pPr>
      <w:pBdr>
        <w:top w:val="nil"/>
        <w:left w:val="nil"/>
        <w:bottom w:val="nil"/>
        <w:right w:val="nil"/>
        <w:between w:val="nil"/>
        <w:bar w:val="nil"/>
      </w:pBdr>
      <w:spacing w:after="0" w:line="240" w:lineRule="auto"/>
      <w:jc w:val="both"/>
    </w:pPr>
    <w:rPr>
      <w:rFonts w:ascii="Calibri" w:eastAsia="Arial Unicode MS" w:hAnsi="Calibri" w:cs="Arial Unicode MS"/>
      <w:color w:val="000000"/>
      <w:u w:color="000000"/>
      <w:bdr w:val="nil"/>
      <w:lang w:val="es-ES_tradnl" w:eastAsia="es-MX"/>
    </w:rPr>
  </w:style>
  <w:style w:type="character" w:customStyle="1" w:styleId="Ninguno">
    <w:name w:val="Ninguno"/>
    <w:rsid w:val="00F50AA2"/>
    <w:rPr>
      <w:lang w:val="es-ES_tradnl"/>
    </w:rPr>
  </w:style>
  <w:style w:type="paragraph" w:styleId="Encabezado">
    <w:name w:val="header"/>
    <w:basedOn w:val="Normal"/>
    <w:link w:val="EncabezadoCar"/>
    <w:unhideWhenUsed/>
    <w:rsid w:val="00EF6B86"/>
    <w:pPr>
      <w:tabs>
        <w:tab w:val="center" w:pos="4419"/>
        <w:tab w:val="right" w:pos="8838"/>
      </w:tabs>
      <w:spacing w:after="0" w:line="240" w:lineRule="auto"/>
    </w:pPr>
  </w:style>
  <w:style w:type="character" w:customStyle="1" w:styleId="EncabezadoCar">
    <w:name w:val="Encabezado Car"/>
    <w:basedOn w:val="Fuentedeprrafopredeter"/>
    <w:link w:val="Encabezado"/>
    <w:rsid w:val="00EF6B86"/>
    <w:rPr>
      <w:rFonts w:ascii="Calibri" w:eastAsia="Calibri" w:hAnsi="Calibri" w:cs="Calibri"/>
      <w:lang w:eastAsia="es-MX"/>
    </w:rPr>
  </w:style>
  <w:style w:type="paragraph" w:styleId="Piedepgina">
    <w:name w:val="footer"/>
    <w:basedOn w:val="Normal"/>
    <w:link w:val="PiedepginaCar"/>
    <w:uiPriority w:val="99"/>
    <w:unhideWhenUsed/>
    <w:rsid w:val="00EF6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B86"/>
    <w:rPr>
      <w:rFonts w:ascii="Calibri" w:eastAsia="Calibri" w:hAnsi="Calibri" w:cs="Calibri"/>
      <w:lang w:eastAsia="es-MX"/>
    </w:rPr>
  </w:style>
  <w:style w:type="character" w:customStyle="1" w:styleId="Ttulo5Car">
    <w:name w:val="Título 5 Car"/>
    <w:basedOn w:val="Fuentedeprrafopredeter"/>
    <w:link w:val="Ttulo5"/>
    <w:rsid w:val="00EF6B86"/>
    <w:rPr>
      <w:rFonts w:ascii="Arial" w:eastAsia="Times New Roman" w:hAnsi="Arial" w:cs="Times New Roman"/>
      <w:b/>
      <w:sz w:val="20"/>
      <w:szCs w:val="20"/>
      <w:lang w:val="es-ES_tradnl" w:eastAsia="es-ES"/>
    </w:rPr>
  </w:style>
  <w:style w:type="paragraph" w:styleId="Textoindependiente">
    <w:name w:val="Body Text"/>
    <w:basedOn w:val="Normal"/>
    <w:link w:val="TextoindependienteCar"/>
    <w:uiPriority w:val="1"/>
    <w:qFormat/>
    <w:rsid w:val="00EF6B86"/>
    <w:pPr>
      <w:widowControl w:val="0"/>
      <w:autoSpaceDE w:val="0"/>
      <w:autoSpaceDN w:val="0"/>
      <w:adjustRightInd w:val="0"/>
      <w:spacing w:before="163" w:after="0" w:line="240" w:lineRule="auto"/>
      <w:ind w:left="102"/>
    </w:pPr>
    <w:rPr>
      <w:rFonts w:ascii="Arial Narrow" w:eastAsia="Times New Roman" w:hAnsi="Arial Narrow" w:cs="Arial Narrow"/>
    </w:rPr>
  </w:style>
  <w:style w:type="character" w:customStyle="1" w:styleId="TextoindependienteCar">
    <w:name w:val="Texto independiente Car"/>
    <w:basedOn w:val="Fuentedeprrafopredeter"/>
    <w:link w:val="Textoindependiente"/>
    <w:uiPriority w:val="1"/>
    <w:rsid w:val="00EF6B86"/>
    <w:rPr>
      <w:rFonts w:ascii="Arial Narrow" w:eastAsia="Times New Roman" w:hAnsi="Arial Narrow" w:cs="Arial Narrow"/>
      <w:lang w:eastAsia="es-MX"/>
    </w:rPr>
  </w:style>
  <w:style w:type="table" w:styleId="Tablaconcuadrcula">
    <w:name w:val="Table Grid"/>
    <w:basedOn w:val="Tablanormal"/>
    <w:uiPriority w:val="39"/>
    <w:rsid w:val="00DF5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1570</Words>
  <Characters>8640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Lesly Pantoja</cp:lastModifiedBy>
  <cp:revision>20</cp:revision>
  <dcterms:created xsi:type="dcterms:W3CDTF">2022-11-23T03:36:00Z</dcterms:created>
  <dcterms:modified xsi:type="dcterms:W3CDTF">2022-12-09T23:06:00Z</dcterms:modified>
</cp:coreProperties>
</file>