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399B2" w14:textId="50CBFCFE" w:rsidR="0001202F" w:rsidRPr="009E47B0" w:rsidRDefault="00A1324F" w:rsidP="009E47B0">
      <w:pPr>
        <w:jc w:val="center"/>
        <w:rPr>
          <w:b/>
          <w:bCs/>
          <w:sz w:val="28"/>
          <w:szCs w:val="28"/>
        </w:rPr>
      </w:pPr>
      <w:r w:rsidRPr="009E47B0">
        <w:rPr>
          <w:b/>
          <w:bCs/>
          <w:sz w:val="28"/>
          <w:szCs w:val="28"/>
        </w:rPr>
        <w:t>MODIFICACIONES A LA LEY DE HACIENDA</w:t>
      </w:r>
    </w:p>
    <w:p w14:paraId="6824E12D" w14:textId="3C8876B7" w:rsidR="00E63EE9" w:rsidRPr="009E47B0" w:rsidRDefault="00203DF1" w:rsidP="009E47B0">
      <w:pPr>
        <w:jc w:val="center"/>
        <w:rPr>
          <w:b/>
          <w:bCs/>
          <w:sz w:val="28"/>
          <w:szCs w:val="28"/>
        </w:rPr>
      </w:pPr>
      <w:r w:rsidRPr="009E47B0">
        <w:rPr>
          <w:b/>
          <w:bCs/>
          <w:sz w:val="28"/>
          <w:szCs w:val="28"/>
        </w:rPr>
        <w:t>EXPOSICION DE MOTIVOS</w:t>
      </w:r>
    </w:p>
    <w:p w14:paraId="5A3F1C9A" w14:textId="42391CC8" w:rsidR="00203DF1" w:rsidRDefault="00203DF1">
      <w:pPr>
        <w:rPr>
          <w:sz w:val="28"/>
          <w:szCs w:val="28"/>
        </w:rPr>
      </w:pPr>
    </w:p>
    <w:p w14:paraId="25CDC0DC" w14:textId="355D98A2" w:rsidR="00203DF1" w:rsidRPr="00203DF1" w:rsidRDefault="00203DF1" w:rsidP="00203DF1">
      <w:pPr>
        <w:jc w:val="both"/>
        <w:rPr>
          <w:rFonts w:ascii="Century Gothic" w:hAnsi="Century Gothic"/>
          <w:sz w:val="24"/>
        </w:rPr>
      </w:pPr>
      <w:r w:rsidRPr="00203DF1">
        <w:rPr>
          <w:rFonts w:ascii="Century Gothic" w:hAnsi="Century Gothic"/>
          <w:sz w:val="24"/>
        </w:rPr>
        <w:t xml:space="preserve">El propósito del H. Ayuntamiento de </w:t>
      </w:r>
      <w:proofErr w:type="spellStart"/>
      <w:r w:rsidRPr="00203DF1">
        <w:rPr>
          <w:rFonts w:ascii="Century Gothic" w:hAnsi="Century Gothic"/>
          <w:sz w:val="24"/>
        </w:rPr>
        <w:t>Uayma</w:t>
      </w:r>
      <w:proofErr w:type="spellEnd"/>
      <w:r w:rsidRPr="00203DF1">
        <w:rPr>
          <w:rFonts w:ascii="Century Gothic" w:hAnsi="Century Gothic"/>
          <w:sz w:val="24"/>
        </w:rPr>
        <w:t xml:space="preserve">, Yucatán 2024- 2027, es el lograr un gobierno cercano a la ciudadanía en donde la transparencia y la rendición de cuentas sea logrado para establecer el bienestar colectivo, través de la sana administración de los recursos económicos que le permitan sufragar los programas, proyectos, obras, acciones destinadas a la atención en las demandas de todas las personas que habitan y visitan el municipio de </w:t>
      </w:r>
      <w:proofErr w:type="spellStart"/>
      <w:r w:rsidRPr="00203DF1">
        <w:rPr>
          <w:rFonts w:ascii="Century Gothic" w:hAnsi="Century Gothic"/>
          <w:sz w:val="24"/>
        </w:rPr>
        <w:t>Uayma</w:t>
      </w:r>
      <w:proofErr w:type="spellEnd"/>
      <w:r w:rsidRPr="00203DF1">
        <w:rPr>
          <w:rFonts w:ascii="Century Gothic" w:hAnsi="Century Gothic"/>
          <w:sz w:val="24"/>
        </w:rPr>
        <w:t xml:space="preserve">. </w:t>
      </w:r>
    </w:p>
    <w:p w14:paraId="616C8BB1" w14:textId="77777777" w:rsidR="00203DF1" w:rsidRPr="00203DF1" w:rsidRDefault="00203DF1" w:rsidP="00203DF1">
      <w:pPr>
        <w:jc w:val="both"/>
        <w:rPr>
          <w:rFonts w:ascii="Century Gothic" w:hAnsi="Century Gothic"/>
          <w:sz w:val="24"/>
        </w:rPr>
      </w:pPr>
      <w:r w:rsidRPr="00203DF1">
        <w:rPr>
          <w:rFonts w:ascii="Century Gothic" w:hAnsi="Century Gothic"/>
          <w:sz w:val="24"/>
        </w:rPr>
        <w:t>El estado fiscal del municipio se estructura por la captación de ingresos a través de impuestos, derechos, productos y aprovechamientos de fuentes propias y de carácter municipal, participaciones federales y estatales, incentivos económicos por colaboración administrativa y otras trasferencias federales y estatales, los cuales en su conjunto son utilizados para atender las necesidades del gasto público del municipio.</w:t>
      </w:r>
    </w:p>
    <w:p w14:paraId="1C37E1FD" w14:textId="39282E74" w:rsidR="00203DF1" w:rsidRPr="00203DF1" w:rsidRDefault="009E47B0" w:rsidP="00203DF1">
      <w:pPr>
        <w:jc w:val="both"/>
        <w:rPr>
          <w:rFonts w:ascii="Century Gothic" w:hAnsi="Century Gothic"/>
          <w:sz w:val="24"/>
        </w:rPr>
      </w:pPr>
      <w:r w:rsidRPr="00203DF1">
        <w:rPr>
          <w:rFonts w:ascii="Century Gothic" w:hAnsi="Century Gothic"/>
          <w:sz w:val="24"/>
        </w:rPr>
        <w:t>Las personas</w:t>
      </w:r>
      <w:r w:rsidR="00203DF1" w:rsidRPr="00203DF1">
        <w:rPr>
          <w:rFonts w:ascii="Century Gothic" w:hAnsi="Century Gothic"/>
          <w:sz w:val="24"/>
        </w:rPr>
        <w:t xml:space="preserve"> habitantes del municipio de </w:t>
      </w:r>
      <w:proofErr w:type="spellStart"/>
      <w:r w:rsidR="00203DF1" w:rsidRPr="00203DF1">
        <w:rPr>
          <w:rFonts w:ascii="Century Gothic" w:hAnsi="Century Gothic"/>
          <w:sz w:val="24"/>
        </w:rPr>
        <w:t>Uayma</w:t>
      </w:r>
      <w:proofErr w:type="spellEnd"/>
      <w:r w:rsidR="00203DF1" w:rsidRPr="00203DF1">
        <w:rPr>
          <w:rFonts w:ascii="Century Gothic" w:hAnsi="Century Gothic"/>
          <w:sz w:val="24"/>
        </w:rPr>
        <w:t xml:space="preserve">, solicitan mayores servicios básicos, a través de la demanda de servicios públicos, cuya necesidad, accesibilidad y universalidad depende en gran medida de los recursos con que cuente el gobierno para garantizarlos y que estos servicios sean ejecutados a través de lo mediante contribuciones y otros ingresos. </w:t>
      </w:r>
    </w:p>
    <w:p w14:paraId="26E574D6" w14:textId="77777777" w:rsidR="00203DF1" w:rsidRPr="00203DF1" w:rsidRDefault="00203DF1" w:rsidP="00203DF1">
      <w:pPr>
        <w:jc w:val="both"/>
        <w:rPr>
          <w:rFonts w:ascii="Century Gothic" w:hAnsi="Century Gothic"/>
          <w:sz w:val="24"/>
        </w:rPr>
      </w:pPr>
      <w:r w:rsidRPr="00203DF1">
        <w:rPr>
          <w:rFonts w:ascii="Century Gothic" w:hAnsi="Century Gothic"/>
          <w:sz w:val="24"/>
        </w:rPr>
        <w:t xml:space="preserve">En tal sentido, la hacienda municipal para funcionar correctamente requiere de tres normas fundamentales: La Ley de Hacendaria, la Ley de Ingresos y el  presupuesto de egresos, de tal forma que la primera contiene los conceptos por los cuales el municipio podrá percibir los ingresos  (impuestos, derechos, contribuciones, mejoras, productos, aprovechamientos, participaciones, aportaciones, transferencias, asignaciones, subsidios, financiamiento y otras ayudas e ingresos extraordinarios); en la Ley de ingresos las estimaciones que se pretenden recaudar u obtener por cada uno de estos ingresos; y finalmente en el presupuesto de egresos se determina de qué manera se permiten ejercer estos ingresos. </w:t>
      </w:r>
    </w:p>
    <w:p w14:paraId="6E074CA2" w14:textId="5BCF775B" w:rsidR="00203DF1" w:rsidRPr="00203DF1" w:rsidRDefault="00203DF1" w:rsidP="00203DF1">
      <w:pPr>
        <w:jc w:val="both"/>
        <w:rPr>
          <w:rFonts w:ascii="Century Gothic" w:hAnsi="Century Gothic"/>
          <w:sz w:val="24"/>
        </w:rPr>
      </w:pPr>
      <w:r w:rsidRPr="00203DF1">
        <w:rPr>
          <w:rFonts w:ascii="Century Gothic" w:hAnsi="Century Gothic"/>
          <w:sz w:val="24"/>
        </w:rPr>
        <w:t xml:space="preserve">Este orden de ideas, la reforma de la Ley de Hacienda del Municipio de </w:t>
      </w:r>
      <w:proofErr w:type="spellStart"/>
      <w:r w:rsidRPr="00203DF1">
        <w:rPr>
          <w:rFonts w:ascii="Century Gothic" w:hAnsi="Century Gothic"/>
          <w:sz w:val="24"/>
        </w:rPr>
        <w:t>Uayma</w:t>
      </w:r>
      <w:proofErr w:type="spellEnd"/>
      <w:r w:rsidRPr="00203DF1">
        <w:rPr>
          <w:rFonts w:ascii="Century Gothic" w:hAnsi="Century Gothic"/>
          <w:sz w:val="24"/>
        </w:rPr>
        <w:t xml:space="preserve">, Yucatán para el ejercicio fiscal 2025 en sus numerales 47 y 61, se elaboró tomando como  base el modelo tributario de transparencia, eficacia en el manejo de los recursos públicos económicos, así como la administración de los mismos con responsabilidad y honradez, preceptos </w:t>
      </w:r>
      <w:r w:rsidRPr="00203DF1">
        <w:rPr>
          <w:rFonts w:ascii="Century Gothic" w:hAnsi="Century Gothic"/>
          <w:sz w:val="24"/>
        </w:rPr>
        <w:lastRenderedPageBreak/>
        <w:t xml:space="preserve">obligatorios y previstos en la Ley de Disciplina Financiera de las entidades Federativas y los Municipios, la Ley de Presupuesto  y Contabilidad Gubernamental del Estado de Yucatán y la Ley de Gobierno de los Municipios del Estado de Yucatán, de conformidad en el numeral 108 y 109 de la Constitución Política de los Estados unidos Mexicanos. </w:t>
      </w:r>
    </w:p>
    <w:p w14:paraId="4EC14D28" w14:textId="7C6D61B4" w:rsidR="00E63EE9" w:rsidRPr="00203DF1" w:rsidRDefault="00E63EE9">
      <w:pPr>
        <w:rPr>
          <w:rFonts w:ascii="Century Gothic" w:hAnsi="Century Gothic"/>
          <w:sz w:val="24"/>
        </w:rPr>
      </w:pPr>
      <w:r w:rsidRPr="00203DF1">
        <w:rPr>
          <w:rFonts w:ascii="Century Gothic" w:hAnsi="Century Gothic"/>
          <w:sz w:val="24"/>
        </w:rPr>
        <w:t xml:space="preserve">Se modifica el </w:t>
      </w:r>
      <w:r w:rsidR="009E47B0" w:rsidRPr="00203DF1">
        <w:rPr>
          <w:rFonts w:ascii="Century Gothic" w:hAnsi="Century Gothic"/>
          <w:sz w:val="24"/>
        </w:rPr>
        <w:t>artículo</w:t>
      </w:r>
      <w:r w:rsidRPr="00203DF1">
        <w:rPr>
          <w:rFonts w:ascii="Century Gothic" w:hAnsi="Century Gothic"/>
          <w:sz w:val="24"/>
        </w:rPr>
        <w:t xml:space="preserve"> </w:t>
      </w:r>
      <w:proofErr w:type="gramStart"/>
      <w:r w:rsidRPr="00203DF1">
        <w:rPr>
          <w:rFonts w:ascii="Century Gothic" w:hAnsi="Century Gothic"/>
          <w:sz w:val="24"/>
        </w:rPr>
        <w:t>47  del</w:t>
      </w:r>
      <w:proofErr w:type="gramEnd"/>
      <w:r w:rsidRPr="00203DF1">
        <w:rPr>
          <w:rFonts w:ascii="Century Gothic" w:hAnsi="Century Gothic"/>
          <w:sz w:val="24"/>
        </w:rPr>
        <w:t xml:space="preserve"> </w:t>
      </w:r>
      <w:r w:rsidR="00A1324F" w:rsidRPr="00203DF1">
        <w:rPr>
          <w:rFonts w:ascii="Century Gothic" w:hAnsi="Century Gothic"/>
          <w:sz w:val="24"/>
        </w:rPr>
        <w:t>Capítulo</w:t>
      </w:r>
      <w:r w:rsidRPr="00203DF1">
        <w:rPr>
          <w:rFonts w:ascii="Century Gothic" w:hAnsi="Century Gothic"/>
          <w:sz w:val="24"/>
        </w:rPr>
        <w:t xml:space="preserve"> </w:t>
      </w:r>
      <w:r w:rsidR="001536B8" w:rsidRPr="00203DF1">
        <w:rPr>
          <w:rFonts w:ascii="Century Gothic" w:hAnsi="Century Gothic"/>
          <w:sz w:val="24"/>
        </w:rPr>
        <w:t>I</w:t>
      </w:r>
      <w:r w:rsidRPr="00203DF1">
        <w:rPr>
          <w:rFonts w:ascii="Century Gothic" w:hAnsi="Century Gothic"/>
          <w:sz w:val="24"/>
        </w:rPr>
        <w:t xml:space="preserve"> IMPUESTO PREDIAL</w:t>
      </w:r>
      <w:r w:rsidR="00951982" w:rsidRPr="00203DF1">
        <w:rPr>
          <w:rFonts w:ascii="Century Gothic" w:hAnsi="Century Gothic"/>
          <w:sz w:val="24"/>
        </w:rPr>
        <w:t xml:space="preserve"> para el </w:t>
      </w:r>
      <w:r w:rsidR="009E47B0" w:rsidRPr="00203DF1">
        <w:rPr>
          <w:rFonts w:ascii="Century Gothic" w:hAnsi="Century Gothic"/>
          <w:sz w:val="24"/>
        </w:rPr>
        <w:t>cálculo</w:t>
      </w:r>
      <w:r w:rsidR="00951982" w:rsidRPr="00203DF1">
        <w:rPr>
          <w:rFonts w:ascii="Century Gothic" w:hAnsi="Century Gothic"/>
          <w:sz w:val="24"/>
        </w:rPr>
        <w:t xml:space="preserve"> de los valores catastrales</w:t>
      </w:r>
    </w:p>
    <w:tbl>
      <w:tblPr>
        <w:tblStyle w:val="TableNormal"/>
        <w:tblW w:w="8745"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0"/>
        <w:gridCol w:w="2319"/>
        <w:gridCol w:w="2124"/>
        <w:gridCol w:w="1942"/>
      </w:tblGrid>
      <w:tr w:rsidR="001536B8" w:rsidRPr="00203DF1" w14:paraId="58FB7D93" w14:textId="77777777" w:rsidTr="009E47B0">
        <w:trPr>
          <w:trHeight w:val="950"/>
        </w:trPr>
        <w:tc>
          <w:tcPr>
            <w:tcW w:w="2360" w:type="dxa"/>
          </w:tcPr>
          <w:p w14:paraId="41BE68D8" w14:textId="77777777" w:rsidR="001536B8" w:rsidRPr="00203DF1" w:rsidRDefault="001536B8" w:rsidP="009E47B0">
            <w:pPr>
              <w:pStyle w:val="TableParagraph"/>
              <w:spacing w:line="357" w:lineRule="auto"/>
              <w:ind w:left="258" w:right="839" w:firstLine="50"/>
              <w:jc w:val="center"/>
              <w:rPr>
                <w:rFonts w:ascii="Century Gothic" w:hAnsi="Century Gothic"/>
                <w:b/>
                <w:sz w:val="20"/>
              </w:rPr>
            </w:pPr>
            <w:r w:rsidRPr="00203DF1">
              <w:rPr>
                <w:rFonts w:ascii="Century Gothic" w:hAnsi="Century Gothic"/>
                <w:b/>
                <w:spacing w:val="-2"/>
                <w:sz w:val="20"/>
              </w:rPr>
              <w:t>Límite Inferior</w:t>
            </w:r>
          </w:p>
        </w:tc>
        <w:tc>
          <w:tcPr>
            <w:tcW w:w="2319" w:type="dxa"/>
          </w:tcPr>
          <w:p w14:paraId="41C3E8CD" w14:textId="57436A08" w:rsidR="009E47B0" w:rsidRDefault="001536B8" w:rsidP="009E47B0">
            <w:pPr>
              <w:pStyle w:val="TableParagraph"/>
              <w:spacing w:line="357" w:lineRule="auto"/>
              <w:ind w:left="49" w:right="752" w:firstLine="103"/>
              <w:jc w:val="center"/>
              <w:rPr>
                <w:rFonts w:ascii="Century Gothic" w:hAnsi="Century Gothic"/>
                <w:b/>
                <w:spacing w:val="-2"/>
                <w:sz w:val="20"/>
              </w:rPr>
            </w:pPr>
            <w:r w:rsidRPr="00203DF1">
              <w:rPr>
                <w:rFonts w:ascii="Century Gothic" w:hAnsi="Century Gothic"/>
                <w:b/>
                <w:spacing w:val="-2"/>
                <w:sz w:val="20"/>
              </w:rPr>
              <w:t>Límite</w:t>
            </w:r>
          </w:p>
          <w:p w14:paraId="40C90FD1" w14:textId="4D7FFAC3" w:rsidR="001536B8" w:rsidRPr="00203DF1" w:rsidRDefault="001536B8" w:rsidP="009E47B0">
            <w:pPr>
              <w:pStyle w:val="TableParagraph"/>
              <w:spacing w:line="357" w:lineRule="auto"/>
              <w:ind w:left="49" w:right="752" w:firstLine="103"/>
              <w:jc w:val="center"/>
              <w:rPr>
                <w:rFonts w:ascii="Century Gothic" w:hAnsi="Century Gothic"/>
                <w:b/>
                <w:sz w:val="20"/>
              </w:rPr>
            </w:pPr>
            <w:r w:rsidRPr="00203DF1">
              <w:rPr>
                <w:rFonts w:ascii="Century Gothic" w:hAnsi="Century Gothic"/>
                <w:b/>
                <w:spacing w:val="-2"/>
                <w:sz w:val="20"/>
              </w:rPr>
              <w:t>superior</w:t>
            </w:r>
          </w:p>
        </w:tc>
        <w:tc>
          <w:tcPr>
            <w:tcW w:w="2124" w:type="dxa"/>
          </w:tcPr>
          <w:p w14:paraId="7C70AD99" w14:textId="77777777" w:rsidR="001536B8" w:rsidRPr="00203DF1" w:rsidRDefault="001536B8" w:rsidP="009E47B0">
            <w:pPr>
              <w:pStyle w:val="TableParagraph"/>
              <w:spacing w:line="357" w:lineRule="auto"/>
              <w:ind w:left="301" w:right="1071" w:hanging="176"/>
              <w:jc w:val="center"/>
              <w:rPr>
                <w:rFonts w:ascii="Century Gothic" w:hAnsi="Century Gothic"/>
                <w:b/>
                <w:sz w:val="20"/>
              </w:rPr>
            </w:pPr>
            <w:r w:rsidRPr="00203DF1">
              <w:rPr>
                <w:rFonts w:ascii="Century Gothic" w:hAnsi="Century Gothic"/>
                <w:b/>
                <w:sz w:val="20"/>
              </w:rPr>
              <w:t>Cuota</w:t>
            </w:r>
            <w:r w:rsidRPr="00203DF1">
              <w:rPr>
                <w:rFonts w:ascii="Century Gothic" w:hAnsi="Century Gothic"/>
                <w:b/>
                <w:spacing w:val="-14"/>
                <w:sz w:val="20"/>
              </w:rPr>
              <w:t xml:space="preserve"> </w:t>
            </w:r>
            <w:r w:rsidRPr="00203DF1">
              <w:rPr>
                <w:rFonts w:ascii="Century Gothic" w:hAnsi="Century Gothic"/>
                <w:b/>
                <w:sz w:val="20"/>
              </w:rPr>
              <w:t xml:space="preserve">fija </w:t>
            </w:r>
            <w:r w:rsidRPr="00203DF1">
              <w:rPr>
                <w:rFonts w:ascii="Century Gothic" w:hAnsi="Century Gothic"/>
                <w:b/>
                <w:spacing w:val="-2"/>
                <w:sz w:val="20"/>
              </w:rPr>
              <w:t>Anual</w:t>
            </w:r>
          </w:p>
        </w:tc>
        <w:tc>
          <w:tcPr>
            <w:tcW w:w="1942" w:type="dxa"/>
          </w:tcPr>
          <w:p w14:paraId="09C0BD46" w14:textId="77777777" w:rsidR="001536B8" w:rsidRPr="00203DF1" w:rsidRDefault="001536B8" w:rsidP="009E47B0">
            <w:pPr>
              <w:pStyle w:val="TableParagraph"/>
              <w:spacing w:line="225" w:lineRule="exact"/>
              <w:ind w:left="8" w:right="1"/>
              <w:jc w:val="center"/>
              <w:rPr>
                <w:rFonts w:ascii="Century Gothic" w:hAnsi="Century Gothic"/>
                <w:b/>
                <w:sz w:val="20"/>
              </w:rPr>
            </w:pPr>
            <w:r w:rsidRPr="00203DF1">
              <w:rPr>
                <w:rFonts w:ascii="Century Gothic" w:hAnsi="Century Gothic"/>
                <w:b/>
                <w:sz w:val="20"/>
              </w:rPr>
              <w:t>Factor</w:t>
            </w:r>
            <w:r w:rsidRPr="00203DF1">
              <w:rPr>
                <w:rFonts w:ascii="Century Gothic" w:hAnsi="Century Gothic"/>
                <w:b/>
                <w:spacing w:val="1"/>
                <w:sz w:val="20"/>
              </w:rPr>
              <w:t xml:space="preserve"> </w:t>
            </w:r>
            <w:r w:rsidRPr="00203DF1">
              <w:rPr>
                <w:rFonts w:ascii="Century Gothic" w:hAnsi="Century Gothic"/>
                <w:b/>
                <w:sz w:val="20"/>
              </w:rPr>
              <w:t>para</w:t>
            </w:r>
            <w:r w:rsidRPr="00203DF1">
              <w:rPr>
                <w:rFonts w:ascii="Century Gothic" w:hAnsi="Century Gothic"/>
                <w:b/>
                <w:spacing w:val="5"/>
                <w:sz w:val="20"/>
              </w:rPr>
              <w:t xml:space="preserve"> </w:t>
            </w:r>
            <w:r w:rsidRPr="00203DF1">
              <w:rPr>
                <w:rFonts w:ascii="Century Gothic" w:hAnsi="Century Gothic"/>
                <w:b/>
                <w:spacing w:val="-2"/>
                <w:sz w:val="20"/>
              </w:rPr>
              <w:t>aplicar</w:t>
            </w:r>
          </w:p>
          <w:p w14:paraId="4229CF1E" w14:textId="48F6EFC0" w:rsidR="001536B8" w:rsidRPr="00203DF1" w:rsidRDefault="00A1324F" w:rsidP="009E47B0">
            <w:pPr>
              <w:pStyle w:val="TableParagraph"/>
              <w:spacing w:line="340" w:lineRule="atLeast"/>
              <w:ind w:left="8"/>
              <w:jc w:val="center"/>
              <w:rPr>
                <w:rFonts w:ascii="Century Gothic" w:hAnsi="Century Gothic"/>
                <w:b/>
                <w:sz w:val="20"/>
              </w:rPr>
            </w:pPr>
            <w:r w:rsidRPr="00203DF1">
              <w:rPr>
                <w:rFonts w:ascii="Century Gothic" w:hAnsi="Century Gothic"/>
                <w:b/>
                <w:sz w:val="20"/>
              </w:rPr>
              <w:t>a</w:t>
            </w:r>
            <w:r w:rsidR="001536B8" w:rsidRPr="00203DF1">
              <w:rPr>
                <w:rFonts w:ascii="Century Gothic" w:hAnsi="Century Gothic"/>
                <w:b/>
                <w:sz w:val="20"/>
              </w:rPr>
              <w:t>l</w:t>
            </w:r>
            <w:r w:rsidRPr="00203DF1">
              <w:rPr>
                <w:rFonts w:ascii="Century Gothic" w:hAnsi="Century Gothic"/>
                <w:b/>
                <w:sz w:val="20"/>
              </w:rPr>
              <w:t xml:space="preserve"> </w:t>
            </w:r>
            <w:r w:rsidR="001536B8" w:rsidRPr="00203DF1">
              <w:rPr>
                <w:rFonts w:ascii="Century Gothic" w:hAnsi="Century Gothic"/>
                <w:b/>
                <w:sz w:val="20"/>
              </w:rPr>
              <w:t>excedente</w:t>
            </w:r>
            <w:r w:rsidR="001536B8" w:rsidRPr="00203DF1">
              <w:rPr>
                <w:rFonts w:ascii="Century Gothic" w:hAnsi="Century Gothic"/>
                <w:b/>
                <w:spacing w:val="-14"/>
                <w:sz w:val="20"/>
              </w:rPr>
              <w:t xml:space="preserve"> </w:t>
            </w:r>
            <w:r w:rsidR="001536B8" w:rsidRPr="00203DF1">
              <w:rPr>
                <w:rFonts w:ascii="Century Gothic" w:hAnsi="Century Gothic"/>
                <w:b/>
                <w:sz w:val="20"/>
              </w:rPr>
              <w:t xml:space="preserve">del </w:t>
            </w:r>
            <w:r w:rsidR="001536B8" w:rsidRPr="00203DF1">
              <w:rPr>
                <w:rFonts w:ascii="Century Gothic" w:hAnsi="Century Gothic"/>
                <w:b/>
                <w:spacing w:val="-2"/>
                <w:sz w:val="20"/>
              </w:rPr>
              <w:t>Limite</w:t>
            </w:r>
          </w:p>
        </w:tc>
      </w:tr>
      <w:tr w:rsidR="001536B8" w:rsidRPr="00203DF1" w14:paraId="7CD49987" w14:textId="77777777" w:rsidTr="009E47B0">
        <w:trPr>
          <w:trHeight w:val="311"/>
        </w:trPr>
        <w:tc>
          <w:tcPr>
            <w:tcW w:w="2360" w:type="dxa"/>
          </w:tcPr>
          <w:p w14:paraId="430D5BC6" w14:textId="77777777" w:rsidR="001536B8" w:rsidRPr="00203DF1" w:rsidRDefault="001536B8" w:rsidP="00AE0D69">
            <w:pPr>
              <w:pStyle w:val="TableParagraph"/>
              <w:spacing w:line="222" w:lineRule="exact"/>
              <w:ind w:left="4"/>
              <w:jc w:val="center"/>
              <w:rPr>
                <w:rFonts w:ascii="Century Gothic" w:hAnsi="Century Gothic"/>
                <w:b/>
                <w:sz w:val="20"/>
              </w:rPr>
            </w:pPr>
            <w:r w:rsidRPr="00203DF1">
              <w:rPr>
                <w:rFonts w:ascii="Century Gothic" w:hAnsi="Century Gothic"/>
                <w:b/>
                <w:spacing w:val="-2"/>
                <w:sz w:val="20"/>
              </w:rPr>
              <w:t>Pesos</w:t>
            </w:r>
          </w:p>
        </w:tc>
        <w:tc>
          <w:tcPr>
            <w:tcW w:w="2319" w:type="dxa"/>
          </w:tcPr>
          <w:p w14:paraId="72869FEE" w14:textId="77777777" w:rsidR="001536B8" w:rsidRPr="00203DF1" w:rsidRDefault="001536B8" w:rsidP="00AE0D69">
            <w:pPr>
              <w:pStyle w:val="TableParagraph"/>
              <w:spacing w:line="222" w:lineRule="exact"/>
              <w:ind w:left="141" w:right="135"/>
              <w:jc w:val="center"/>
              <w:rPr>
                <w:rFonts w:ascii="Century Gothic" w:hAnsi="Century Gothic"/>
                <w:b/>
                <w:sz w:val="20"/>
              </w:rPr>
            </w:pPr>
            <w:r w:rsidRPr="00203DF1">
              <w:rPr>
                <w:rFonts w:ascii="Century Gothic" w:hAnsi="Century Gothic"/>
                <w:b/>
                <w:spacing w:val="-2"/>
                <w:sz w:val="20"/>
              </w:rPr>
              <w:t>Pesos</w:t>
            </w:r>
          </w:p>
        </w:tc>
        <w:tc>
          <w:tcPr>
            <w:tcW w:w="2124" w:type="dxa"/>
          </w:tcPr>
          <w:p w14:paraId="31B267F8" w14:textId="77777777" w:rsidR="001536B8" w:rsidRPr="00203DF1" w:rsidRDefault="001536B8" w:rsidP="00AE0D69">
            <w:pPr>
              <w:pStyle w:val="TableParagraph"/>
              <w:spacing w:line="222" w:lineRule="exact"/>
              <w:ind w:left="4"/>
              <w:jc w:val="center"/>
              <w:rPr>
                <w:rFonts w:ascii="Century Gothic" w:hAnsi="Century Gothic"/>
                <w:b/>
                <w:sz w:val="20"/>
              </w:rPr>
            </w:pPr>
            <w:r w:rsidRPr="00203DF1">
              <w:rPr>
                <w:rFonts w:ascii="Century Gothic" w:hAnsi="Century Gothic"/>
                <w:b/>
                <w:spacing w:val="-2"/>
                <w:sz w:val="20"/>
              </w:rPr>
              <w:t>Pesos</w:t>
            </w:r>
          </w:p>
        </w:tc>
        <w:tc>
          <w:tcPr>
            <w:tcW w:w="1942" w:type="dxa"/>
          </w:tcPr>
          <w:p w14:paraId="244B6E56" w14:textId="77777777" w:rsidR="001536B8" w:rsidRPr="00203DF1" w:rsidRDefault="001536B8" w:rsidP="00AE0D69">
            <w:pPr>
              <w:pStyle w:val="TableParagraph"/>
              <w:spacing w:line="222" w:lineRule="exact"/>
              <w:ind w:left="8" w:right="2"/>
              <w:jc w:val="center"/>
              <w:rPr>
                <w:rFonts w:ascii="Century Gothic" w:hAnsi="Century Gothic"/>
                <w:b/>
                <w:sz w:val="20"/>
              </w:rPr>
            </w:pPr>
            <w:r w:rsidRPr="00203DF1">
              <w:rPr>
                <w:rFonts w:ascii="Century Gothic" w:hAnsi="Century Gothic"/>
                <w:b/>
                <w:spacing w:val="-10"/>
                <w:sz w:val="20"/>
              </w:rPr>
              <w:t>%</w:t>
            </w:r>
          </w:p>
        </w:tc>
      </w:tr>
      <w:tr w:rsidR="001536B8" w:rsidRPr="00203DF1" w14:paraId="4596A6D8" w14:textId="77777777" w:rsidTr="009E47B0">
        <w:trPr>
          <w:trHeight w:val="290"/>
        </w:trPr>
        <w:tc>
          <w:tcPr>
            <w:tcW w:w="2360" w:type="dxa"/>
          </w:tcPr>
          <w:p w14:paraId="0312CA68" w14:textId="77777777" w:rsidR="001536B8" w:rsidRPr="00203DF1" w:rsidRDefault="001536B8" w:rsidP="00AE0D69">
            <w:pPr>
              <w:pStyle w:val="TableParagraph"/>
              <w:tabs>
                <w:tab w:val="left" w:pos="1607"/>
              </w:tabs>
              <w:spacing w:line="222" w:lineRule="exact"/>
              <w:ind w:left="4"/>
              <w:rPr>
                <w:rFonts w:ascii="Century Gothic" w:hAnsi="Century Gothic"/>
                <w:sz w:val="20"/>
              </w:rPr>
            </w:pPr>
            <w:r w:rsidRPr="00203DF1">
              <w:rPr>
                <w:rFonts w:ascii="Century Gothic" w:hAnsi="Century Gothic"/>
                <w:spacing w:val="-10"/>
                <w:sz w:val="20"/>
              </w:rPr>
              <w:t>$</w:t>
            </w:r>
            <w:r w:rsidRPr="00203DF1">
              <w:rPr>
                <w:rFonts w:ascii="Century Gothic" w:hAnsi="Century Gothic"/>
                <w:sz w:val="20"/>
              </w:rPr>
              <w:tab/>
            </w:r>
            <w:r w:rsidRPr="00203DF1">
              <w:rPr>
                <w:rFonts w:ascii="Century Gothic" w:hAnsi="Century Gothic"/>
                <w:spacing w:val="-4"/>
                <w:sz w:val="20"/>
              </w:rPr>
              <w:t>0.01</w:t>
            </w:r>
          </w:p>
        </w:tc>
        <w:tc>
          <w:tcPr>
            <w:tcW w:w="2319" w:type="dxa"/>
          </w:tcPr>
          <w:p w14:paraId="02EB9CBA" w14:textId="77777777" w:rsidR="001536B8" w:rsidRPr="00203DF1" w:rsidRDefault="001536B8" w:rsidP="00AE0D69">
            <w:pPr>
              <w:pStyle w:val="TableParagraph"/>
              <w:tabs>
                <w:tab w:val="left" w:pos="1195"/>
              </w:tabs>
              <w:spacing w:line="222" w:lineRule="exact"/>
              <w:ind w:right="135"/>
              <w:jc w:val="center"/>
              <w:rPr>
                <w:rFonts w:ascii="Century Gothic" w:hAnsi="Century Gothic"/>
                <w:sz w:val="20"/>
              </w:rPr>
            </w:pPr>
            <w:r w:rsidRPr="00203DF1">
              <w:rPr>
                <w:rFonts w:ascii="Century Gothic" w:hAnsi="Century Gothic"/>
                <w:spacing w:val="-10"/>
                <w:sz w:val="20"/>
              </w:rPr>
              <w:t>$</w:t>
            </w:r>
            <w:r w:rsidRPr="00203DF1">
              <w:rPr>
                <w:rFonts w:ascii="Century Gothic" w:hAnsi="Century Gothic"/>
                <w:sz w:val="20"/>
              </w:rPr>
              <w:tab/>
            </w:r>
            <w:r w:rsidRPr="00203DF1">
              <w:rPr>
                <w:rFonts w:ascii="Century Gothic" w:hAnsi="Century Gothic"/>
                <w:spacing w:val="-2"/>
                <w:sz w:val="20"/>
              </w:rPr>
              <w:t>5,000.00</w:t>
            </w:r>
          </w:p>
        </w:tc>
        <w:tc>
          <w:tcPr>
            <w:tcW w:w="2124" w:type="dxa"/>
          </w:tcPr>
          <w:p w14:paraId="23E82DBE" w14:textId="77777777" w:rsidR="001536B8" w:rsidRPr="00203DF1" w:rsidRDefault="001536B8" w:rsidP="00AE0D69">
            <w:pPr>
              <w:pStyle w:val="TableParagraph"/>
              <w:tabs>
                <w:tab w:val="left" w:pos="1338"/>
              </w:tabs>
              <w:spacing w:line="222" w:lineRule="exact"/>
              <w:ind w:left="4"/>
              <w:rPr>
                <w:rFonts w:ascii="Century Gothic" w:hAnsi="Century Gothic"/>
                <w:sz w:val="20"/>
              </w:rPr>
            </w:pPr>
            <w:r w:rsidRPr="00203DF1">
              <w:rPr>
                <w:rFonts w:ascii="Century Gothic" w:hAnsi="Century Gothic"/>
                <w:spacing w:val="-10"/>
                <w:sz w:val="20"/>
              </w:rPr>
              <w:t>$</w:t>
            </w:r>
            <w:r w:rsidRPr="00203DF1">
              <w:rPr>
                <w:rFonts w:ascii="Century Gothic" w:hAnsi="Century Gothic"/>
                <w:sz w:val="20"/>
              </w:rPr>
              <w:tab/>
            </w:r>
            <w:r w:rsidRPr="00203DF1">
              <w:rPr>
                <w:rFonts w:ascii="Century Gothic" w:hAnsi="Century Gothic"/>
                <w:spacing w:val="-4"/>
                <w:sz w:val="20"/>
              </w:rPr>
              <w:t>70.00</w:t>
            </w:r>
          </w:p>
        </w:tc>
        <w:tc>
          <w:tcPr>
            <w:tcW w:w="1942" w:type="dxa"/>
          </w:tcPr>
          <w:p w14:paraId="1D2F95E8" w14:textId="77777777" w:rsidR="001536B8" w:rsidRPr="00203DF1" w:rsidRDefault="001536B8" w:rsidP="00AE0D69">
            <w:pPr>
              <w:pStyle w:val="TableParagraph"/>
              <w:spacing w:line="222" w:lineRule="exact"/>
              <w:ind w:right="-15"/>
              <w:jc w:val="right"/>
              <w:rPr>
                <w:rFonts w:ascii="Century Gothic" w:hAnsi="Century Gothic"/>
                <w:sz w:val="20"/>
              </w:rPr>
            </w:pPr>
            <w:r w:rsidRPr="00203DF1">
              <w:rPr>
                <w:rFonts w:ascii="Century Gothic" w:hAnsi="Century Gothic"/>
                <w:spacing w:val="-2"/>
                <w:sz w:val="20"/>
              </w:rPr>
              <w:t>0.025%</w:t>
            </w:r>
          </w:p>
        </w:tc>
      </w:tr>
      <w:tr w:rsidR="001536B8" w:rsidRPr="00203DF1" w14:paraId="22EAFB05" w14:textId="77777777" w:rsidTr="009E47B0">
        <w:trPr>
          <w:trHeight w:val="309"/>
        </w:trPr>
        <w:tc>
          <w:tcPr>
            <w:tcW w:w="2360" w:type="dxa"/>
          </w:tcPr>
          <w:p w14:paraId="3F8B83D6" w14:textId="77777777" w:rsidR="001536B8" w:rsidRPr="00203DF1" w:rsidRDefault="001536B8" w:rsidP="00AE0D69">
            <w:pPr>
              <w:pStyle w:val="TableParagraph"/>
              <w:tabs>
                <w:tab w:val="left" w:pos="1218"/>
              </w:tabs>
              <w:spacing w:line="222" w:lineRule="exact"/>
              <w:ind w:left="4"/>
              <w:rPr>
                <w:rFonts w:ascii="Century Gothic" w:hAnsi="Century Gothic"/>
                <w:sz w:val="20"/>
              </w:rPr>
            </w:pPr>
            <w:r w:rsidRPr="00203DF1">
              <w:rPr>
                <w:rFonts w:ascii="Century Gothic" w:hAnsi="Century Gothic"/>
                <w:spacing w:val="-10"/>
                <w:sz w:val="20"/>
              </w:rPr>
              <w:t>$</w:t>
            </w:r>
            <w:r w:rsidRPr="00203DF1">
              <w:rPr>
                <w:rFonts w:ascii="Century Gothic" w:hAnsi="Century Gothic"/>
                <w:sz w:val="20"/>
              </w:rPr>
              <w:tab/>
            </w:r>
            <w:r w:rsidRPr="00203DF1">
              <w:rPr>
                <w:rFonts w:ascii="Century Gothic" w:hAnsi="Century Gothic"/>
                <w:spacing w:val="-2"/>
                <w:sz w:val="20"/>
              </w:rPr>
              <w:t>5,000.01</w:t>
            </w:r>
          </w:p>
        </w:tc>
        <w:tc>
          <w:tcPr>
            <w:tcW w:w="2319" w:type="dxa"/>
          </w:tcPr>
          <w:p w14:paraId="664D7AA3" w14:textId="77777777" w:rsidR="001536B8" w:rsidRPr="00203DF1" w:rsidRDefault="001536B8" w:rsidP="00AE0D69">
            <w:pPr>
              <w:pStyle w:val="TableParagraph"/>
              <w:tabs>
                <w:tab w:val="left" w:pos="1082"/>
              </w:tabs>
              <w:spacing w:line="222" w:lineRule="exact"/>
              <w:ind w:right="136"/>
              <w:jc w:val="center"/>
              <w:rPr>
                <w:rFonts w:ascii="Century Gothic" w:hAnsi="Century Gothic"/>
                <w:sz w:val="20"/>
              </w:rPr>
            </w:pPr>
            <w:r w:rsidRPr="00203DF1">
              <w:rPr>
                <w:rFonts w:ascii="Century Gothic" w:hAnsi="Century Gothic"/>
                <w:spacing w:val="-10"/>
                <w:sz w:val="20"/>
              </w:rPr>
              <w:t>$</w:t>
            </w:r>
            <w:r w:rsidRPr="00203DF1">
              <w:rPr>
                <w:rFonts w:ascii="Century Gothic" w:hAnsi="Century Gothic"/>
                <w:sz w:val="20"/>
              </w:rPr>
              <w:tab/>
            </w:r>
            <w:r w:rsidRPr="00203DF1">
              <w:rPr>
                <w:rFonts w:ascii="Century Gothic" w:hAnsi="Century Gothic"/>
                <w:spacing w:val="-2"/>
                <w:sz w:val="20"/>
              </w:rPr>
              <w:t>12,000.00</w:t>
            </w:r>
          </w:p>
        </w:tc>
        <w:tc>
          <w:tcPr>
            <w:tcW w:w="2124" w:type="dxa"/>
          </w:tcPr>
          <w:p w14:paraId="4566AD82" w14:textId="77777777" w:rsidR="001536B8" w:rsidRPr="00203DF1" w:rsidRDefault="001536B8" w:rsidP="00AE0D69">
            <w:pPr>
              <w:pStyle w:val="TableParagraph"/>
              <w:tabs>
                <w:tab w:val="left" w:pos="1338"/>
              </w:tabs>
              <w:spacing w:line="222" w:lineRule="exact"/>
              <w:ind w:left="4"/>
              <w:rPr>
                <w:rFonts w:ascii="Century Gothic" w:hAnsi="Century Gothic"/>
                <w:sz w:val="20"/>
              </w:rPr>
            </w:pPr>
            <w:r w:rsidRPr="00203DF1">
              <w:rPr>
                <w:rFonts w:ascii="Century Gothic" w:hAnsi="Century Gothic"/>
                <w:spacing w:val="-10"/>
                <w:sz w:val="20"/>
              </w:rPr>
              <w:t>$</w:t>
            </w:r>
            <w:r w:rsidRPr="00203DF1">
              <w:rPr>
                <w:rFonts w:ascii="Century Gothic" w:hAnsi="Century Gothic"/>
                <w:sz w:val="20"/>
              </w:rPr>
              <w:tab/>
            </w:r>
            <w:r w:rsidRPr="00203DF1">
              <w:rPr>
                <w:rFonts w:ascii="Century Gothic" w:hAnsi="Century Gothic"/>
                <w:spacing w:val="-4"/>
                <w:sz w:val="20"/>
              </w:rPr>
              <w:t>80.00</w:t>
            </w:r>
          </w:p>
        </w:tc>
        <w:tc>
          <w:tcPr>
            <w:tcW w:w="1942" w:type="dxa"/>
          </w:tcPr>
          <w:p w14:paraId="0F1B3C75" w14:textId="77777777" w:rsidR="001536B8" w:rsidRPr="00203DF1" w:rsidRDefault="001536B8" w:rsidP="00AE0D69">
            <w:pPr>
              <w:pStyle w:val="TableParagraph"/>
              <w:spacing w:line="222" w:lineRule="exact"/>
              <w:ind w:right="-15"/>
              <w:jc w:val="right"/>
              <w:rPr>
                <w:rFonts w:ascii="Century Gothic" w:hAnsi="Century Gothic"/>
                <w:sz w:val="20"/>
              </w:rPr>
            </w:pPr>
            <w:r w:rsidRPr="00203DF1">
              <w:rPr>
                <w:rFonts w:ascii="Century Gothic" w:hAnsi="Century Gothic"/>
                <w:spacing w:val="-2"/>
                <w:sz w:val="20"/>
              </w:rPr>
              <w:t>0.025%</w:t>
            </w:r>
          </w:p>
        </w:tc>
      </w:tr>
      <w:tr w:rsidR="001536B8" w:rsidRPr="00203DF1" w14:paraId="054D7591" w14:textId="77777777" w:rsidTr="009E47B0">
        <w:trPr>
          <w:trHeight w:val="331"/>
        </w:trPr>
        <w:tc>
          <w:tcPr>
            <w:tcW w:w="2360" w:type="dxa"/>
          </w:tcPr>
          <w:p w14:paraId="2BACB03B" w14:textId="77777777" w:rsidR="001536B8" w:rsidRPr="00203DF1" w:rsidRDefault="001536B8" w:rsidP="00AE0D69">
            <w:pPr>
              <w:pStyle w:val="TableParagraph"/>
              <w:tabs>
                <w:tab w:val="left" w:pos="1106"/>
              </w:tabs>
              <w:spacing w:line="222" w:lineRule="exact"/>
              <w:ind w:left="4"/>
              <w:rPr>
                <w:rFonts w:ascii="Century Gothic" w:hAnsi="Century Gothic"/>
                <w:sz w:val="20"/>
              </w:rPr>
            </w:pPr>
            <w:r w:rsidRPr="00203DF1">
              <w:rPr>
                <w:rFonts w:ascii="Century Gothic" w:hAnsi="Century Gothic"/>
                <w:spacing w:val="-10"/>
                <w:sz w:val="20"/>
              </w:rPr>
              <w:t>$</w:t>
            </w:r>
            <w:r w:rsidRPr="00203DF1">
              <w:rPr>
                <w:rFonts w:ascii="Century Gothic" w:hAnsi="Century Gothic"/>
                <w:sz w:val="20"/>
              </w:rPr>
              <w:tab/>
            </w:r>
            <w:r w:rsidRPr="00203DF1">
              <w:rPr>
                <w:rFonts w:ascii="Century Gothic" w:hAnsi="Century Gothic"/>
                <w:spacing w:val="-2"/>
                <w:sz w:val="20"/>
              </w:rPr>
              <w:t>12,000.01</w:t>
            </w:r>
          </w:p>
        </w:tc>
        <w:tc>
          <w:tcPr>
            <w:tcW w:w="2319" w:type="dxa"/>
          </w:tcPr>
          <w:p w14:paraId="1AF190DE" w14:textId="77777777" w:rsidR="001536B8" w:rsidRPr="00203DF1" w:rsidRDefault="001536B8" w:rsidP="00AE0D69">
            <w:pPr>
              <w:pStyle w:val="TableParagraph"/>
              <w:tabs>
                <w:tab w:val="left" w:pos="1082"/>
              </w:tabs>
              <w:spacing w:line="222" w:lineRule="exact"/>
              <w:ind w:right="136"/>
              <w:jc w:val="center"/>
              <w:rPr>
                <w:rFonts w:ascii="Century Gothic" w:hAnsi="Century Gothic"/>
                <w:sz w:val="20"/>
              </w:rPr>
            </w:pPr>
            <w:r w:rsidRPr="00203DF1">
              <w:rPr>
                <w:rFonts w:ascii="Century Gothic" w:hAnsi="Century Gothic"/>
                <w:spacing w:val="-10"/>
                <w:sz w:val="20"/>
              </w:rPr>
              <w:t>$</w:t>
            </w:r>
            <w:r w:rsidRPr="00203DF1">
              <w:rPr>
                <w:rFonts w:ascii="Century Gothic" w:hAnsi="Century Gothic"/>
                <w:sz w:val="20"/>
              </w:rPr>
              <w:tab/>
            </w:r>
            <w:r w:rsidRPr="00203DF1">
              <w:rPr>
                <w:rFonts w:ascii="Century Gothic" w:hAnsi="Century Gothic"/>
                <w:spacing w:val="-2"/>
                <w:sz w:val="20"/>
              </w:rPr>
              <w:t>15,000.00</w:t>
            </w:r>
          </w:p>
        </w:tc>
        <w:tc>
          <w:tcPr>
            <w:tcW w:w="2124" w:type="dxa"/>
          </w:tcPr>
          <w:p w14:paraId="404F486D" w14:textId="77777777" w:rsidR="001536B8" w:rsidRPr="00203DF1" w:rsidRDefault="001536B8" w:rsidP="00AE0D69">
            <w:pPr>
              <w:pStyle w:val="TableParagraph"/>
              <w:tabs>
                <w:tab w:val="left" w:pos="1338"/>
              </w:tabs>
              <w:spacing w:line="222" w:lineRule="exact"/>
              <w:ind w:left="4"/>
              <w:rPr>
                <w:rFonts w:ascii="Century Gothic" w:hAnsi="Century Gothic"/>
                <w:sz w:val="20"/>
              </w:rPr>
            </w:pPr>
            <w:r w:rsidRPr="00203DF1">
              <w:rPr>
                <w:rFonts w:ascii="Century Gothic" w:hAnsi="Century Gothic"/>
                <w:spacing w:val="-10"/>
                <w:sz w:val="20"/>
              </w:rPr>
              <w:t>$</w:t>
            </w:r>
            <w:r w:rsidRPr="00203DF1">
              <w:rPr>
                <w:rFonts w:ascii="Century Gothic" w:hAnsi="Century Gothic"/>
                <w:sz w:val="20"/>
              </w:rPr>
              <w:tab/>
            </w:r>
            <w:r w:rsidRPr="00203DF1">
              <w:rPr>
                <w:rFonts w:ascii="Century Gothic" w:hAnsi="Century Gothic"/>
                <w:spacing w:val="-4"/>
                <w:sz w:val="20"/>
              </w:rPr>
              <w:t>90.00</w:t>
            </w:r>
          </w:p>
        </w:tc>
        <w:tc>
          <w:tcPr>
            <w:tcW w:w="1942" w:type="dxa"/>
          </w:tcPr>
          <w:p w14:paraId="3C9A44C8" w14:textId="77777777" w:rsidR="001536B8" w:rsidRPr="00203DF1" w:rsidRDefault="001536B8" w:rsidP="00AE0D69">
            <w:pPr>
              <w:pStyle w:val="TableParagraph"/>
              <w:spacing w:line="222" w:lineRule="exact"/>
              <w:ind w:right="-15"/>
              <w:jc w:val="right"/>
              <w:rPr>
                <w:rFonts w:ascii="Century Gothic" w:hAnsi="Century Gothic"/>
                <w:sz w:val="20"/>
              </w:rPr>
            </w:pPr>
            <w:r w:rsidRPr="00203DF1">
              <w:rPr>
                <w:rFonts w:ascii="Century Gothic" w:hAnsi="Century Gothic"/>
                <w:spacing w:val="-2"/>
                <w:sz w:val="20"/>
              </w:rPr>
              <w:t>0.025%</w:t>
            </w:r>
          </w:p>
        </w:tc>
      </w:tr>
      <w:tr w:rsidR="001536B8" w:rsidRPr="00203DF1" w14:paraId="73F1ABB8" w14:textId="77777777" w:rsidTr="009E47B0">
        <w:trPr>
          <w:trHeight w:val="309"/>
        </w:trPr>
        <w:tc>
          <w:tcPr>
            <w:tcW w:w="2360" w:type="dxa"/>
          </w:tcPr>
          <w:p w14:paraId="07A3E50A" w14:textId="77777777" w:rsidR="001536B8" w:rsidRPr="00203DF1" w:rsidRDefault="001536B8" w:rsidP="00AE0D69">
            <w:pPr>
              <w:pStyle w:val="TableParagraph"/>
              <w:tabs>
                <w:tab w:val="left" w:pos="1106"/>
              </w:tabs>
              <w:spacing w:line="222" w:lineRule="exact"/>
              <w:ind w:left="4"/>
              <w:rPr>
                <w:rFonts w:ascii="Century Gothic" w:hAnsi="Century Gothic"/>
                <w:sz w:val="20"/>
              </w:rPr>
            </w:pPr>
            <w:r w:rsidRPr="00203DF1">
              <w:rPr>
                <w:rFonts w:ascii="Century Gothic" w:hAnsi="Century Gothic"/>
                <w:spacing w:val="-10"/>
                <w:sz w:val="20"/>
              </w:rPr>
              <w:t>$</w:t>
            </w:r>
            <w:r w:rsidRPr="00203DF1">
              <w:rPr>
                <w:rFonts w:ascii="Century Gothic" w:hAnsi="Century Gothic"/>
                <w:sz w:val="20"/>
              </w:rPr>
              <w:tab/>
            </w:r>
            <w:r w:rsidRPr="00203DF1">
              <w:rPr>
                <w:rFonts w:ascii="Century Gothic" w:hAnsi="Century Gothic"/>
                <w:spacing w:val="-2"/>
                <w:sz w:val="20"/>
              </w:rPr>
              <w:t>15,000.01</w:t>
            </w:r>
          </w:p>
        </w:tc>
        <w:tc>
          <w:tcPr>
            <w:tcW w:w="2319" w:type="dxa"/>
          </w:tcPr>
          <w:p w14:paraId="35966E4D" w14:textId="77777777" w:rsidR="001536B8" w:rsidRPr="00203DF1" w:rsidRDefault="001536B8" w:rsidP="00AE0D69">
            <w:pPr>
              <w:pStyle w:val="TableParagraph"/>
              <w:tabs>
                <w:tab w:val="left" w:pos="1082"/>
              </w:tabs>
              <w:spacing w:line="222" w:lineRule="exact"/>
              <w:ind w:right="136"/>
              <w:jc w:val="center"/>
              <w:rPr>
                <w:rFonts w:ascii="Century Gothic" w:hAnsi="Century Gothic"/>
                <w:sz w:val="20"/>
              </w:rPr>
            </w:pPr>
            <w:r w:rsidRPr="00203DF1">
              <w:rPr>
                <w:rFonts w:ascii="Century Gothic" w:hAnsi="Century Gothic"/>
                <w:spacing w:val="-10"/>
                <w:sz w:val="20"/>
              </w:rPr>
              <w:t>$</w:t>
            </w:r>
            <w:r w:rsidRPr="00203DF1">
              <w:rPr>
                <w:rFonts w:ascii="Century Gothic" w:hAnsi="Century Gothic"/>
                <w:sz w:val="20"/>
              </w:rPr>
              <w:tab/>
            </w:r>
            <w:r w:rsidRPr="00203DF1">
              <w:rPr>
                <w:rFonts w:ascii="Century Gothic" w:hAnsi="Century Gothic"/>
                <w:spacing w:val="-2"/>
                <w:sz w:val="20"/>
              </w:rPr>
              <w:t>18,000.00</w:t>
            </w:r>
          </w:p>
        </w:tc>
        <w:tc>
          <w:tcPr>
            <w:tcW w:w="2124" w:type="dxa"/>
          </w:tcPr>
          <w:p w14:paraId="67124641" w14:textId="77777777" w:rsidR="001536B8" w:rsidRPr="00203DF1" w:rsidRDefault="001536B8" w:rsidP="00AE0D69">
            <w:pPr>
              <w:pStyle w:val="TableParagraph"/>
              <w:tabs>
                <w:tab w:val="left" w:pos="1338"/>
              </w:tabs>
              <w:spacing w:line="222" w:lineRule="exact"/>
              <w:ind w:left="4"/>
              <w:rPr>
                <w:rFonts w:ascii="Century Gothic" w:hAnsi="Century Gothic"/>
                <w:sz w:val="20"/>
              </w:rPr>
            </w:pPr>
            <w:r w:rsidRPr="00203DF1">
              <w:rPr>
                <w:rFonts w:ascii="Century Gothic" w:hAnsi="Century Gothic"/>
                <w:spacing w:val="-10"/>
                <w:sz w:val="20"/>
              </w:rPr>
              <w:t>$</w:t>
            </w:r>
            <w:r w:rsidRPr="00203DF1">
              <w:rPr>
                <w:rFonts w:ascii="Century Gothic" w:hAnsi="Century Gothic"/>
                <w:sz w:val="20"/>
              </w:rPr>
              <w:tab/>
            </w:r>
            <w:r w:rsidRPr="00203DF1">
              <w:rPr>
                <w:rFonts w:ascii="Century Gothic" w:hAnsi="Century Gothic"/>
                <w:spacing w:val="-4"/>
                <w:sz w:val="20"/>
              </w:rPr>
              <w:t>100.00</w:t>
            </w:r>
          </w:p>
        </w:tc>
        <w:tc>
          <w:tcPr>
            <w:tcW w:w="1942" w:type="dxa"/>
          </w:tcPr>
          <w:p w14:paraId="431E13FD" w14:textId="77777777" w:rsidR="001536B8" w:rsidRPr="00203DF1" w:rsidRDefault="001536B8" w:rsidP="00AE0D69">
            <w:pPr>
              <w:pStyle w:val="TableParagraph"/>
              <w:spacing w:line="222" w:lineRule="exact"/>
              <w:ind w:right="-15"/>
              <w:jc w:val="right"/>
              <w:rPr>
                <w:rFonts w:ascii="Century Gothic" w:hAnsi="Century Gothic"/>
                <w:sz w:val="20"/>
              </w:rPr>
            </w:pPr>
            <w:r w:rsidRPr="00203DF1">
              <w:rPr>
                <w:rFonts w:ascii="Century Gothic" w:hAnsi="Century Gothic"/>
                <w:spacing w:val="-2"/>
                <w:sz w:val="20"/>
              </w:rPr>
              <w:t>0.025%</w:t>
            </w:r>
          </w:p>
        </w:tc>
      </w:tr>
      <w:tr w:rsidR="001536B8" w:rsidRPr="00203DF1" w14:paraId="2C79BEBE" w14:textId="77777777" w:rsidTr="009E47B0">
        <w:trPr>
          <w:trHeight w:val="306"/>
        </w:trPr>
        <w:tc>
          <w:tcPr>
            <w:tcW w:w="2360" w:type="dxa"/>
          </w:tcPr>
          <w:p w14:paraId="1955B7BE" w14:textId="77777777" w:rsidR="001536B8" w:rsidRPr="00203DF1" w:rsidRDefault="001536B8" w:rsidP="00AE0D69">
            <w:pPr>
              <w:pStyle w:val="TableParagraph"/>
              <w:tabs>
                <w:tab w:val="left" w:pos="1106"/>
              </w:tabs>
              <w:spacing w:line="222" w:lineRule="exact"/>
              <w:ind w:left="4"/>
              <w:rPr>
                <w:rFonts w:ascii="Century Gothic" w:hAnsi="Century Gothic"/>
                <w:sz w:val="20"/>
              </w:rPr>
            </w:pPr>
            <w:r w:rsidRPr="00203DF1">
              <w:rPr>
                <w:rFonts w:ascii="Century Gothic" w:hAnsi="Century Gothic"/>
                <w:spacing w:val="-10"/>
                <w:sz w:val="20"/>
              </w:rPr>
              <w:t>$</w:t>
            </w:r>
            <w:r w:rsidRPr="00203DF1">
              <w:rPr>
                <w:rFonts w:ascii="Century Gothic" w:hAnsi="Century Gothic"/>
                <w:sz w:val="20"/>
              </w:rPr>
              <w:tab/>
            </w:r>
            <w:r w:rsidRPr="00203DF1">
              <w:rPr>
                <w:rFonts w:ascii="Century Gothic" w:hAnsi="Century Gothic"/>
                <w:spacing w:val="-2"/>
                <w:sz w:val="20"/>
              </w:rPr>
              <w:t>18,000.01</w:t>
            </w:r>
          </w:p>
        </w:tc>
        <w:tc>
          <w:tcPr>
            <w:tcW w:w="2319" w:type="dxa"/>
          </w:tcPr>
          <w:p w14:paraId="0876BE48" w14:textId="77777777" w:rsidR="001536B8" w:rsidRPr="00203DF1" w:rsidRDefault="001536B8" w:rsidP="00AE0D69">
            <w:pPr>
              <w:pStyle w:val="TableParagraph"/>
              <w:tabs>
                <w:tab w:val="left" w:pos="1082"/>
              </w:tabs>
              <w:spacing w:line="222" w:lineRule="exact"/>
              <w:ind w:right="136"/>
              <w:jc w:val="center"/>
              <w:rPr>
                <w:rFonts w:ascii="Century Gothic" w:hAnsi="Century Gothic"/>
                <w:sz w:val="20"/>
              </w:rPr>
            </w:pPr>
            <w:r w:rsidRPr="00203DF1">
              <w:rPr>
                <w:rFonts w:ascii="Century Gothic" w:hAnsi="Century Gothic"/>
                <w:spacing w:val="-10"/>
                <w:sz w:val="20"/>
              </w:rPr>
              <w:t>$</w:t>
            </w:r>
            <w:r w:rsidRPr="00203DF1">
              <w:rPr>
                <w:rFonts w:ascii="Century Gothic" w:hAnsi="Century Gothic"/>
                <w:sz w:val="20"/>
              </w:rPr>
              <w:tab/>
            </w:r>
            <w:r w:rsidRPr="00203DF1">
              <w:rPr>
                <w:rFonts w:ascii="Century Gothic" w:hAnsi="Century Gothic"/>
                <w:spacing w:val="-2"/>
                <w:sz w:val="20"/>
              </w:rPr>
              <w:t>20,000.00</w:t>
            </w:r>
          </w:p>
        </w:tc>
        <w:tc>
          <w:tcPr>
            <w:tcW w:w="2124" w:type="dxa"/>
          </w:tcPr>
          <w:p w14:paraId="4E6E83DB" w14:textId="77777777" w:rsidR="001536B8" w:rsidRPr="00203DF1" w:rsidRDefault="001536B8" w:rsidP="00AE0D69">
            <w:pPr>
              <w:pStyle w:val="TableParagraph"/>
              <w:tabs>
                <w:tab w:val="left" w:pos="1338"/>
              </w:tabs>
              <w:spacing w:line="222" w:lineRule="exact"/>
              <w:ind w:left="4"/>
              <w:rPr>
                <w:rFonts w:ascii="Century Gothic" w:hAnsi="Century Gothic"/>
                <w:sz w:val="20"/>
              </w:rPr>
            </w:pPr>
            <w:r w:rsidRPr="00203DF1">
              <w:rPr>
                <w:rFonts w:ascii="Century Gothic" w:hAnsi="Century Gothic"/>
                <w:spacing w:val="-10"/>
                <w:sz w:val="20"/>
              </w:rPr>
              <w:t>$</w:t>
            </w:r>
            <w:r w:rsidRPr="00203DF1">
              <w:rPr>
                <w:rFonts w:ascii="Century Gothic" w:hAnsi="Century Gothic"/>
                <w:sz w:val="20"/>
              </w:rPr>
              <w:tab/>
            </w:r>
            <w:r w:rsidRPr="00203DF1">
              <w:rPr>
                <w:rFonts w:ascii="Century Gothic" w:hAnsi="Century Gothic"/>
                <w:spacing w:val="-4"/>
                <w:sz w:val="20"/>
              </w:rPr>
              <w:t>110.00</w:t>
            </w:r>
          </w:p>
        </w:tc>
        <w:tc>
          <w:tcPr>
            <w:tcW w:w="1942" w:type="dxa"/>
          </w:tcPr>
          <w:p w14:paraId="00C54F24" w14:textId="77777777" w:rsidR="001536B8" w:rsidRPr="00203DF1" w:rsidRDefault="001536B8" w:rsidP="00AE0D69">
            <w:pPr>
              <w:pStyle w:val="TableParagraph"/>
              <w:spacing w:line="222" w:lineRule="exact"/>
              <w:ind w:right="-15"/>
              <w:jc w:val="right"/>
              <w:rPr>
                <w:rFonts w:ascii="Century Gothic" w:hAnsi="Century Gothic"/>
                <w:sz w:val="20"/>
              </w:rPr>
            </w:pPr>
            <w:r w:rsidRPr="00203DF1">
              <w:rPr>
                <w:rFonts w:ascii="Century Gothic" w:hAnsi="Century Gothic"/>
                <w:spacing w:val="-2"/>
                <w:sz w:val="20"/>
              </w:rPr>
              <w:t>0.025%</w:t>
            </w:r>
          </w:p>
        </w:tc>
      </w:tr>
      <w:tr w:rsidR="001536B8" w:rsidRPr="00203DF1" w14:paraId="0AEDE0A6" w14:textId="77777777" w:rsidTr="009E47B0">
        <w:trPr>
          <w:trHeight w:val="311"/>
        </w:trPr>
        <w:tc>
          <w:tcPr>
            <w:tcW w:w="2360" w:type="dxa"/>
          </w:tcPr>
          <w:p w14:paraId="55974E5F" w14:textId="77777777" w:rsidR="001536B8" w:rsidRPr="00203DF1" w:rsidRDefault="001536B8" w:rsidP="00AE0D69">
            <w:pPr>
              <w:pStyle w:val="TableParagraph"/>
              <w:tabs>
                <w:tab w:val="left" w:pos="1106"/>
              </w:tabs>
              <w:spacing w:line="225" w:lineRule="exact"/>
              <w:ind w:left="4"/>
              <w:rPr>
                <w:rFonts w:ascii="Century Gothic" w:hAnsi="Century Gothic"/>
                <w:sz w:val="20"/>
              </w:rPr>
            </w:pPr>
            <w:r w:rsidRPr="00203DF1">
              <w:rPr>
                <w:rFonts w:ascii="Century Gothic" w:hAnsi="Century Gothic"/>
                <w:spacing w:val="-10"/>
                <w:sz w:val="20"/>
              </w:rPr>
              <w:t>$</w:t>
            </w:r>
            <w:r w:rsidRPr="00203DF1">
              <w:rPr>
                <w:rFonts w:ascii="Century Gothic" w:hAnsi="Century Gothic"/>
                <w:sz w:val="20"/>
              </w:rPr>
              <w:tab/>
            </w:r>
            <w:r w:rsidRPr="00203DF1">
              <w:rPr>
                <w:rFonts w:ascii="Century Gothic" w:hAnsi="Century Gothic"/>
                <w:spacing w:val="-2"/>
                <w:sz w:val="20"/>
              </w:rPr>
              <w:t>20,000.01</w:t>
            </w:r>
          </w:p>
        </w:tc>
        <w:tc>
          <w:tcPr>
            <w:tcW w:w="2319" w:type="dxa"/>
          </w:tcPr>
          <w:p w14:paraId="28A68591" w14:textId="77777777" w:rsidR="001536B8" w:rsidRPr="00203DF1" w:rsidRDefault="001536B8" w:rsidP="00AE0D69">
            <w:pPr>
              <w:pStyle w:val="TableParagraph"/>
              <w:tabs>
                <w:tab w:val="left" w:pos="1082"/>
              </w:tabs>
              <w:spacing w:line="225" w:lineRule="exact"/>
              <w:ind w:right="136"/>
              <w:jc w:val="center"/>
              <w:rPr>
                <w:rFonts w:ascii="Century Gothic" w:hAnsi="Century Gothic"/>
                <w:sz w:val="20"/>
              </w:rPr>
            </w:pPr>
            <w:r w:rsidRPr="00203DF1">
              <w:rPr>
                <w:rFonts w:ascii="Century Gothic" w:hAnsi="Century Gothic"/>
                <w:spacing w:val="-10"/>
                <w:sz w:val="20"/>
              </w:rPr>
              <w:t>$</w:t>
            </w:r>
            <w:r w:rsidRPr="00203DF1">
              <w:rPr>
                <w:rFonts w:ascii="Century Gothic" w:hAnsi="Century Gothic"/>
                <w:sz w:val="20"/>
              </w:rPr>
              <w:tab/>
            </w:r>
            <w:r w:rsidRPr="00203DF1">
              <w:rPr>
                <w:rFonts w:ascii="Century Gothic" w:hAnsi="Century Gothic"/>
                <w:spacing w:val="-2"/>
                <w:sz w:val="20"/>
              </w:rPr>
              <w:t>30,000.00</w:t>
            </w:r>
          </w:p>
        </w:tc>
        <w:tc>
          <w:tcPr>
            <w:tcW w:w="2124" w:type="dxa"/>
          </w:tcPr>
          <w:p w14:paraId="175ECED0" w14:textId="77777777" w:rsidR="001536B8" w:rsidRPr="00203DF1" w:rsidRDefault="001536B8" w:rsidP="00AE0D69">
            <w:pPr>
              <w:pStyle w:val="TableParagraph"/>
              <w:tabs>
                <w:tab w:val="left" w:pos="1338"/>
              </w:tabs>
              <w:spacing w:line="225" w:lineRule="exact"/>
              <w:ind w:left="4"/>
              <w:rPr>
                <w:rFonts w:ascii="Century Gothic" w:hAnsi="Century Gothic"/>
                <w:sz w:val="20"/>
              </w:rPr>
            </w:pPr>
            <w:r w:rsidRPr="00203DF1">
              <w:rPr>
                <w:rFonts w:ascii="Century Gothic" w:hAnsi="Century Gothic"/>
                <w:spacing w:val="-10"/>
                <w:sz w:val="20"/>
              </w:rPr>
              <w:t>$</w:t>
            </w:r>
            <w:r w:rsidRPr="00203DF1">
              <w:rPr>
                <w:rFonts w:ascii="Century Gothic" w:hAnsi="Century Gothic"/>
                <w:sz w:val="20"/>
              </w:rPr>
              <w:tab/>
            </w:r>
            <w:r w:rsidRPr="00203DF1">
              <w:rPr>
                <w:rFonts w:ascii="Century Gothic" w:hAnsi="Century Gothic"/>
                <w:spacing w:val="-4"/>
                <w:sz w:val="20"/>
              </w:rPr>
              <w:t>120.00</w:t>
            </w:r>
          </w:p>
        </w:tc>
        <w:tc>
          <w:tcPr>
            <w:tcW w:w="1942" w:type="dxa"/>
          </w:tcPr>
          <w:p w14:paraId="2B30D1D0" w14:textId="77777777" w:rsidR="001536B8" w:rsidRPr="00203DF1" w:rsidRDefault="001536B8" w:rsidP="00AE0D69">
            <w:pPr>
              <w:pStyle w:val="TableParagraph"/>
              <w:spacing w:line="225" w:lineRule="exact"/>
              <w:ind w:right="-29"/>
              <w:jc w:val="right"/>
              <w:rPr>
                <w:rFonts w:ascii="Century Gothic" w:hAnsi="Century Gothic"/>
                <w:sz w:val="20"/>
              </w:rPr>
            </w:pPr>
            <w:r w:rsidRPr="00203DF1">
              <w:rPr>
                <w:rFonts w:ascii="Century Gothic" w:hAnsi="Century Gothic"/>
                <w:spacing w:val="-2"/>
                <w:sz w:val="20"/>
              </w:rPr>
              <w:t>0.025%</w:t>
            </w:r>
          </w:p>
        </w:tc>
      </w:tr>
      <w:tr w:rsidR="001536B8" w:rsidRPr="00203DF1" w14:paraId="1BFF1189" w14:textId="77777777" w:rsidTr="009E47B0">
        <w:trPr>
          <w:trHeight w:val="309"/>
        </w:trPr>
        <w:tc>
          <w:tcPr>
            <w:tcW w:w="2360" w:type="dxa"/>
          </w:tcPr>
          <w:p w14:paraId="62CFE9BD" w14:textId="77777777" w:rsidR="001536B8" w:rsidRPr="00203DF1" w:rsidRDefault="001536B8" w:rsidP="00AE0D69">
            <w:pPr>
              <w:pStyle w:val="TableParagraph"/>
              <w:tabs>
                <w:tab w:val="left" w:pos="1106"/>
              </w:tabs>
              <w:spacing w:line="222" w:lineRule="exact"/>
              <w:ind w:left="4"/>
              <w:rPr>
                <w:rFonts w:ascii="Century Gothic" w:hAnsi="Century Gothic"/>
                <w:sz w:val="20"/>
              </w:rPr>
            </w:pPr>
            <w:r w:rsidRPr="00203DF1">
              <w:rPr>
                <w:rFonts w:ascii="Century Gothic" w:hAnsi="Century Gothic"/>
                <w:spacing w:val="-10"/>
                <w:sz w:val="20"/>
              </w:rPr>
              <w:t>$</w:t>
            </w:r>
            <w:r w:rsidRPr="00203DF1">
              <w:rPr>
                <w:rFonts w:ascii="Century Gothic" w:hAnsi="Century Gothic"/>
                <w:sz w:val="20"/>
              </w:rPr>
              <w:tab/>
            </w:r>
            <w:r w:rsidRPr="00203DF1">
              <w:rPr>
                <w:rFonts w:ascii="Century Gothic" w:hAnsi="Century Gothic"/>
                <w:spacing w:val="-2"/>
                <w:sz w:val="20"/>
              </w:rPr>
              <w:t>30,000.01</w:t>
            </w:r>
          </w:p>
        </w:tc>
        <w:tc>
          <w:tcPr>
            <w:tcW w:w="2319" w:type="dxa"/>
          </w:tcPr>
          <w:p w14:paraId="5D46E2A8" w14:textId="77777777" w:rsidR="001536B8" w:rsidRPr="00203DF1" w:rsidRDefault="001536B8" w:rsidP="00AE0D69">
            <w:pPr>
              <w:pStyle w:val="TableParagraph"/>
              <w:tabs>
                <w:tab w:val="left" w:pos="1110"/>
              </w:tabs>
              <w:spacing w:line="222" w:lineRule="exact"/>
              <w:ind w:right="108"/>
              <w:jc w:val="center"/>
              <w:rPr>
                <w:rFonts w:ascii="Century Gothic" w:hAnsi="Century Gothic"/>
                <w:sz w:val="20"/>
              </w:rPr>
            </w:pPr>
            <w:r w:rsidRPr="00203DF1">
              <w:rPr>
                <w:rFonts w:ascii="Century Gothic" w:hAnsi="Century Gothic"/>
                <w:spacing w:val="-10"/>
                <w:sz w:val="20"/>
              </w:rPr>
              <w:t>$</w:t>
            </w:r>
            <w:r w:rsidRPr="00203DF1">
              <w:rPr>
                <w:rFonts w:ascii="Century Gothic" w:hAnsi="Century Gothic"/>
                <w:sz w:val="20"/>
              </w:rPr>
              <w:tab/>
            </w:r>
            <w:r w:rsidRPr="00203DF1">
              <w:rPr>
                <w:rFonts w:ascii="Century Gothic" w:hAnsi="Century Gothic"/>
                <w:spacing w:val="-2"/>
                <w:sz w:val="20"/>
              </w:rPr>
              <w:t>40,000.00</w:t>
            </w:r>
          </w:p>
        </w:tc>
        <w:tc>
          <w:tcPr>
            <w:tcW w:w="2124" w:type="dxa"/>
          </w:tcPr>
          <w:p w14:paraId="03722F8F" w14:textId="77777777" w:rsidR="001536B8" w:rsidRPr="00203DF1" w:rsidRDefault="001536B8" w:rsidP="00AE0D69">
            <w:pPr>
              <w:pStyle w:val="TableParagraph"/>
              <w:tabs>
                <w:tab w:val="left" w:pos="1338"/>
              </w:tabs>
              <w:spacing w:line="222" w:lineRule="exact"/>
              <w:ind w:left="4"/>
              <w:rPr>
                <w:rFonts w:ascii="Century Gothic" w:hAnsi="Century Gothic"/>
                <w:sz w:val="20"/>
              </w:rPr>
            </w:pPr>
            <w:r w:rsidRPr="00203DF1">
              <w:rPr>
                <w:rFonts w:ascii="Century Gothic" w:hAnsi="Century Gothic"/>
                <w:spacing w:val="-10"/>
                <w:sz w:val="20"/>
              </w:rPr>
              <w:t>$</w:t>
            </w:r>
            <w:r w:rsidRPr="00203DF1">
              <w:rPr>
                <w:rFonts w:ascii="Century Gothic" w:hAnsi="Century Gothic"/>
                <w:sz w:val="20"/>
              </w:rPr>
              <w:tab/>
            </w:r>
            <w:r w:rsidRPr="00203DF1">
              <w:rPr>
                <w:rFonts w:ascii="Century Gothic" w:hAnsi="Century Gothic"/>
                <w:spacing w:val="-4"/>
                <w:sz w:val="20"/>
              </w:rPr>
              <w:t>130.00</w:t>
            </w:r>
          </w:p>
        </w:tc>
        <w:tc>
          <w:tcPr>
            <w:tcW w:w="1942" w:type="dxa"/>
          </w:tcPr>
          <w:p w14:paraId="4E974356" w14:textId="77777777" w:rsidR="001536B8" w:rsidRPr="00203DF1" w:rsidRDefault="001536B8" w:rsidP="00AE0D69">
            <w:pPr>
              <w:pStyle w:val="TableParagraph"/>
              <w:spacing w:line="222" w:lineRule="exact"/>
              <w:ind w:right="-29"/>
              <w:jc w:val="right"/>
              <w:rPr>
                <w:rFonts w:ascii="Century Gothic" w:hAnsi="Century Gothic"/>
                <w:sz w:val="20"/>
              </w:rPr>
            </w:pPr>
            <w:r w:rsidRPr="00203DF1">
              <w:rPr>
                <w:rFonts w:ascii="Century Gothic" w:hAnsi="Century Gothic"/>
                <w:spacing w:val="-2"/>
                <w:sz w:val="20"/>
              </w:rPr>
              <w:t>0.025%</w:t>
            </w:r>
          </w:p>
        </w:tc>
      </w:tr>
      <w:tr w:rsidR="001536B8" w:rsidRPr="00203DF1" w14:paraId="78F215A0" w14:textId="77777777" w:rsidTr="009E47B0">
        <w:trPr>
          <w:trHeight w:val="309"/>
        </w:trPr>
        <w:tc>
          <w:tcPr>
            <w:tcW w:w="2360" w:type="dxa"/>
          </w:tcPr>
          <w:p w14:paraId="23507FB3" w14:textId="77777777" w:rsidR="001536B8" w:rsidRPr="00203DF1" w:rsidRDefault="001536B8" w:rsidP="00AE0D69">
            <w:pPr>
              <w:pStyle w:val="TableParagraph"/>
              <w:tabs>
                <w:tab w:val="left" w:pos="1059"/>
              </w:tabs>
              <w:spacing w:line="222" w:lineRule="exact"/>
              <w:ind w:left="4"/>
              <w:rPr>
                <w:rFonts w:ascii="Century Gothic" w:hAnsi="Century Gothic"/>
                <w:sz w:val="20"/>
              </w:rPr>
            </w:pPr>
            <w:r w:rsidRPr="00203DF1">
              <w:rPr>
                <w:rFonts w:ascii="Century Gothic" w:hAnsi="Century Gothic"/>
                <w:spacing w:val="-10"/>
                <w:sz w:val="20"/>
              </w:rPr>
              <w:t>$</w:t>
            </w:r>
            <w:r w:rsidRPr="00203DF1">
              <w:rPr>
                <w:rFonts w:ascii="Century Gothic" w:hAnsi="Century Gothic"/>
                <w:sz w:val="20"/>
              </w:rPr>
              <w:tab/>
            </w:r>
            <w:r w:rsidRPr="00203DF1">
              <w:rPr>
                <w:rFonts w:ascii="Century Gothic" w:hAnsi="Century Gothic"/>
                <w:spacing w:val="-2"/>
                <w:sz w:val="20"/>
              </w:rPr>
              <w:t>40,000.01</w:t>
            </w:r>
          </w:p>
        </w:tc>
        <w:tc>
          <w:tcPr>
            <w:tcW w:w="2319" w:type="dxa"/>
          </w:tcPr>
          <w:p w14:paraId="623FC214" w14:textId="77777777" w:rsidR="001536B8" w:rsidRPr="00203DF1" w:rsidRDefault="001536B8" w:rsidP="00AE0D69">
            <w:pPr>
              <w:pStyle w:val="TableParagraph"/>
              <w:tabs>
                <w:tab w:val="left" w:pos="1111"/>
              </w:tabs>
              <w:spacing w:line="222" w:lineRule="exact"/>
              <w:ind w:right="107"/>
              <w:jc w:val="center"/>
              <w:rPr>
                <w:rFonts w:ascii="Century Gothic" w:hAnsi="Century Gothic"/>
                <w:sz w:val="20"/>
              </w:rPr>
            </w:pPr>
            <w:r w:rsidRPr="00203DF1">
              <w:rPr>
                <w:rFonts w:ascii="Century Gothic" w:hAnsi="Century Gothic"/>
                <w:spacing w:val="-10"/>
                <w:sz w:val="20"/>
              </w:rPr>
              <w:t>$</w:t>
            </w:r>
            <w:r w:rsidRPr="00203DF1">
              <w:rPr>
                <w:rFonts w:ascii="Century Gothic" w:hAnsi="Century Gothic"/>
                <w:sz w:val="20"/>
              </w:rPr>
              <w:tab/>
            </w:r>
            <w:r w:rsidRPr="00203DF1">
              <w:rPr>
                <w:rFonts w:ascii="Century Gothic" w:hAnsi="Century Gothic"/>
                <w:spacing w:val="-2"/>
                <w:sz w:val="20"/>
              </w:rPr>
              <w:t>50,000.00</w:t>
            </w:r>
          </w:p>
        </w:tc>
        <w:tc>
          <w:tcPr>
            <w:tcW w:w="2124" w:type="dxa"/>
          </w:tcPr>
          <w:p w14:paraId="4305611E" w14:textId="77777777" w:rsidR="001536B8" w:rsidRPr="00203DF1" w:rsidRDefault="001536B8" w:rsidP="00AE0D69">
            <w:pPr>
              <w:pStyle w:val="TableParagraph"/>
              <w:tabs>
                <w:tab w:val="left" w:pos="1280"/>
              </w:tabs>
              <w:spacing w:line="222" w:lineRule="exact"/>
              <w:ind w:left="4"/>
              <w:rPr>
                <w:rFonts w:ascii="Century Gothic" w:hAnsi="Century Gothic"/>
                <w:sz w:val="20"/>
              </w:rPr>
            </w:pPr>
            <w:r w:rsidRPr="00203DF1">
              <w:rPr>
                <w:rFonts w:ascii="Century Gothic" w:hAnsi="Century Gothic"/>
                <w:spacing w:val="-10"/>
                <w:sz w:val="20"/>
              </w:rPr>
              <w:t>$</w:t>
            </w:r>
            <w:r w:rsidRPr="00203DF1">
              <w:rPr>
                <w:rFonts w:ascii="Century Gothic" w:hAnsi="Century Gothic"/>
                <w:sz w:val="20"/>
              </w:rPr>
              <w:tab/>
            </w:r>
            <w:r w:rsidRPr="00203DF1">
              <w:rPr>
                <w:rFonts w:ascii="Century Gothic" w:hAnsi="Century Gothic"/>
                <w:spacing w:val="-4"/>
                <w:sz w:val="20"/>
              </w:rPr>
              <w:t>140.00</w:t>
            </w:r>
          </w:p>
        </w:tc>
        <w:tc>
          <w:tcPr>
            <w:tcW w:w="1942" w:type="dxa"/>
          </w:tcPr>
          <w:p w14:paraId="406B8C4C" w14:textId="77777777" w:rsidR="001536B8" w:rsidRPr="00203DF1" w:rsidRDefault="001536B8" w:rsidP="00AE0D69">
            <w:pPr>
              <w:pStyle w:val="TableParagraph"/>
              <w:spacing w:line="222" w:lineRule="exact"/>
              <w:ind w:right="-29"/>
              <w:jc w:val="right"/>
              <w:rPr>
                <w:rFonts w:ascii="Century Gothic" w:hAnsi="Century Gothic"/>
                <w:sz w:val="20"/>
              </w:rPr>
            </w:pPr>
            <w:r w:rsidRPr="00203DF1">
              <w:rPr>
                <w:rFonts w:ascii="Century Gothic" w:hAnsi="Century Gothic"/>
                <w:spacing w:val="-2"/>
                <w:sz w:val="20"/>
              </w:rPr>
              <w:t>0.025%</w:t>
            </w:r>
          </w:p>
        </w:tc>
      </w:tr>
      <w:tr w:rsidR="001536B8" w:rsidRPr="00203DF1" w14:paraId="248B5E56" w14:textId="77777777" w:rsidTr="009E47B0">
        <w:trPr>
          <w:trHeight w:val="309"/>
        </w:trPr>
        <w:tc>
          <w:tcPr>
            <w:tcW w:w="2360" w:type="dxa"/>
          </w:tcPr>
          <w:p w14:paraId="7A34890B" w14:textId="77777777" w:rsidR="001536B8" w:rsidRPr="00203DF1" w:rsidRDefault="001536B8" w:rsidP="00AE0D69">
            <w:pPr>
              <w:pStyle w:val="TableParagraph"/>
              <w:tabs>
                <w:tab w:val="left" w:pos="1059"/>
              </w:tabs>
              <w:spacing w:line="222" w:lineRule="exact"/>
              <w:ind w:left="4"/>
              <w:rPr>
                <w:rFonts w:ascii="Century Gothic" w:hAnsi="Century Gothic"/>
                <w:sz w:val="20"/>
              </w:rPr>
            </w:pPr>
            <w:r w:rsidRPr="00203DF1">
              <w:rPr>
                <w:rFonts w:ascii="Century Gothic" w:hAnsi="Century Gothic"/>
                <w:spacing w:val="-10"/>
                <w:sz w:val="20"/>
              </w:rPr>
              <w:t>$</w:t>
            </w:r>
            <w:r w:rsidRPr="00203DF1">
              <w:rPr>
                <w:rFonts w:ascii="Century Gothic" w:hAnsi="Century Gothic"/>
                <w:sz w:val="20"/>
              </w:rPr>
              <w:tab/>
            </w:r>
            <w:r w:rsidRPr="00203DF1">
              <w:rPr>
                <w:rFonts w:ascii="Century Gothic" w:hAnsi="Century Gothic"/>
                <w:spacing w:val="-2"/>
                <w:sz w:val="20"/>
              </w:rPr>
              <w:t>50,000.01</w:t>
            </w:r>
          </w:p>
        </w:tc>
        <w:tc>
          <w:tcPr>
            <w:tcW w:w="2319" w:type="dxa"/>
          </w:tcPr>
          <w:p w14:paraId="4C7A56D1" w14:textId="77777777" w:rsidR="001536B8" w:rsidRPr="00203DF1" w:rsidRDefault="001536B8" w:rsidP="00AE0D69">
            <w:pPr>
              <w:pStyle w:val="TableParagraph"/>
              <w:tabs>
                <w:tab w:val="left" w:pos="1110"/>
              </w:tabs>
              <w:spacing w:line="222" w:lineRule="exact"/>
              <w:ind w:right="108"/>
              <w:jc w:val="center"/>
              <w:rPr>
                <w:rFonts w:ascii="Century Gothic" w:hAnsi="Century Gothic"/>
                <w:sz w:val="20"/>
              </w:rPr>
            </w:pPr>
            <w:r w:rsidRPr="00203DF1">
              <w:rPr>
                <w:rFonts w:ascii="Century Gothic" w:hAnsi="Century Gothic"/>
                <w:spacing w:val="-10"/>
                <w:sz w:val="20"/>
              </w:rPr>
              <w:t>$</w:t>
            </w:r>
            <w:r w:rsidRPr="00203DF1">
              <w:rPr>
                <w:rFonts w:ascii="Century Gothic" w:hAnsi="Century Gothic"/>
                <w:sz w:val="20"/>
              </w:rPr>
              <w:tab/>
            </w:r>
            <w:r w:rsidRPr="00203DF1">
              <w:rPr>
                <w:rFonts w:ascii="Century Gothic" w:hAnsi="Century Gothic"/>
                <w:spacing w:val="-2"/>
                <w:sz w:val="20"/>
              </w:rPr>
              <w:t>60,000.00</w:t>
            </w:r>
          </w:p>
        </w:tc>
        <w:tc>
          <w:tcPr>
            <w:tcW w:w="2124" w:type="dxa"/>
          </w:tcPr>
          <w:p w14:paraId="0C617874" w14:textId="77777777" w:rsidR="001536B8" w:rsidRPr="00203DF1" w:rsidRDefault="001536B8" w:rsidP="00AE0D69">
            <w:pPr>
              <w:pStyle w:val="TableParagraph"/>
              <w:tabs>
                <w:tab w:val="left" w:pos="1280"/>
              </w:tabs>
              <w:spacing w:line="222" w:lineRule="exact"/>
              <w:ind w:left="4"/>
              <w:rPr>
                <w:rFonts w:ascii="Century Gothic" w:hAnsi="Century Gothic"/>
                <w:sz w:val="20"/>
              </w:rPr>
            </w:pPr>
            <w:r w:rsidRPr="00203DF1">
              <w:rPr>
                <w:rFonts w:ascii="Century Gothic" w:hAnsi="Century Gothic"/>
                <w:spacing w:val="-10"/>
                <w:sz w:val="20"/>
              </w:rPr>
              <w:t>$</w:t>
            </w:r>
            <w:r w:rsidRPr="00203DF1">
              <w:rPr>
                <w:rFonts w:ascii="Century Gothic" w:hAnsi="Century Gothic"/>
                <w:sz w:val="20"/>
              </w:rPr>
              <w:tab/>
            </w:r>
            <w:r w:rsidRPr="00203DF1">
              <w:rPr>
                <w:rFonts w:ascii="Century Gothic" w:hAnsi="Century Gothic"/>
                <w:spacing w:val="-4"/>
                <w:sz w:val="20"/>
              </w:rPr>
              <w:t>150.00</w:t>
            </w:r>
          </w:p>
        </w:tc>
        <w:tc>
          <w:tcPr>
            <w:tcW w:w="1942" w:type="dxa"/>
          </w:tcPr>
          <w:p w14:paraId="1256BC88" w14:textId="77777777" w:rsidR="001536B8" w:rsidRPr="00203DF1" w:rsidRDefault="001536B8" w:rsidP="00AE0D69">
            <w:pPr>
              <w:pStyle w:val="TableParagraph"/>
              <w:spacing w:line="222" w:lineRule="exact"/>
              <w:ind w:right="-29"/>
              <w:jc w:val="right"/>
              <w:rPr>
                <w:rFonts w:ascii="Century Gothic" w:hAnsi="Century Gothic"/>
                <w:sz w:val="20"/>
              </w:rPr>
            </w:pPr>
            <w:r w:rsidRPr="00203DF1">
              <w:rPr>
                <w:rFonts w:ascii="Century Gothic" w:hAnsi="Century Gothic"/>
                <w:spacing w:val="-2"/>
                <w:sz w:val="20"/>
              </w:rPr>
              <w:t>0.025%</w:t>
            </w:r>
          </w:p>
        </w:tc>
      </w:tr>
      <w:tr w:rsidR="001536B8" w:rsidRPr="00203DF1" w14:paraId="2B977B3B" w14:textId="77777777" w:rsidTr="009E47B0">
        <w:trPr>
          <w:trHeight w:val="309"/>
        </w:trPr>
        <w:tc>
          <w:tcPr>
            <w:tcW w:w="2360" w:type="dxa"/>
          </w:tcPr>
          <w:p w14:paraId="11AED42C" w14:textId="77777777" w:rsidR="001536B8" w:rsidRPr="00203DF1" w:rsidRDefault="001536B8" w:rsidP="00AE0D69">
            <w:pPr>
              <w:pStyle w:val="TableParagraph"/>
              <w:tabs>
                <w:tab w:val="left" w:pos="1059"/>
              </w:tabs>
              <w:spacing w:line="222" w:lineRule="exact"/>
              <w:ind w:left="4"/>
              <w:rPr>
                <w:rFonts w:ascii="Century Gothic" w:hAnsi="Century Gothic"/>
                <w:sz w:val="20"/>
              </w:rPr>
            </w:pPr>
            <w:r w:rsidRPr="00203DF1">
              <w:rPr>
                <w:rFonts w:ascii="Century Gothic" w:hAnsi="Century Gothic"/>
                <w:spacing w:val="-10"/>
                <w:sz w:val="20"/>
              </w:rPr>
              <w:t>$</w:t>
            </w:r>
            <w:r w:rsidRPr="00203DF1">
              <w:rPr>
                <w:rFonts w:ascii="Century Gothic" w:hAnsi="Century Gothic"/>
                <w:sz w:val="20"/>
              </w:rPr>
              <w:tab/>
            </w:r>
            <w:r w:rsidRPr="00203DF1">
              <w:rPr>
                <w:rFonts w:ascii="Century Gothic" w:hAnsi="Century Gothic"/>
                <w:spacing w:val="-2"/>
                <w:sz w:val="20"/>
              </w:rPr>
              <w:t>60,000.01</w:t>
            </w:r>
          </w:p>
        </w:tc>
        <w:tc>
          <w:tcPr>
            <w:tcW w:w="2319" w:type="dxa"/>
          </w:tcPr>
          <w:p w14:paraId="7B0E6809" w14:textId="77777777" w:rsidR="001536B8" w:rsidRPr="00203DF1" w:rsidRDefault="001536B8" w:rsidP="00AE0D69">
            <w:pPr>
              <w:pStyle w:val="TableParagraph"/>
              <w:tabs>
                <w:tab w:val="left" w:pos="1110"/>
              </w:tabs>
              <w:spacing w:line="222" w:lineRule="exact"/>
              <w:ind w:right="108"/>
              <w:jc w:val="center"/>
              <w:rPr>
                <w:rFonts w:ascii="Century Gothic" w:hAnsi="Century Gothic"/>
                <w:sz w:val="20"/>
              </w:rPr>
            </w:pPr>
            <w:r w:rsidRPr="00203DF1">
              <w:rPr>
                <w:rFonts w:ascii="Century Gothic" w:hAnsi="Century Gothic"/>
                <w:spacing w:val="-10"/>
                <w:sz w:val="20"/>
              </w:rPr>
              <w:t>$</w:t>
            </w:r>
            <w:r w:rsidRPr="00203DF1">
              <w:rPr>
                <w:rFonts w:ascii="Century Gothic" w:hAnsi="Century Gothic"/>
                <w:sz w:val="20"/>
              </w:rPr>
              <w:tab/>
            </w:r>
            <w:r w:rsidRPr="00203DF1">
              <w:rPr>
                <w:rFonts w:ascii="Century Gothic" w:hAnsi="Century Gothic"/>
                <w:spacing w:val="-2"/>
                <w:sz w:val="20"/>
              </w:rPr>
              <w:t>70,000.00</w:t>
            </w:r>
          </w:p>
        </w:tc>
        <w:tc>
          <w:tcPr>
            <w:tcW w:w="2124" w:type="dxa"/>
          </w:tcPr>
          <w:p w14:paraId="72BA091E" w14:textId="77777777" w:rsidR="001536B8" w:rsidRPr="00203DF1" w:rsidRDefault="001536B8" w:rsidP="00AE0D69">
            <w:pPr>
              <w:pStyle w:val="TableParagraph"/>
              <w:tabs>
                <w:tab w:val="left" w:pos="1280"/>
              </w:tabs>
              <w:spacing w:line="222" w:lineRule="exact"/>
              <w:ind w:left="4"/>
              <w:rPr>
                <w:rFonts w:ascii="Century Gothic" w:hAnsi="Century Gothic"/>
                <w:sz w:val="20"/>
              </w:rPr>
            </w:pPr>
            <w:r w:rsidRPr="00203DF1">
              <w:rPr>
                <w:rFonts w:ascii="Century Gothic" w:hAnsi="Century Gothic"/>
                <w:spacing w:val="-10"/>
                <w:sz w:val="20"/>
              </w:rPr>
              <w:t>$</w:t>
            </w:r>
            <w:r w:rsidRPr="00203DF1">
              <w:rPr>
                <w:rFonts w:ascii="Century Gothic" w:hAnsi="Century Gothic"/>
                <w:sz w:val="20"/>
              </w:rPr>
              <w:tab/>
            </w:r>
            <w:r w:rsidRPr="00203DF1">
              <w:rPr>
                <w:rFonts w:ascii="Century Gothic" w:hAnsi="Century Gothic"/>
                <w:spacing w:val="-4"/>
                <w:sz w:val="20"/>
              </w:rPr>
              <w:t>160.00</w:t>
            </w:r>
          </w:p>
        </w:tc>
        <w:tc>
          <w:tcPr>
            <w:tcW w:w="1942" w:type="dxa"/>
          </w:tcPr>
          <w:p w14:paraId="65FCBACF" w14:textId="77777777" w:rsidR="001536B8" w:rsidRPr="00203DF1" w:rsidRDefault="001536B8" w:rsidP="00AE0D69">
            <w:pPr>
              <w:pStyle w:val="TableParagraph"/>
              <w:spacing w:line="222" w:lineRule="exact"/>
              <w:ind w:right="-29"/>
              <w:jc w:val="right"/>
              <w:rPr>
                <w:rFonts w:ascii="Century Gothic" w:hAnsi="Century Gothic"/>
                <w:sz w:val="20"/>
              </w:rPr>
            </w:pPr>
            <w:r w:rsidRPr="00203DF1">
              <w:rPr>
                <w:rFonts w:ascii="Century Gothic" w:hAnsi="Century Gothic"/>
                <w:spacing w:val="-2"/>
                <w:sz w:val="20"/>
              </w:rPr>
              <w:t>0.025%</w:t>
            </w:r>
          </w:p>
        </w:tc>
      </w:tr>
      <w:tr w:rsidR="001536B8" w:rsidRPr="00203DF1" w14:paraId="32FBC84D" w14:textId="77777777" w:rsidTr="009E47B0">
        <w:trPr>
          <w:trHeight w:val="309"/>
        </w:trPr>
        <w:tc>
          <w:tcPr>
            <w:tcW w:w="2360" w:type="dxa"/>
          </w:tcPr>
          <w:p w14:paraId="6D5F4CB7" w14:textId="77777777" w:rsidR="001536B8" w:rsidRPr="00203DF1" w:rsidRDefault="001536B8" w:rsidP="00AE0D69">
            <w:pPr>
              <w:pStyle w:val="TableParagraph"/>
              <w:tabs>
                <w:tab w:val="left" w:pos="1059"/>
              </w:tabs>
              <w:spacing w:line="222" w:lineRule="exact"/>
              <w:ind w:left="4"/>
              <w:rPr>
                <w:rFonts w:ascii="Century Gothic" w:hAnsi="Century Gothic"/>
                <w:sz w:val="20"/>
              </w:rPr>
            </w:pPr>
            <w:r w:rsidRPr="00203DF1">
              <w:rPr>
                <w:rFonts w:ascii="Century Gothic" w:hAnsi="Century Gothic"/>
                <w:spacing w:val="-10"/>
                <w:sz w:val="20"/>
              </w:rPr>
              <w:t>$</w:t>
            </w:r>
            <w:r w:rsidRPr="00203DF1">
              <w:rPr>
                <w:rFonts w:ascii="Century Gothic" w:hAnsi="Century Gothic"/>
                <w:sz w:val="20"/>
              </w:rPr>
              <w:tab/>
            </w:r>
            <w:r w:rsidRPr="00203DF1">
              <w:rPr>
                <w:rFonts w:ascii="Century Gothic" w:hAnsi="Century Gothic"/>
                <w:spacing w:val="-2"/>
                <w:sz w:val="20"/>
              </w:rPr>
              <w:t>80,000.01</w:t>
            </w:r>
          </w:p>
        </w:tc>
        <w:tc>
          <w:tcPr>
            <w:tcW w:w="2319" w:type="dxa"/>
          </w:tcPr>
          <w:p w14:paraId="7C0EF0DA" w14:textId="77777777" w:rsidR="001536B8" w:rsidRPr="00203DF1" w:rsidRDefault="001536B8" w:rsidP="00AE0D69">
            <w:pPr>
              <w:pStyle w:val="TableParagraph"/>
              <w:tabs>
                <w:tab w:val="left" w:pos="1110"/>
              </w:tabs>
              <w:spacing w:line="222" w:lineRule="exact"/>
              <w:ind w:right="108"/>
              <w:jc w:val="center"/>
              <w:rPr>
                <w:rFonts w:ascii="Century Gothic" w:hAnsi="Century Gothic"/>
                <w:sz w:val="20"/>
              </w:rPr>
            </w:pPr>
            <w:r w:rsidRPr="00203DF1">
              <w:rPr>
                <w:rFonts w:ascii="Century Gothic" w:hAnsi="Century Gothic"/>
                <w:spacing w:val="-10"/>
                <w:sz w:val="20"/>
              </w:rPr>
              <w:t>$</w:t>
            </w:r>
            <w:r w:rsidRPr="00203DF1">
              <w:rPr>
                <w:rFonts w:ascii="Century Gothic" w:hAnsi="Century Gothic"/>
                <w:sz w:val="20"/>
              </w:rPr>
              <w:tab/>
            </w:r>
            <w:r w:rsidRPr="00203DF1">
              <w:rPr>
                <w:rFonts w:ascii="Century Gothic" w:hAnsi="Century Gothic"/>
                <w:spacing w:val="-2"/>
                <w:sz w:val="20"/>
              </w:rPr>
              <w:t>90,000.00</w:t>
            </w:r>
          </w:p>
        </w:tc>
        <w:tc>
          <w:tcPr>
            <w:tcW w:w="2124" w:type="dxa"/>
          </w:tcPr>
          <w:p w14:paraId="643ADC72" w14:textId="77777777" w:rsidR="001536B8" w:rsidRPr="00203DF1" w:rsidRDefault="001536B8" w:rsidP="00AE0D69">
            <w:pPr>
              <w:pStyle w:val="TableParagraph"/>
              <w:tabs>
                <w:tab w:val="left" w:pos="1280"/>
              </w:tabs>
              <w:spacing w:line="222" w:lineRule="exact"/>
              <w:ind w:left="4"/>
              <w:rPr>
                <w:rFonts w:ascii="Century Gothic" w:hAnsi="Century Gothic"/>
                <w:sz w:val="20"/>
              </w:rPr>
            </w:pPr>
            <w:r w:rsidRPr="00203DF1">
              <w:rPr>
                <w:rFonts w:ascii="Century Gothic" w:hAnsi="Century Gothic"/>
                <w:spacing w:val="-10"/>
                <w:sz w:val="20"/>
              </w:rPr>
              <w:t>$</w:t>
            </w:r>
            <w:r w:rsidRPr="00203DF1">
              <w:rPr>
                <w:rFonts w:ascii="Century Gothic" w:hAnsi="Century Gothic"/>
                <w:sz w:val="20"/>
              </w:rPr>
              <w:tab/>
            </w:r>
            <w:r w:rsidRPr="00203DF1">
              <w:rPr>
                <w:rFonts w:ascii="Century Gothic" w:hAnsi="Century Gothic"/>
                <w:spacing w:val="-4"/>
                <w:sz w:val="20"/>
              </w:rPr>
              <w:t>170.00</w:t>
            </w:r>
          </w:p>
        </w:tc>
        <w:tc>
          <w:tcPr>
            <w:tcW w:w="1942" w:type="dxa"/>
          </w:tcPr>
          <w:p w14:paraId="4127E7FE" w14:textId="77777777" w:rsidR="001536B8" w:rsidRPr="00203DF1" w:rsidRDefault="001536B8" w:rsidP="00AE0D69">
            <w:pPr>
              <w:pStyle w:val="TableParagraph"/>
              <w:spacing w:line="222" w:lineRule="exact"/>
              <w:ind w:right="-29"/>
              <w:jc w:val="right"/>
              <w:rPr>
                <w:rFonts w:ascii="Century Gothic" w:hAnsi="Century Gothic"/>
                <w:sz w:val="20"/>
              </w:rPr>
            </w:pPr>
            <w:r w:rsidRPr="00203DF1">
              <w:rPr>
                <w:rFonts w:ascii="Century Gothic" w:hAnsi="Century Gothic"/>
                <w:spacing w:val="-2"/>
                <w:sz w:val="20"/>
              </w:rPr>
              <w:t>0.025%</w:t>
            </w:r>
          </w:p>
        </w:tc>
      </w:tr>
      <w:tr w:rsidR="001536B8" w:rsidRPr="00203DF1" w14:paraId="5D90C305" w14:textId="77777777" w:rsidTr="009E47B0">
        <w:trPr>
          <w:trHeight w:val="309"/>
        </w:trPr>
        <w:tc>
          <w:tcPr>
            <w:tcW w:w="2360" w:type="dxa"/>
          </w:tcPr>
          <w:p w14:paraId="00400153" w14:textId="77777777" w:rsidR="001536B8" w:rsidRPr="00203DF1" w:rsidRDefault="001536B8" w:rsidP="00AE0D69">
            <w:pPr>
              <w:pStyle w:val="TableParagraph"/>
              <w:tabs>
                <w:tab w:val="left" w:pos="1059"/>
              </w:tabs>
              <w:spacing w:line="222" w:lineRule="exact"/>
              <w:ind w:left="4"/>
              <w:rPr>
                <w:rFonts w:ascii="Century Gothic" w:hAnsi="Century Gothic"/>
                <w:sz w:val="20"/>
              </w:rPr>
            </w:pPr>
            <w:r w:rsidRPr="00203DF1">
              <w:rPr>
                <w:rFonts w:ascii="Century Gothic" w:hAnsi="Century Gothic"/>
                <w:spacing w:val="-10"/>
                <w:sz w:val="20"/>
              </w:rPr>
              <w:t>$</w:t>
            </w:r>
            <w:r w:rsidRPr="00203DF1">
              <w:rPr>
                <w:rFonts w:ascii="Century Gothic" w:hAnsi="Century Gothic"/>
                <w:sz w:val="20"/>
              </w:rPr>
              <w:tab/>
            </w:r>
            <w:r w:rsidRPr="00203DF1">
              <w:rPr>
                <w:rFonts w:ascii="Century Gothic" w:hAnsi="Century Gothic"/>
                <w:spacing w:val="-2"/>
                <w:sz w:val="20"/>
              </w:rPr>
              <w:t>90.000.01</w:t>
            </w:r>
          </w:p>
        </w:tc>
        <w:tc>
          <w:tcPr>
            <w:tcW w:w="2319" w:type="dxa"/>
          </w:tcPr>
          <w:p w14:paraId="327F8E57" w14:textId="77777777" w:rsidR="001536B8" w:rsidRPr="00203DF1" w:rsidRDefault="001536B8" w:rsidP="00AE0D69">
            <w:pPr>
              <w:pStyle w:val="TableParagraph"/>
              <w:spacing w:line="222" w:lineRule="exact"/>
              <w:ind w:left="152" w:right="135"/>
              <w:jc w:val="center"/>
              <w:rPr>
                <w:rFonts w:ascii="Century Gothic" w:hAnsi="Century Gothic"/>
                <w:sz w:val="20"/>
              </w:rPr>
            </w:pPr>
            <w:r w:rsidRPr="00203DF1">
              <w:rPr>
                <w:rFonts w:ascii="Century Gothic" w:hAnsi="Century Gothic"/>
                <w:sz w:val="20"/>
              </w:rPr>
              <w:t>En</w:t>
            </w:r>
            <w:r w:rsidRPr="00203DF1">
              <w:rPr>
                <w:rFonts w:ascii="Century Gothic" w:hAnsi="Century Gothic"/>
                <w:spacing w:val="-5"/>
                <w:sz w:val="20"/>
              </w:rPr>
              <w:t xml:space="preserve"> </w:t>
            </w:r>
            <w:r w:rsidRPr="00203DF1">
              <w:rPr>
                <w:rFonts w:ascii="Century Gothic" w:hAnsi="Century Gothic"/>
                <w:spacing w:val="-2"/>
                <w:sz w:val="20"/>
              </w:rPr>
              <w:t>adelante</w:t>
            </w:r>
          </w:p>
        </w:tc>
        <w:tc>
          <w:tcPr>
            <w:tcW w:w="2124" w:type="dxa"/>
          </w:tcPr>
          <w:p w14:paraId="62847A7E" w14:textId="77777777" w:rsidR="001536B8" w:rsidRPr="00203DF1" w:rsidRDefault="001536B8" w:rsidP="00AE0D69">
            <w:pPr>
              <w:pStyle w:val="TableParagraph"/>
              <w:tabs>
                <w:tab w:val="left" w:pos="1280"/>
              </w:tabs>
              <w:spacing w:line="222" w:lineRule="exact"/>
              <w:ind w:left="4"/>
              <w:rPr>
                <w:rFonts w:ascii="Century Gothic" w:hAnsi="Century Gothic"/>
                <w:sz w:val="20"/>
              </w:rPr>
            </w:pPr>
            <w:r w:rsidRPr="00203DF1">
              <w:rPr>
                <w:rFonts w:ascii="Century Gothic" w:hAnsi="Century Gothic"/>
                <w:spacing w:val="-10"/>
                <w:sz w:val="20"/>
              </w:rPr>
              <w:t>$</w:t>
            </w:r>
            <w:r w:rsidRPr="00203DF1">
              <w:rPr>
                <w:rFonts w:ascii="Century Gothic" w:hAnsi="Century Gothic"/>
                <w:sz w:val="20"/>
              </w:rPr>
              <w:tab/>
            </w:r>
            <w:r w:rsidRPr="00203DF1">
              <w:rPr>
                <w:rFonts w:ascii="Century Gothic" w:hAnsi="Century Gothic"/>
                <w:spacing w:val="-4"/>
                <w:sz w:val="20"/>
              </w:rPr>
              <w:t>180.00</w:t>
            </w:r>
          </w:p>
        </w:tc>
        <w:tc>
          <w:tcPr>
            <w:tcW w:w="1942" w:type="dxa"/>
          </w:tcPr>
          <w:p w14:paraId="0F5C28AA" w14:textId="77777777" w:rsidR="001536B8" w:rsidRPr="00203DF1" w:rsidRDefault="001536B8" w:rsidP="00AE0D69">
            <w:pPr>
              <w:pStyle w:val="TableParagraph"/>
              <w:spacing w:line="222" w:lineRule="exact"/>
              <w:ind w:right="-29"/>
              <w:jc w:val="right"/>
              <w:rPr>
                <w:rFonts w:ascii="Century Gothic" w:hAnsi="Century Gothic"/>
                <w:sz w:val="20"/>
              </w:rPr>
            </w:pPr>
            <w:r w:rsidRPr="00203DF1">
              <w:rPr>
                <w:rFonts w:ascii="Century Gothic" w:hAnsi="Century Gothic"/>
                <w:spacing w:val="-2"/>
                <w:sz w:val="20"/>
              </w:rPr>
              <w:t>0.025%</w:t>
            </w:r>
          </w:p>
        </w:tc>
      </w:tr>
    </w:tbl>
    <w:p w14:paraId="2C051044" w14:textId="77777777" w:rsidR="009E47B0" w:rsidRDefault="009E47B0" w:rsidP="00083B69">
      <w:pPr>
        <w:spacing w:after="0"/>
        <w:ind w:right="-91"/>
        <w:jc w:val="both"/>
        <w:rPr>
          <w:rFonts w:ascii="Century Gothic" w:hAnsi="Century Gothic"/>
          <w:sz w:val="24"/>
        </w:rPr>
      </w:pPr>
    </w:p>
    <w:p w14:paraId="185BF7A5" w14:textId="2E707A00" w:rsidR="001536B8" w:rsidRPr="00203DF1" w:rsidRDefault="001536B8" w:rsidP="009E47B0">
      <w:pPr>
        <w:ind w:right="-93"/>
        <w:jc w:val="both"/>
        <w:rPr>
          <w:rFonts w:ascii="Century Gothic" w:hAnsi="Century Gothic"/>
          <w:sz w:val="24"/>
        </w:rPr>
      </w:pPr>
      <w:r w:rsidRPr="00203DF1">
        <w:rPr>
          <w:rFonts w:ascii="Century Gothic" w:hAnsi="Century Gothic"/>
          <w:sz w:val="24"/>
        </w:rPr>
        <w:t xml:space="preserve">Se modifica el artículo 61 </w:t>
      </w:r>
      <w:r w:rsidR="00A1324F" w:rsidRPr="00203DF1">
        <w:rPr>
          <w:rFonts w:ascii="Century Gothic" w:hAnsi="Century Gothic"/>
          <w:sz w:val="24"/>
        </w:rPr>
        <w:t>en</w:t>
      </w:r>
      <w:r w:rsidRPr="00203DF1">
        <w:rPr>
          <w:rFonts w:ascii="Century Gothic" w:hAnsi="Century Gothic"/>
          <w:sz w:val="24"/>
        </w:rPr>
        <w:t xml:space="preserve"> la tarifa del </w:t>
      </w:r>
      <w:r w:rsidR="00A1324F" w:rsidRPr="00203DF1">
        <w:rPr>
          <w:rFonts w:ascii="Century Gothic" w:hAnsi="Century Gothic"/>
          <w:sz w:val="24"/>
        </w:rPr>
        <w:t>Capítulo</w:t>
      </w:r>
      <w:r w:rsidRPr="00203DF1">
        <w:rPr>
          <w:rFonts w:ascii="Century Gothic" w:hAnsi="Century Gothic"/>
          <w:sz w:val="24"/>
        </w:rPr>
        <w:t xml:space="preserve"> II del </w:t>
      </w:r>
      <w:r w:rsidR="00A1324F" w:rsidRPr="00203DF1">
        <w:rPr>
          <w:rFonts w:ascii="Century Gothic" w:hAnsi="Century Gothic"/>
          <w:sz w:val="24"/>
        </w:rPr>
        <w:t>I</w:t>
      </w:r>
      <w:r w:rsidRPr="00203DF1">
        <w:rPr>
          <w:rFonts w:ascii="Century Gothic" w:hAnsi="Century Gothic"/>
          <w:sz w:val="24"/>
        </w:rPr>
        <w:t xml:space="preserve">mpuesto </w:t>
      </w:r>
      <w:r w:rsidR="00A1324F" w:rsidRPr="00203DF1">
        <w:rPr>
          <w:rFonts w:ascii="Century Gothic" w:hAnsi="Century Gothic"/>
          <w:sz w:val="24"/>
        </w:rPr>
        <w:t>S</w:t>
      </w:r>
      <w:r w:rsidRPr="00203DF1">
        <w:rPr>
          <w:rFonts w:ascii="Century Gothic" w:hAnsi="Century Gothic"/>
          <w:sz w:val="24"/>
        </w:rPr>
        <w:t xml:space="preserve">obre </w:t>
      </w:r>
      <w:r w:rsidR="00A1324F" w:rsidRPr="00203DF1">
        <w:rPr>
          <w:rFonts w:ascii="Century Gothic" w:hAnsi="Century Gothic"/>
          <w:sz w:val="24"/>
        </w:rPr>
        <w:t>A</w:t>
      </w:r>
      <w:r w:rsidRPr="00203DF1">
        <w:rPr>
          <w:rFonts w:ascii="Century Gothic" w:hAnsi="Century Gothic"/>
          <w:sz w:val="24"/>
        </w:rPr>
        <w:t xml:space="preserve">dquisición de </w:t>
      </w:r>
      <w:r w:rsidR="00A1324F" w:rsidRPr="00203DF1">
        <w:rPr>
          <w:rFonts w:ascii="Century Gothic" w:hAnsi="Century Gothic"/>
          <w:sz w:val="24"/>
        </w:rPr>
        <w:t>I</w:t>
      </w:r>
      <w:r w:rsidRPr="00203DF1">
        <w:rPr>
          <w:rFonts w:ascii="Century Gothic" w:hAnsi="Century Gothic"/>
          <w:sz w:val="24"/>
        </w:rPr>
        <w:t xml:space="preserve">nmuebles de 2.5 se incrementa al </w:t>
      </w:r>
      <w:r w:rsidR="00A1324F" w:rsidRPr="00203DF1">
        <w:rPr>
          <w:rFonts w:ascii="Century Gothic" w:hAnsi="Century Gothic"/>
          <w:sz w:val="24"/>
        </w:rPr>
        <w:t>4</w:t>
      </w:r>
      <w:r w:rsidRPr="00203DF1">
        <w:rPr>
          <w:rFonts w:ascii="Century Gothic" w:hAnsi="Century Gothic"/>
          <w:sz w:val="24"/>
        </w:rPr>
        <w:t>°%</w:t>
      </w:r>
    </w:p>
    <w:p w14:paraId="037A93D1" w14:textId="103B8E95" w:rsidR="009E47B0" w:rsidRPr="00083B69" w:rsidRDefault="009E47B0" w:rsidP="00083B69">
      <w:pPr>
        <w:pStyle w:val="Textoindependiente"/>
        <w:spacing w:line="276" w:lineRule="auto"/>
        <w:ind w:right="-93"/>
        <w:jc w:val="both"/>
        <w:rPr>
          <w:rFonts w:ascii="Century Gothic" w:eastAsiaTheme="minorHAnsi" w:hAnsi="Century Gothic" w:cstheme="minorBidi"/>
          <w:szCs w:val="22"/>
          <w:lang w:val="es-MX"/>
        </w:rPr>
      </w:pPr>
      <w:r w:rsidRPr="00083B69">
        <w:rPr>
          <w:rFonts w:ascii="Century Gothic" w:eastAsiaTheme="minorHAnsi" w:hAnsi="Century Gothic" w:cstheme="minorBidi"/>
          <w:szCs w:val="22"/>
          <w:lang w:val="es-MX"/>
        </w:rPr>
        <w:t xml:space="preserve">Se modifica el </w:t>
      </w:r>
      <w:r w:rsidR="00083B69" w:rsidRPr="00083B69">
        <w:rPr>
          <w:rFonts w:ascii="Century Gothic" w:eastAsiaTheme="minorHAnsi" w:hAnsi="Century Gothic" w:cstheme="minorBidi"/>
          <w:szCs w:val="22"/>
          <w:lang w:val="es-MX"/>
        </w:rPr>
        <w:t>artículo</w:t>
      </w:r>
      <w:r w:rsidRPr="00083B69">
        <w:rPr>
          <w:rFonts w:ascii="Century Gothic" w:eastAsiaTheme="minorHAnsi" w:hAnsi="Century Gothic" w:cstheme="minorBidi"/>
          <w:szCs w:val="22"/>
          <w:lang w:val="es-MX"/>
        </w:rPr>
        <w:t xml:space="preserve"> 80</w:t>
      </w:r>
      <w:r w:rsidR="00083B69">
        <w:rPr>
          <w:rFonts w:ascii="Century Gothic" w:eastAsiaTheme="minorHAnsi" w:hAnsi="Century Gothic" w:cstheme="minorBidi"/>
          <w:szCs w:val="22"/>
          <w:lang w:val="es-MX"/>
        </w:rPr>
        <w:t xml:space="preserve"> </w:t>
      </w:r>
      <w:r w:rsidR="00AC6AE5">
        <w:rPr>
          <w:rFonts w:ascii="Century Gothic" w:eastAsiaTheme="minorHAnsi" w:hAnsi="Century Gothic" w:cstheme="minorBidi"/>
          <w:szCs w:val="22"/>
          <w:lang w:val="es-MX"/>
        </w:rPr>
        <w:t>por los servicios que soliciten a la dirección de obras públicas y de desarrollo urbano, fracción IV, i</w:t>
      </w:r>
      <w:r w:rsidR="00083B69" w:rsidRPr="00083B69">
        <w:rPr>
          <w:rFonts w:ascii="Century Gothic" w:eastAsiaTheme="minorHAnsi" w:hAnsi="Century Gothic" w:cstheme="minorBidi"/>
          <w:szCs w:val="22"/>
          <w:lang w:val="es-MX"/>
        </w:rPr>
        <w:t>nciso o)</w:t>
      </w:r>
      <w:r w:rsidR="00083B69">
        <w:rPr>
          <w:rFonts w:ascii="Century Gothic" w:eastAsiaTheme="minorHAnsi" w:hAnsi="Century Gothic" w:cstheme="minorBidi"/>
          <w:szCs w:val="22"/>
          <w:lang w:val="es-MX"/>
        </w:rPr>
        <w:t xml:space="preserve"> </w:t>
      </w:r>
      <w:r w:rsidR="00AC6AE5">
        <w:rPr>
          <w:rFonts w:ascii="Century Gothic" w:eastAsiaTheme="minorHAnsi" w:hAnsi="Century Gothic" w:cstheme="minorBidi"/>
          <w:szCs w:val="22"/>
          <w:lang w:val="es-MX"/>
        </w:rPr>
        <w:t>de .05 a .</w:t>
      </w:r>
      <w:r w:rsidR="00083B69" w:rsidRPr="00083B69">
        <w:rPr>
          <w:rFonts w:ascii="Century Gothic" w:eastAsiaTheme="minorHAnsi" w:hAnsi="Century Gothic" w:cstheme="minorBidi"/>
          <w:szCs w:val="22"/>
          <w:lang w:val="es-MX"/>
        </w:rPr>
        <w:t>20 UMA por m2</w:t>
      </w:r>
    </w:p>
    <w:p w14:paraId="68380D20" w14:textId="77777777" w:rsidR="009E47B0" w:rsidRDefault="009E47B0" w:rsidP="00083B69">
      <w:pPr>
        <w:pStyle w:val="Textoindependiente"/>
        <w:spacing w:line="360" w:lineRule="auto"/>
        <w:ind w:right="-232"/>
        <w:jc w:val="both"/>
        <w:rPr>
          <w:rFonts w:ascii="Century Gothic" w:eastAsiaTheme="minorHAnsi" w:hAnsi="Century Gothic" w:cstheme="minorBidi"/>
          <w:szCs w:val="22"/>
          <w:lang w:val="es-MX"/>
        </w:rPr>
      </w:pPr>
    </w:p>
    <w:p w14:paraId="721FD25F" w14:textId="7E56EE07" w:rsidR="00151654" w:rsidRPr="00203DF1" w:rsidRDefault="00151654" w:rsidP="009E47B0">
      <w:pPr>
        <w:pStyle w:val="Textoindependiente"/>
        <w:spacing w:before="1" w:line="360" w:lineRule="auto"/>
        <w:ind w:right="-234"/>
        <w:jc w:val="both"/>
        <w:rPr>
          <w:rFonts w:ascii="Century Gothic" w:eastAsiaTheme="minorHAnsi" w:hAnsi="Century Gothic" w:cstheme="minorBidi"/>
          <w:szCs w:val="22"/>
          <w:lang w:val="es-MX"/>
        </w:rPr>
      </w:pPr>
      <w:r w:rsidRPr="00203DF1">
        <w:rPr>
          <w:rFonts w:ascii="Century Gothic" w:eastAsiaTheme="minorHAnsi" w:hAnsi="Century Gothic" w:cstheme="minorBidi"/>
          <w:szCs w:val="22"/>
          <w:lang w:val="es-MX"/>
        </w:rPr>
        <w:t xml:space="preserve">ARTÍCULO 61.- El impuesto a que se refiere este capítulo se calculará aplicando la tasa del </w:t>
      </w:r>
      <w:r w:rsidR="000834BA" w:rsidRPr="00203DF1">
        <w:rPr>
          <w:rFonts w:ascii="Century Gothic" w:eastAsiaTheme="minorHAnsi" w:hAnsi="Century Gothic" w:cstheme="minorBidi"/>
          <w:szCs w:val="22"/>
          <w:lang w:val="es-MX"/>
        </w:rPr>
        <w:t>4</w:t>
      </w:r>
      <w:r w:rsidRPr="00203DF1">
        <w:rPr>
          <w:rFonts w:ascii="Century Gothic" w:eastAsiaTheme="minorHAnsi" w:hAnsi="Century Gothic" w:cstheme="minorBidi"/>
          <w:szCs w:val="22"/>
          <w:lang w:val="es-MX"/>
        </w:rPr>
        <w:t>% a la base señalada en el artículo 59 de esta Ley.</w:t>
      </w:r>
    </w:p>
    <w:p w14:paraId="2F7C513A" w14:textId="00110215" w:rsidR="005C23CA" w:rsidRPr="00203DF1" w:rsidRDefault="005C23CA" w:rsidP="00DD1B5F">
      <w:pPr>
        <w:jc w:val="both"/>
        <w:rPr>
          <w:rFonts w:ascii="Century Gothic" w:hAnsi="Century Gothic"/>
          <w:sz w:val="24"/>
        </w:rPr>
      </w:pPr>
      <w:r w:rsidRPr="00203DF1">
        <w:rPr>
          <w:rFonts w:ascii="Century Gothic" w:hAnsi="Century Gothic"/>
          <w:sz w:val="24"/>
        </w:rPr>
        <w:t xml:space="preserve">Se modifica el </w:t>
      </w:r>
      <w:r w:rsidR="009E47B0" w:rsidRPr="00203DF1">
        <w:rPr>
          <w:rFonts w:ascii="Century Gothic" w:hAnsi="Century Gothic"/>
          <w:sz w:val="24"/>
        </w:rPr>
        <w:t>artículo</w:t>
      </w:r>
      <w:r w:rsidRPr="00203DF1">
        <w:rPr>
          <w:rFonts w:ascii="Century Gothic" w:hAnsi="Century Gothic"/>
          <w:sz w:val="24"/>
        </w:rPr>
        <w:t xml:space="preserve"> 98 </w:t>
      </w:r>
      <w:r w:rsidR="00A1324F" w:rsidRPr="00203DF1">
        <w:rPr>
          <w:rFonts w:ascii="Century Gothic" w:hAnsi="Century Gothic"/>
          <w:sz w:val="24"/>
        </w:rPr>
        <w:t>en</w:t>
      </w:r>
      <w:r w:rsidRPr="00203DF1">
        <w:rPr>
          <w:rFonts w:ascii="Century Gothic" w:hAnsi="Century Gothic"/>
          <w:sz w:val="24"/>
        </w:rPr>
        <w:t xml:space="preserve"> la tarifa del </w:t>
      </w:r>
      <w:r w:rsidR="00954848" w:rsidRPr="00203DF1">
        <w:rPr>
          <w:rFonts w:ascii="Century Gothic" w:hAnsi="Century Gothic"/>
          <w:sz w:val="24"/>
        </w:rPr>
        <w:t>Capítulo</w:t>
      </w:r>
      <w:r w:rsidRPr="00203DF1">
        <w:rPr>
          <w:rFonts w:ascii="Century Gothic" w:hAnsi="Century Gothic"/>
          <w:sz w:val="24"/>
        </w:rPr>
        <w:t xml:space="preserve"> V </w:t>
      </w:r>
      <w:r w:rsidR="00A1324F" w:rsidRPr="00203DF1">
        <w:rPr>
          <w:rFonts w:ascii="Century Gothic" w:hAnsi="Century Gothic"/>
          <w:sz w:val="24"/>
        </w:rPr>
        <w:t>D</w:t>
      </w:r>
      <w:r w:rsidRPr="00203DF1">
        <w:rPr>
          <w:rFonts w:ascii="Century Gothic" w:hAnsi="Century Gothic"/>
          <w:sz w:val="24"/>
        </w:rPr>
        <w:t xml:space="preserve">erechos por los servicios que presta el </w:t>
      </w:r>
      <w:r w:rsidR="00A1324F" w:rsidRPr="00203DF1">
        <w:rPr>
          <w:rFonts w:ascii="Century Gothic" w:hAnsi="Century Gothic"/>
          <w:sz w:val="24"/>
        </w:rPr>
        <w:t>C</w:t>
      </w:r>
      <w:r w:rsidRPr="00203DF1">
        <w:rPr>
          <w:rFonts w:ascii="Century Gothic" w:hAnsi="Century Gothic"/>
          <w:sz w:val="24"/>
        </w:rPr>
        <w:t xml:space="preserve">atastro </w:t>
      </w:r>
      <w:r w:rsidR="00A1324F" w:rsidRPr="00203DF1">
        <w:rPr>
          <w:rFonts w:ascii="Century Gothic" w:hAnsi="Century Gothic"/>
          <w:sz w:val="24"/>
        </w:rPr>
        <w:t>M</w:t>
      </w:r>
      <w:r w:rsidRPr="00203DF1">
        <w:rPr>
          <w:rFonts w:ascii="Century Gothic" w:hAnsi="Century Gothic"/>
          <w:sz w:val="24"/>
        </w:rPr>
        <w:t xml:space="preserve">unicipal por la </w:t>
      </w:r>
      <w:r w:rsidR="00954848" w:rsidRPr="00203DF1">
        <w:rPr>
          <w:rFonts w:ascii="Century Gothic" w:hAnsi="Century Gothic"/>
          <w:sz w:val="24"/>
        </w:rPr>
        <w:t>revisión</w:t>
      </w:r>
      <w:r w:rsidRPr="00203DF1">
        <w:rPr>
          <w:rFonts w:ascii="Century Gothic" w:hAnsi="Century Gothic"/>
          <w:sz w:val="24"/>
        </w:rPr>
        <w:t xml:space="preserve"> de</w:t>
      </w:r>
      <w:r w:rsidR="00954848" w:rsidRPr="00203DF1">
        <w:rPr>
          <w:rFonts w:ascii="Century Gothic" w:hAnsi="Century Gothic"/>
          <w:sz w:val="24"/>
        </w:rPr>
        <w:t xml:space="preserve"> la</w:t>
      </w:r>
      <w:r w:rsidRPr="00203DF1">
        <w:rPr>
          <w:rFonts w:ascii="Century Gothic" w:hAnsi="Century Gothic"/>
          <w:sz w:val="24"/>
        </w:rPr>
        <w:t xml:space="preserve"> documentación de construcción de régimen de propiedad en </w:t>
      </w:r>
      <w:r w:rsidR="00954848" w:rsidRPr="00203DF1">
        <w:rPr>
          <w:rFonts w:ascii="Century Gothic" w:hAnsi="Century Gothic"/>
          <w:sz w:val="24"/>
        </w:rPr>
        <w:t>con</w:t>
      </w:r>
      <w:r w:rsidRPr="00203DF1">
        <w:rPr>
          <w:rFonts w:ascii="Century Gothic" w:hAnsi="Century Gothic"/>
          <w:sz w:val="24"/>
        </w:rPr>
        <w:t xml:space="preserve">dominio </w:t>
      </w:r>
    </w:p>
    <w:p w14:paraId="03F901C1" w14:textId="2D29E936" w:rsidR="005C23CA" w:rsidRPr="00203DF1" w:rsidRDefault="00954848" w:rsidP="00DD1B5F">
      <w:pPr>
        <w:jc w:val="both"/>
        <w:rPr>
          <w:rFonts w:ascii="Century Gothic" w:hAnsi="Century Gothic"/>
          <w:sz w:val="24"/>
        </w:rPr>
      </w:pPr>
      <w:r w:rsidRPr="00203DF1">
        <w:rPr>
          <w:rFonts w:ascii="Century Gothic" w:hAnsi="Century Gothic"/>
          <w:sz w:val="24"/>
        </w:rPr>
        <w:t>I</w:t>
      </w:r>
      <w:r w:rsidR="002528B1" w:rsidRPr="00203DF1">
        <w:rPr>
          <w:rFonts w:ascii="Century Gothic" w:hAnsi="Century Gothic"/>
          <w:sz w:val="24"/>
        </w:rPr>
        <w:t>.- Tipo</w:t>
      </w:r>
      <w:r w:rsidRPr="00203DF1">
        <w:rPr>
          <w:rFonts w:ascii="Century Gothic" w:hAnsi="Century Gothic"/>
          <w:sz w:val="24"/>
        </w:rPr>
        <w:t xml:space="preserve"> </w:t>
      </w:r>
      <w:r w:rsidR="002528B1" w:rsidRPr="00203DF1">
        <w:rPr>
          <w:rFonts w:ascii="Century Gothic" w:hAnsi="Century Gothic"/>
          <w:sz w:val="24"/>
        </w:rPr>
        <w:t>comercial de</w:t>
      </w:r>
      <w:r w:rsidRPr="00203DF1">
        <w:rPr>
          <w:rFonts w:ascii="Century Gothic" w:hAnsi="Century Gothic"/>
          <w:sz w:val="24"/>
        </w:rPr>
        <w:t xml:space="preserve"> 0.7 UMA a 5</w:t>
      </w:r>
      <w:r w:rsidR="002528B1" w:rsidRPr="00203DF1">
        <w:rPr>
          <w:rFonts w:ascii="Century Gothic" w:hAnsi="Century Gothic"/>
          <w:sz w:val="24"/>
        </w:rPr>
        <w:t>0 UMA por departamento.</w:t>
      </w:r>
    </w:p>
    <w:p w14:paraId="51559C78" w14:textId="4B7577CA" w:rsidR="002528B1" w:rsidRPr="00203DF1" w:rsidRDefault="002528B1" w:rsidP="00DD1B5F">
      <w:pPr>
        <w:jc w:val="both"/>
        <w:rPr>
          <w:rFonts w:ascii="Century Gothic" w:hAnsi="Century Gothic"/>
          <w:sz w:val="24"/>
        </w:rPr>
      </w:pPr>
      <w:r w:rsidRPr="00203DF1">
        <w:rPr>
          <w:rFonts w:ascii="Century Gothic" w:hAnsi="Century Gothic"/>
          <w:sz w:val="24"/>
        </w:rPr>
        <w:lastRenderedPageBreak/>
        <w:t>II.- Tipo habitacional de 0.5 a 5 UMA por departamento.</w:t>
      </w:r>
    </w:p>
    <w:p w14:paraId="59298964" w14:textId="29889B9F" w:rsidR="005C23CA" w:rsidRPr="00203DF1" w:rsidRDefault="005C23CA" w:rsidP="00DD1B5F">
      <w:pPr>
        <w:jc w:val="both"/>
        <w:rPr>
          <w:rFonts w:ascii="Century Gothic" w:hAnsi="Century Gothic"/>
          <w:sz w:val="24"/>
        </w:rPr>
      </w:pPr>
    </w:p>
    <w:p w14:paraId="78C6E884" w14:textId="3F2EF835" w:rsidR="005C23CA" w:rsidRPr="00203DF1" w:rsidRDefault="005C23CA" w:rsidP="00DD1B5F">
      <w:pPr>
        <w:jc w:val="both"/>
        <w:rPr>
          <w:rFonts w:ascii="Century Gothic" w:hAnsi="Century Gothic"/>
          <w:sz w:val="24"/>
        </w:rPr>
      </w:pPr>
      <w:r w:rsidRPr="00203DF1">
        <w:rPr>
          <w:rFonts w:ascii="Century Gothic" w:hAnsi="Century Gothic"/>
          <w:sz w:val="24"/>
        </w:rPr>
        <w:t xml:space="preserve">Se modifica el </w:t>
      </w:r>
      <w:r w:rsidR="002528B1" w:rsidRPr="00203DF1">
        <w:rPr>
          <w:rFonts w:ascii="Century Gothic" w:hAnsi="Century Gothic"/>
          <w:sz w:val="24"/>
        </w:rPr>
        <w:t>artículo</w:t>
      </w:r>
      <w:r w:rsidRPr="00203DF1">
        <w:rPr>
          <w:rFonts w:ascii="Century Gothic" w:hAnsi="Century Gothic"/>
          <w:sz w:val="24"/>
        </w:rPr>
        <w:t xml:space="preserve"> </w:t>
      </w:r>
      <w:r w:rsidR="00F33D7B" w:rsidRPr="00203DF1">
        <w:rPr>
          <w:rFonts w:ascii="Century Gothic" w:hAnsi="Century Gothic"/>
          <w:sz w:val="24"/>
        </w:rPr>
        <w:t>111</w:t>
      </w:r>
      <w:r w:rsidR="00DD1B5F" w:rsidRPr="00203DF1">
        <w:rPr>
          <w:rFonts w:ascii="Century Gothic" w:hAnsi="Century Gothic"/>
          <w:sz w:val="24"/>
        </w:rPr>
        <w:t xml:space="preserve"> inciso K</w:t>
      </w:r>
      <w:r w:rsidR="00F33D7B" w:rsidRPr="00203DF1">
        <w:rPr>
          <w:rFonts w:ascii="Century Gothic" w:hAnsi="Century Gothic"/>
          <w:sz w:val="24"/>
        </w:rPr>
        <w:t xml:space="preserve"> por</w:t>
      </w:r>
      <w:r w:rsidR="002528B1" w:rsidRPr="00203DF1">
        <w:rPr>
          <w:rFonts w:ascii="Century Gothic" w:hAnsi="Century Gothic"/>
          <w:sz w:val="24"/>
        </w:rPr>
        <w:t xml:space="preserve"> el concepto de la tarifa fracción IV</w:t>
      </w:r>
      <w:r w:rsidR="00F33D7B" w:rsidRPr="00203DF1">
        <w:rPr>
          <w:rFonts w:ascii="Century Gothic" w:hAnsi="Century Gothic"/>
          <w:sz w:val="24"/>
        </w:rPr>
        <w:t xml:space="preserve"> y V</w:t>
      </w:r>
      <w:r w:rsidRPr="00203DF1">
        <w:rPr>
          <w:rFonts w:ascii="Century Gothic" w:hAnsi="Century Gothic"/>
          <w:sz w:val="24"/>
        </w:rPr>
        <w:t xml:space="preserve"> del </w:t>
      </w:r>
      <w:r w:rsidR="002528B1" w:rsidRPr="00203DF1">
        <w:rPr>
          <w:rFonts w:ascii="Century Gothic" w:hAnsi="Century Gothic"/>
          <w:sz w:val="24"/>
        </w:rPr>
        <w:t>Capítulo</w:t>
      </w:r>
      <w:r w:rsidRPr="00203DF1">
        <w:rPr>
          <w:rFonts w:ascii="Century Gothic" w:hAnsi="Century Gothic"/>
          <w:sz w:val="24"/>
        </w:rPr>
        <w:t xml:space="preserve"> X </w:t>
      </w:r>
      <w:r w:rsidR="002528B1" w:rsidRPr="00203DF1">
        <w:rPr>
          <w:rFonts w:ascii="Century Gothic" w:hAnsi="Century Gothic"/>
          <w:sz w:val="24"/>
        </w:rPr>
        <w:t>D</w:t>
      </w:r>
      <w:r w:rsidRPr="00203DF1">
        <w:rPr>
          <w:rFonts w:ascii="Century Gothic" w:hAnsi="Century Gothic"/>
          <w:sz w:val="24"/>
        </w:rPr>
        <w:t xml:space="preserve">erechos </w:t>
      </w:r>
      <w:r w:rsidR="002528B1" w:rsidRPr="00203DF1">
        <w:rPr>
          <w:rFonts w:ascii="Century Gothic" w:hAnsi="Century Gothic"/>
          <w:sz w:val="24"/>
        </w:rPr>
        <w:t>por</w:t>
      </w:r>
      <w:r w:rsidRPr="00203DF1">
        <w:rPr>
          <w:rFonts w:ascii="Century Gothic" w:hAnsi="Century Gothic"/>
          <w:sz w:val="24"/>
        </w:rPr>
        <w:t xml:space="preserve"> la </w:t>
      </w:r>
      <w:r w:rsidR="002528B1" w:rsidRPr="00203DF1">
        <w:rPr>
          <w:rFonts w:ascii="Century Gothic" w:hAnsi="Century Gothic"/>
          <w:sz w:val="24"/>
        </w:rPr>
        <w:t>E</w:t>
      </w:r>
      <w:r w:rsidRPr="00203DF1">
        <w:rPr>
          <w:rFonts w:ascii="Century Gothic" w:hAnsi="Century Gothic"/>
          <w:sz w:val="24"/>
        </w:rPr>
        <w:t xml:space="preserve">xpedición de </w:t>
      </w:r>
      <w:r w:rsidR="002528B1" w:rsidRPr="00203DF1">
        <w:rPr>
          <w:rFonts w:ascii="Century Gothic" w:hAnsi="Century Gothic"/>
          <w:sz w:val="24"/>
        </w:rPr>
        <w:t>L</w:t>
      </w:r>
      <w:r w:rsidRPr="00203DF1">
        <w:rPr>
          <w:rFonts w:ascii="Century Gothic" w:hAnsi="Century Gothic"/>
          <w:sz w:val="24"/>
        </w:rPr>
        <w:t xml:space="preserve">icencias y </w:t>
      </w:r>
      <w:r w:rsidR="002528B1" w:rsidRPr="00203DF1">
        <w:rPr>
          <w:rFonts w:ascii="Century Gothic" w:hAnsi="Century Gothic"/>
          <w:sz w:val="24"/>
        </w:rPr>
        <w:t>P</w:t>
      </w:r>
      <w:r w:rsidRPr="00203DF1">
        <w:rPr>
          <w:rFonts w:ascii="Century Gothic" w:hAnsi="Century Gothic"/>
          <w:sz w:val="24"/>
        </w:rPr>
        <w:t>ermisos</w:t>
      </w:r>
    </w:p>
    <w:p w14:paraId="647ACD3A" w14:textId="29084A5E" w:rsidR="00F33D7B" w:rsidRPr="00203DF1" w:rsidRDefault="00F33D7B" w:rsidP="00DD1B5F">
      <w:pPr>
        <w:jc w:val="both"/>
        <w:rPr>
          <w:rFonts w:ascii="Century Gothic" w:hAnsi="Century Gothic"/>
          <w:sz w:val="24"/>
        </w:rPr>
      </w:pPr>
      <w:r w:rsidRPr="00203DF1">
        <w:rPr>
          <w:rFonts w:ascii="Century Gothic" w:hAnsi="Century Gothic"/>
          <w:sz w:val="24"/>
        </w:rPr>
        <w:t xml:space="preserve">IV.- </w:t>
      </w:r>
      <w:r w:rsidR="00DD1B5F" w:rsidRPr="00203DF1">
        <w:rPr>
          <w:rFonts w:ascii="Century Gothic" w:hAnsi="Century Gothic"/>
          <w:sz w:val="24"/>
        </w:rPr>
        <w:t>por el otorgamiento de licencias de funcionamiento a establecimientos cuyos giros sean la prestación de servicios, que incluyan la venta de bebidas alcohólicas</w:t>
      </w:r>
      <w:r w:rsidRPr="00203DF1">
        <w:rPr>
          <w:rFonts w:ascii="Century Gothic" w:hAnsi="Century Gothic"/>
          <w:sz w:val="24"/>
        </w:rPr>
        <w:t>.</w:t>
      </w:r>
    </w:p>
    <w:p w14:paraId="41FAECA1" w14:textId="382D2520" w:rsidR="00F33D7B" w:rsidRPr="00203DF1" w:rsidRDefault="00F33D7B" w:rsidP="00DD1B5F">
      <w:pPr>
        <w:pStyle w:val="Prrafodelista"/>
        <w:numPr>
          <w:ilvl w:val="0"/>
          <w:numId w:val="2"/>
        </w:numPr>
        <w:jc w:val="both"/>
        <w:rPr>
          <w:rFonts w:ascii="Century Gothic" w:hAnsi="Century Gothic"/>
          <w:sz w:val="24"/>
        </w:rPr>
      </w:pPr>
      <w:r w:rsidRPr="00203DF1">
        <w:rPr>
          <w:rFonts w:ascii="Century Gothic" w:hAnsi="Century Gothic"/>
          <w:sz w:val="24"/>
        </w:rPr>
        <w:t>Cantinas y bares de 250 UMA a 600 UMA</w:t>
      </w:r>
    </w:p>
    <w:p w14:paraId="36F6186A" w14:textId="758D55E0" w:rsidR="00F33D7B" w:rsidRPr="00203DF1" w:rsidRDefault="00F33D7B" w:rsidP="00DD1B5F">
      <w:pPr>
        <w:pStyle w:val="Prrafodelista"/>
        <w:numPr>
          <w:ilvl w:val="0"/>
          <w:numId w:val="2"/>
        </w:numPr>
        <w:jc w:val="both"/>
        <w:rPr>
          <w:rFonts w:ascii="Century Gothic" w:hAnsi="Century Gothic"/>
          <w:sz w:val="24"/>
        </w:rPr>
      </w:pPr>
      <w:r w:rsidRPr="00203DF1">
        <w:rPr>
          <w:rFonts w:ascii="Century Gothic" w:hAnsi="Century Gothic"/>
          <w:sz w:val="24"/>
        </w:rPr>
        <w:t>Restorán-Bar de 450 UMA a 600 UMA</w:t>
      </w:r>
    </w:p>
    <w:p w14:paraId="4A2456B4" w14:textId="77777777" w:rsidR="00F33D7B" w:rsidRPr="00203DF1" w:rsidRDefault="00F33D7B" w:rsidP="00DD1B5F">
      <w:pPr>
        <w:pStyle w:val="Prrafodelista"/>
        <w:jc w:val="both"/>
        <w:rPr>
          <w:rFonts w:ascii="Century Gothic" w:hAnsi="Century Gothic"/>
          <w:sz w:val="24"/>
        </w:rPr>
      </w:pPr>
    </w:p>
    <w:p w14:paraId="30488034" w14:textId="55349A2A" w:rsidR="00F33D7B" w:rsidRPr="00203DF1" w:rsidRDefault="00F33D7B" w:rsidP="00DD1B5F">
      <w:pPr>
        <w:jc w:val="both"/>
        <w:rPr>
          <w:rFonts w:ascii="Century Gothic" w:hAnsi="Century Gothic"/>
          <w:sz w:val="24"/>
        </w:rPr>
      </w:pPr>
      <w:r w:rsidRPr="00203DF1">
        <w:rPr>
          <w:rFonts w:ascii="Century Gothic" w:hAnsi="Century Gothic"/>
          <w:sz w:val="24"/>
        </w:rPr>
        <w:t xml:space="preserve">V.- </w:t>
      </w:r>
      <w:r w:rsidR="00DD1B5F" w:rsidRPr="00203DF1">
        <w:rPr>
          <w:rFonts w:ascii="Century Gothic" w:hAnsi="Century Gothic"/>
          <w:sz w:val="24"/>
        </w:rPr>
        <w:t xml:space="preserve">por revalidación anual de licencias de funcionamiento para los establecimientos señalados en la fracción I) art. 111 inciso K se pagará 300 UMA. </w:t>
      </w:r>
    </w:p>
    <w:p w14:paraId="5E0B1E97" w14:textId="61620110" w:rsidR="005802DB" w:rsidRPr="00203DF1" w:rsidRDefault="005802DB" w:rsidP="00DD1B5F">
      <w:pPr>
        <w:jc w:val="both"/>
        <w:rPr>
          <w:rFonts w:ascii="Century Gothic" w:hAnsi="Century Gothic"/>
          <w:sz w:val="24"/>
        </w:rPr>
      </w:pPr>
      <w:r w:rsidRPr="00203DF1">
        <w:rPr>
          <w:rFonts w:ascii="Century Gothic" w:hAnsi="Century Gothic"/>
          <w:sz w:val="24"/>
        </w:rPr>
        <w:t xml:space="preserve">Se adiciona en el art 111 N fracción VI del Capítulo X Derechos por la Expedición de Licencias y Permisos el concepto por la instalación de internet </w:t>
      </w:r>
      <w:r w:rsidR="009E47B0" w:rsidRPr="00203DF1">
        <w:rPr>
          <w:rFonts w:ascii="Century Gothic" w:hAnsi="Century Gothic"/>
          <w:sz w:val="24"/>
        </w:rPr>
        <w:t>(fibra</w:t>
      </w:r>
      <w:r w:rsidRPr="00203DF1">
        <w:rPr>
          <w:rFonts w:ascii="Century Gothic" w:hAnsi="Century Gothic"/>
          <w:sz w:val="24"/>
        </w:rPr>
        <w:t xml:space="preserve"> óptica)</w:t>
      </w:r>
    </w:p>
    <w:p w14:paraId="2ABED20F" w14:textId="77777777" w:rsidR="00F33D7B" w:rsidRPr="00203DF1" w:rsidRDefault="00F33D7B" w:rsidP="00203DF1">
      <w:pPr>
        <w:rPr>
          <w:rFonts w:ascii="Century Gothic" w:hAnsi="Century Gothic"/>
          <w:sz w:val="24"/>
        </w:rPr>
      </w:pPr>
    </w:p>
    <w:sectPr w:rsidR="00F33D7B" w:rsidRPr="00203D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31A75"/>
    <w:multiLevelType w:val="hybridMultilevel"/>
    <w:tmpl w:val="4502E0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3585C1A"/>
    <w:multiLevelType w:val="hybridMultilevel"/>
    <w:tmpl w:val="7D326054"/>
    <w:lvl w:ilvl="0" w:tplc="757C72F4">
      <w:start w:val="600"/>
      <w:numFmt w:val="decimal"/>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75874687">
    <w:abstractNumId w:val="1"/>
  </w:num>
  <w:num w:numId="2" w16cid:durableId="1851291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EE9"/>
    <w:rsid w:val="0001202F"/>
    <w:rsid w:val="000834BA"/>
    <w:rsid w:val="00083B69"/>
    <w:rsid w:val="00151654"/>
    <w:rsid w:val="001536B8"/>
    <w:rsid w:val="001E5958"/>
    <w:rsid w:val="00203DF1"/>
    <w:rsid w:val="002528B1"/>
    <w:rsid w:val="00512111"/>
    <w:rsid w:val="005802DB"/>
    <w:rsid w:val="005C23CA"/>
    <w:rsid w:val="00767AB2"/>
    <w:rsid w:val="008B052A"/>
    <w:rsid w:val="00951982"/>
    <w:rsid w:val="00954848"/>
    <w:rsid w:val="009E47B0"/>
    <w:rsid w:val="00A1324F"/>
    <w:rsid w:val="00A33BDB"/>
    <w:rsid w:val="00AC6AE5"/>
    <w:rsid w:val="00D237D0"/>
    <w:rsid w:val="00DD1B5F"/>
    <w:rsid w:val="00E63EE9"/>
    <w:rsid w:val="00F33D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F5C13"/>
  <w15:chartTrackingRefBased/>
  <w15:docId w15:val="{516FFE3D-D26E-4099-B639-A4248DA6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1536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536B8"/>
    <w:pPr>
      <w:widowControl w:val="0"/>
      <w:autoSpaceDE w:val="0"/>
      <w:autoSpaceDN w:val="0"/>
      <w:spacing w:after="0" w:line="240" w:lineRule="auto"/>
    </w:pPr>
    <w:rPr>
      <w:rFonts w:ascii="Arial MT" w:eastAsia="Arial MT" w:hAnsi="Arial MT" w:cs="Arial MT"/>
      <w:lang w:val="es-ES"/>
    </w:rPr>
  </w:style>
  <w:style w:type="paragraph" w:styleId="Textoindependiente">
    <w:name w:val="Body Text"/>
    <w:basedOn w:val="Normal"/>
    <w:link w:val="TextoindependienteCar"/>
    <w:uiPriority w:val="1"/>
    <w:qFormat/>
    <w:rsid w:val="00151654"/>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151654"/>
    <w:rPr>
      <w:rFonts w:ascii="Arial MT" w:eastAsia="Arial MT" w:hAnsi="Arial MT" w:cs="Arial MT"/>
      <w:sz w:val="24"/>
      <w:szCs w:val="24"/>
      <w:lang w:val="es-ES"/>
    </w:rPr>
  </w:style>
  <w:style w:type="paragraph" w:styleId="Prrafodelista">
    <w:name w:val="List Paragraph"/>
    <w:basedOn w:val="Normal"/>
    <w:uiPriority w:val="34"/>
    <w:qFormat/>
    <w:rsid w:val="00F33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746</Words>
  <Characters>4106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Geovanni Gabriel Casanova Trujeque</cp:lastModifiedBy>
  <cp:revision>2</cp:revision>
  <cp:lastPrinted>2024-11-26T03:08:00Z</cp:lastPrinted>
  <dcterms:created xsi:type="dcterms:W3CDTF">2024-11-26T03:51:00Z</dcterms:created>
  <dcterms:modified xsi:type="dcterms:W3CDTF">2024-11-26T03:51:00Z</dcterms:modified>
</cp:coreProperties>
</file>