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307B" w14:textId="208CF113" w:rsidR="002B3741" w:rsidRPr="002B3741" w:rsidRDefault="004408E7" w:rsidP="002B3741">
      <w:pPr>
        <w:widowControl w:val="0"/>
        <w:spacing w:after="0" w:line="360" w:lineRule="auto"/>
        <w:jc w:val="both"/>
        <w:outlineLvl w:val="0"/>
        <w:rPr>
          <w:rFonts w:ascii="Arial" w:eastAsia="Arial" w:hAnsi="Arial"/>
          <w:b/>
          <w:sz w:val="20"/>
          <w:szCs w:val="20"/>
          <w:lang w:val="es-ES" w:eastAsia="es-MX"/>
        </w:rPr>
      </w:pPr>
      <w:r>
        <w:rPr>
          <w:rFonts w:ascii="Arial" w:eastAsia="Arial" w:hAnsi="Arial"/>
          <w:b/>
          <w:sz w:val="20"/>
          <w:szCs w:val="20"/>
          <w:lang w:val="es-ES" w:eastAsia="es-MX"/>
        </w:rPr>
        <w:t xml:space="preserve">INICIATIVA DE </w:t>
      </w:r>
      <w:r w:rsidR="002B3741" w:rsidRPr="002B3741">
        <w:rPr>
          <w:rFonts w:ascii="Arial" w:eastAsia="Arial" w:hAnsi="Arial"/>
          <w:b/>
          <w:sz w:val="20"/>
          <w:szCs w:val="20"/>
          <w:lang w:val="es-ES" w:eastAsia="es-MX"/>
        </w:rPr>
        <w:t>LEY DE INGRESOS DEL MUNICIPIO DE TIXPÉUAL, YUCATÁN, PARA EL EJERCICIO FISCAL 202</w:t>
      </w:r>
      <w:r>
        <w:rPr>
          <w:rFonts w:ascii="Arial" w:eastAsia="Arial" w:hAnsi="Arial"/>
          <w:b/>
          <w:sz w:val="20"/>
          <w:szCs w:val="20"/>
          <w:lang w:val="es-ES" w:eastAsia="es-MX"/>
        </w:rPr>
        <w:t>6</w:t>
      </w:r>
      <w:r w:rsidR="002B3741" w:rsidRPr="002B3741">
        <w:rPr>
          <w:rFonts w:ascii="Arial" w:eastAsia="Arial" w:hAnsi="Arial"/>
          <w:b/>
          <w:sz w:val="20"/>
          <w:szCs w:val="20"/>
          <w:lang w:val="es-ES" w:eastAsia="es-MX"/>
        </w:rPr>
        <w:t>:</w:t>
      </w:r>
    </w:p>
    <w:p w14:paraId="54B5DBD0" w14:textId="77777777" w:rsidR="002B3741" w:rsidRPr="002B3741" w:rsidRDefault="002B3741" w:rsidP="00CB1E7A">
      <w:pPr>
        <w:widowControl w:val="0"/>
        <w:spacing w:after="0" w:line="240" w:lineRule="auto"/>
        <w:jc w:val="center"/>
        <w:rPr>
          <w:rFonts w:ascii="Arial" w:eastAsia="Arial" w:hAnsi="Arial"/>
          <w:b/>
          <w:sz w:val="20"/>
          <w:szCs w:val="20"/>
          <w:lang w:val="es-ES" w:eastAsia="es-MX"/>
        </w:rPr>
      </w:pPr>
    </w:p>
    <w:p w14:paraId="5FBEA196" w14:textId="77777777" w:rsidR="002B3741" w:rsidRPr="002B3741" w:rsidRDefault="002B3741" w:rsidP="002B3741">
      <w:pPr>
        <w:widowControl w:val="0"/>
        <w:spacing w:after="0" w:line="360" w:lineRule="auto"/>
        <w:jc w:val="center"/>
        <w:rPr>
          <w:rFonts w:ascii="Arial" w:eastAsia="Arial" w:hAnsi="Arial"/>
          <w:b/>
          <w:sz w:val="20"/>
          <w:szCs w:val="20"/>
          <w:lang w:val="es-ES" w:eastAsia="es-MX"/>
        </w:rPr>
      </w:pPr>
      <w:r w:rsidRPr="002B3741">
        <w:rPr>
          <w:rFonts w:ascii="Arial" w:eastAsia="Arial" w:hAnsi="Arial"/>
          <w:b/>
          <w:sz w:val="20"/>
          <w:szCs w:val="20"/>
          <w:lang w:val="es-ES" w:eastAsia="es-MX"/>
        </w:rPr>
        <w:t xml:space="preserve">TÍTULO PRIMERO </w:t>
      </w:r>
    </w:p>
    <w:p w14:paraId="2F49EE54" w14:textId="77777777" w:rsidR="002B3741" w:rsidRPr="002B3741" w:rsidRDefault="002B3741" w:rsidP="00CB1E7A">
      <w:pPr>
        <w:widowControl w:val="0"/>
        <w:spacing w:after="0" w:line="240" w:lineRule="auto"/>
        <w:jc w:val="center"/>
        <w:rPr>
          <w:rFonts w:ascii="Arial" w:eastAsia="Arial" w:hAnsi="Arial"/>
          <w:b/>
          <w:sz w:val="20"/>
          <w:szCs w:val="20"/>
          <w:lang w:val="es-ES" w:eastAsia="es-MX"/>
        </w:rPr>
      </w:pPr>
      <w:r w:rsidRPr="002B3741">
        <w:rPr>
          <w:rFonts w:ascii="Arial" w:eastAsia="Arial" w:hAnsi="Arial"/>
          <w:b/>
          <w:sz w:val="20"/>
          <w:szCs w:val="20"/>
          <w:lang w:val="es-ES" w:eastAsia="es-MX"/>
        </w:rPr>
        <w:t>DISPOSICIONES GENERALES</w:t>
      </w:r>
    </w:p>
    <w:p w14:paraId="4248E980" w14:textId="77777777" w:rsidR="002B3741" w:rsidRPr="002B3741" w:rsidRDefault="002B3741" w:rsidP="00CB1E7A">
      <w:pPr>
        <w:widowControl w:val="0"/>
        <w:spacing w:after="0" w:line="240" w:lineRule="auto"/>
        <w:jc w:val="center"/>
        <w:rPr>
          <w:rFonts w:ascii="Arial" w:eastAsia="Arial" w:hAnsi="Arial"/>
          <w:b/>
          <w:sz w:val="20"/>
          <w:szCs w:val="20"/>
          <w:lang w:val="es-ES" w:eastAsia="es-MX"/>
        </w:rPr>
      </w:pPr>
    </w:p>
    <w:p w14:paraId="0232BD4E" w14:textId="77777777" w:rsidR="002B3741" w:rsidRPr="002B3741" w:rsidRDefault="002B3741" w:rsidP="002B3741">
      <w:pPr>
        <w:widowControl w:val="0"/>
        <w:spacing w:after="0" w:line="360" w:lineRule="auto"/>
        <w:jc w:val="center"/>
        <w:outlineLvl w:val="0"/>
        <w:rPr>
          <w:rFonts w:ascii="Arial" w:eastAsia="Arial" w:hAnsi="Arial"/>
          <w:b/>
          <w:sz w:val="20"/>
          <w:szCs w:val="20"/>
          <w:lang w:val="es-ES" w:eastAsia="es-MX"/>
        </w:rPr>
      </w:pPr>
      <w:r w:rsidRPr="002B3741">
        <w:rPr>
          <w:rFonts w:ascii="Arial" w:eastAsia="Arial" w:hAnsi="Arial"/>
          <w:b/>
          <w:sz w:val="20"/>
          <w:szCs w:val="20"/>
          <w:lang w:val="es-ES" w:eastAsia="es-MX"/>
        </w:rPr>
        <w:t>CAPÍTULO I</w:t>
      </w:r>
    </w:p>
    <w:p w14:paraId="6F94F8BA" w14:textId="77777777" w:rsidR="002B3741" w:rsidRPr="002B3741" w:rsidRDefault="002B3741" w:rsidP="00CB1E7A">
      <w:pPr>
        <w:widowControl w:val="0"/>
        <w:spacing w:after="0" w:line="240" w:lineRule="auto"/>
        <w:jc w:val="center"/>
        <w:rPr>
          <w:rFonts w:ascii="Arial" w:eastAsia="Arial" w:hAnsi="Arial"/>
          <w:b/>
          <w:sz w:val="20"/>
          <w:szCs w:val="20"/>
          <w:lang w:val="es-ES" w:eastAsia="es-MX"/>
        </w:rPr>
      </w:pPr>
      <w:r w:rsidRPr="002B3741">
        <w:rPr>
          <w:rFonts w:ascii="Arial" w:eastAsia="Arial" w:hAnsi="Arial"/>
          <w:b/>
          <w:sz w:val="20"/>
          <w:szCs w:val="20"/>
          <w:lang w:val="es-ES" w:eastAsia="es-MX"/>
        </w:rPr>
        <w:t>De la Naturaleza y el Objeto de la Ley</w:t>
      </w:r>
    </w:p>
    <w:p w14:paraId="4116FBE5"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29CA6891" w14:textId="2BA93E32"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 </w:t>
      </w:r>
      <w:r w:rsidRPr="002B3741">
        <w:rPr>
          <w:rFonts w:ascii="Arial" w:eastAsia="Arial" w:hAnsi="Arial"/>
          <w:color w:val="000000"/>
          <w:sz w:val="20"/>
          <w:szCs w:val="20"/>
          <w:lang w:val="es-ES" w:eastAsia="es-MX"/>
        </w:rPr>
        <w:t xml:space="preserve">La presente Ley es de orden público y de interés social, y tiene por objeto establecer los ingresos que percibirá la Hacienda Pública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a través de su Tesorería Municipal, durante el ejercicio fiscal del año 202</w:t>
      </w:r>
      <w:r w:rsidR="004408E7">
        <w:rPr>
          <w:rFonts w:ascii="Arial" w:eastAsia="Arial" w:hAnsi="Arial"/>
          <w:color w:val="000000"/>
          <w:sz w:val="20"/>
          <w:szCs w:val="20"/>
          <w:lang w:val="es-ES" w:eastAsia="es-MX"/>
        </w:rPr>
        <w:t>6</w:t>
      </w:r>
      <w:r w:rsidRPr="002B3741">
        <w:rPr>
          <w:rFonts w:ascii="Arial" w:eastAsia="Arial" w:hAnsi="Arial"/>
          <w:color w:val="000000"/>
          <w:sz w:val="20"/>
          <w:szCs w:val="20"/>
          <w:lang w:val="es-ES" w:eastAsia="es-MX"/>
        </w:rPr>
        <w:t>.</w:t>
      </w:r>
    </w:p>
    <w:p w14:paraId="551A5D7D"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6F8163F1"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2.- </w:t>
      </w:r>
      <w:r w:rsidRPr="002B3741">
        <w:rPr>
          <w:rFonts w:ascii="Arial" w:eastAsia="Arial" w:hAnsi="Arial"/>
          <w:color w:val="000000"/>
          <w:sz w:val="20"/>
          <w:szCs w:val="20"/>
          <w:lang w:val="es-ES" w:eastAsia="es-MX"/>
        </w:rPr>
        <w:t xml:space="preserve">Las personas domiciliadas dentro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xml:space="preserve">, Yucatán que tuvieren bienes en su territorio o celebren actos que surtan efectos en el mismo, están obligados a contribuir para los gastos públicos de la manera que disponga la presente Ley, la Ley de Hacienda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el Código Fiscal del Estado de Yucatán y los demás ordenamientos fiscales de carácter municipal, estatal y federal.</w:t>
      </w:r>
    </w:p>
    <w:p w14:paraId="51E40518"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3A43CF7"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3.- </w:t>
      </w:r>
      <w:r w:rsidRPr="002B3741">
        <w:rPr>
          <w:rFonts w:ascii="Arial" w:eastAsia="Arial" w:hAnsi="Arial"/>
          <w:color w:val="000000"/>
          <w:sz w:val="20"/>
          <w:szCs w:val="20"/>
          <w:lang w:val="es-ES" w:eastAsia="es-MX"/>
        </w:rPr>
        <w:t xml:space="preserve">Los ingresos que se recauden por los conceptos señalados en la presente Ley, se destinarán a sufragar los gastos públicos establecidos y autorizados en el Presupuesto de Egresos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así como en lo dispuesto en los convenios de coordinación fiscal y en las Leyes en que se fundamenten.</w:t>
      </w:r>
    </w:p>
    <w:p w14:paraId="3EC3A201" w14:textId="77777777" w:rsidR="002B3741" w:rsidRPr="002B3741" w:rsidRDefault="002B3741" w:rsidP="002B3741">
      <w:pPr>
        <w:widowControl w:val="0"/>
        <w:spacing w:after="0" w:line="240" w:lineRule="auto"/>
        <w:jc w:val="center"/>
        <w:outlineLvl w:val="0"/>
        <w:rPr>
          <w:rFonts w:ascii="Arial" w:eastAsia="Arial" w:hAnsi="Arial"/>
          <w:b/>
          <w:sz w:val="20"/>
          <w:szCs w:val="20"/>
          <w:lang w:val="es-ES" w:eastAsia="es-MX"/>
        </w:rPr>
      </w:pPr>
    </w:p>
    <w:p w14:paraId="722AC4C5" w14:textId="77777777" w:rsidR="002B3741" w:rsidRPr="002B3741" w:rsidRDefault="002B3741" w:rsidP="002B3741">
      <w:pPr>
        <w:widowControl w:val="0"/>
        <w:tabs>
          <w:tab w:val="center" w:pos="4560"/>
          <w:tab w:val="left" w:pos="6840"/>
        </w:tabs>
        <w:spacing w:after="0" w:line="360" w:lineRule="auto"/>
        <w:jc w:val="center"/>
        <w:outlineLvl w:val="0"/>
        <w:rPr>
          <w:rFonts w:ascii="Arial" w:eastAsia="Arial" w:hAnsi="Arial"/>
          <w:b/>
          <w:sz w:val="20"/>
          <w:szCs w:val="20"/>
          <w:lang w:val="es-ES" w:eastAsia="es-MX"/>
        </w:rPr>
      </w:pPr>
      <w:r w:rsidRPr="002B3741">
        <w:rPr>
          <w:rFonts w:ascii="Arial" w:eastAsia="Arial" w:hAnsi="Arial"/>
          <w:b/>
          <w:sz w:val="20"/>
          <w:szCs w:val="20"/>
          <w:lang w:val="es-ES" w:eastAsia="es-MX"/>
        </w:rPr>
        <w:t>CAPÍTULO II</w:t>
      </w:r>
    </w:p>
    <w:p w14:paraId="6DCBB38C" w14:textId="77777777" w:rsidR="002B3741" w:rsidRPr="002B3741" w:rsidRDefault="002B3741" w:rsidP="00CB1E7A">
      <w:pPr>
        <w:widowControl w:val="0"/>
        <w:spacing w:after="0" w:line="240" w:lineRule="auto"/>
        <w:jc w:val="center"/>
        <w:rPr>
          <w:rFonts w:ascii="Arial" w:eastAsia="Arial" w:hAnsi="Arial"/>
          <w:b/>
          <w:sz w:val="20"/>
          <w:szCs w:val="20"/>
          <w:lang w:val="es-ES" w:eastAsia="es-MX"/>
        </w:rPr>
      </w:pPr>
      <w:r w:rsidRPr="002B3741">
        <w:rPr>
          <w:rFonts w:ascii="Arial" w:eastAsia="Arial" w:hAnsi="Arial"/>
          <w:b/>
          <w:sz w:val="20"/>
          <w:szCs w:val="20"/>
          <w:lang w:val="es-ES" w:eastAsia="es-MX"/>
        </w:rPr>
        <w:t>De los Conceptos de Ingresos y su Pronóstico</w:t>
      </w:r>
    </w:p>
    <w:p w14:paraId="3AB3F6F9" w14:textId="77777777" w:rsidR="002B3741" w:rsidRPr="002B3741" w:rsidRDefault="002B3741" w:rsidP="00CB1E7A">
      <w:pPr>
        <w:widowControl w:val="0"/>
        <w:spacing w:after="0" w:line="240" w:lineRule="auto"/>
        <w:jc w:val="both"/>
        <w:rPr>
          <w:rFonts w:ascii="Arial" w:eastAsia="Arial" w:hAnsi="Arial"/>
          <w:b/>
          <w:sz w:val="20"/>
          <w:szCs w:val="20"/>
          <w:lang w:val="es-ES" w:eastAsia="es-MX"/>
        </w:rPr>
      </w:pPr>
    </w:p>
    <w:p w14:paraId="251684B4"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4.- </w:t>
      </w:r>
      <w:r w:rsidRPr="002B3741">
        <w:rPr>
          <w:rFonts w:ascii="Arial" w:eastAsia="Arial" w:hAnsi="Arial"/>
          <w:color w:val="000000"/>
          <w:sz w:val="20"/>
          <w:szCs w:val="20"/>
          <w:lang w:val="es-ES" w:eastAsia="es-MX"/>
        </w:rPr>
        <w:t xml:space="preserve">Los conceptos por los que la Hacienda Pública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percibirá ingresos, serán los siguientes:</w:t>
      </w:r>
    </w:p>
    <w:p w14:paraId="6BEDA37D" w14:textId="77777777" w:rsidR="002B3741" w:rsidRPr="002B3741" w:rsidRDefault="002B3741" w:rsidP="00CB1E7A">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16A5D1CC" w14:textId="77777777" w:rsidR="002B3741" w:rsidRPr="002B3741" w:rsidRDefault="002B3741" w:rsidP="002B3741">
      <w:pPr>
        <w:widowControl w:val="0"/>
        <w:numPr>
          <w:ilvl w:val="0"/>
          <w:numId w:val="24"/>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t>Impuestos;</w:t>
      </w:r>
    </w:p>
    <w:p w14:paraId="726E3B6D" w14:textId="77777777" w:rsidR="002B3741" w:rsidRPr="002B3741" w:rsidRDefault="002B3741" w:rsidP="002B3741">
      <w:pPr>
        <w:widowControl w:val="0"/>
        <w:numPr>
          <w:ilvl w:val="0"/>
          <w:numId w:val="24"/>
        </w:numPr>
        <w:spacing w:after="0" w:line="360" w:lineRule="auto"/>
        <w:contextualSpacing/>
        <w:jc w:val="both"/>
        <w:rPr>
          <w:rFonts w:ascii="Arial" w:eastAsia="Arial" w:hAnsi="Arial"/>
          <w:sz w:val="20"/>
          <w:szCs w:val="20"/>
          <w:lang w:val="es-ES" w:eastAsia="es-MX"/>
        </w:rPr>
      </w:pPr>
      <w:r w:rsidRPr="002B3741">
        <w:rPr>
          <w:rFonts w:ascii="Arial" w:eastAsia="Arial" w:hAnsi="Arial"/>
          <w:color w:val="000000"/>
          <w:sz w:val="20"/>
          <w:szCs w:val="20"/>
          <w:lang w:val="es-ES" w:eastAsia="es-MX"/>
        </w:rPr>
        <w:t>Contribuciones de Mejoras</w:t>
      </w:r>
      <w:r w:rsidRPr="002B3741">
        <w:rPr>
          <w:rFonts w:ascii="Arial" w:eastAsia="Arial" w:hAnsi="Arial"/>
          <w:sz w:val="20"/>
          <w:szCs w:val="20"/>
          <w:lang w:val="es-ES" w:eastAsia="es-MX"/>
        </w:rPr>
        <w:t>;</w:t>
      </w:r>
    </w:p>
    <w:p w14:paraId="09EAA6E8" w14:textId="77777777" w:rsidR="002B3741" w:rsidRPr="002B3741" w:rsidRDefault="002B3741" w:rsidP="002B3741">
      <w:pPr>
        <w:widowControl w:val="0"/>
        <w:numPr>
          <w:ilvl w:val="0"/>
          <w:numId w:val="24"/>
        </w:num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2B3741">
        <w:rPr>
          <w:rFonts w:ascii="Arial" w:eastAsia="Arial" w:hAnsi="Arial"/>
          <w:sz w:val="20"/>
          <w:szCs w:val="20"/>
          <w:lang w:val="es-ES" w:eastAsia="es-MX"/>
        </w:rPr>
        <w:t>Derechos;</w:t>
      </w:r>
    </w:p>
    <w:p w14:paraId="0A11D1C0" w14:textId="77777777" w:rsidR="002B3741" w:rsidRPr="002B3741" w:rsidRDefault="002B3741" w:rsidP="002B3741">
      <w:pPr>
        <w:widowControl w:val="0"/>
        <w:numPr>
          <w:ilvl w:val="0"/>
          <w:numId w:val="24"/>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t>Productos;</w:t>
      </w:r>
    </w:p>
    <w:p w14:paraId="68A86074" w14:textId="77777777" w:rsidR="002B3741" w:rsidRPr="002B3741" w:rsidRDefault="002B3741" w:rsidP="002B3741">
      <w:pPr>
        <w:widowControl w:val="0"/>
        <w:numPr>
          <w:ilvl w:val="0"/>
          <w:numId w:val="24"/>
        </w:num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Aprovechamientos;</w:t>
      </w:r>
    </w:p>
    <w:p w14:paraId="1E893AB4" w14:textId="77777777" w:rsidR="002B3741" w:rsidRPr="002B3741" w:rsidRDefault="002B3741" w:rsidP="002B3741">
      <w:pPr>
        <w:widowControl w:val="0"/>
        <w:numPr>
          <w:ilvl w:val="0"/>
          <w:numId w:val="24"/>
        </w:num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Ingresos por Venta de Bienes, Prestación de Servicios y Otros Ingresos;</w:t>
      </w:r>
    </w:p>
    <w:p w14:paraId="119DC8D6" w14:textId="77777777" w:rsidR="002B3741" w:rsidRPr="002B3741" w:rsidRDefault="002B3741" w:rsidP="002B3741">
      <w:pPr>
        <w:widowControl w:val="0"/>
        <w:numPr>
          <w:ilvl w:val="0"/>
          <w:numId w:val="24"/>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t xml:space="preserve">Participaciones, Aportaciones, Convenios, Incentivos Derivados de la Colaboración Fiscal y Fondos Distintos de Aportaciones; </w:t>
      </w:r>
    </w:p>
    <w:p w14:paraId="6D2E6B1E" w14:textId="77777777" w:rsidR="002B3741" w:rsidRPr="002B3741" w:rsidRDefault="002B3741" w:rsidP="002B3741">
      <w:pPr>
        <w:widowControl w:val="0"/>
        <w:numPr>
          <w:ilvl w:val="0"/>
          <w:numId w:val="24"/>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t>Transferencias, Asignaciones, Subsidios y Subvenciones, y</w:t>
      </w:r>
    </w:p>
    <w:p w14:paraId="28D052A3" w14:textId="77777777" w:rsidR="002B3741" w:rsidRPr="002B3741" w:rsidRDefault="002B3741" w:rsidP="002B3741">
      <w:pPr>
        <w:widowControl w:val="0"/>
        <w:numPr>
          <w:ilvl w:val="0"/>
          <w:numId w:val="24"/>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lastRenderedPageBreak/>
        <w:t>Ingresos Derivados de Financiamientos.</w:t>
      </w:r>
    </w:p>
    <w:p w14:paraId="5AFF110D" w14:textId="77777777" w:rsidR="002B3741" w:rsidRPr="002B3741" w:rsidRDefault="002B3741" w:rsidP="002B3741">
      <w:pPr>
        <w:widowControl w:val="0"/>
        <w:spacing w:after="0" w:line="240" w:lineRule="auto"/>
        <w:jc w:val="both"/>
        <w:rPr>
          <w:rFonts w:ascii="Arial" w:eastAsia="Arial" w:hAnsi="Arial"/>
          <w:sz w:val="20"/>
          <w:szCs w:val="20"/>
          <w:lang w:val="es-ES" w:eastAsia="es-MX"/>
        </w:rPr>
      </w:pPr>
    </w:p>
    <w:p w14:paraId="063E17C3"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5.- </w:t>
      </w:r>
      <w:r w:rsidRPr="002B3741">
        <w:rPr>
          <w:rFonts w:ascii="Arial" w:eastAsia="Arial" w:hAnsi="Arial"/>
          <w:color w:val="000000"/>
          <w:sz w:val="20"/>
          <w:szCs w:val="20"/>
          <w:lang w:val="es-ES" w:eastAsia="es-MX"/>
        </w:rPr>
        <w:t xml:space="preserve">Los impuestos que 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percibirá, se clasifican como sigue:</w:t>
      </w:r>
    </w:p>
    <w:p w14:paraId="172246DE" w14:textId="77777777" w:rsidR="002B3741" w:rsidRPr="002B3741" w:rsidRDefault="002B3741" w:rsidP="002B3741">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4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126"/>
      </w:tblGrid>
      <w:tr w:rsidR="002B3741" w:rsidRPr="002B3741" w14:paraId="118906F8" w14:textId="77777777" w:rsidTr="00866779">
        <w:tc>
          <w:tcPr>
            <w:tcW w:w="3809" w:type="pct"/>
            <w:shd w:val="clear" w:color="auto" w:fill="D9D9D9"/>
          </w:tcPr>
          <w:p w14:paraId="190580E0"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w:t>
            </w:r>
          </w:p>
        </w:tc>
        <w:tc>
          <w:tcPr>
            <w:tcW w:w="1191" w:type="pct"/>
            <w:shd w:val="clear" w:color="auto" w:fill="D9D9D9"/>
          </w:tcPr>
          <w:p w14:paraId="032DDD22" w14:textId="344D6B5D" w:rsidR="002B3741" w:rsidRPr="002B3741" w:rsidRDefault="002B3741" w:rsidP="000C669A">
            <w:pPr>
              <w:widowControl w:val="0"/>
              <w:pBdr>
                <w:top w:val="nil"/>
                <w:left w:val="nil"/>
                <w:bottom w:val="nil"/>
                <w:right w:val="nil"/>
                <w:between w:val="nil"/>
              </w:pBdr>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6</w:t>
            </w:r>
            <w:r w:rsidR="0048642F">
              <w:rPr>
                <w:rFonts w:ascii="Arial" w:eastAsia="Arial" w:hAnsi="Arial"/>
                <w:b/>
                <w:color w:val="000000"/>
                <w:sz w:val="20"/>
                <w:szCs w:val="20"/>
                <w:lang w:val="es-ES" w:eastAsia="es-MX"/>
              </w:rPr>
              <w:t>51</w:t>
            </w:r>
            <w:r w:rsidR="006B61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144</w:t>
            </w:r>
            <w:r w:rsidR="006B61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00</w:t>
            </w:r>
          </w:p>
        </w:tc>
      </w:tr>
      <w:tr w:rsidR="002B3741" w:rsidRPr="002B3741" w14:paraId="0228C688" w14:textId="77777777" w:rsidTr="00866779">
        <w:tc>
          <w:tcPr>
            <w:tcW w:w="3809" w:type="pct"/>
          </w:tcPr>
          <w:p w14:paraId="50DD129D"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 Sobre los Ingresos</w:t>
            </w:r>
          </w:p>
        </w:tc>
        <w:tc>
          <w:tcPr>
            <w:tcW w:w="1191" w:type="pct"/>
          </w:tcPr>
          <w:p w14:paraId="4C1FFC8F" w14:textId="77777777" w:rsidR="002B3741" w:rsidRPr="002B3741" w:rsidRDefault="002B3741" w:rsidP="000C669A">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2B3741" w:rsidRPr="002B3741" w14:paraId="0629D1BD" w14:textId="77777777" w:rsidTr="00866779">
        <w:tc>
          <w:tcPr>
            <w:tcW w:w="3809" w:type="pct"/>
          </w:tcPr>
          <w:p w14:paraId="7154F4F1"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Impuesto sobre Espectáculos y Diversiones Públicas</w:t>
            </w:r>
          </w:p>
        </w:tc>
        <w:tc>
          <w:tcPr>
            <w:tcW w:w="1191" w:type="pct"/>
          </w:tcPr>
          <w:p w14:paraId="6345C1D4" w14:textId="77777777" w:rsidR="002B3741" w:rsidRPr="002B3741" w:rsidRDefault="002B3741" w:rsidP="000C669A">
            <w:pPr>
              <w:widowControl w:val="0"/>
              <w:pBdr>
                <w:top w:val="nil"/>
                <w:left w:val="nil"/>
                <w:bottom w:val="nil"/>
                <w:right w:val="nil"/>
                <w:between w:val="nil"/>
              </w:pBdr>
              <w:tabs>
                <w:tab w:val="left" w:pos="722"/>
              </w:tabs>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6C4D7A15" w14:textId="77777777" w:rsidTr="00866779">
        <w:tc>
          <w:tcPr>
            <w:tcW w:w="3809" w:type="pct"/>
          </w:tcPr>
          <w:p w14:paraId="0D5FEC78"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 Sobre el Patrimonio</w:t>
            </w:r>
          </w:p>
        </w:tc>
        <w:tc>
          <w:tcPr>
            <w:tcW w:w="1191" w:type="pct"/>
          </w:tcPr>
          <w:p w14:paraId="33FF82E6" w14:textId="7E8AE23B" w:rsidR="002B3741" w:rsidRPr="002B3741" w:rsidRDefault="002B3741" w:rsidP="000C669A">
            <w:pPr>
              <w:widowControl w:val="0"/>
              <w:pBdr>
                <w:top w:val="nil"/>
                <w:left w:val="nil"/>
                <w:bottom w:val="nil"/>
                <w:right w:val="nil"/>
                <w:between w:val="nil"/>
              </w:pBdr>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             </w:t>
            </w:r>
            <w:r w:rsidR="0048642F">
              <w:rPr>
                <w:rFonts w:ascii="Arial" w:eastAsia="Arial" w:hAnsi="Arial"/>
                <w:b/>
                <w:color w:val="000000"/>
                <w:sz w:val="20"/>
                <w:szCs w:val="20"/>
                <w:lang w:val="es-ES" w:eastAsia="es-MX"/>
              </w:rPr>
              <w:t>30</w:t>
            </w:r>
            <w:r w:rsidR="006B6141">
              <w:rPr>
                <w:rFonts w:ascii="Arial" w:eastAsia="Arial" w:hAnsi="Arial"/>
                <w:b/>
                <w:color w:val="000000"/>
                <w:sz w:val="20"/>
                <w:szCs w:val="20"/>
                <w:lang w:val="es-ES" w:eastAsia="es-MX"/>
              </w:rPr>
              <w:t>1,</w:t>
            </w:r>
            <w:r w:rsidR="0048642F">
              <w:rPr>
                <w:rFonts w:ascii="Arial" w:eastAsia="Arial" w:hAnsi="Arial"/>
                <w:b/>
                <w:color w:val="000000"/>
                <w:sz w:val="20"/>
                <w:szCs w:val="20"/>
                <w:lang w:val="es-ES" w:eastAsia="es-MX"/>
              </w:rPr>
              <w:t>941</w:t>
            </w:r>
            <w:r w:rsidRPr="002B3741">
              <w:rPr>
                <w:rFonts w:ascii="Arial" w:eastAsia="Arial" w:hAnsi="Arial"/>
                <w:b/>
                <w:color w:val="000000"/>
                <w:sz w:val="20"/>
                <w:szCs w:val="20"/>
                <w:lang w:val="es-ES" w:eastAsia="es-MX"/>
              </w:rPr>
              <w:t>.00</w:t>
            </w:r>
          </w:p>
        </w:tc>
      </w:tr>
      <w:tr w:rsidR="002B3741" w:rsidRPr="002B3741" w14:paraId="2EFD5DAE" w14:textId="77777777" w:rsidTr="00866779">
        <w:tc>
          <w:tcPr>
            <w:tcW w:w="3809" w:type="pct"/>
          </w:tcPr>
          <w:p w14:paraId="7351713C" w14:textId="77777777" w:rsidR="002B3741" w:rsidRPr="002B3741" w:rsidRDefault="002B3741" w:rsidP="00866779">
            <w:pPr>
              <w:widowControl w:val="0"/>
              <w:pBdr>
                <w:top w:val="nil"/>
                <w:left w:val="nil"/>
                <w:bottom w:val="nil"/>
                <w:right w:val="nil"/>
                <w:between w:val="nil"/>
              </w:pBdr>
              <w:spacing w:after="0" w:line="360" w:lineRule="auto"/>
              <w:ind w:right="177"/>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Impuesto Predial</w:t>
            </w:r>
          </w:p>
        </w:tc>
        <w:tc>
          <w:tcPr>
            <w:tcW w:w="1191" w:type="pct"/>
          </w:tcPr>
          <w:p w14:paraId="16720382" w14:textId="39EC0BBC" w:rsidR="002B3741" w:rsidRPr="002B3741" w:rsidRDefault="002B3741" w:rsidP="000C669A">
            <w:pPr>
              <w:widowControl w:val="0"/>
              <w:pBdr>
                <w:top w:val="nil"/>
                <w:left w:val="nil"/>
                <w:bottom w:val="nil"/>
                <w:right w:val="nil"/>
                <w:between w:val="nil"/>
              </w:pBdr>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48642F">
              <w:rPr>
                <w:rFonts w:ascii="Arial" w:eastAsia="Arial" w:hAnsi="Arial"/>
                <w:color w:val="000000"/>
                <w:sz w:val="20"/>
                <w:szCs w:val="20"/>
                <w:lang w:val="es-ES" w:eastAsia="es-MX"/>
              </w:rPr>
              <w:t>30</w:t>
            </w:r>
            <w:r w:rsidR="006B6141">
              <w:rPr>
                <w:rFonts w:ascii="Arial" w:eastAsia="Arial" w:hAnsi="Arial"/>
                <w:color w:val="000000"/>
                <w:sz w:val="20"/>
                <w:szCs w:val="20"/>
                <w:lang w:val="es-ES" w:eastAsia="es-MX"/>
              </w:rPr>
              <w:t>1,</w:t>
            </w:r>
            <w:r w:rsidR="0048642F">
              <w:rPr>
                <w:rFonts w:ascii="Arial" w:eastAsia="Arial" w:hAnsi="Arial"/>
                <w:color w:val="000000"/>
                <w:sz w:val="20"/>
                <w:szCs w:val="20"/>
                <w:lang w:val="es-ES" w:eastAsia="es-MX"/>
              </w:rPr>
              <w:t>941</w:t>
            </w:r>
            <w:r w:rsidRPr="002B3741">
              <w:rPr>
                <w:rFonts w:ascii="Arial" w:eastAsia="Arial" w:hAnsi="Arial"/>
                <w:color w:val="000000"/>
                <w:sz w:val="20"/>
                <w:szCs w:val="20"/>
                <w:lang w:val="es-ES" w:eastAsia="es-MX"/>
              </w:rPr>
              <w:t>.00</w:t>
            </w:r>
          </w:p>
        </w:tc>
      </w:tr>
      <w:tr w:rsidR="002B3741" w:rsidRPr="002B3741" w14:paraId="22547901" w14:textId="77777777" w:rsidTr="00866779">
        <w:tc>
          <w:tcPr>
            <w:tcW w:w="3809" w:type="pct"/>
          </w:tcPr>
          <w:p w14:paraId="48FFB2AE" w14:textId="77777777" w:rsidR="002B3741" w:rsidRPr="002B3741" w:rsidRDefault="002B3741" w:rsidP="00866779">
            <w:pPr>
              <w:widowControl w:val="0"/>
              <w:pBdr>
                <w:top w:val="nil"/>
                <w:left w:val="nil"/>
                <w:bottom w:val="nil"/>
                <w:right w:val="nil"/>
                <w:between w:val="nil"/>
              </w:pBdr>
              <w:spacing w:after="0" w:line="360" w:lineRule="auto"/>
              <w:ind w:right="177"/>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 sobre la Producción, el Consumo y las Transacciones</w:t>
            </w:r>
          </w:p>
        </w:tc>
        <w:tc>
          <w:tcPr>
            <w:tcW w:w="1191" w:type="pct"/>
          </w:tcPr>
          <w:p w14:paraId="14768838" w14:textId="09C26676" w:rsidR="002B3741" w:rsidRPr="002B3741" w:rsidRDefault="002B3741" w:rsidP="000C669A">
            <w:pPr>
              <w:widowControl w:val="0"/>
              <w:pBdr>
                <w:top w:val="nil"/>
                <w:left w:val="nil"/>
                <w:bottom w:val="nil"/>
                <w:right w:val="nil"/>
                <w:between w:val="nil"/>
              </w:pBdr>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3</w:t>
            </w:r>
            <w:r w:rsidR="0048642F">
              <w:rPr>
                <w:rFonts w:ascii="Arial" w:eastAsia="Arial" w:hAnsi="Arial"/>
                <w:b/>
                <w:color w:val="000000"/>
                <w:sz w:val="20"/>
                <w:szCs w:val="20"/>
                <w:lang w:val="es-ES" w:eastAsia="es-MX"/>
              </w:rPr>
              <w:t>49</w:t>
            </w:r>
            <w:r w:rsidRPr="002B37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20</w:t>
            </w:r>
            <w:r w:rsidR="006B6141">
              <w:rPr>
                <w:rFonts w:ascii="Arial" w:eastAsia="Arial" w:hAnsi="Arial"/>
                <w:b/>
                <w:color w:val="000000"/>
                <w:sz w:val="20"/>
                <w:szCs w:val="20"/>
                <w:lang w:val="es-ES" w:eastAsia="es-MX"/>
              </w:rPr>
              <w:t>3</w:t>
            </w:r>
            <w:r w:rsidRPr="002B3741">
              <w:rPr>
                <w:rFonts w:ascii="Arial" w:eastAsia="Arial" w:hAnsi="Arial"/>
                <w:b/>
                <w:color w:val="000000"/>
                <w:sz w:val="20"/>
                <w:szCs w:val="20"/>
                <w:lang w:val="es-ES" w:eastAsia="es-MX"/>
              </w:rPr>
              <w:t>.00</w:t>
            </w:r>
          </w:p>
        </w:tc>
      </w:tr>
      <w:tr w:rsidR="002B3741" w:rsidRPr="002B3741" w14:paraId="0BA54841" w14:textId="77777777" w:rsidTr="00866779">
        <w:tc>
          <w:tcPr>
            <w:tcW w:w="3809" w:type="pct"/>
          </w:tcPr>
          <w:p w14:paraId="1DB2D8BB"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Impuesto sobre Adquisición de Inmuebles</w:t>
            </w:r>
          </w:p>
        </w:tc>
        <w:tc>
          <w:tcPr>
            <w:tcW w:w="1191" w:type="pct"/>
          </w:tcPr>
          <w:p w14:paraId="71314EB4" w14:textId="56B7890E" w:rsidR="002B3741" w:rsidRPr="002B3741" w:rsidRDefault="002B3741" w:rsidP="000C669A">
            <w:pPr>
              <w:widowControl w:val="0"/>
              <w:pBdr>
                <w:top w:val="nil"/>
                <w:left w:val="nil"/>
                <w:bottom w:val="nil"/>
                <w:right w:val="nil"/>
                <w:between w:val="nil"/>
              </w:pBdr>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3</w:t>
            </w:r>
            <w:r w:rsidR="0048642F">
              <w:rPr>
                <w:rFonts w:ascii="Arial" w:eastAsia="Arial" w:hAnsi="Arial"/>
                <w:color w:val="000000"/>
                <w:sz w:val="20"/>
                <w:szCs w:val="20"/>
                <w:lang w:val="es-ES" w:eastAsia="es-MX"/>
              </w:rPr>
              <w:t>49</w:t>
            </w:r>
            <w:r w:rsidRPr="002B3741">
              <w:rPr>
                <w:rFonts w:ascii="Arial" w:eastAsia="Arial" w:hAnsi="Arial"/>
                <w:color w:val="000000"/>
                <w:sz w:val="20"/>
                <w:szCs w:val="20"/>
                <w:lang w:val="es-ES" w:eastAsia="es-MX"/>
              </w:rPr>
              <w:t>,</w:t>
            </w:r>
            <w:r w:rsidR="0048642F">
              <w:rPr>
                <w:rFonts w:ascii="Arial" w:eastAsia="Arial" w:hAnsi="Arial"/>
                <w:color w:val="000000"/>
                <w:sz w:val="20"/>
                <w:szCs w:val="20"/>
                <w:lang w:val="es-ES" w:eastAsia="es-MX"/>
              </w:rPr>
              <w:t>20</w:t>
            </w:r>
            <w:r w:rsidR="006B6141">
              <w:rPr>
                <w:rFonts w:ascii="Arial" w:eastAsia="Arial" w:hAnsi="Arial"/>
                <w:color w:val="000000"/>
                <w:sz w:val="20"/>
                <w:szCs w:val="20"/>
                <w:lang w:val="es-ES" w:eastAsia="es-MX"/>
              </w:rPr>
              <w:t>3</w:t>
            </w:r>
            <w:r w:rsidRPr="002B3741">
              <w:rPr>
                <w:rFonts w:ascii="Arial" w:eastAsia="Arial" w:hAnsi="Arial"/>
                <w:color w:val="000000"/>
                <w:sz w:val="20"/>
                <w:szCs w:val="20"/>
                <w:lang w:val="es-ES" w:eastAsia="es-MX"/>
              </w:rPr>
              <w:t>.00</w:t>
            </w:r>
          </w:p>
        </w:tc>
      </w:tr>
      <w:tr w:rsidR="002B3741" w:rsidRPr="002B3741" w14:paraId="1BEE3F97" w14:textId="77777777" w:rsidTr="00866779">
        <w:tc>
          <w:tcPr>
            <w:tcW w:w="3809" w:type="pct"/>
          </w:tcPr>
          <w:p w14:paraId="5ED198A3"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Accesorios de Impuestos</w:t>
            </w:r>
          </w:p>
        </w:tc>
        <w:tc>
          <w:tcPr>
            <w:tcW w:w="1191" w:type="pct"/>
          </w:tcPr>
          <w:p w14:paraId="29D999CE" w14:textId="77777777" w:rsidR="002B3741" w:rsidRPr="002B3741" w:rsidRDefault="002B3741" w:rsidP="000C669A">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2B3741" w:rsidRPr="002B3741" w14:paraId="441001DC" w14:textId="77777777" w:rsidTr="00866779">
        <w:tc>
          <w:tcPr>
            <w:tcW w:w="3809" w:type="pct"/>
          </w:tcPr>
          <w:p w14:paraId="1E0A4FD6"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Actualizaciones y Recargos de Impuestos</w:t>
            </w:r>
          </w:p>
        </w:tc>
        <w:tc>
          <w:tcPr>
            <w:tcW w:w="1191" w:type="pct"/>
          </w:tcPr>
          <w:p w14:paraId="0CA57F44" w14:textId="77777777" w:rsidR="002B3741" w:rsidRPr="002B3741" w:rsidRDefault="002B3741" w:rsidP="000C669A">
            <w:pPr>
              <w:widowControl w:val="0"/>
              <w:pBdr>
                <w:top w:val="nil"/>
                <w:left w:val="nil"/>
                <w:bottom w:val="nil"/>
                <w:right w:val="nil"/>
                <w:between w:val="nil"/>
              </w:pBdr>
              <w:tabs>
                <w:tab w:val="left" w:pos="722"/>
              </w:tabs>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58D9111A" w14:textId="77777777" w:rsidTr="00866779">
        <w:tc>
          <w:tcPr>
            <w:tcW w:w="3809" w:type="pct"/>
          </w:tcPr>
          <w:p w14:paraId="35242A91"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Multas de Impuestos</w:t>
            </w:r>
          </w:p>
        </w:tc>
        <w:tc>
          <w:tcPr>
            <w:tcW w:w="1191" w:type="pct"/>
          </w:tcPr>
          <w:p w14:paraId="4781C7C1" w14:textId="77777777" w:rsidR="002B3741" w:rsidRPr="002B3741" w:rsidRDefault="002B3741" w:rsidP="000C669A">
            <w:pPr>
              <w:widowControl w:val="0"/>
              <w:pBdr>
                <w:top w:val="nil"/>
                <w:left w:val="nil"/>
                <w:bottom w:val="nil"/>
                <w:right w:val="nil"/>
                <w:between w:val="nil"/>
              </w:pBdr>
              <w:tabs>
                <w:tab w:val="left" w:pos="722"/>
              </w:tabs>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175DD0C6" w14:textId="77777777" w:rsidTr="00866779">
        <w:tc>
          <w:tcPr>
            <w:tcW w:w="3809" w:type="pct"/>
          </w:tcPr>
          <w:p w14:paraId="1A71F20E"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Gastos de Ejecución de Impuestos</w:t>
            </w:r>
          </w:p>
        </w:tc>
        <w:tc>
          <w:tcPr>
            <w:tcW w:w="1191" w:type="pct"/>
          </w:tcPr>
          <w:p w14:paraId="205FD43C" w14:textId="77777777" w:rsidR="002B3741" w:rsidRPr="002B3741" w:rsidRDefault="002B3741" w:rsidP="000C669A">
            <w:pPr>
              <w:widowControl w:val="0"/>
              <w:pBdr>
                <w:top w:val="nil"/>
                <w:left w:val="nil"/>
                <w:bottom w:val="nil"/>
                <w:right w:val="nil"/>
                <w:between w:val="nil"/>
              </w:pBdr>
              <w:tabs>
                <w:tab w:val="left" w:pos="722"/>
              </w:tabs>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6BB97061" w14:textId="77777777" w:rsidTr="00866779">
        <w:tc>
          <w:tcPr>
            <w:tcW w:w="3809" w:type="pct"/>
          </w:tcPr>
          <w:p w14:paraId="051F00A5"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Otros Impuestos</w:t>
            </w:r>
          </w:p>
        </w:tc>
        <w:tc>
          <w:tcPr>
            <w:tcW w:w="1191" w:type="pct"/>
          </w:tcPr>
          <w:p w14:paraId="11685CB6" w14:textId="77777777" w:rsidR="002B3741" w:rsidRPr="002B3741" w:rsidRDefault="002B3741" w:rsidP="000C669A">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2B3741" w:rsidRPr="002B3741" w14:paraId="009660B6" w14:textId="77777777" w:rsidTr="00866779">
        <w:tc>
          <w:tcPr>
            <w:tcW w:w="3809" w:type="pct"/>
          </w:tcPr>
          <w:p w14:paraId="44193745" w14:textId="77777777" w:rsidR="002B3741" w:rsidRPr="002B3741" w:rsidRDefault="002B3741" w:rsidP="000C669A">
            <w:pPr>
              <w:widowControl w:val="0"/>
              <w:pBdr>
                <w:top w:val="nil"/>
                <w:left w:val="nil"/>
                <w:bottom w:val="nil"/>
                <w:right w:val="nil"/>
                <w:between w:val="nil"/>
              </w:pBdr>
              <w:spacing w:after="0" w:line="240" w:lineRule="auto"/>
              <w:ind w:right="176"/>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 no Comprendidos en la Ley de Ingresos Vigente, Causados en Ejercicios Fiscales Anteriores Pendientes de Liquidación o Pago</w:t>
            </w:r>
          </w:p>
        </w:tc>
        <w:tc>
          <w:tcPr>
            <w:tcW w:w="1191" w:type="pct"/>
          </w:tcPr>
          <w:p w14:paraId="166A19A0" w14:textId="77777777" w:rsidR="002B3741" w:rsidRPr="002B3741" w:rsidRDefault="002B3741" w:rsidP="000C669A">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p>
          <w:p w14:paraId="7F65D481" w14:textId="77777777" w:rsidR="002B3741" w:rsidRPr="002B3741" w:rsidRDefault="002B3741" w:rsidP="000C669A">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bl>
    <w:p w14:paraId="2408E5BC"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046218F2"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6.- </w:t>
      </w:r>
      <w:r w:rsidRPr="002B3741">
        <w:rPr>
          <w:rFonts w:ascii="Arial" w:eastAsia="Arial" w:hAnsi="Arial"/>
          <w:color w:val="000000"/>
          <w:sz w:val="20"/>
          <w:szCs w:val="20"/>
          <w:lang w:val="es-ES" w:eastAsia="es-MX"/>
        </w:rPr>
        <w:t>Las contribuciones de mejoras que la Hacienda Pública Municipal tiene derecho de percibir, serán las siguientes:</w:t>
      </w:r>
    </w:p>
    <w:p w14:paraId="4263AB02" w14:textId="77777777" w:rsidR="002B3741" w:rsidRPr="002B3741" w:rsidRDefault="002B3741" w:rsidP="002B3741">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4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126"/>
      </w:tblGrid>
      <w:tr w:rsidR="002B3741" w:rsidRPr="002B3741" w14:paraId="41A004C2" w14:textId="77777777" w:rsidTr="002B3741">
        <w:trPr>
          <w:trHeight w:val="20"/>
        </w:trPr>
        <w:tc>
          <w:tcPr>
            <w:tcW w:w="3809" w:type="pct"/>
            <w:shd w:val="clear" w:color="auto" w:fill="D9D9D9"/>
          </w:tcPr>
          <w:p w14:paraId="04A43892"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Contribuciones de Mejoras</w:t>
            </w:r>
          </w:p>
        </w:tc>
        <w:tc>
          <w:tcPr>
            <w:tcW w:w="1191" w:type="pct"/>
            <w:shd w:val="clear" w:color="auto" w:fill="D9D9D9"/>
          </w:tcPr>
          <w:p w14:paraId="2B1AE3C0" w14:textId="76CD82F8" w:rsidR="002B3741" w:rsidRPr="002B3741" w:rsidRDefault="002B3741" w:rsidP="00866779">
            <w:pPr>
              <w:widowControl w:val="0"/>
              <w:pBdr>
                <w:top w:val="nil"/>
                <w:left w:val="nil"/>
                <w:bottom w:val="nil"/>
                <w:right w:val="nil"/>
                <w:between w:val="nil"/>
              </w:pBdr>
              <w:spacing w:after="0" w:line="360" w:lineRule="auto"/>
              <w:ind w:left="20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sidR="006B6141">
              <w:rPr>
                <w:rFonts w:ascii="Arial" w:eastAsia="Arial" w:hAnsi="Arial"/>
                <w:b/>
                <w:color w:val="000000"/>
                <w:sz w:val="20"/>
                <w:szCs w:val="20"/>
                <w:lang w:val="es-ES" w:eastAsia="es-MX"/>
              </w:rPr>
              <w:t>2</w:t>
            </w:r>
            <w:r w:rsidR="0048642F">
              <w:rPr>
                <w:rFonts w:ascii="Arial" w:eastAsia="Arial" w:hAnsi="Arial"/>
                <w:b/>
                <w:color w:val="000000"/>
                <w:sz w:val="20"/>
                <w:szCs w:val="20"/>
                <w:lang w:val="es-ES" w:eastAsia="es-MX"/>
              </w:rPr>
              <w:t>5</w:t>
            </w:r>
            <w:r w:rsidR="006B61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2</w:t>
            </w:r>
            <w:r w:rsidR="006B6141">
              <w:rPr>
                <w:rFonts w:ascii="Arial" w:eastAsia="Arial" w:hAnsi="Arial"/>
                <w:b/>
                <w:color w:val="000000"/>
                <w:sz w:val="20"/>
                <w:szCs w:val="20"/>
                <w:lang w:val="es-ES" w:eastAsia="es-MX"/>
              </w:rPr>
              <w:t>14</w:t>
            </w:r>
            <w:r w:rsidRPr="002B3741">
              <w:rPr>
                <w:rFonts w:ascii="Arial" w:eastAsia="Arial" w:hAnsi="Arial"/>
                <w:b/>
                <w:color w:val="000000"/>
                <w:sz w:val="20"/>
                <w:szCs w:val="20"/>
                <w:lang w:val="es-ES" w:eastAsia="es-MX"/>
              </w:rPr>
              <w:t>.00</w:t>
            </w:r>
          </w:p>
        </w:tc>
      </w:tr>
      <w:tr w:rsidR="002B3741" w:rsidRPr="002B3741" w14:paraId="5176144A" w14:textId="77777777" w:rsidTr="002B3741">
        <w:trPr>
          <w:trHeight w:val="20"/>
        </w:trPr>
        <w:tc>
          <w:tcPr>
            <w:tcW w:w="3809" w:type="pct"/>
          </w:tcPr>
          <w:p w14:paraId="32E34F4F"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Contribución de Mejoras por Obras Públicas</w:t>
            </w:r>
          </w:p>
        </w:tc>
        <w:tc>
          <w:tcPr>
            <w:tcW w:w="1191" w:type="pct"/>
          </w:tcPr>
          <w:p w14:paraId="55665274" w14:textId="08070B8B" w:rsidR="002B3741" w:rsidRPr="002B3741" w:rsidRDefault="002B3741" w:rsidP="00866779">
            <w:pPr>
              <w:widowControl w:val="0"/>
              <w:pBdr>
                <w:top w:val="nil"/>
                <w:left w:val="nil"/>
                <w:bottom w:val="nil"/>
                <w:right w:val="nil"/>
                <w:between w:val="nil"/>
              </w:pBdr>
              <w:spacing w:after="0" w:line="360" w:lineRule="auto"/>
              <w:ind w:left="20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sidR="006B6141">
              <w:rPr>
                <w:rFonts w:ascii="Arial" w:eastAsia="Arial" w:hAnsi="Arial"/>
                <w:b/>
                <w:color w:val="000000"/>
                <w:sz w:val="20"/>
                <w:szCs w:val="20"/>
                <w:lang w:val="es-ES" w:eastAsia="es-MX"/>
              </w:rPr>
              <w:t>2</w:t>
            </w:r>
            <w:r w:rsidR="0048642F">
              <w:rPr>
                <w:rFonts w:ascii="Arial" w:eastAsia="Arial" w:hAnsi="Arial"/>
                <w:b/>
                <w:color w:val="000000"/>
                <w:sz w:val="20"/>
                <w:szCs w:val="20"/>
                <w:lang w:val="es-ES" w:eastAsia="es-MX"/>
              </w:rPr>
              <w:t>5</w:t>
            </w:r>
            <w:r w:rsidR="006B61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2</w:t>
            </w:r>
            <w:r w:rsidR="006B6141">
              <w:rPr>
                <w:rFonts w:ascii="Arial" w:eastAsia="Arial" w:hAnsi="Arial"/>
                <w:b/>
                <w:color w:val="000000"/>
                <w:sz w:val="20"/>
                <w:szCs w:val="20"/>
                <w:lang w:val="es-ES" w:eastAsia="es-MX"/>
              </w:rPr>
              <w:t>14</w:t>
            </w:r>
            <w:r w:rsidRPr="002B3741">
              <w:rPr>
                <w:rFonts w:ascii="Arial" w:eastAsia="Arial" w:hAnsi="Arial"/>
                <w:b/>
                <w:color w:val="000000"/>
                <w:sz w:val="20"/>
                <w:szCs w:val="20"/>
                <w:lang w:val="es-ES" w:eastAsia="es-MX"/>
              </w:rPr>
              <w:t>.00</w:t>
            </w:r>
          </w:p>
        </w:tc>
      </w:tr>
      <w:tr w:rsidR="002B3741" w:rsidRPr="002B3741" w14:paraId="49F8483B" w14:textId="77777777" w:rsidTr="002B3741">
        <w:trPr>
          <w:trHeight w:val="20"/>
        </w:trPr>
        <w:tc>
          <w:tcPr>
            <w:tcW w:w="3809" w:type="pct"/>
          </w:tcPr>
          <w:p w14:paraId="39F54728"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Contribuciones de mejoras por obras públicas</w:t>
            </w:r>
          </w:p>
        </w:tc>
        <w:tc>
          <w:tcPr>
            <w:tcW w:w="1191" w:type="pct"/>
          </w:tcPr>
          <w:p w14:paraId="11B78F11" w14:textId="5EBE439B" w:rsidR="002B3741" w:rsidRPr="002B3741" w:rsidRDefault="002B3741" w:rsidP="00866779">
            <w:pPr>
              <w:widowControl w:val="0"/>
              <w:pBdr>
                <w:top w:val="nil"/>
                <w:left w:val="nil"/>
                <w:bottom w:val="nil"/>
                <w:right w:val="nil"/>
                <w:between w:val="nil"/>
              </w:pBdr>
              <w:spacing w:after="0" w:line="360" w:lineRule="auto"/>
              <w:ind w:left="20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12,</w:t>
            </w:r>
            <w:r w:rsidR="0048642F">
              <w:rPr>
                <w:rFonts w:ascii="Arial" w:eastAsia="Arial" w:hAnsi="Arial"/>
                <w:color w:val="000000"/>
                <w:sz w:val="20"/>
                <w:szCs w:val="20"/>
                <w:lang w:val="es-ES" w:eastAsia="es-MX"/>
              </w:rPr>
              <w:t>60</w:t>
            </w:r>
            <w:r w:rsidR="006B6141">
              <w:rPr>
                <w:rFonts w:ascii="Arial" w:eastAsia="Arial" w:hAnsi="Arial"/>
                <w:color w:val="000000"/>
                <w:sz w:val="20"/>
                <w:szCs w:val="20"/>
                <w:lang w:val="es-ES" w:eastAsia="es-MX"/>
              </w:rPr>
              <w:t>7</w:t>
            </w:r>
            <w:r w:rsidRPr="002B3741">
              <w:rPr>
                <w:rFonts w:ascii="Arial" w:eastAsia="Arial" w:hAnsi="Arial"/>
                <w:color w:val="000000"/>
                <w:sz w:val="20"/>
                <w:szCs w:val="20"/>
                <w:lang w:val="es-ES" w:eastAsia="es-MX"/>
              </w:rPr>
              <w:t>.00</w:t>
            </w:r>
          </w:p>
        </w:tc>
      </w:tr>
      <w:tr w:rsidR="002B3741" w:rsidRPr="002B3741" w14:paraId="7917EB41" w14:textId="77777777" w:rsidTr="002B3741">
        <w:trPr>
          <w:trHeight w:val="20"/>
        </w:trPr>
        <w:tc>
          <w:tcPr>
            <w:tcW w:w="3809" w:type="pct"/>
          </w:tcPr>
          <w:p w14:paraId="54F7DD18"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Contribuciones de mejoras por servicios públicos</w:t>
            </w:r>
          </w:p>
        </w:tc>
        <w:tc>
          <w:tcPr>
            <w:tcW w:w="1191" w:type="pct"/>
          </w:tcPr>
          <w:p w14:paraId="43E9BD82" w14:textId="562A44FB" w:rsidR="002B3741" w:rsidRPr="002B3741" w:rsidRDefault="002B3741" w:rsidP="00866779">
            <w:pPr>
              <w:widowControl w:val="0"/>
              <w:pBdr>
                <w:top w:val="nil"/>
                <w:left w:val="nil"/>
                <w:bottom w:val="nil"/>
                <w:right w:val="nil"/>
                <w:between w:val="nil"/>
              </w:pBdr>
              <w:spacing w:after="0" w:line="360" w:lineRule="auto"/>
              <w:ind w:left="20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12,</w:t>
            </w:r>
            <w:r w:rsidR="0048642F">
              <w:rPr>
                <w:rFonts w:ascii="Arial" w:eastAsia="Arial" w:hAnsi="Arial"/>
                <w:color w:val="000000"/>
                <w:sz w:val="20"/>
                <w:szCs w:val="20"/>
                <w:lang w:val="es-ES" w:eastAsia="es-MX"/>
              </w:rPr>
              <w:t>60</w:t>
            </w:r>
            <w:r w:rsidR="006B6141">
              <w:rPr>
                <w:rFonts w:ascii="Arial" w:eastAsia="Arial" w:hAnsi="Arial"/>
                <w:color w:val="000000"/>
                <w:sz w:val="20"/>
                <w:szCs w:val="20"/>
                <w:lang w:val="es-ES" w:eastAsia="es-MX"/>
              </w:rPr>
              <w:t>7</w:t>
            </w:r>
            <w:r w:rsidRPr="002B3741">
              <w:rPr>
                <w:rFonts w:ascii="Arial" w:eastAsia="Arial" w:hAnsi="Arial"/>
                <w:color w:val="000000"/>
                <w:sz w:val="20"/>
                <w:szCs w:val="20"/>
                <w:lang w:val="es-ES" w:eastAsia="es-MX"/>
              </w:rPr>
              <w:t>.00</w:t>
            </w:r>
          </w:p>
        </w:tc>
      </w:tr>
      <w:tr w:rsidR="002B3741" w:rsidRPr="002B3741" w14:paraId="7556D1D9" w14:textId="77777777" w:rsidTr="002B3741">
        <w:trPr>
          <w:trHeight w:val="20"/>
        </w:trPr>
        <w:tc>
          <w:tcPr>
            <w:tcW w:w="3809" w:type="pct"/>
          </w:tcPr>
          <w:p w14:paraId="25A9244F" w14:textId="77777777" w:rsidR="002B3741" w:rsidRPr="002B3741" w:rsidRDefault="002B3741" w:rsidP="000C669A">
            <w:pPr>
              <w:widowControl w:val="0"/>
              <w:pBdr>
                <w:top w:val="nil"/>
                <w:left w:val="nil"/>
                <w:bottom w:val="nil"/>
                <w:right w:val="nil"/>
                <w:between w:val="nil"/>
              </w:pBdr>
              <w:spacing w:after="0" w:line="240" w:lineRule="auto"/>
              <w:ind w:right="227"/>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Contribuciones de Mejoras no Comprendidas en la Ley de Ingresos Vigente, Causadas en Ejercicios Fiscales Anteriores Pendientes de Liquidación o Pago</w:t>
            </w:r>
          </w:p>
        </w:tc>
        <w:tc>
          <w:tcPr>
            <w:tcW w:w="1191" w:type="pct"/>
          </w:tcPr>
          <w:p w14:paraId="64E2C2BD" w14:textId="77777777" w:rsidR="002B3741" w:rsidRPr="002B3741" w:rsidRDefault="002B3741" w:rsidP="00866779">
            <w:pPr>
              <w:widowControl w:val="0"/>
              <w:pBdr>
                <w:top w:val="nil"/>
                <w:left w:val="nil"/>
                <w:bottom w:val="nil"/>
                <w:right w:val="nil"/>
                <w:between w:val="nil"/>
              </w:pBdr>
              <w:tabs>
                <w:tab w:val="left" w:pos="610"/>
              </w:tabs>
              <w:spacing w:after="0" w:line="360" w:lineRule="auto"/>
              <w:ind w:left="202" w:right="141"/>
              <w:jc w:val="both"/>
              <w:rPr>
                <w:rFonts w:ascii="Arial" w:eastAsia="Arial" w:hAnsi="Arial"/>
                <w:b/>
                <w:color w:val="000000"/>
                <w:sz w:val="20"/>
                <w:szCs w:val="20"/>
                <w:lang w:val="es-ES" w:eastAsia="es-MX"/>
              </w:rPr>
            </w:pPr>
          </w:p>
          <w:p w14:paraId="6A55B6E8" w14:textId="77777777" w:rsidR="002B3741" w:rsidRPr="002B3741" w:rsidRDefault="002B3741" w:rsidP="00866779">
            <w:pPr>
              <w:widowControl w:val="0"/>
              <w:pBdr>
                <w:top w:val="nil"/>
                <w:left w:val="nil"/>
                <w:bottom w:val="nil"/>
                <w:right w:val="nil"/>
                <w:between w:val="nil"/>
              </w:pBdr>
              <w:tabs>
                <w:tab w:val="left" w:pos="610"/>
              </w:tabs>
              <w:spacing w:after="0" w:line="360" w:lineRule="auto"/>
              <w:ind w:left="20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color w:val="000000"/>
                <w:sz w:val="20"/>
                <w:szCs w:val="20"/>
                <w:lang w:val="es-ES" w:eastAsia="es-MX"/>
              </w:rPr>
              <w:t xml:space="preserve">                       </w:t>
            </w:r>
            <w:r w:rsidRPr="002B3741">
              <w:rPr>
                <w:rFonts w:ascii="Arial" w:eastAsia="Arial" w:hAnsi="Arial"/>
                <w:b/>
                <w:color w:val="000000"/>
                <w:sz w:val="20"/>
                <w:szCs w:val="20"/>
                <w:lang w:val="es-ES" w:eastAsia="es-MX"/>
              </w:rPr>
              <w:t>0.00</w:t>
            </w:r>
          </w:p>
        </w:tc>
      </w:tr>
    </w:tbl>
    <w:p w14:paraId="1EBD5D6E"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61B61881"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7.- </w:t>
      </w:r>
      <w:r w:rsidRPr="002B3741">
        <w:rPr>
          <w:rFonts w:ascii="Arial" w:eastAsia="Arial" w:hAnsi="Arial"/>
          <w:color w:val="000000"/>
          <w:sz w:val="20"/>
          <w:szCs w:val="20"/>
          <w:lang w:val="es-ES" w:eastAsia="es-MX"/>
        </w:rPr>
        <w:t xml:space="preserve">Los Derechos que 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percibirá, se causarán por los siguientes conceptos:</w:t>
      </w:r>
    </w:p>
    <w:p w14:paraId="21D6FB03" w14:textId="77777777" w:rsidR="002B3741" w:rsidRPr="002B3741" w:rsidRDefault="002B3741" w:rsidP="002B3741">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59"/>
        <w:gridCol w:w="2408"/>
      </w:tblGrid>
      <w:tr w:rsidR="002B3741" w:rsidRPr="002B3741" w14:paraId="77C14410" w14:textId="77777777" w:rsidTr="002B3741">
        <w:trPr>
          <w:trHeight w:val="20"/>
        </w:trPr>
        <w:tc>
          <w:tcPr>
            <w:tcW w:w="3672" w:type="pct"/>
            <w:shd w:val="clear" w:color="auto" w:fill="D9D9D9"/>
          </w:tcPr>
          <w:p w14:paraId="4F685604" w14:textId="77777777" w:rsidR="002B3741" w:rsidRPr="002B3741" w:rsidRDefault="002B3741" w:rsidP="00866779">
            <w:pPr>
              <w:widowControl w:val="0"/>
              <w:pBdr>
                <w:top w:val="nil"/>
                <w:left w:val="nil"/>
                <w:bottom w:val="nil"/>
                <w:right w:val="nil"/>
                <w:between w:val="nil"/>
              </w:pBdr>
              <w:spacing w:after="0" w:line="360" w:lineRule="auto"/>
              <w:ind w:left="137"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Derechos</w:t>
            </w:r>
          </w:p>
        </w:tc>
        <w:tc>
          <w:tcPr>
            <w:tcW w:w="1328" w:type="pct"/>
            <w:shd w:val="clear" w:color="auto" w:fill="D9D9D9"/>
            <w:vAlign w:val="center"/>
          </w:tcPr>
          <w:p w14:paraId="70B8AC92" w14:textId="574347F7" w:rsidR="002B3741" w:rsidRPr="002B3741" w:rsidRDefault="002B3741" w:rsidP="000C669A">
            <w:pPr>
              <w:widowControl w:val="0"/>
              <w:pBdr>
                <w:top w:val="nil"/>
                <w:left w:val="nil"/>
                <w:bottom w:val="nil"/>
                <w:right w:val="nil"/>
                <w:between w:val="nil"/>
              </w:pBdr>
              <w:tabs>
                <w:tab w:val="left" w:pos="500"/>
              </w:tabs>
              <w:spacing w:after="0" w:line="240" w:lineRule="auto"/>
              <w:ind w:left="142" w:right="142"/>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sidR="006B6141">
              <w:rPr>
                <w:rFonts w:ascii="Arial" w:eastAsia="Arial" w:hAnsi="Arial"/>
                <w:b/>
                <w:color w:val="000000"/>
                <w:sz w:val="20"/>
                <w:szCs w:val="20"/>
                <w:lang w:val="es-ES" w:eastAsia="es-MX"/>
              </w:rPr>
              <w:t>5</w:t>
            </w:r>
            <w:r w:rsidR="0048642F">
              <w:rPr>
                <w:rFonts w:ascii="Arial" w:eastAsia="Arial" w:hAnsi="Arial"/>
                <w:b/>
                <w:color w:val="000000"/>
                <w:sz w:val="20"/>
                <w:szCs w:val="20"/>
                <w:lang w:val="es-ES" w:eastAsia="es-MX"/>
              </w:rPr>
              <w:t>77</w:t>
            </w:r>
            <w:r w:rsidR="006B61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191</w:t>
            </w:r>
            <w:r w:rsidRPr="002B3741">
              <w:rPr>
                <w:rFonts w:ascii="Arial" w:eastAsia="Arial" w:hAnsi="Arial"/>
                <w:b/>
                <w:color w:val="000000"/>
                <w:sz w:val="20"/>
                <w:szCs w:val="20"/>
                <w:lang w:val="es-ES" w:eastAsia="es-MX"/>
              </w:rPr>
              <w:t>.00</w:t>
            </w:r>
          </w:p>
        </w:tc>
      </w:tr>
      <w:tr w:rsidR="002B3741" w:rsidRPr="002B3741" w14:paraId="1A068372" w14:textId="77777777" w:rsidTr="002B3741">
        <w:trPr>
          <w:trHeight w:val="20"/>
        </w:trPr>
        <w:tc>
          <w:tcPr>
            <w:tcW w:w="3672" w:type="pct"/>
          </w:tcPr>
          <w:p w14:paraId="4C5D10B9"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Derechos por el Uso, Goce, Aprovechamiento o Explotación de Bienes de Dominio Público</w:t>
            </w:r>
          </w:p>
        </w:tc>
        <w:tc>
          <w:tcPr>
            <w:tcW w:w="1328" w:type="pct"/>
            <w:vAlign w:val="center"/>
          </w:tcPr>
          <w:p w14:paraId="29576D3D" w14:textId="3AAF213C" w:rsidR="002B3741" w:rsidRPr="002B3741" w:rsidRDefault="002B3741" w:rsidP="000C669A">
            <w:pPr>
              <w:widowControl w:val="0"/>
              <w:pBdr>
                <w:top w:val="nil"/>
                <w:left w:val="nil"/>
                <w:bottom w:val="nil"/>
                <w:right w:val="nil"/>
                <w:between w:val="nil"/>
              </w:pBdr>
              <w:tabs>
                <w:tab w:val="left" w:pos="499"/>
              </w:tabs>
              <w:spacing w:after="0" w:line="240" w:lineRule="auto"/>
              <w:ind w:left="142" w:right="142"/>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sidR="006B6141">
              <w:rPr>
                <w:rFonts w:ascii="Arial" w:eastAsia="Arial" w:hAnsi="Arial"/>
                <w:b/>
                <w:color w:val="000000"/>
                <w:sz w:val="20"/>
                <w:szCs w:val="20"/>
                <w:lang w:val="es-ES" w:eastAsia="es-MX"/>
              </w:rPr>
              <w:t>6</w:t>
            </w:r>
            <w:r w:rsidR="0048642F">
              <w:rPr>
                <w:rFonts w:ascii="Arial" w:eastAsia="Arial" w:hAnsi="Arial"/>
                <w:b/>
                <w:color w:val="000000"/>
                <w:sz w:val="20"/>
                <w:szCs w:val="20"/>
                <w:lang w:val="es-ES" w:eastAsia="es-MX"/>
              </w:rPr>
              <w:t>4</w:t>
            </w:r>
            <w:r w:rsidR="006B61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201</w:t>
            </w:r>
            <w:r w:rsidRPr="002B3741">
              <w:rPr>
                <w:rFonts w:ascii="Arial" w:eastAsia="Arial" w:hAnsi="Arial"/>
                <w:b/>
                <w:color w:val="000000"/>
                <w:sz w:val="20"/>
                <w:szCs w:val="20"/>
                <w:lang w:val="es-ES" w:eastAsia="es-MX"/>
              </w:rPr>
              <w:t>.00</w:t>
            </w:r>
          </w:p>
        </w:tc>
      </w:tr>
      <w:tr w:rsidR="002B3741" w:rsidRPr="002B3741" w14:paraId="167869AE" w14:textId="77777777" w:rsidTr="002B3741">
        <w:trPr>
          <w:trHeight w:val="20"/>
        </w:trPr>
        <w:tc>
          <w:tcPr>
            <w:tcW w:w="3672" w:type="pct"/>
          </w:tcPr>
          <w:p w14:paraId="06ED6E6E"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&gt; Por el uso de locales o pisos de mercados, espacios en la vía o </w:t>
            </w:r>
            <w:r w:rsidRPr="002B3741">
              <w:rPr>
                <w:rFonts w:ascii="Arial" w:eastAsia="Arial" w:hAnsi="Arial"/>
                <w:color w:val="000000"/>
                <w:sz w:val="20"/>
                <w:szCs w:val="20"/>
                <w:lang w:val="es-ES" w:eastAsia="es-MX"/>
              </w:rPr>
              <w:lastRenderedPageBreak/>
              <w:t>parques públicos</w:t>
            </w:r>
          </w:p>
        </w:tc>
        <w:tc>
          <w:tcPr>
            <w:tcW w:w="1328" w:type="pct"/>
            <w:vAlign w:val="center"/>
          </w:tcPr>
          <w:p w14:paraId="5DB22669" w14:textId="56BC8815" w:rsidR="002B3741" w:rsidRPr="002B3741" w:rsidRDefault="002B3741" w:rsidP="000C669A">
            <w:pPr>
              <w:widowControl w:val="0"/>
              <w:pBdr>
                <w:top w:val="nil"/>
                <w:left w:val="nil"/>
                <w:bottom w:val="nil"/>
                <w:right w:val="nil"/>
                <w:between w:val="nil"/>
              </w:pBdr>
              <w:tabs>
                <w:tab w:val="left" w:pos="555"/>
              </w:tabs>
              <w:spacing w:after="0" w:line="240" w:lineRule="auto"/>
              <w:ind w:left="142" w:right="142"/>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lastRenderedPageBreak/>
              <w:t xml:space="preserve">$              </w:t>
            </w:r>
            <w:r w:rsidR="006B6141">
              <w:rPr>
                <w:rFonts w:ascii="Arial" w:eastAsia="Arial" w:hAnsi="Arial"/>
                <w:color w:val="000000"/>
                <w:sz w:val="20"/>
                <w:szCs w:val="20"/>
                <w:lang w:val="es-ES" w:eastAsia="es-MX"/>
              </w:rPr>
              <w:t>6</w:t>
            </w:r>
            <w:r w:rsidR="0048642F">
              <w:rPr>
                <w:rFonts w:ascii="Arial" w:eastAsia="Arial" w:hAnsi="Arial"/>
                <w:color w:val="000000"/>
                <w:sz w:val="20"/>
                <w:szCs w:val="20"/>
                <w:lang w:val="es-ES" w:eastAsia="es-MX"/>
              </w:rPr>
              <w:t>4</w:t>
            </w:r>
            <w:r w:rsidR="006B6141">
              <w:rPr>
                <w:rFonts w:ascii="Arial" w:eastAsia="Arial" w:hAnsi="Arial"/>
                <w:color w:val="000000"/>
                <w:sz w:val="20"/>
                <w:szCs w:val="20"/>
                <w:lang w:val="es-ES" w:eastAsia="es-MX"/>
              </w:rPr>
              <w:t>,</w:t>
            </w:r>
            <w:r w:rsidR="0048642F">
              <w:rPr>
                <w:rFonts w:ascii="Arial" w:eastAsia="Arial" w:hAnsi="Arial"/>
                <w:color w:val="000000"/>
                <w:sz w:val="20"/>
                <w:szCs w:val="20"/>
                <w:lang w:val="es-ES" w:eastAsia="es-MX"/>
              </w:rPr>
              <w:t>201</w:t>
            </w:r>
            <w:r w:rsidRPr="002B3741">
              <w:rPr>
                <w:rFonts w:ascii="Arial" w:eastAsia="Arial" w:hAnsi="Arial"/>
                <w:color w:val="000000"/>
                <w:sz w:val="20"/>
                <w:szCs w:val="20"/>
                <w:lang w:val="es-ES" w:eastAsia="es-MX"/>
              </w:rPr>
              <w:t>.00</w:t>
            </w:r>
          </w:p>
        </w:tc>
      </w:tr>
      <w:tr w:rsidR="002B3741" w:rsidRPr="002B3741" w14:paraId="07FFDEF0" w14:textId="77777777" w:rsidTr="002B3741">
        <w:trPr>
          <w:trHeight w:val="20"/>
        </w:trPr>
        <w:tc>
          <w:tcPr>
            <w:tcW w:w="3672" w:type="pct"/>
          </w:tcPr>
          <w:p w14:paraId="247B0264"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Por enajenación, uso y explotación de los bienes de dominio público del patrimonio municipal</w:t>
            </w:r>
          </w:p>
        </w:tc>
        <w:tc>
          <w:tcPr>
            <w:tcW w:w="1328" w:type="pct"/>
            <w:vAlign w:val="center"/>
          </w:tcPr>
          <w:p w14:paraId="1E17896D" w14:textId="77777777" w:rsidR="002B3741" w:rsidRPr="002B3741" w:rsidRDefault="002B3741" w:rsidP="000C669A">
            <w:pPr>
              <w:widowControl w:val="0"/>
              <w:pBdr>
                <w:top w:val="nil"/>
                <w:left w:val="nil"/>
                <w:bottom w:val="nil"/>
                <w:right w:val="nil"/>
                <w:between w:val="nil"/>
              </w:pBdr>
              <w:tabs>
                <w:tab w:val="left" w:pos="1111"/>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7AE697BE" w14:textId="77777777" w:rsidTr="002B3741">
        <w:trPr>
          <w:trHeight w:val="20"/>
        </w:trPr>
        <w:tc>
          <w:tcPr>
            <w:tcW w:w="3672" w:type="pct"/>
          </w:tcPr>
          <w:p w14:paraId="7E184379"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Por el otorgamiento de concesiones para el uso y aprovechamiento de superficies en los mercados municipales</w:t>
            </w:r>
          </w:p>
        </w:tc>
        <w:tc>
          <w:tcPr>
            <w:tcW w:w="1328" w:type="pct"/>
            <w:vAlign w:val="center"/>
          </w:tcPr>
          <w:p w14:paraId="03E17232" w14:textId="77777777" w:rsidR="002B3741" w:rsidRPr="002B3741" w:rsidRDefault="002B3741" w:rsidP="000C669A">
            <w:pPr>
              <w:widowControl w:val="0"/>
              <w:pBdr>
                <w:top w:val="nil"/>
                <w:left w:val="nil"/>
                <w:bottom w:val="nil"/>
                <w:right w:val="nil"/>
                <w:between w:val="nil"/>
              </w:pBdr>
              <w:tabs>
                <w:tab w:val="left" w:pos="1111"/>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32F7DB14" w14:textId="77777777" w:rsidTr="002B3741">
        <w:trPr>
          <w:trHeight w:val="20"/>
        </w:trPr>
        <w:tc>
          <w:tcPr>
            <w:tcW w:w="3672" w:type="pct"/>
          </w:tcPr>
          <w:p w14:paraId="7B583AF9"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Por uso, goce y aprovechamiento de bienes de los Panteones Públicos</w:t>
            </w:r>
          </w:p>
        </w:tc>
        <w:tc>
          <w:tcPr>
            <w:tcW w:w="1328" w:type="pct"/>
            <w:vAlign w:val="center"/>
          </w:tcPr>
          <w:p w14:paraId="02DB527B" w14:textId="77777777" w:rsidR="002B3741" w:rsidRPr="002B3741" w:rsidRDefault="002B3741" w:rsidP="000C669A">
            <w:pPr>
              <w:widowControl w:val="0"/>
              <w:pBdr>
                <w:top w:val="nil"/>
                <w:left w:val="nil"/>
                <w:bottom w:val="nil"/>
                <w:right w:val="nil"/>
                <w:between w:val="nil"/>
              </w:pBdr>
              <w:tabs>
                <w:tab w:val="left" w:pos="1111"/>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2ACAEA78" w14:textId="77777777" w:rsidTr="002B3741">
        <w:trPr>
          <w:trHeight w:val="20"/>
        </w:trPr>
        <w:tc>
          <w:tcPr>
            <w:tcW w:w="3672" w:type="pct"/>
          </w:tcPr>
          <w:p w14:paraId="699C500E"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Por los permisos de oferentes en programas para la promoción económica, turística y cultural</w:t>
            </w:r>
          </w:p>
        </w:tc>
        <w:tc>
          <w:tcPr>
            <w:tcW w:w="1328" w:type="pct"/>
            <w:vAlign w:val="center"/>
          </w:tcPr>
          <w:p w14:paraId="2CB80600" w14:textId="77777777" w:rsidR="002B3741" w:rsidRPr="002B3741" w:rsidRDefault="002B3741" w:rsidP="000C669A">
            <w:pPr>
              <w:widowControl w:val="0"/>
              <w:pBdr>
                <w:top w:val="nil"/>
                <w:left w:val="nil"/>
                <w:bottom w:val="nil"/>
                <w:right w:val="nil"/>
                <w:between w:val="nil"/>
              </w:pBdr>
              <w:tabs>
                <w:tab w:val="left" w:pos="1111"/>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479E8B51" w14:textId="77777777" w:rsidTr="002B3741">
        <w:trPr>
          <w:trHeight w:val="20"/>
        </w:trPr>
        <w:tc>
          <w:tcPr>
            <w:tcW w:w="3672" w:type="pct"/>
          </w:tcPr>
          <w:p w14:paraId="4591C779"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Derechos por Prestación de Servicios</w:t>
            </w:r>
          </w:p>
        </w:tc>
        <w:tc>
          <w:tcPr>
            <w:tcW w:w="1328" w:type="pct"/>
            <w:vAlign w:val="center"/>
          </w:tcPr>
          <w:p w14:paraId="049E4A8C" w14:textId="4ED6773B" w:rsidR="002B3741" w:rsidRPr="002B3741" w:rsidRDefault="002B3741" w:rsidP="000C669A">
            <w:pPr>
              <w:widowControl w:val="0"/>
              <w:pBdr>
                <w:top w:val="nil"/>
                <w:left w:val="nil"/>
                <w:bottom w:val="nil"/>
                <w:right w:val="nil"/>
                <w:between w:val="nil"/>
              </w:pBdr>
              <w:tabs>
                <w:tab w:val="left" w:pos="445"/>
              </w:tabs>
              <w:spacing w:after="0" w:line="240" w:lineRule="auto"/>
              <w:ind w:left="142" w:right="142"/>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sidR="0048642F">
              <w:rPr>
                <w:rFonts w:ascii="Arial" w:eastAsia="Arial" w:hAnsi="Arial"/>
                <w:b/>
                <w:color w:val="000000"/>
                <w:sz w:val="20"/>
                <w:szCs w:val="20"/>
                <w:lang w:val="es-ES" w:eastAsia="es-MX"/>
              </w:rPr>
              <w:t>305</w:t>
            </w:r>
            <w:r w:rsidR="006B61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766</w:t>
            </w:r>
            <w:r w:rsidRPr="002B3741">
              <w:rPr>
                <w:rFonts w:ascii="Arial" w:eastAsia="Arial" w:hAnsi="Arial"/>
                <w:b/>
                <w:color w:val="000000"/>
                <w:sz w:val="20"/>
                <w:szCs w:val="20"/>
                <w:lang w:val="es-ES" w:eastAsia="es-MX"/>
              </w:rPr>
              <w:t>.00</w:t>
            </w:r>
          </w:p>
        </w:tc>
      </w:tr>
      <w:tr w:rsidR="002B3741" w:rsidRPr="002B3741" w14:paraId="3EF23FB2" w14:textId="77777777" w:rsidTr="002B3741">
        <w:trPr>
          <w:trHeight w:val="20"/>
        </w:trPr>
        <w:tc>
          <w:tcPr>
            <w:tcW w:w="3672" w:type="pct"/>
          </w:tcPr>
          <w:p w14:paraId="28536D95"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Servicios de Agua Potable, Drenaje y Alcantarillado</w:t>
            </w:r>
          </w:p>
        </w:tc>
        <w:tc>
          <w:tcPr>
            <w:tcW w:w="1328" w:type="pct"/>
            <w:vAlign w:val="center"/>
          </w:tcPr>
          <w:p w14:paraId="239FA7BA" w14:textId="70B20D7B" w:rsidR="002B3741" w:rsidRPr="002B3741" w:rsidRDefault="002B3741" w:rsidP="000C669A">
            <w:pPr>
              <w:widowControl w:val="0"/>
              <w:pBdr>
                <w:top w:val="nil"/>
                <w:left w:val="nil"/>
                <w:bottom w:val="nil"/>
                <w:right w:val="nil"/>
                <w:between w:val="nil"/>
              </w:pBdr>
              <w:tabs>
                <w:tab w:val="left" w:pos="444"/>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7</w:t>
            </w:r>
            <w:r w:rsidR="0048642F">
              <w:rPr>
                <w:rFonts w:ascii="Arial" w:eastAsia="Arial" w:hAnsi="Arial"/>
                <w:color w:val="000000"/>
                <w:sz w:val="20"/>
                <w:szCs w:val="20"/>
                <w:lang w:val="es-ES" w:eastAsia="es-MX"/>
              </w:rPr>
              <w:t>9</w:t>
            </w:r>
            <w:r w:rsidR="006B6141">
              <w:rPr>
                <w:rFonts w:ascii="Arial" w:eastAsia="Arial" w:hAnsi="Arial"/>
                <w:color w:val="000000"/>
                <w:sz w:val="20"/>
                <w:szCs w:val="20"/>
                <w:lang w:val="es-ES" w:eastAsia="es-MX"/>
              </w:rPr>
              <w:t>,</w:t>
            </w:r>
            <w:r w:rsidR="0048642F">
              <w:rPr>
                <w:rFonts w:ascii="Arial" w:eastAsia="Arial" w:hAnsi="Arial"/>
                <w:color w:val="000000"/>
                <w:sz w:val="20"/>
                <w:szCs w:val="20"/>
                <w:lang w:val="es-ES" w:eastAsia="es-MX"/>
              </w:rPr>
              <w:t>03</w:t>
            </w:r>
            <w:r w:rsidR="006B6141">
              <w:rPr>
                <w:rFonts w:ascii="Arial" w:eastAsia="Arial" w:hAnsi="Arial"/>
                <w:color w:val="000000"/>
                <w:sz w:val="20"/>
                <w:szCs w:val="20"/>
                <w:lang w:val="es-ES" w:eastAsia="es-MX"/>
              </w:rPr>
              <w:t>5</w:t>
            </w:r>
            <w:r w:rsidRPr="002B3741">
              <w:rPr>
                <w:rFonts w:ascii="Arial" w:eastAsia="Arial" w:hAnsi="Arial"/>
                <w:color w:val="000000"/>
                <w:sz w:val="20"/>
                <w:szCs w:val="20"/>
                <w:lang w:val="es-ES" w:eastAsia="es-MX"/>
              </w:rPr>
              <w:t>.00</w:t>
            </w:r>
          </w:p>
        </w:tc>
      </w:tr>
      <w:tr w:rsidR="002B3741" w:rsidRPr="002B3741" w14:paraId="4DD4B65F" w14:textId="77777777" w:rsidTr="002B3741">
        <w:trPr>
          <w:trHeight w:val="20"/>
        </w:trPr>
        <w:tc>
          <w:tcPr>
            <w:tcW w:w="3672" w:type="pct"/>
          </w:tcPr>
          <w:p w14:paraId="6E82612F"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Alumbrado público</w:t>
            </w:r>
          </w:p>
        </w:tc>
        <w:tc>
          <w:tcPr>
            <w:tcW w:w="1328" w:type="pct"/>
            <w:vAlign w:val="center"/>
          </w:tcPr>
          <w:p w14:paraId="1AD739E5" w14:textId="7E9653B6" w:rsidR="002B3741" w:rsidRPr="002B3741" w:rsidRDefault="002B3741" w:rsidP="000C669A">
            <w:pPr>
              <w:widowControl w:val="0"/>
              <w:pBdr>
                <w:top w:val="nil"/>
                <w:left w:val="nil"/>
                <w:bottom w:val="nil"/>
                <w:right w:val="nil"/>
                <w:between w:val="nil"/>
              </w:pBdr>
              <w:tabs>
                <w:tab w:val="left" w:pos="332"/>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1</w:t>
            </w:r>
            <w:r w:rsidR="0048642F">
              <w:rPr>
                <w:rFonts w:ascii="Arial" w:eastAsia="Arial" w:hAnsi="Arial"/>
                <w:color w:val="000000"/>
                <w:sz w:val="20"/>
                <w:szCs w:val="20"/>
                <w:lang w:val="es-ES" w:eastAsia="es-MX"/>
              </w:rPr>
              <w:t>51</w:t>
            </w:r>
            <w:r w:rsidR="006B6141">
              <w:rPr>
                <w:rFonts w:ascii="Arial" w:eastAsia="Arial" w:hAnsi="Arial"/>
                <w:color w:val="000000"/>
                <w:sz w:val="20"/>
                <w:szCs w:val="20"/>
                <w:lang w:val="es-ES" w:eastAsia="es-MX"/>
              </w:rPr>
              <w:t>,</w:t>
            </w:r>
            <w:r w:rsidR="0048642F">
              <w:rPr>
                <w:rFonts w:ascii="Arial" w:eastAsia="Arial" w:hAnsi="Arial"/>
                <w:color w:val="000000"/>
                <w:sz w:val="20"/>
                <w:szCs w:val="20"/>
                <w:lang w:val="es-ES" w:eastAsia="es-MX"/>
              </w:rPr>
              <w:t>745</w:t>
            </w:r>
            <w:r w:rsidRPr="002B3741">
              <w:rPr>
                <w:rFonts w:ascii="Arial" w:eastAsia="Arial" w:hAnsi="Arial"/>
                <w:color w:val="000000"/>
                <w:sz w:val="20"/>
                <w:szCs w:val="20"/>
                <w:lang w:val="es-ES" w:eastAsia="es-MX"/>
              </w:rPr>
              <w:t>.00</w:t>
            </w:r>
          </w:p>
        </w:tc>
      </w:tr>
      <w:tr w:rsidR="002B3741" w:rsidRPr="002B3741" w14:paraId="0735AB19" w14:textId="77777777" w:rsidTr="002B3741">
        <w:trPr>
          <w:trHeight w:val="20"/>
        </w:trPr>
        <w:tc>
          <w:tcPr>
            <w:tcW w:w="3672" w:type="pct"/>
          </w:tcPr>
          <w:p w14:paraId="74652C7B" w14:textId="77777777" w:rsidR="002B3741" w:rsidRPr="002B3741" w:rsidRDefault="002B3741" w:rsidP="00866779">
            <w:pPr>
              <w:widowControl w:val="0"/>
              <w:pBdr>
                <w:top w:val="nil"/>
                <w:left w:val="nil"/>
                <w:bottom w:val="nil"/>
                <w:right w:val="nil"/>
                <w:between w:val="nil"/>
              </w:pBdr>
              <w:tabs>
                <w:tab w:val="left" w:pos="1204"/>
                <w:tab w:val="left" w:pos="2197"/>
                <w:tab w:val="left" w:pos="2645"/>
                <w:tab w:val="left" w:pos="3559"/>
                <w:tab w:val="left" w:pos="5008"/>
                <w:tab w:val="left" w:pos="6056"/>
              </w:tabs>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&gt; Servicio de Limpia, Recolección, Traslado y disposición final de residuos </w:t>
            </w:r>
          </w:p>
        </w:tc>
        <w:tc>
          <w:tcPr>
            <w:tcW w:w="1328" w:type="pct"/>
            <w:vAlign w:val="center"/>
          </w:tcPr>
          <w:p w14:paraId="68685FF2" w14:textId="70BEB4A1" w:rsidR="002B3741" w:rsidRPr="002B3741" w:rsidRDefault="002B3741" w:rsidP="000C669A">
            <w:pPr>
              <w:widowControl w:val="0"/>
              <w:pBdr>
                <w:top w:val="nil"/>
                <w:left w:val="nil"/>
                <w:bottom w:val="nil"/>
                <w:right w:val="nil"/>
                <w:between w:val="nil"/>
              </w:pBdr>
              <w:tabs>
                <w:tab w:val="left" w:pos="55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48642F">
              <w:rPr>
                <w:rFonts w:ascii="Arial" w:eastAsia="Arial" w:hAnsi="Arial"/>
                <w:color w:val="000000"/>
                <w:sz w:val="20"/>
                <w:szCs w:val="20"/>
                <w:lang w:val="es-ES" w:eastAsia="es-MX"/>
              </w:rPr>
              <w:t>30</w:t>
            </w:r>
            <w:r w:rsidR="006B6141">
              <w:rPr>
                <w:rFonts w:ascii="Arial" w:eastAsia="Arial" w:hAnsi="Arial"/>
                <w:color w:val="000000"/>
                <w:sz w:val="20"/>
                <w:szCs w:val="20"/>
                <w:lang w:val="es-ES" w:eastAsia="es-MX"/>
              </w:rPr>
              <w:t>,</w:t>
            </w:r>
            <w:r w:rsidR="0048642F">
              <w:rPr>
                <w:rFonts w:ascii="Arial" w:eastAsia="Arial" w:hAnsi="Arial"/>
                <w:color w:val="000000"/>
                <w:sz w:val="20"/>
                <w:szCs w:val="20"/>
                <w:lang w:val="es-ES" w:eastAsia="es-MX"/>
              </w:rPr>
              <w:t>349</w:t>
            </w:r>
            <w:r w:rsidRPr="002B3741">
              <w:rPr>
                <w:rFonts w:ascii="Arial" w:eastAsia="Arial" w:hAnsi="Arial"/>
                <w:color w:val="000000"/>
                <w:sz w:val="20"/>
                <w:szCs w:val="20"/>
                <w:lang w:val="es-ES" w:eastAsia="es-MX"/>
              </w:rPr>
              <w:t>.00</w:t>
            </w:r>
          </w:p>
        </w:tc>
      </w:tr>
      <w:tr w:rsidR="002B3741" w:rsidRPr="002B3741" w14:paraId="3206635A" w14:textId="77777777" w:rsidTr="002B3741">
        <w:trPr>
          <w:trHeight w:val="20"/>
        </w:trPr>
        <w:tc>
          <w:tcPr>
            <w:tcW w:w="3672" w:type="pct"/>
          </w:tcPr>
          <w:p w14:paraId="30F18BF0"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Mercados y Centrales de Abasto</w:t>
            </w:r>
          </w:p>
        </w:tc>
        <w:tc>
          <w:tcPr>
            <w:tcW w:w="1328" w:type="pct"/>
            <w:vAlign w:val="center"/>
          </w:tcPr>
          <w:p w14:paraId="3D925652" w14:textId="0A96198B" w:rsidR="002B3741" w:rsidRPr="002B3741" w:rsidRDefault="002B3741" w:rsidP="000C669A">
            <w:pPr>
              <w:widowControl w:val="0"/>
              <w:pBdr>
                <w:top w:val="nil"/>
                <w:left w:val="nil"/>
                <w:bottom w:val="nil"/>
                <w:right w:val="nil"/>
                <w:between w:val="nil"/>
              </w:pBdr>
              <w:tabs>
                <w:tab w:val="left" w:pos="55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12,</w:t>
            </w:r>
            <w:r w:rsidR="0048642F">
              <w:rPr>
                <w:rFonts w:ascii="Arial" w:eastAsia="Arial" w:hAnsi="Arial"/>
                <w:color w:val="000000"/>
                <w:sz w:val="20"/>
                <w:szCs w:val="20"/>
                <w:lang w:val="es-ES" w:eastAsia="es-MX"/>
              </w:rPr>
              <w:t>648</w:t>
            </w:r>
            <w:r w:rsidRPr="002B3741">
              <w:rPr>
                <w:rFonts w:ascii="Arial" w:eastAsia="Arial" w:hAnsi="Arial"/>
                <w:color w:val="000000"/>
                <w:sz w:val="20"/>
                <w:szCs w:val="20"/>
                <w:lang w:val="es-ES" w:eastAsia="es-MX"/>
              </w:rPr>
              <w:t>.00</w:t>
            </w:r>
          </w:p>
        </w:tc>
      </w:tr>
      <w:tr w:rsidR="002B3741" w:rsidRPr="002B3741" w14:paraId="1C212069" w14:textId="77777777" w:rsidTr="002B3741">
        <w:trPr>
          <w:trHeight w:val="20"/>
        </w:trPr>
        <w:tc>
          <w:tcPr>
            <w:tcW w:w="3672" w:type="pct"/>
          </w:tcPr>
          <w:p w14:paraId="3A1E4C30"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Panteones</w:t>
            </w:r>
          </w:p>
        </w:tc>
        <w:tc>
          <w:tcPr>
            <w:tcW w:w="1328" w:type="pct"/>
            <w:vAlign w:val="center"/>
          </w:tcPr>
          <w:p w14:paraId="375D94C5" w14:textId="76460C45" w:rsidR="002B3741" w:rsidRPr="002B3741" w:rsidRDefault="002B3741" w:rsidP="000C669A">
            <w:pPr>
              <w:widowControl w:val="0"/>
              <w:pBdr>
                <w:top w:val="nil"/>
                <w:left w:val="nil"/>
                <w:bottom w:val="nil"/>
                <w:right w:val="nil"/>
                <w:between w:val="nil"/>
              </w:pBdr>
              <w:tabs>
                <w:tab w:val="left" w:pos="55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15,</w:t>
            </w:r>
            <w:r w:rsidR="0048642F">
              <w:rPr>
                <w:rFonts w:ascii="Arial" w:eastAsia="Arial" w:hAnsi="Arial"/>
                <w:color w:val="000000"/>
                <w:sz w:val="20"/>
                <w:szCs w:val="20"/>
                <w:lang w:val="es-ES" w:eastAsia="es-MX"/>
              </w:rPr>
              <w:t>785</w:t>
            </w:r>
            <w:r w:rsidRPr="002B3741">
              <w:rPr>
                <w:rFonts w:ascii="Arial" w:eastAsia="Arial" w:hAnsi="Arial"/>
                <w:color w:val="000000"/>
                <w:sz w:val="20"/>
                <w:szCs w:val="20"/>
                <w:lang w:val="es-ES" w:eastAsia="es-MX"/>
              </w:rPr>
              <w:t>.00</w:t>
            </w:r>
          </w:p>
        </w:tc>
      </w:tr>
      <w:tr w:rsidR="002B3741" w:rsidRPr="002B3741" w14:paraId="5147A485" w14:textId="77777777" w:rsidTr="002B3741">
        <w:trPr>
          <w:trHeight w:val="20"/>
        </w:trPr>
        <w:tc>
          <w:tcPr>
            <w:tcW w:w="3672" w:type="pct"/>
          </w:tcPr>
          <w:p w14:paraId="3DE523A0"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Rastro</w:t>
            </w:r>
          </w:p>
        </w:tc>
        <w:tc>
          <w:tcPr>
            <w:tcW w:w="1328" w:type="pct"/>
            <w:vAlign w:val="center"/>
          </w:tcPr>
          <w:p w14:paraId="1A9495E8" w14:textId="77777777" w:rsidR="002B3741" w:rsidRPr="002B3741" w:rsidRDefault="002B3741" w:rsidP="000C669A">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619DF739" w14:textId="77777777" w:rsidTr="002B3741">
        <w:trPr>
          <w:trHeight w:val="20"/>
        </w:trPr>
        <w:tc>
          <w:tcPr>
            <w:tcW w:w="3672" w:type="pct"/>
          </w:tcPr>
          <w:p w14:paraId="447F67D8"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Seguridad pública (Policía Preventiva y Tránsito Municipal)</w:t>
            </w:r>
          </w:p>
        </w:tc>
        <w:tc>
          <w:tcPr>
            <w:tcW w:w="1328" w:type="pct"/>
            <w:vAlign w:val="center"/>
          </w:tcPr>
          <w:p w14:paraId="66BFA807" w14:textId="1C677544" w:rsidR="002B3741" w:rsidRPr="002B3741" w:rsidRDefault="002B3741" w:rsidP="000C669A">
            <w:pPr>
              <w:widowControl w:val="0"/>
              <w:pBdr>
                <w:top w:val="nil"/>
                <w:left w:val="nil"/>
                <w:bottom w:val="nil"/>
                <w:right w:val="nil"/>
                <w:between w:val="nil"/>
              </w:pBdr>
              <w:tabs>
                <w:tab w:val="left" w:pos="55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14,</w:t>
            </w:r>
            <w:r w:rsidR="0048642F">
              <w:rPr>
                <w:rFonts w:ascii="Arial" w:eastAsia="Arial" w:hAnsi="Arial"/>
                <w:color w:val="000000"/>
                <w:sz w:val="20"/>
                <w:szCs w:val="20"/>
                <w:lang w:val="es-ES" w:eastAsia="es-MX"/>
              </w:rPr>
              <w:t>593</w:t>
            </w:r>
            <w:r w:rsidRPr="002B3741">
              <w:rPr>
                <w:rFonts w:ascii="Arial" w:eastAsia="Arial" w:hAnsi="Arial"/>
                <w:color w:val="000000"/>
                <w:sz w:val="20"/>
                <w:szCs w:val="20"/>
                <w:lang w:val="es-ES" w:eastAsia="es-MX"/>
              </w:rPr>
              <w:t>.00</w:t>
            </w:r>
          </w:p>
        </w:tc>
      </w:tr>
      <w:tr w:rsidR="002B3741" w:rsidRPr="002B3741" w14:paraId="38726B71" w14:textId="77777777" w:rsidTr="002B3741">
        <w:trPr>
          <w:trHeight w:val="20"/>
        </w:trPr>
        <w:tc>
          <w:tcPr>
            <w:tcW w:w="3672" w:type="pct"/>
          </w:tcPr>
          <w:p w14:paraId="04222804"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Catastro</w:t>
            </w:r>
          </w:p>
        </w:tc>
        <w:tc>
          <w:tcPr>
            <w:tcW w:w="1328" w:type="pct"/>
            <w:vAlign w:val="center"/>
          </w:tcPr>
          <w:p w14:paraId="2D65E0EB" w14:textId="3471ADF4" w:rsidR="002B3741" w:rsidRPr="002B3741" w:rsidRDefault="002B3741" w:rsidP="000C669A">
            <w:pPr>
              <w:widowControl w:val="0"/>
              <w:pBdr>
                <w:top w:val="nil"/>
                <w:left w:val="nil"/>
                <w:bottom w:val="nil"/>
                <w:right w:val="nil"/>
                <w:between w:val="nil"/>
              </w:pBdr>
              <w:tabs>
                <w:tab w:val="left" w:pos="66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1,</w:t>
            </w:r>
            <w:r w:rsidR="0048642F">
              <w:rPr>
                <w:rFonts w:ascii="Arial" w:eastAsia="Arial" w:hAnsi="Arial"/>
                <w:color w:val="000000"/>
                <w:sz w:val="20"/>
                <w:szCs w:val="20"/>
                <w:lang w:val="es-ES" w:eastAsia="es-MX"/>
              </w:rPr>
              <w:t>621</w:t>
            </w:r>
            <w:r w:rsidRPr="002B3741">
              <w:rPr>
                <w:rFonts w:ascii="Arial" w:eastAsia="Arial" w:hAnsi="Arial"/>
                <w:color w:val="000000"/>
                <w:sz w:val="20"/>
                <w:szCs w:val="20"/>
                <w:lang w:val="es-ES" w:eastAsia="es-MX"/>
              </w:rPr>
              <w:t>.00</w:t>
            </w:r>
          </w:p>
        </w:tc>
      </w:tr>
      <w:tr w:rsidR="002B3741" w:rsidRPr="002B3741" w14:paraId="3269820B" w14:textId="77777777" w:rsidTr="002B3741">
        <w:trPr>
          <w:trHeight w:val="20"/>
        </w:trPr>
        <w:tc>
          <w:tcPr>
            <w:tcW w:w="3672" w:type="pct"/>
          </w:tcPr>
          <w:p w14:paraId="1890A040"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Otros Derechos</w:t>
            </w:r>
          </w:p>
        </w:tc>
        <w:tc>
          <w:tcPr>
            <w:tcW w:w="1328" w:type="pct"/>
            <w:vAlign w:val="center"/>
          </w:tcPr>
          <w:p w14:paraId="7F6074B0" w14:textId="4795E12B" w:rsidR="002B3741" w:rsidRPr="002B3741" w:rsidRDefault="002B3741" w:rsidP="000C669A">
            <w:pPr>
              <w:widowControl w:val="0"/>
              <w:pBdr>
                <w:top w:val="nil"/>
                <w:left w:val="nil"/>
                <w:bottom w:val="nil"/>
                <w:right w:val="nil"/>
                <w:between w:val="nil"/>
              </w:pBdr>
              <w:tabs>
                <w:tab w:val="left" w:pos="445"/>
              </w:tabs>
              <w:spacing w:after="0" w:line="240" w:lineRule="auto"/>
              <w:ind w:left="142" w:right="142"/>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sidR="0048642F">
              <w:rPr>
                <w:rFonts w:ascii="Arial" w:eastAsia="Arial" w:hAnsi="Arial"/>
                <w:b/>
                <w:color w:val="000000"/>
                <w:sz w:val="20"/>
                <w:szCs w:val="20"/>
                <w:lang w:val="es-ES" w:eastAsia="es-MX"/>
              </w:rPr>
              <w:t>207</w:t>
            </w:r>
            <w:r w:rsidR="006B61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214</w:t>
            </w:r>
            <w:r w:rsidRPr="002B3741">
              <w:rPr>
                <w:rFonts w:ascii="Arial" w:eastAsia="Arial" w:hAnsi="Arial"/>
                <w:b/>
                <w:color w:val="000000"/>
                <w:sz w:val="20"/>
                <w:szCs w:val="20"/>
                <w:lang w:val="es-ES" w:eastAsia="es-MX"/>
              </w:rPr>
              <w:t>.00</w:t>
            </w:r>
          </w:p>
        </w:tc>
      </w:tr>
      <w:tr w:rsidR="002B3741" w:rsidRPr="002B3741" w14:paraId="6D129484" w14:textId="77777777" w:rsidTr="002B3741">
        <w:trPr>
          <w:trHeight w:val="20"/>
        </w:trPr>
        <w:tc>
          <w:tcPr>
            <w:tcW w:w="3672" w:type="pct"/>
          </w:tcPr>
          <w:p w14:paraId="14AEAE73" w14:textId="77777777" w:rsidR="002B3741" w:rsidRPr="002B3741" w:rsidRDefault="002B3741" w:rsidP="00866779">
            <w:pPr>
              <w:widowControl w:val="0"/>
              <w:pBdr>
                <w:top w:val="nil"/>
                <w:left w:val="nil"/>
                <w:bottom w:val="nil"/>
                <w:right w:val="nil"/>
                <w:between w:val="nil"/>
              </w:pBdr>
              <w:tabs>
                <w:tab w:val="left" w:pos="998"/>
              </w:tabs>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Licencias de funcionamiento y Permisos</w:t>
            </w:r>
          </w:p>
        </w:tc>
        <w:tc>
          <w:tcPr>
            <w:tcW w:w="1328" w:type="pct"/>
            <w:vAlign w:val="center"/>
          </w:tcPr>
          <w:p w14:paraId="0C672C13" w14:textId="43A74681" w:rsidR="002B3741" w:rsidRPr="002B3741" w:rsidRDefault="002B3741" w:rsidP="000C669A">
            <w:pPr>
              <w:widowControl w:val="0"/>
              <w:pBdr>
                <w:top w:val="nil"/>
                <w:left w:val="nil"/>
                <w:bottom w:val="nil"/>
                <w:right w:val="nil"/>
                <w:between w:val="nil"/>
              </w:pBdr>
              <w:tabs>
                <w:tab w:val="left" w:pos="44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1</w:t>
            </w:r>
            <w:r w:rsidR="0048642F">
              <w:rPr>
                <w:rFonts w:ascii="Arial" w:eastAsia="Arial" w:hAnsi="Arial"/>
                <w:color w:val="000000"/>
                <w:sz w:val="20"/>
                <w:szCs w:val="20"/>
                <w:lang w:val="es-ES" w:eastAsia="es-MX"/>
              </w:rPr>
              <w:t>95</w:t>
            </w:r>
            <w:r w:rsidR="006B6141">
              <w:rPr>
                <w:rFonts w:ascii="Arial" w:eastAsia="Arial" w:hAnsi="Arial"/>
                <w:color w:val="000000"/>
                <w:sz w:val="20"/>
                <w:szCs w:val="20"/>
                <w:lang w:val="es-ES" w:eastAsia="es-MX"/>
              </w:rPr>
              <w:t>,</w:t>
            </w:r>
            <w:r w:rsidR="0048642F">
              <w:rPr>
                <w:rFonts w:ascii="Arial" w:eastAsia="Arial" w:hAnsi="Arial"/>
                <w:color w:val="000000"/>
                <w:sz w:val="20"/>
                <w:szCs w:val="20"/>
                <w:lang w:val="es-ES" w:eastAsia="es-MX"/>
              </w:rPr>
              <w:t>195</w:t>
            </w:r>
            <w:r w:rsidRPr="002B3741">
              <w:rPr>
                <w:rFonts w:ascii="Arial" w:eastAsia="Arial" w:hAnsi="Arial"/>
                <w:color w:val="000000"/>
                <w:sz w:val="20"/>
                <w:szCs w:val="20"/>
                <w:lang w:val="es-ES" w:eastAsia="es-MX"/>
              </w:rPr>
              <w:t>.00</w:t>
            </w:r>
          </w:p>
        </w:tc>
      </w:tr>
      <w:tr w:rsidR="002B3741" w:rsidRPr="002B3741" w14:paraId="7C536E6A" w14:textId="77777777" w:rsidTr="002B3741">
        <w:trPr>
          <w:trHeight w:val="20"/>
        </w:trPr>
        <w:tc>
          <w:tcPr>
            <w:tcW w:w="3672" w:type="pct"/>
          </w:tcPr>
          <w:p w14:paraId="7CD86DF5"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Servicios que presta la Dirección de Obras Públicas y Desarrollo Urbano</w:t>
            </w:r>
          </w:p>
        </w:tc>
        <w:tc>
          <w:tcPr>
            <w:tcW w:w="1328" w:type="pct"/>
            <w:vAlign w:val="center"/>
          </w:tcPr>
          <w:p w14:paraId="15FF4053" w14:textId="55CB4B3F" w:rsidR="002B3741" w:rsidRPr="002B3741" w:rsidRDefault="002B3741" w:rsidP="000C669A">
            <w:pPr>
              <w:widowControl w:val="0"/>
              <w:pBdr>
                <w:top w:val="nil"/>
                <w:left w:val="nil"/>
                <w:bottom w:val="nil"/>
                <w:right w:val="nil"/>
                <w:between w:val="nil"/>
              </w:pBdr>
              <w:tabs>
                <w:tab w:val="left" w:pos="66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5,</w:t>
            </w:r>
            <w:r w:rsidR="0048642F">
              <w:rPr>
                <w:rFonts w:ascii="Arial" w:eastAsia="Arial" w:hAnsi="Arial"/>
                <w:color w:val="000000"/>
                <w:sz w:val="20"/>
                <w:szCs w:val="20"/>
                <w:lang w:val="es-ES" w:eastAsia="es-MX"/>
              </w:rPr>
              <w:t>209</w:t>
            </w:r>
            <w:r w:rsidRPr="002B3741">
              <w:rPr>
                <w:rFonts w:ascii="Arial" w:eastAsia="Arial" w:hAnsi="Arial"/>
                <w:color w:val="000000"/>
                <w:sz w:val="20"/>
                <w:szCs w:val="20"/>
                <w:lang w:val="es-ES" w:eastAsia="es-MX"/>
              </w:rPr>
              <w:t>.00</w:t>
            </w:r>
          </w:p>
        </w:tc>
      </w:tr>
      <w:tr w:rsidR="002B3741" w:rsidRPr="002B3741" w14:paraId="6E49D2AF" w14:textId="77777777" w:rsidTr="002B3741">
        <w:trPr>
          <w:trHeight w:val="20"/>
        </w:trPr>
        <w:tc>
          <w:tcPr>
            <w:tcW w:w="3672" w:type="pct"/>
          </w:tcPr>
          <w:p w14:paraId="27BFD68A"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Expedición de certificados, constancias, copias, fotografías y formas oficiales</w:t>
            </w:r>
          </w:p>
        </w:tc>
        <w:tc>
          <w:tcPr>
            <w:tcW w:w="1328" w:type="pct"/>
            <w:vAlign w:val="center"/>
          </w:tcPr>
          <w:p w14:paraId="059633B1" w14:textId="03EB7846" w:rsidR="002B3741" w:rsidRPr="002B3741" w:rsidRDefault="002B3741" w:rsidP="000C669A">
            <w:pPr>
              <w:widowControl w:val="0"/>
              <w:pBdr>
                <w:top w:val="nil"/>
                <w:left w:val="nil"/>
                <w:bottom w:val="nil"/>
                <w:right w:val="nil"/>
                <w:between w:val="nil"/>
              </w:pBdr>
              <w:tabs>
                <w:tab w:val="left" w:pos="66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6B6141">
              <w:rPr>
                <w:rFonts w:ascii="Arial" w:eastAsia="Arial" w:hAnsi="Arial"/>
                <w:color w:val="000000"/>
                <w:sz w:val="20"/>
                <w:szCs w:val="20"/>
                <w:lang w:val="es-ES" w:eastAsia="es-MX"/>
              </w:rPr>
              <w:t>6,</w:t>
            </w:r>
            <w:r w:rsidR="0048642F">
              <w:rPr>
                <w:rFonts w:ascii="Arial" w:eastAsia="Arial" w:hAnsi="Arial"/>
                <w:color w:val="000000"/>
                <w:sz w:val="20"/>
                <w:szCs w:val="20"/>
                <w:lang w:val="es-ES" w:eastAsia="es-MX"/>
              </w:rPr>
              <w:t>810</w:t>
            </w:r>
            <w:r w:rsidRPr="002B3741">
              <w:rPr>
                <w:rFonts w:ascii="Arial" w:eastAsia="Arial" w:hAnsi="Arial"/>
                <w:color w:val="000000"/>
                <w:sz w:val="20"/>
                <w:szCs w:val="20"/>
                <w:lang w:val="es-ES" w:eastAsia="es-MX"/>
              </w:rPr>
              <w:t>.00</w:t>
            </w:r>
          </w:p>
        </w:tc>
      </w:tr>
      <w:tr w:rsidR="002B3741" w:rsidRPr="002B3741" w14:paraId="688037D1" w14:textId="77777777" w:rsidTr="002B3741">
        <w:trPr>
          <w:trHeight w:val="20"/>
        </w:trPr>
        <w:tc>
          <w:tcPr>
            <w:tcW w:w="3672" w:type="pct"/>
          </w:tcPr>
          <w:p w14:paraId="2124650F"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Servicios que presta la Unidad de Acceso a la Información Pública</w:t>
            </w:r>
          </w:p>
        </w:tc>
        <w:tc>
          <w:tcPr>
            <w:tcW w:w="1328" w:type="pct"/>
            <w:vAlign w:val="center"/>
          </w:tcPr>
          <w:p w14:paraId="0C45B011" w14:textId="77777777" w:rsidR="002B3741" w:rsidRPr="002B3741" w:rsidRDefault="002B3741" w:rsidP="000C669A">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080BC7F8" w14:textId="77777777" w:rsidTr="002B3741">
        <w:trPr>
          <w:trHeight w:val="20"/>
        </w:trPr>
        <w:tc>
          <w:tcPr>
            <w:tcW w:w="3672" w:type="pct"/>
          </w:tcPr>
          <w:p w14:paraId="19EA3D3F"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Supervisión Sanitaria de Matanza de Ganado</w:t>
            </w:r>
          </w:p>
        </w:tc>
        <w:tc>
          <w:tcPr>
            <w:tcW w:w="1328" w:type="pct"/>
            <w:vAlign w:val="center"/>
          </w:tcPr>
          <w:p w14:paraId="4A3C5814" w14:textId="77777777" w:rsidR="002B3741" w:rsidRPr="002B3741" w:rsidRDefault="002B3741" w:rsidP="000C669A">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44A83064" w14:textId="77777777" w:rsidTr="002B3741">
        <w:trPr>
          <w:trHeight w:val="20"/>
        </w:trPr>
        <w:tc>
          <w:tcPr>
            <w:tcW w:w="3672" w:type="pct"/>
          </w:tcPr>
          <w:p w14:paraId="47031A42"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Accesorios de Derechos</w:t>
            </w:r>
          </w:p>
        </w:tc>
        <w:tc>
          <w:tcPr>
            <w:tcW w:w="1328" w:type="pct"/>
            <w:vAlign w:val="center"/>
          </w:tcPr>
          <w:p w14:paraId="5D133369" w14:textId="77777777" w:rsidR="002B3741" w:rsidRPr="002B3741" w:rsidRDefault="002B3741" w:rsidP="000C669A">
            <w:pPr>
              <w:widowControl w:val="0"/>
              <w:pBdr>
                <w:top w:val="nil"/>
                <w:left w:val="nil"/>
                <w:bottom w:val="nil"/>
                <w:right w:val="nil"/>
                <w:between w:val="nil"/>
              </w:pBdr>
              <w:tabs>
                <w:tab w:val="left" w:pos="1056"/>
              </w:tabs>
              <w:spacing w:after="0" w:line="240" w:lineRule="auto"/>
              <w:ind w:left="142" w:right="142"/>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2B3741" w:rsidRPr="002B3741" w14:paraId="0E03D10B" w14:textId="77777777" w:rsidTr="002B3741">
        <w:trPr>
          <w:trHeight w:val="20"/>
        </w:trPr>
        <w:tc>
          <w:tcPr>
            <w:tcW w:w="3672" w:type="pct"/>
          </w:tcPr>
          <w:p w14:paraId="03553FBA"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Actualizaciones y Recargos de Derechos</w:t>
            </w:r>
          </w:p>
        </w:tc>
        <w:tc>
          <w:tcPr>
            <w:tcW w:w="1328" w:type="pct"/>
            <w:vAlign w:val="center"/>
          </w:tcPr>
          <w:p w14:paraId="787A7C69" w14:textId="77777777" w:rsidR="002B3741" w:rsidRPr="002B3741" w:rsidRDefault="002B3741" w:rsidP="000C669A">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1B26014C" w14:textId="77777777" w:rsidTr="002B3741">
        <w:trPr>
          <w:trHeight w:val="20"/>
        </w:trPr>
        <w:tc>
          <w:tcPr>
            <w:tcW w:w="3672" w:type="pct"/>
          </w:tcPr>
          <w:p w14:paraId="43775801"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Multas de Derechos</w:t>
            </w:r>
          </w:p>
        </w:tc>
        <w:tc>
          <w:tcPr>
            <w:tcW w:w="1328" w:type="pct"/>
            <w:vAlign w:val="center"/>
          </w:tcPr>
          <w:p w14:paraId="5478035E" w14:textId="77777777" w:rsidR="002B3741" w:rsidRPr="002B3741" w:rsidRDefault="002B3741" w:rsidP="000C669A">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37403722" w14:textId="77777777" w:rsidTr="002B3741">
        <w:trPr>
          <w:trHeight w:val="20"/>
        </w:trPr>
        <w:tc>
          <w:tcPr>
            <w:tcW w:w="3672" w:type="pct"/>
          </w:tcPr>
          <w:p w14:paraId="1C0C736A"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Gastos de Ejecución de Derechos</w:t>
            </w:r>
          </w:p>
        </w:tc>
        <w:tc>
          <w:tcPr>
            <w:tcW w:w="1328" w:type="pct"/>
            <w:vAlign w:val="center"/>
          </w:tcPr>
          <w:p w14:paraId="24B462D4" w14:textId="77777777" w:rsidR="002B3741" w:rsidRPr="002B3741" w:rsidRDefault="002B3741" w:rsidP="000C669A">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6B7F3B36" w14:textId="77777777" w:rsidTr="002B3741">
        <w:trPr>
          <w:trHeight w:val="20"/>
        </w:trPr>
        <w:tc>
          <w:tcPr>
            <w:tcW w:w="3672" w:type="pct"/>
          </w:tcPr>
          <w:p w14:paraId="358FDE35" w14:textId="77777777" w:rsidR="002B3741" w:rsidRPr="002B3741" w:rsidRDefault="002B3741" w:rsidP="000C669A">
            <w:pPr>
              <w:widowControl w:val="0"/>
              <w:pBdr>
                <w:top w:val="nil"/>
                <w:left w:val="nil"/>
                <w:bottom w:val="nil"/>
                <w:right w:val="nil"/>
                <w:between w:val="nil"/>
              </w:pBdr>
              <w:spacing w:after="0" w:line="240" w:lineRule="auto"/>
              <w:ind w:right="142"/>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Derechos no Comprendidos en la Ley de Ingresos Vigente, Causadas en Ejercicios Fiscales Anteriores Pendientes de Liquidación o Pago</w:t>
            </w:r>
          </w:p>
        </w:tc>
        <w:tc>
          <w:tcPr>
            <w:tcW w:w="1328" w:type="pct"/>
            <w:vAlign w:val="center"/>
          </w:tcPr>
          <w:p w14:paraId="6B4C5C56" w14:textId="77777777" w:rsidR="002B3741" w:rsidRPr="002B3741" w:rsidRDefault="002B3741" w:rsidP="000C669A">
            <w:pPr>
              <w:widowControl w:val="0"/>
              <w:pBdr>
                <w:top w:val="nil"/>
                <w:left w:val="nil"/>
                <w:bottom w:val="nil"/>
                <w:right w:val="nil"/>
                <w:between w:val="nil"/>
              </w:pBdr>
              <w:tabs>
                <w:tab w:val="left" w:pos="1056"/>
              </w:tabs>
              <w:spacing w:after="0" w:line="240" w:lineRule="auto"/>
              <w:ind w:left="142" w:right="142"/>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bl>
    <w:p w14:paraId="0B0F7D15" w14:textId="77777777" w:rsidR="002B3741" w:rsidRPr="002B3741" w:rsidRDefault="002B3741" w:rsidP="002B3741">
      <w:pPr>
        <w:widowControl w:val="0"/>
        <w:tabs>
          <w:tab w:val="left" w:pos="196"/>
          <w:tab w:val="right" w:pos="9420"/>
        </w:tabs>
        <w:spacing w:after="0" w:line="360" w:lineRule="auto"/>
        <w:jc w:val="both"/>
        <w:rPr>
          <w:rFonts w:ascii="Arial" w:eastAsia="Arial" w:hAnsi="Arial"/>
          <w:sz w:val="20"/>
          <w:szCs w:val="20"/>
          <w:lang w:val="es-ES" w:eastAsia="es-MX"/>
        </w:rPr>
      </w:pPr>
    </w:p>
    <w:p w14:paraId="6C3E48D9"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lastRenderedPageBreak/>
        <w:t xml:space="preserve">Artículo 8.- </w:t>
      </w:r>
      <w:r w:rsidRPr="002B3741">
        <w:rPr>
          <w:rFonts w:ascii="Arial" w:eastAsia="Arial" w:hAnsi="Arial"/>
          <w:color w:val="000000"/>
          <w:sz w:val="20"/>
          <w:szCs w:val="20"/>
          <w:lang w:val="es-ES" w:eastAsia="es-MX"/>
        </w:rPr>
        <w:t>Los ingresos que la Hacienda Pública Municipal percibirá por concepto de productos, serán los siguientes:</w:t>
      </w:r>
    </w:p>
    <w:p w14:paraId="2C7D8BD8" w14:textId="77777777" w:rsidR="002B3741" w:rsidRPr="002B3741" w:rsidRDefault="002B3741" w:rsidP="00866779">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8"/>
        <w:gridCol w:w="2269"/>
      </w:tblGrid>
      <w:tr w:rsidR="002B3741" w:rsidRPr="002B3741" w14:paraId="392CDAF3" w14:textId="77777777" w:rsidTr="002B3741">
        <w:trPr>
          <w:trHeight w:val="20"/>
        </w:trPr>
        <w:tc>
          <w:tcPr>
            <w:tcW w:w="3749" w:type="pct"/>
            <w:shd w:val="clear" w:color="auto" w:fill="D9D9D9"/>
          </w:tcPr>
          <w:p w14:paraId="676A9D3B"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Productos</w:t>
            </w:r>
          </w:p>
        </w:tc>
        <w:tc>
          <w:tcPr>
            <w:tcW w:w="1251" w:type="pct"/>
            <w:shd w:val="clear" w:color="auto" w:fill="D9D9D9"/>
          </w:tcPr>
          <w:p w14:paraId="001ED061" w14:textId="06F4428B" w:rsidR="002B3741" w:rsidRPr="002B3741" w:rsidRDefault="002B3741" w:rsidP="00866779">
            <w:pPr>
              <w:widowControl w:val="0"/>
              <w:pBdr>
                <w:top w:val="nil"/>
                <w:left w:val="nil"/>
                <w:bottom w:val="nil"/>
                <w:right w:val="nil"/>
                <w:between w:val="nil"/>
              </w:pBdr>
              <w:spacing w:after="0" w:line="360" w:lineRule="auto"/>
              <w:ind w:left="142" w:right="141"/>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2,</w:t>
            </w:r>
            <w:r w:rsidR="0048642F">
              <w:rPr>
                <w:rFonts w:ascii="Arial" w:eastAsia="Arial" w:hAnsi="Arial"/>
                <w:b/>
                <w:color w:val="000000"/>
                <w:sz w:val="20"/>
                <w:szCs w:val="20"/>
                <w:lang w:val="es-ES" w:eastAsia="es-MX"/>
              </w:rPr>
              <w:t>895</w:t>
            </w:r>
            <w:r w:rsidRPr="002B3741">
              <w:rPr>
                <w:rFonts w:ascii="Arial" w:eastAsia="Arial" w:hAnsi="Arial"/>
                <w:b/>
                <w:color w:val="000000"/>
                <w:sz w:val="20"/>
                <w:szCs w:val="20"/>
                <w:lang w:val="es-ES" w:eastAsia="es-MX"/>
              </w:rPr>
              <w:t>.00</w:t>
            </w:r>
          </w:p>
        </w:tc>
      </w:tr>
      <w:tr w:rsidR="002B3741" w:rsidRPr="002B3741" w14:paraId="379CA0DF" w14:textId="77777777" w:rsidTr="002B3741">
        <w:trPr>
          <w:trHeight w:val="20"/>
        </w:trPr>
        <w:tc>
          <w:tcPr>
            <w:tcW w:w="3749" w:type="pct"/>
          </w:tcPr>
          <w:p w14:paraId="08D88196"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Productos </w:t>
            </w:r>
          </w:p>
        </w:tc>
        <w:tc>
          <w:tcPr>
            <w:tcW w:w="1251" w:type="pct"/>
          </w:tcPr>
          <w:p w14:paraId="74F0092B" w14:textId="01F2C6F6" w:rsidR="002B3741" w:rsidRPr="002B3741" w:rsidRDefault="002B3741" w:rsidP="00866779">
            <w:pPr>
              <w:widowControl w:val="0"/>
              <w:pBdr>
                <w:top w:val="nil"/>
                <w:left w:val="nil"/>
                <w:bottom w:val="nil"/>
                <w:right w:val="nil"/>
                <w:between w:val="nil"/>
              </w:pBdr>
              <w:spacing w:after="0" w:line="360" w:lineRule="auto"/>
              <w:ind w:left="14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2,</w:t>
            </w:r>
            <w:r w:rsidR="0048642F">
              <w:rPr>
                <w:rFonts w:ascii="Arial" w:eastAsia="Arial" w:hAnsi="Arial"/>
                <w:b/>
                <w:color w:val="000000"/>
                <w:sz w:val="20"/>
                <w:szCs w:val="20"/>
                <w:lang w:val="es-ES" w:eastAsia="es-MX"/>
              </w:rPr>
              <w:t>895</w:t>
            </w:r>
            <w:r w:rsidRPr="002B3741">
              <w:rPr>
                <w:rFonts w:ascii="Arial" w:eastAsia="Arial" w:hAnsi="Arial"/>
                <w:b/>
                <w:color w:val="000000"/>
                <w:sz w:val="20"/>
                <w:szCs w:val="20"/>
                <w:lang w:val="es-ES" w:eastAsia="es-MX"/>
              </w:rPr>
              <w:t>.00</w:t>
            </w:r>
          </w:p>
        </w:tc>
      </w:tr>
      <w:tr w:rsidR="002B3741" w:rsidRPr="002B3741" w14:paraId="052FAE19" w14:textId="77777777" w:rsidTr="002B3741">
        <w:trPr>
          <w:trHeight w:val="20"/>
        </w:trPr>
        <w:tc>
          <w:tcPr>
            <w:tcW w:w="3749" w:type="pct"/>
          </w:tcPr>
          <w:p w14:paraId="0ED4545F"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Derivados de Productos Financieros</w:t>
            </w:r>
          </w:p>
        </w:tc>
        <w:tc>
          <w:tcPr>
            <w:tcW w:w="1251" w:type="pct"/>
          </w:tcPr>
          <w:p w14:paraId="02B56D53" w14:textId="3D3D5A7F" w:rsidR="002B3741" w:rsidRPr="002B3741" w:rsidRDefault="002B3741" w:rsidP="00866779">
            <w:pPr>
              <w:widowControl w:val="0"/>
              <w:pBdr>
                <w:top w:val="nil"/>
                <w:left w:val="nil"/>
                <w:bottom w:val="nil"/>
                <w:right w:val="nil"/>
                <w:between w:val="nil"/>
              </w:pBdr>
              <w:spacing w:after="0" w:line="360" w:lineRule="auto"/>
              <w:ind w:left="14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2,</w:t>
            </w:r>
            <w:r w:rsidR="0048642F">
              <w:rPr>
                <w:rFonts w:ascii="Arial" w:eastAsia="Arial" w:hAnsi="Arial"/>
                <w:color w:val="000000"/>
                <w:sz w:val="20"/>
                <w:szCs w:val="20"/>
                <w:lang w:val="es-ES" w:eastAsia="es-MX"/>
              </w:rPr>
              <w:t>895</w:t>
            </w:r>
            <w:r w:rsidRPr="002B3741">
              <w:rPr>
                <w:rFonts w:ascii="Arial" w:eastAsia="Arial" w:hAnsi="Arial"/>
                <w:color w:val="000000"/>
                <w:sz w:val="20"/>
                <w:szCs w:val="20"/>
                <w:lang w:val="es-ES" w:eastAsia="es-MX"/>
              </w:rPr>
              <w:t>.00</w:t>
            </w:r>
          </w:p>
        </w:tc>
      </w:tr>
      <w:tr w:rsidR="002B3741" w:rsidRPr="002B3741" w14:paraId="43CA07BB" w14:textId="77777777" w:rsidTr="002B3741">
        <w:trPr>
          <w:trHeight w:val="20"/>
        </w:trPr>
        <w:tc>
          <w:tcPr>
            <w:tcW w:w="3749" w:type="pct"/>
          </w:tcPr>
          <w:p w14:paraId="11369741"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Arrendamiento, enajenación, uso y explotación de Bienes Muebles del dominio privado del Municipio</w:t>
            </w:r>
          </w:p>
        </w:tc>
        <w:tc>
          <w:tcPr>
            <w:tcW w:w="1251" w:type="pct"/>
          </w:tcPr>
          <w:p w14:paraId="76555C7C" w14:textId="77777777" w:rsidR="002B3741" w:rsidRPr="002B3741" w:rsidRDefault="002B3741" w:rsidP="00866779">
            <w:pPr>
              <w:widowControl w:val="0"/>
              <w:pBdr>
                <w:top w:val="nil"/>
                <w:left w:val="nil"/>
                <w:bottom w:val="nil"/>
                <w:right w:val="nil"/>
                <w:between w:val="nil"/>
              </w:pBdr>
              <w:tabs>
                <w:tab w:val="left" w:pos="555"/>
              </w:tabs>
              <w:spacing w:after="0" w:line="360" w:lineRule="auto"/>
              <w:ind w:left="14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16459056" w14:textId="77777777" w:rsidTr="002B3741">
        <w:trPr>
          <w:trHeight w:val="20"/>
        </w:trPr>
        <w:tc>
          <w:tcPr>
            <w:tcW w:w="3749" w:type="pct"/>
          </w:tcPr>
          <w:p w14:paraId="38976AC6" w14:textId="77777777" w:rsidR="002B3741" w:rsidRPr="002B3741" w:rsidRDefault="002B3741" w:rsidP="00866779">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Arrendamiento, enajenación, uso y explotación de Bienes Inmuebles del dominio privado del Municipio</w:t>
            </w:r>
          </w:p>
        </w:tc>
        <w:tc>
          <w:tcPr>
            <w:tcW w:w="1251" w:type="pct"/>
          </w:tcPr>
          <w:p w14:paraId="23E7FF9B" w14:textId="77777777" w:rsidR="002B3741" w:rsidRPr="002B3741" w:rsidRDefault="002B3741" w:rsidP="00866779">
            <w:pPr>
              <w:widowControl w:val="0"/>
              <w:pBdr>
                <w:top w:val="nil"/>
                <w:left w:val="nil"/>
                <w:bottom w:val="nil"/>
                <w:right w:val="nil"/>
                <w:between w:val="nil"/>
              </w:pBdr>
              <w:tabs>
                <w:tab w:val="left" w:pos="555"/>
              </w:tabs>
              <w:spacing w:after="0" w:line="360" w:lineRule="auto"/>
              <w:ind w:left="14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2B3741" w:rsidRPr="002B3741" w14:paraId="4C87364F" w14:textId="77777777" w:rsidTr="002B3741">
        <w:trPr>
          <w:trHeight w:val="20"/>
        </w:trPr>
        <w:tc>
          <w:tcPr>
            <w:tcW w:w="3749" w:type="pct"/>
          </w:tcPr>
          <w:p w14:paraId="05BF0179" w14:textId="77777777" w:rsidR="002B3741" w:rsidRPr="002B3741" w:rsidRDefault="002B3741" w:rsidP="000C669A">
            <w:pPr>
              <w:widowControl w:val="0"/>
              <w:pBdr>
                <w:top w:val="nil"/>
                <w:left w:val="nil"/>
                <w:bottom w:val="nil"/>
                <w:right w:val="nil"/>
                <w:between w:val="nil"/>
              </w:pBdr>
              <w:spacing w:after="0" w:line="240" w:lineRule="auto"/>
              <w:ind w:right="142"/>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Productos no Comprendidos en la Ley de Ingresos Vigente, Causados en Ejercicios Fiscales Anteriores Pendientes de Liquidación o Pago</w:t>
            </w:r>
          </w:p>
        </w:tc>
        <w:tc>
          <w:tcPr>
            <w:tcW w:w="1251" w:type="pct"/>
          </w:tcPr>
          <w:p w14:paraId="0BA8245A" w14:textId="77777777" w:rsidR="002B3741" w:rsidRPr="002B3741" w:rsidRDefault="002B3741" w:rsidP="00866779">
            <w:pPr>
              <w:widowControl w:val="0"/>
              <w:pBdr>
                <w:top w:val="nil"/>
                <w:left w:val="nil"/>
                <w:bottom w:val="nil"/>
                <w:right w:val="nil"/>
                <w:between w:val="nil"/>
              </w:pBdr>
              <w:tabs>
                <w:tab w:val="left" w:pos="555"/>
              </w:tabs>
              <w:spacing w:after="0" w:line="360" w:lineRule="auto"/>
              <w:ind w:left="14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bl>
    <w:p w14:paraId="7A3B5594" w14:textId="77777777" w:rsidR="002B3741" w:rsidRPr="002B3741" w:rsidRDefault="002B3741" w:rsidP="00CB1E7A">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514F09A6"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9.- </w:t>
      </w:r>
      <w:r w:rsidRPr="002B3741">
        <w:rPr>
          <w:rFonts w:ascii="Arial" w:eastAsia="Arial" w:hAnsi="Arial"/>
          <w:color w:val="000000"/>
          <w:sz w:val="20"/>
          <w:szCs w:val="20"/>
          <w:lang w:val="es-ES" w:eastAsia="es-MX"/>
        </w:rPr>
        <w:t>Los ingresos que la Hacienda Pública Municipal percibirá por concepto de aprovechamientos, se clasificarán de la siguiente manera:</w:t>
      </w:r>
    </w:p>
    <w:p w14:paraId="6031FAF2" w14:textId="77777777" w:rsidR="002B3741" w:rsidRPr="002B3741" w:rsidRDefault="002B3741" w:rsidP="002B3741">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9"/>
        <w:gridCol w:w="2312"/>
      </w:tblGrid>
      <w:tr w:rsidR="002B3741" w:rsidRPr="002B3741" w14:paraId="1549940C" w14:textId="77777777" w:rsidTr="00866779">
        <w:tc>
          <w:tcPr>
            <w:tcW w:w="3731" w:type="pct"/>
            <w:shd w:val="clear" w:color="auto" w:fill="D9D9D9"/>
          </w:tcPr>
          <w:p w14:paraId="7875075A" w14:textId="77777777" w:rsidR="002B3741" w:rsidRPr="002B3741" w:rsidRDefault="002B3741" w:rsidP="00866779">
            <w:pPr>
              <w:widowControl w:val="0"/>
              <w:spacing w:after="0" w:line="360" w:lineRule="auto"/>
              <w:jc w:val="both"/>
              <w:rPr>
                <w:rFonts w:ascii="Arial" w:eastAsia="Arial" w:hAnsi="Arial"/>
                <w:b/>
                <w:bCs/>
                <w:color w:val="000000"/>
                <w:sz w:val="20"/>
                <w:szCs w:val="20"/>
                <w:lang w:val="es-ES" w:eastAsia="es-MX"/>
              </w:rPr>
            </w:pPr>
            <w:r w:rsidRPr="002B3741">
              <w:rPr>
                <w:rFonts w:ascii="Arial" w:eastAsia="Arial" w:hAnsi="Arial"/>
                <w:b/>
                <w:color w:val="000000"/>
                <w:sz w:val="20"/>
                <w:szCs w:val="20"/>
                <w:lang w:val="es-ES" w:eastAsia="es-MX"/>
              </w:rPr>
              <w:t>Aprovechamientos</w:t>
            </w:r>
          </w:p>
        </w:tc>
        <w:tc>
          <w:tcPr>
            <w:tcW w:w="1269" w:type="pct"/>
            <w:shd w:val="clear" w:color="auto" w:fill="D9D9D9"/>
          </w:tcPr>
          <w:p w14:paraId="3CA8080C" w14:textId="3BDB88E2" w:rsidR="002B3741" w:rsidRPr="002B3741" w:rsidRDefault="002B3741" w:rsidP="00866779">
            <w:pPr>
              <w:widowControl w:val="0"/>
              <w:spacing w:after="0" w:line="360" w:lineRule="auto"/>
              <w:jc w:val="center"/>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sidR="0048642F">
              <w:rPr>
                <w:rFonts w:ascii="Arial" w:eastAsia="Arial" w:hAnsi="Arial"/>
                <w:b/>
                <w:color w:val="000000"/>
                <w:sz w:val="20"/>
                <w:szCs w:val="20"/>
                <w:lang w:val="es-ES" w:eastAsia="es-MX"/>
              </w:rPr>
              <w:t>30</w:t>
            </w:r>
            <w:r w:rsidRPr="002B37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261</w:t>
            </w:r>
            <w:r w:rsidRPr="002B3741">
              <w:rPr>
                <w:rFonts w:ascii="Arial" w:eastAsia="Arial" w:hAnsi="Arial"/>
                <w:b/>
                <w:color w:val="000000"/>
                <w:sz w:val="20"/>
                <w:szCs w:val="20"/>
                <w:lang w:val="es-ES" w:eastAsia="es-MX"/>
              </w:rPr>
              <w:t>.00</w:t>
            </w:r>
          </w:p>
        </w:tc>
      </w:tr>
      <w:tr w:rsidR="002B3741" w:rsidRPr="002B3741" w14:paraId="50FE4A69" w14:textId="77777777" w:rsidTr="00866779">
        <w:tc>
          <w:tcPr>
            <w:tcW w:w="3731" w:type="pct"/>
            <w:shd w:val="clear" w:color="000000" w:fill="FFFFFF"/>
            <w:vAlign w:val="center"/>
            <w:hideMark/>
          </w:tcPr>
          <w:p w14:paraId="42C1421D" w14:textId="77777777" w:rsidR="002B3741" w:rsidRPr="002B3741" w:rsidRDefault="002B3741" w:rsidP="00866779">
            <w:pPr>
              <w:widowControl w:val="0"/>
              <w:spacing w:after="0" w:line="360" w:lineRule="auto"/>
              <w:jc w:val="both"/>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Aprovechamientos</w:t>
            </w:r>
          </w:p>
        </w:tc>
        <w:tc>
          <w:tcPr>
            <w:tcW w:w="1269" w:type="pct"/>
            <w:shd w:val="clear" w:color="000000" w:fill="FFFFFF"/>
            <w:vAlign w:val="center"/>
          </w:tcPr>
          <w:p w14:paraId="0B121D64" w14:textId="6A335108" w:rsidR="002B3741" w:rsidRPr="002B3741" w:rsidRDefault="002B3741" w:rsidP="00866779">
            <w:pPr>
              <w:widowControl w:val="0"/>
              <w:spacing w:after="0" w:line="360" w:lineRule="auto"/>
              <w:jc w:val="center"/>
              <w:rPr>
                <w:rFonts w:ascii="Arial" w:eastAsia="Arial" w:hAnsi="Arial"/>
                <w:b/>
                <w:bCs/>
                <w:color w:val="000000"/>
                <w:sz w:val="20"/>
                <w:szCs w:val="20"/>
                <w:lang w:val="es-ES" w:eastAsia="es-MX"/>
              </w:rPr>
            </w:pPr>
            <w:r w:rsidRPr="002B3741">
              <w:rPr>
                <w:rFonts w:ascii="Arial" w:eastAsia="Arial" w:hAnsi="Arial"/>
                <w:b/>
                <w:color w:val="000000"/>
                <w:sz w:val="20"/>
                <w:szCs w:val="20"/>
                <w:lang w:val="es-ES" w:eastAsia="es-MX"/>
              </w:rPr>
              <w:t xml:space="preserve">$              </w:t>
            </w:r>
            <w:r w:rsidR="0048642F">
              <w:rPr>
                <w:rFonts w:ascii="Arial" w:eastAsia="Arial" w:hAnsi="Arial"/>
                <w:b/>
                <w:color w:val="000000"/>
                <w:sz w:val="20"/>
                <w:szCs w:val="20"/>
                <w:lang w:val="es-ES" w:eastAsia="es-MX"/>
              </w:rPr>
              <w:t>30</w:t>
            </w:r>
            <w:r w:rsidRPr="002B3741">
              <w:rPr>
                <w:rFonts w:ascii="Arial" w:eastAsia="Arial" w:hAnsi="Arial"/>
                <w:b/>
                <w:color w:val="000000"/>
                <w:sz w:val="20"/>
                <w:szCs w:val="20"/>
                <w:lang w:val="es-ES" w:eastAsia="es-MX"/>
              </w:rPr>
              <w:t>,</w:t>
            </w:r>
            <w:r w:rsidR="0048642F">
              <w:rPr>
                <w:rFonts w:ascii="Arial" w:eastAsia="Arial" w:hAnsi="Arial"/>
                <w:b/>
                <w:color w:val="000000"/>
                <w:sz w:val="20"/>
                <w:szCs w:val="20"/>
                <w:lang w:val="es-ES" w:eastAsia="es-MX"/>
              </w:rPr>
              <w:t>261</w:t>
            </w:r>
            <w:r w:rsidRPr="002B3741">
              <w:rPr>
                <w:rFonts w:ascii="Arial" w:eastAsia="Arial" w:hAnsi="Arial"/>
                <w:b/>
                <w:color w:val="000000"/>
                <w:sz w:val="20"/>
                <w:szCs w:val="20"/>
                <w:lang w:val="es-ES" w:eastAsia="es-MX"/>
              </w:rPr>
              <w:t>.00</w:t>
            </w:r>
          </w:p>
        </w:tc>
      </w:tr>
      <w:tr w:rsidR="002B3741" w:rsidRPr="002B3741" w14:paraId="085CE747" w14:textId="77777777" w:rsidTr="00866779">
        <w:tc>
          <w:tcPr>
            <w:tcW w:w="3731" w:type="pct"/>
            <w:shd w:val="clear" w:color="000000" w:fill="FFFFFF"/>
            <w:vAlign w:val="center"/>
          </w:tcPr>
          <w:p w14:paraId="46798A1E" w14:textId="77777777" w:rsidR="002B3741" w:rsidRPr="002B3741" w:rsidRDefault="002B3741" w:rsidP="00866779">
            <w:pPr>
              <w:widowControl w:val="0"/>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Multas por infracciones a las leyes y reglamentos municipales y otros ordenamientos aplicables</w:t>
            </w:r>
          </w:p>
        </w:tc>
        <w:tc>
          <w:tcPr>
            <w:tcW w:w="1269" w:type="pct"/>
            <w:shd w:val="clear" w:color="000000" w:fill="FFFFFF"/>
            <w:vAlign w:val="center"/>
          </w:tcPr>
          <w:p w14:paraId="3FB470EC" w14:textId="264B189D" w:rsidR="002B3741" w:rsidRPr="002B3741" w:rsidRDefault="002B3741" w:rsidP="00866779">
            <w:pPr>
              <w:widowControl w:val="0"/>
              <w:spacing w:after="0" w:line="360" w:lineRule="auto"/>
              <w:jc w:val="center"/>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sidR="0048642F">
              <w:rPr>
                <w:rFonts w:ascii="Arial" w:eastAsia="Arial" w:hAnsi="Arial"/>
                <w:color w:val="000000"/>
                <w:sz w:val="20"/>
                <w:szCs w:val="20"/>
                <w:lang w:val="es-ES" w:eastAsia="es-MX"/>
              </w:rPr>
              <w:t>30</w:t>
            </w:r>
            <w:r w:rsidRPr="002B3741">
              <w:rPr>
                <w:rFonts w:ascii="Arial" w:eastAsia="Arial" w:hAnsi="Arial"/>
                <w:color w:val="000000"/>
                <w:sz w:val="20"/>
                <w:szCs w:val="20"/>
                <w:lang w:val="es-ES" w:eastAsia="es-MX"/>
              </w:rPr>
              <w:t>,</w:t>
            </w:r>
            <w:r w:rsidR="0048642F">
              <w:rPr>
                <w:rFonts w:ascii="Arial" w:eastAsia="Arial" w:hAnsi="Arial"/>
                <w:color w:val="000000"/>
                <w:sz w:val="20"/>
                <w:szCs w:val="20"/>
                <w:lang w:val="es-ES" w:eastAsia="es-MX"/>
              </w:rPr>
              <w:t>261</w:t>
            </w:r>
            <w:r w:rsidRPr="002B3741">
              <w:rPr>
                <w:rFonts w:ascii="Arial" w:eastAsia="Arial" w:hAnsi="Arial"/>
                <w:color w:val="000000"/>
                <w:sz w:val="20"/>
                <w:szCs w:val="20"/>
                <w:lang w:val="es-ES" w:eastAsia="es-MX"/>
              </w:rPr>
              <w:t>.00</w:t>
            </w:r>
          </w:p>
        </w:tc>
      </w:tr>
      <w:tr w:rsidR="002B3741" w:rsidRPr="002B3741" w14:paraId="49E058BC" w14:textId="77777777" w:rsidTr="00866779">
        <w:tc>
          <w:tcPr>
            <w:tcW w:w="3731" w:type="pct"/>
            <w:shd w:val="clear" w:color="000000" w:fill="FFFFFF"/>
            <w:vAlign w:val="center"/>
          </w:tcPr>
          <w:p w14:paraId="6F214497" w14:textId="77777777" w:rsidR="002B3741" w:rsidRPr="002B3741" w:rsidRDefault="002B3741" w:rsidP="00866779">
            <w:pPr>
              <w:widowControl w:val="0"/>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Otros Aprovechamientos</w:t>
            </w:r>
          </w:p>
        </w:tc>
        <w:tc>
          <w:tcPr>
            <w:tcW w:w="1269" w:type="pct"/>
            <w:shd w:val="clear" w:color="000000" w:fill="FFFFFF"/>
            <w:vAlign w:val="center"/>
          </w:tcPr>
          <w:p w14:paraId="6A513EBA" w14:textId="77777777" w:rsidR="002B3741" w:rsidRPr="002B3741" w:rsidRDefault="002B3741" w:rsidP="00866779">
            <w:pPr>
              <w:widowControl w:val="0"/>
              <w:spacing w:after="0" w:line="360" w:lineRule="auto"/>
              <w:ind w:right="257"/>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03656531" w14:textId="77777777" w:rsidTr="00866779">
        <w:tc>
          <w:tcPr>
            <w:tcW w:w="3731" w:type="pct"/>
            <w:shd w:val="clear" w:color="000000" w:fill="FFFFFF"/>
            <w:vAlign w:val="center"/>
            <w:hideMark/>
          </w:tcPr>
          <w:p w14:paraId="3EB9051B" w14:textId="77777777" w:rsidR="002B3741" w:rsidRPr="002B3741" w:rsidRDefault="002B3741" w:rsidP="00866779">
            <w:pPr>
              <w:widowControl w:val="0"/>
              <w:spacing w:after="0" w:line="360" w:lineRule="auto"/>
              <w:jc w:val="both"/>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 xml:space="preserve">Aprovechamientos Patrimoniales </w:t>
            </w:r>
          </w:p>
        </w:tc>
        <w:tc>
          <w:tcPr>
            <w:tcW w:w="1269" w:type="pct"/>
            <w:shd w:val="clear" w:color="000000" w:fill="FFFFFF"/>
            <w:vAlign w:val="center"/>
          </w:tcPr>
          <w:p w14:paraId="5B05AA5C" w14:textId="77777777" w:rsidR="002B3741" w:rsidRPr="002B3741" w:rsidRDefault="002B3741" w:rsidP="00866779">
            <w:pPr>
              <w:widowControl w:val="0"/>
              <w:spacing w:after="0" w:line="360" w:lineRule="auto"/>
              <w:ind w:right="257"/>
              <w:jc w:val="right"/>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w:t>
            </w:r>
            <w:r w:rsidRPr="002B3741">
              <w:rPr>
                <w:rFonts w:ascii="Arial" w:eastAsia="Arial" w:hAnsi="Arial"/>
                <w:b/>
                <w:bCs/>
                <w:color w:val="000000"/>
                <w:sz w:val="20"/>
                <w:szCs w:val="20"/>
                <w:lang w:val="es-ES" w:eastAsia="es-MX"/>
              </w:rPr>
              <w:tab/>
              <w:t xml:space="preserve">           0.00</w:t>
            </w:r>
          </w:p>
        </w:tc>
      </w:tr>
      <w:tr w:rsidR="002B3741" w:rsidRPr="002B3741" w14:paraId="35313DB5" w14:textId="77777777" w:rsidTr="00866779">
        <w:tc>
          <w:tcPr>
            <w:tcW w:w="3731" w:type="pct"/>
            <w:shd w:val="clear" w:color="000000" w:fill="FFFFFF"/>
            <w:vAlign w:val="center"/>
            <w:hideMark/>
          </w:tcPr>
          <w:p w14:paraId="63E7AD24" w14:textId="77777777" w:rsidR="002B3741" w:rsidRPr="002B3741" w:rsidRDefault="002B3741" w:rsidP="00866779">
            <w:pPr>
              <w:widowControl w:val="0"/>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Aprovechamientos Patrimoniales</w:t>
            </w:r>
          </w:p>
        </w:tc>
        <w:tc>
          <w:tcPr>
            <w:tcW w:w="1269" w:type="pct"/>
            <w:shd w:val="clear" w:color="000000" w:fill="FFFFFF"/>
            <w:vAlign w:val="center"/>
          </w:tcPr>
          <w:p w14:paraId="49EA1B97" w14:textId="77777777" w:rsidR="002B3741" w:rsidRPr="002B3741" w:rsidRDefault="002B3741" w:rsidP="00866779">
            <w:pPr>
              <w:widowControl w:val="0"/>
              <w:spacing w:after="0" w:line="360" w:lineRule="auto"/>
              <w:ind w:right="257"/>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67BA9BA2" w14:textId="77777777" w:rsidTr="00866779">
        <w:tc>
          <w:tcPr>
            <w:tcW w:w="3731" w:type="pct"/>
            <w:vAlign w:val="center"/>
          </w:tcPr>
          <w:p w14:paraId="3D191807" w14:textId="77777777" w:rsidR="002B3741" w:rsidRPr="002B3741" w:rsidRDefault="002B3741" w:rsidP="00866779">
            <w:pPr>
              <w:widowControl w:val="0"/>
              <w:spacing w:after="0" w:line="360" w:lineRule="auto"/>
              <w:jc w:val="both"/>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Accesorios de Aprovechamientos</w:t>
            </w:r>
          </w:p>
        </w:tc>
        <w:tc>
          <w:tcPr>
            <w:tcW w:w="1269" w:type="pct"/>
            <w:vAlign w:val="center"/>
          </w:tcPr>
          <w:p w14:paraId="06BBA521" w14:textId="77777777" w:rsidR="002B3741" w:rsidRPr="002B3741" w:rsidRDefault="002B3741" w:rsidP="00866779">
            <w:pPr>
              <w:widowControl w:val="0"/>
              <w:spacing w:after="0" w:line="360" w:lineRule="auto"/>
              <w:ind w:right="257"/>
              <w:jc w:val="right"/>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w:t>
            </w:r>
            <w:r w:rsidRPr="002B3741">
              <w:rPr>
                <w:rFonts w:ascii="Arial" w:eastAsia="Arial" w:hAnsi="Arial"/>
                <w:b/>
                <w:bCs/>
                <w:color w:val="000000"/>
                <w:sz w:val="20"/>
                <w:szCs w:val="20"/>
                <w:lang w:val="es-ES" w:eastAsia="es-MX"/>
              </w:rPr>
              <w:tab/>
              <w:t xml:space="preserve">           0.00</w:t>
            </w:r>
          </w:p>
        </w:tc>
      </w:tr>
      <w:tr w:rsidR="002B3741" w:rsidRPr="002B3741" w14:paraId="1E05C211" w14:textId="77777777" w:rsidTr="00866779">
        <w:tc>
          <w:tcPr>
            <w:tcW w:w="3731" w:type="pct"/>
            <w:vAlign w:val="center"/>
          </w:tcPr>
          <w:p w14:paraId="7CF17BFA" w14:textId="77777777" w:rsidR="002B3741" w:rsidRPr="002B3741" w:rsidRDefault="002B3741" w:rsidP="00866779">
            <w:pPr>
              <w:widowControl w:val="0"/>
              <w:spacing w:after="0" w:line="360" w:lineRule="auto"/>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Gastos de ejecución</w:t>
            </w:r>
            <w:r w:rsidRPr="002B3741">
              <w:rPr>
                <w:rFonts w:ascii="Arial" w:eastAsia="Arial" w:hAnsi="Arial"/>
                <w:color w:val="000000"/>
                <w:sz w:val="20"/>
                <w:szCs w:val="20"/>
                <w:lang w:val="es-ES" w:eastAsia="es-MX"/>
              </w:rPr>
              <w:tab/>
            </w:r>
          </w:p>
        </w:tc>
        <w:tc>
          <w:tcPr>
            <w:tcW w:w="1269" w:type="pct"/>
            <w:vAlign w:val="center"/>
          </w:tcPr>
          <w:p w14:paraId="572E15C3" w14:textId="77777777" w:rsidR="002B3741" w:rsidRPr="002B3741" w:rsidRDefault="002B3741" w:rsidP="00866779">
            <w:pPr>
              <w:widowControl w:val="0"/>
              <w:spacing w:after="0" w:line="360" w:lineRule="auto"/>
              <w:ind w:right="257"/>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1A4FD4EF" w14:textId="77777777" w:rsidTr="00866779">
        <w:tc>
          <w:tcPr>
            <w:tcW w:w="3731" w:type="pct"/>
            <w:vAlign w:val="center"/>
          </w:tcPr>
          <w:p w14:paraId="5DF2D30D" w14:textId="77777777" w:rsidR="002B3741" w:rsidRPr="002B3741" w:rsidRDefault="002B3741" w:rsidP="00866779">
            <w:pPr>
              <w:widowControl w:val="0"/>
              <w:spacing w:after="0" w:line="360" w:lineRule="auto"/>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Actualización de aprovechamientos</w:t>
            </w:r>
          </w:p>
        </w:tc>
        <w:tc>
          <w:tcPr>
            <w:tcW w:w="1269" w:type="pct"/>
            <w:vAlign w:val="center"/>
          </w:tcPr>
          <w:p w14:paraId="47978180" w14:textId="77777777" w:rsidR="002B3741" w:rsidRPr="002B3741" w:rsidRDefault="002B3741" w:rsidP="00866779">
            <w:pPr>
              <w:widowControl w:val="0"/>
              <w:spacing w:after="0" w:line="360" w:lineRule="auto"/>
              <w:ind w:right="257"/>
              <w:jc w:val="center"/>
              <w:rPr>
                <w:rFonts w:ascii="Arial" w:eastAsia="Arial" w:hAnsi="Arial"/>
                <w:color w:val="000000"/>
                <w:sz w:val="20"/>
                <w:szCs w:val="20"/>
                <w:lang w:val="es-ES" w:eastAsia="es-MX"/>
              </w:rPr>
            </w:pPr>
            <w:r>
              <w:rPr>
                <w:rFonts w:ascii="Arial" w:eastAsia="Arial" w:hAnsi="Arial"/>
                <w:color w:val="000000"/>
                <w:sz w:val="20"/>
                <w:szCs w:val="20"/>
                <w:lang w:val="es-ES" w:eastAsia="es-MX"/>
              </w:rPr>
              <w:t xml:space="preserve">   </w:t>
            </w: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w:t>
            </w:r>
            <w:r>
              <w:rPr>
                <w:rFonts w:ascii="Arial" w:eastAsia="Arial" w:hAnsi="Arial"/>
                <w:color w:val="000000"/>
                <w:sz w:val="20"/>
                <w:szCs w:val="20"/>
                <w:lang w:val="es-ES" w:eastAsia="es-MX"/>
              </w:rPr>
              <w:t xml:space="preserve">    </w:t>
            </w: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 xml:space="preserve">   </w:t>
            </w:r>
            <w:r w:rsidRPr="002B3741">
              <w:rPr>
                <w:rFonts w:ascii="Arial" w:eastAsia="Arial" w:hAnsi="Arial"/>
                <w:color w:val="000000"/>
                <w:sz w:val="20"/>
                <w:szCs w:val="20"/>
                <w:lang w:val="es-ES" w:eastAsia="es-MX"/>
              </w:rPr>
              <w:t xml:space="preserve"> 0.00</w:t>
            </w:r>
          </w:p>
        </w:tc>
      </w:tr>
      <w:tr w:rsidR="002B3741" w:rsidRPr="002B3741" w14:paraId="0D5511E6" w14:textId="77777777" w:rsidTr="00866779">
        <w:tc>
          <w:tcPr>
            <w:tcW w:w="3731" w:type="pct"/>
            <w:shd w:val="clear" w:color="000000" w:fill="FFFFFF"/>
            <w:vAlign w:val="center"/>
            <w:hideMark/>
          </w:tcPr>
          <w:p w14:paraId="03A8889B" w14:textId="77777777" w:rsidR="002B3741" w:rsidRPr="002B3741" w:rsidRDefault="002B3741" w:rsidP="000C669A">
            <w:pPr>
              <w:widowControl w:val="0"/>
              <w:spacing w:after="0" w:line="240" w:lineRule="auto"/>
              <w:ind w:right="71"/>
              <w:jc w:val="both"/>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Aprovechamientos no comprendidos en la Ley de Ingresos vigente, causados en ejercicios fiscales anteriores pendientes de liquidación o pago</w:t>
            </w:r>
          </w:p>
        </w:tc>
        <w:tc>
          <w:tcPr>
            <w:tcW w:w="1269" w:type="pct"/>
            <w:vAlign w:val="center"/>
          </w:tcPr>
          <w:p w14:paraId="738D4320" w14:textId="77777777" w:rsidR="002B3741" w:rsidRPr="002B3741" w:rsidRDefault="002B3741" w:rsidP="000C669A">
            <w:pPr>
              <w:widowControl w:val="0"/>
              <w:spacing w:after="0" w:line="240" w:lineRule="auto"/>
              <w:ind w:right="257"/>
              <w:jc w:val="center"/>
              <w:rPr>
                <w:rFonts w:ascii="Arial" w:eastAsia="Arial" w:hAnsi="Arial"/>
                <w:b/>
                <w:bCs/>
                <w:color w:val="000000"/>
                <w:sz w:val="20"/>
                <w:szCs w:val="20"/>
                <w:lang w:val="es-ES" w:eastAsia="es-MX"/>
              </w:rPr>
            </w:pPr>
            <w:r>
              <w:rPr>
                <w:rFonts w:ascii="Arial" w:eastAsia="Arial" w:hAnsi="Arial"/>
                <w:b/>
                <w:bCs/>
                <w:color w:val="000000"/>
                <w:sz w:val="20"/>
                <w:szCs w:val="20"/>
                <w:lang w:val="es-ES" w:eastAsia="es-MX"/>
              </w:rPr>
              <w:t xml:space="preserve">   </w:t>
            </w:r>
            <w:r w:rsidRPr="002B3741">
              <w:rPr>
                <w:rFonts w:ascii="Arial" w:eastAsia="Arial" w:hAnsi="Arial"/>
                <w:b/>
                <w:bCs/>
                <w:color w:val="000000"/>
                <w:sz w:val="20"/>
                <w:szCs w:val="20"/>
                <w:lang w:val="es-ES" w:eastAsia="es-MX"/>
              </w:rPr>
              <w:t>$</w:t>
            </w:r>
            <w:r w:rsidRPr="002B3741">
              <w:rPr>
                <w:rFonts w:ascii="Arial" w:eastAsia="Arial" w:hAnsi="Arial"/>
                <w:b/>
                <w:bCs/>
                <w:color w:val="000000"/>
                <w:sz w:val="20"/>
                <w:szCs w:val="20"/>
                <w:lang w:val="es-ES" w:eastAsia="es-MX"/>
              </w:rPr>
              <w:tab/>
              <w:t xml:space="preserve">   </w:t>
            </w:r>
            <w:r>
              <w:rPr>
                <w:rFonts w:ascii="Arial" w:eastAsia="Arial" w:hAnsi="Arial"/>
                <w:b/>
                <w:bCs/>
                <w:color w:val="000000"/>
                <w:sz w:val="20"/>
                <w:szCs w:val="20"/>
                <w:lang w:val="es-ES" w:eastAsia="es-MX"/>
              </w:rPr>
              <w:t xml:space="preserve">     </w:t>
            </w:r>
            <w:r w:rsidRPr="002B3741">
              <w:rPr>
                <w:rFonts w:ascii="Arial" w:eastAsia="Arial" w:hAnsi="Arial"/>
                <w:b/>
                <w:bCs/>
                <w:color w:val="000000"/>
                <w:sz w:val="20"/>
                <w:szCs w:val="20"/>
                <w:lang w:val="es-ES" w:eastAsia="es-MX"/>
              </w:rPr>
              <w:t xml:space="preserve">   </w:t>
            </w:r>
            <w:r>
              <w:rPr>
                <w:rFonts w:ascii="Arial" w:eastAsia="Arial" w:hAnsi="Arial"/>
                <w:b/>
                <w:bCs/>
                <w:color w:val="000000"/>
                <w:sz w:val="20"/>
                <w:szCs w:val="20"/>
                <w:lang w:val="es-ES" w:eastAsia="es-MX"/>
              </w:rPr>
              <w:t xml:space="preserve">  </w:t>
            </w:r>
            <w:r w:rsidRPr="002B3741">
              <w:rPr>
                <w:rFonts w:ascii="Arial" w:eastAsia="Arial" w:hAnsi="Arial"/>
                <w:b/>
                <w:bCs/>
                <w:color w:val="000000"/>
                <w:sz w:val="20"/>
                <w:szCs w:val="20"/>
                <w:lang w:val="es-ES" w:eastAsia="es-MX"/>
              </w:rPr>
              <w:t xml:space="preserve"> 0.00</w:t>
            </w:r>
          </w:p>
        </w:tc>
      </w:tr>
    </w:tbl>
    <w:p w14:paraId="139C4DFE" w14:textId="77777777" w:rsidR="002B3741" w:rsidRPr="002B3741" w:rsidRDefault="002B3741" w:rsidP="000C669A">
      <w:pPr>
        <w:widowControl w:val="0"/>
        <w:pBdr>
          <w:top w:val="nil"/>
          <w:left w:val="nil"/>
          <w:bottom w:val="nil"/>
          <w:right w:val="nil"/>
          <w:between w:val="nil"/>
        </w:pBdr>
        <w:spacing w:after="0" w:line="240" w:lineRule="auto"/>
        <w:jc w:val="both"/>
        <w:rPr>
          <w:rFonts w:ascii="Arial" w:eastAsia="Arial" w:hAnsi="Arial"/>
          <w:b/>
          <w:color w:val="000000"/>
          <w:sz w:val="20"/>
          <w:szCs w:val="20"/>
          <w:lang w:val="es-ES" w:eastAsia="es-MX"/>
        </w:rPr>
      </w:pPr>
    </w:p>
    <w:p w14:paraId="6E68CDE8"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10.- </w:t>
      </w:r>
      <w:r w:rsidRPr="002B3741">
        <w:rPr>
          <w:rFonts w:ascii="Arial" w:eastAsia="Arial" w:hAnsi="Arial"/>
          <w:color w:val="000000"/>
          <w:sz w:val="20"/>
          <w:szCs w:val="20"/>
          <w:lang w:val="es-ES" w:eastAsia="es-MX"/>
        </w:rPr>
        <w:t>Los ingresos por Ventas de Bienes, Prestación de Servicios y Otros Ingresos que podrá percibir la Hacienda Pública Municipal serán los siguientes:</w:t>
      </w:r>
    </w:p>
    <w:p w14:paraId="45B025CE" w14:textId="77777777" w:rsidR="002B3741" w:rsidRPr="002B3741" w:rsidRDefault="002B3741" w:rsidP="00CB1E7A">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58"/>
        <w:gridCol w:w="2453"/>
      </w:tblGrid>
      <w:tr w:rsidR="002B3741" w:rsidRPr="002B3741" w14:paraId="3BEEB8D7" w14:textId="77777777" w:rsidTr="002B3741">
        <w:trPr>
          <w:trHeight w:val="20"/>
        </w:trPr>
        <w:tc>
          <w:tcPr>
            <w:tcW w:w="3654" w:type="pct"/>
            <w:shd w:val="clear" w:color="auto" w:fill="D9D9D9"/>
            <w:vAlign w:val="center"/>
          </w:tcPr>
          <w:p w14:paraId="11A738AA"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Ingresos por Ventas de Bienes, Prestación de Servicios y Otros Ingresos</w:t>
            </w:r>
          </w:p>
        </w:tc>
        <w:tc>
          <w:tcPr>
            <w:tcW w:w="1346" w:type="pct"/>
            <w:shd w:val="clear" w:color="auto" w:fill="D9D9D9"/>
            <w:vAlign w:val="center"/>
          </w:tcPr>
          <w:p w14:paraId="573589A7" w14:textId="77777777" w:rsidR="002B3741" w:rsidRPr="002B3741" w:rsidRDefault="002B3741" w:rsidP="00866779">
            <w:pPr>
              <w:widowControl w:val="0"/>
              <w:pBdr>
                <w:top w:val="nil"/>
                <w:left w:val="nil"/>
                <w:bottom w:val="nil"/>
                <w:right w:val="nil"/>
                <w:between w:val="nil"/>
              </w:pBdr>
              <w:tabs>
                <w:tab w:val="left" w:pos="1058"/>
              </w:tabs>
              <w:spacing w:after="0" w:line="360" w:lineRule="auto"/>
              <w:ind w:left="709"/>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2B3741" w:rsidRPr="002B3741" w14:paraId="4832DB74" w14:textId="77777777" w:rsidTr="002B3741">
        <w:trPr>
          <w:trHeight w:val="20"/>
        </w:trPr>
        <w:tc>
          <w:tcPr>
            <w:tcW w:w="3654" w:type="pct"/>
            <w:vAlign w:val="center"/>
          </w:tcPr>
          <w:p w14:paraId="5035DC88"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Ingresos por venta de bienes y prestación de servicios de entidades paraestatales y fideicomisos no empresariales y no financieros </w:t>
            </w:r>
          </w:p>
        </w:tc>
        <w:tc>
          <w:tcPr>
            <w:tcW w:w="1346" w:type="pct"/>
            <w:vAlign w:val="center"/>
          </w:tcPr>
          <w:p w14:paraId="3D5A31BC" w14:textId="77777777" w:rsidR="002B3741" w:rsidRPr="002B3741" w:rsidRDefault="002B3741" w:rsidP="00866779">
            <w:pPr>
              <w:widowControl w:val="0"/>
              <w:pBdr>
                <w:top w:val="nil"/>
                <w:left w:val="nil"/>
                <w:bottom w:val="nil"/>
                <w:right w:val="nil"/>
                <w:between w:val="nil"/>
              </w:pBdr>
              <w:tabs>
                <w:tab w:val="left" w:pos="1055"/>
              </w:tabs>
              <w:spacing w:after="0" w:line="360" w:lineRule="auto"/>
              <w:ind w:left="709"/>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2B3741" w:rsidRPr="002B3741" w14:paraId="0C0E79CB" w14:textId="77777777" w:rsidTr="002B3741">
        <w:trPr>
          <w:trHeight w:val="20"/>
        </w:trPr>
        <w:tc>
          <w:tcPr>
            <w:tcW w:w="3654" w:type="pct"/>
            <w:vAlign w:val="center"/>
          </w:tcPr>
          <w:p w14:paraId="6219C908"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Otros Ingresos </w:t>
            </w:r>
          </w:p>
        </w:tc>
        <w:tc>
          <w:tcPr>
            <w:tcW w:w="1346" w:type="pct"/>
            <w:vAlign w:val="center"/>
          </w:tcPr>
          <w:p w14:paraId="12421439" w14:textId="77777777" w:rsidR="002B3741" w:rsidRPr="002B3741" w:rsidRDefault="002B3741" w:rsidP="00866779">
            <w:pPr>
              <w:widowControl w:val="0"/>
              <w:pBdr>
                <w:top w:val="nil"/>
                <w:left w:val="nil"/>
                <w:bottom w:val="nil"/>
                <w:right w:val="nil"/>
                <w:between w:val="nil"/>
              </w:pBdr>
              <w:tabs>
                <w:tab w:val="left" w:pos="1055"/>
              </w:tabs>
              <w:spacing w:after="0" w:line="360" w:lineRule="auto"/>
              <w:ind w:left="709"/>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bl>
    <w:p w14:paraId="50982305"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lastRenderedPageBreak/>
        <w:t xml:space="preserve">Artículo 11.- </w:t>
      </w:r>
      <w:r w:rsidRPr="002B3741">
        <w:rPr>
          <w:rFonts w:ascii="Arial" w:eastAsia="Arial" w:hAnsi="Arial"/>
          <w:color w:val="000000"/>
          <w:sz w:val="20"/>
          <w:szCs w:val="20"/>
          <w:lang w:val="es-ES" w:eastAsia="es-MX"/>
        </w:rPr>
        <w:t>Los ingresos por Participaciones, Aportaciones, Convenios, Incentivos Derivados de la Colaboración Fiscal y Fondos Distintos de Aportaciones que percibirá la Hacienda Pública Municipal se integrarán por los siguientes conceptos:</w:t>
      </w:r>
    </w:p>
    <w:p w14:paraId="778467CE" w14:textId="77777777" w:rsidR="002B3741" w:rsidRPr="002B3741" w:rsidRDefault="002B3741" w:rsidP="002B3741">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312"/>
      </w:tblGrid>
      <w:tr w:rsidR="002B3741" w:rsidRPr="002B3741" w14:paraId="605DBD68" w14:textId="77777777" w:rsidTr="002B3741">
        <w:trPr>
          <w:trHeight w:val="20"/>
        </w:trPr>
        <w:tc>
          <w:tcPr>
            <w:tcW w:w="3731" w:type="pct"/>
            <w:shd w:val="clear" w:color="auto" w:fill="D9D9D9"/>
          </w:tcPr>
          <w:p w14:paraId="2D8F46BE"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Participaciones</w:t>
            </w:r>
          </w:p>
        </w:tc>
        <w:tc>
          <w:tcPr>
            <w:tcW w:w="1269" w:type="pct"/>
            <w:shd w:val="clear" w:color="auto" w:fill="D9D9D9"/>
            <w:vAlign w:val="center"/>
          </w:tcPr>
          <w:p w14:paraId="6C99B911" w14:textId="14E97593" w:rsidR="002B3741" w:rsidRPr="002B3741" w:rsidRDefault="002B3741" w:rsidP="00866779">
            <w:pPr>
              <w:widowControl w:val="0"/>
              <w:pBdr>
                <w:top w:val="nil"/>
                <w:left w:val="nil"/>
                <w:bottom w:val="nil"/>
                <w:right w:val="nil"/>
                <w:between w:val="nil"/>
              </w:pBdr>
              <w:spacing w:after="0" w:line="360" w:lineRule="auto"/>
              <w:ind w:right="185"/>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2</w:t>
            </w:r>
            <w:r w:rsidR="0000798B">
              <w:rPr>
                <w:rFonts w:ascii="Arial" w:eastAsia="Arial" w:hAnsi="Arial"/>
                <w:b/>
                <w:color w:val="000000"/>
                <w:sz w:val="20"/>
                <w:szCs w:val="20"/>
                <w:lang w:val="es-ES" w:eastAsia="es-MX"/>
              </w:rPr>
              <w:t>2</w:t>
            </w:r>
            <w:r w:rsidRPr="002B3741">
              <w:rPr>
                <w:rFonts w:ascii="Arial" w:eastAsia="Arial" w:hAnsi="Arial"/>
                <w:b/>
                <w:color w:val="000000"/>
                <w:sz w:val="20"/>
                <w:szCs w:val="20"/>
                <w:lang w:val="es-ES" w:eastAsia="es-MX"/>
              </w:rPr>
              <w:t>’</w:t>
            </w:r>
            <w:r w:rsidR="0000798B">
              <w:rPr>
                <w:rFonts w:ascii="Arial" w:eastAsia="Arial" w:hAnsi="Arial"/>
                <w:b/>
                <w:color w:val="000000"/>
                <w:sz w:val="20"/>
                <w:szCs w:val="20"/>
                <w:lang w:val="es-ES" w:eastAsia="es-MX"/>
              </w:rPr>
              <w:t>620</w:t>
            </w:r>
            <w:r w:rsidRPr="002B3741">
              <w:rPr>
                <w:rFonts w:ascii="Arial" w:eastAsia="Arial" w:hAnsi="Arial"/>
                <w:b/>
                <w:color w:val="000000"/>
                <w:sz w:val="20"/>
                <w:szCs w:val="20"/>
                <w:lang w:val="es-ES" w:eastAsia="es-MX"/>
              </w:rPr>
              <w:t>,</w:t>
            </w:r>
            <w:r w:rsidR="006B6141">
              <w:rPr>
                <w:rFonts w:ascii="Arial" w:eastAsia="Arial" w:hAnsi="Arial"/>
                <w:b/>
                <w:color w:val="000000"/>
                <w:sz w:val="20"/>
                <w:szCs w:val="20"/>
                <w:lang w:val="es-ES" w:eastAsia="es-MX"/>
              </w:rPr>
              <w:t>4</w:t>
            </w:r>
            <w:r w:rsidR="0000798B">
              <w:rPr>
                <w:rFonts w:ascii="Arial" w:eastAsia="Arial" w:hAnsi="Arial"/>
                <w:b/>
                <w:color w:val="000000"/>
                <w:sz w:val="20"/>
                <w:szCs w:val="20"/>
                <w:lang w:val="es-ES" w:eastAsia="es-MX"/>
              </w:rPr>
              <w:t>96</w:t>
            </w:r>
            <w:r w:rsidRPr="002B3741">
              <w:rPr>
                <w:rFonts w:ascii="Arial" w:eastAsia="Arial" w:hAnsi="Arial"/>
                <w:b/>
                <w:color w:val="000000"/>
                <w:sz w:val="20"/>
                <w:szCs w:val="20"/>
                <w:lang w:val="es-ES" w:eastAsia="es-MX"/>
              </w:rPr>
              <w:t>.00</w:t>
            </w:r>
          </w:p>
        </w:tc>
      </w:tr>
      <w:tr w:rsidR="002B3741" w:rsidRPr="002B3741" w14:paraId="13C90388" w14:textId="77777777" w:rsidTr="002B3741">
        <w:trPr>
          <w:trHeight w:val="20"/>
        </w:trPr>
        <w:tc>
          <w:tcPr>
            <w:tcW w:w="3731" w:type="pct"/>
          </w:tcPr>
          <w:p w14:paraId="07381EEB"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Participaciones Federales y Estatales</w:t>
            </w:r>
          </w:p>
        </w:tc>
        <w:tc>
          <w:tcPr>
            <w:tcW w:w="1269" w:type="pct"/>
            <w:vAlign w:val="center"/>
          </w:tcPr>
          <w:p w14:paraId="0F06D293" w14:textId="519BEC98" w:rsidR="002B3741" w:rsidRPr="002B3741" w:rsidRDefault="002B3741" w:rsidP="00866779">
            <w:pPr>
              <w:widowControl w:val="0"/>
              <w:pBdr>
                <w:top w:val="nil"/>
                <w:left w:val="nil"/>
                <w:bottom w:val="nil"/>
                <w:right w:val="nil"/>
                <w:between w:val="nil"/>
              </w:pBdr>
              <w:spacing w:after="0" w:line="360" w:lineRule="auto"/>
              <w:ind w:right="185"/>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2</w:t>
            </w:r>
            <w:r w:rsidR="0000798B">
              <w:rPr>
                <w:rFonts w:ascii="Arial" w:eastAsia="Arial" w:hAnsi="Arial"/>
                <w:color w:val="000000"/>
                <w:sz w:val="20"/>
                <w:szCs w:val="20"/>
                <w:lang w:val="es-ES" w:eastAsia="es-MX"/>
              </w:rPr>
              <w:t>2</w:t>
            </w:r>
            <w:r w:rsidRPr="002B3741">
              <w:rPr>
                <w:rFonts w:ascii="Arial" w:eastAsia="Arial" w:hAnsi="Arial"/>
                <w:color w:val="000000"/>
                <w:sz w:val="20"/>
                <w:szCs w:val="20"/>
                <w:lang w:val="es-ES" w:eastAsia="es-MX"/>
              </w:rPr>
              <w:t>’</w:t>
            </w:r>
            <w:r w:rsidR="0000798B">
              <w:rPr>
                <w:rFonts w:ascii="Arial" w:eastAsia="Arial" w:hAnsi="Arial"/>
                <w:color w:val="000000"/>
                <w:sz w:val="20"/>
                <w:szCs w:val="20"/>
                <w:lang w:val="es-ES" w:eastAsia="es-MX"/>
              </w:rPr>
              <w:t>620</w:t>
            </w:r>
            <w:r w:rsidRPr="002B3741">
              <w:rPr>
                <w:rFonts w:ascii="Arial" w:eastAsia="Arial" w:hAnsi="Arial"/>
                <w:color w:val="000000"/>
                <w:sz w:val="20"/>
                <w:szCs w:val="20"/>
                <w:lang w:val="es-ES" w:eastAsia="es-MX"/>
              </w:rPr>
              <w:t>,</w:t>
            </w:r>
            <w:r w:rsidR="006B6141">
              <w:rPr>
                <w:rFonts w:ascii="Arial" w:eastAsia="Arial" w:hAnsi="Arial"/>
                <w:color w:val="000000"/>
                <w:sz w:val="20"/>
                <w:szCs w:val="20"/>
                <w:lang w:val="es-ES" w:eastAsia="es-MX"/>
              </w:rPr>
              <w:t>4</w:t>
            </w:r>
            <w:r w:rsidR="0000798B">
              <w:rPr>
                <w:rFonts w:ascii="Arial" w:eastAsia="Arial" w:hAnsi="Arial"/>
                <w:color w:val="000000"/>
                <w:sz w:val="20"/>
                <w:szCs w:val="20"/>
                <w:lang w:val="es-ES" w:eastAsia="es-MX"/>
              </w:rPr>
              <w:t>96</w:t>
            </w:r>
            <w:r w:rsidRPr="002B3741">
              <w:rPr>
                <w:rFonts w:ascii="Arial" w:eastAsia="Arial" w:hAnsi="Arial"/>
                <w:color w:val="000000"/>
                <w:sz w:val="20"/>
                <w:szCs w:val="20"/>
                <w:lang w:val="es-ES" w:eastAsia="es-MX"/>
              </w:rPr>
              <w:t>.00</w:t>
            </w:r>
          </w:p>
        </w:tc>
      </w:tr>
    </w:tbl>
    <w:p w14:paraId="21993FBD" w14:textId="77777777" w:rsidR="002B3741" w:rsidRPr="002B3741" w:rsidRDefault="002B3741" w:rsidP="002B3741">
      <w:pPr>
        <w:widowControl w:val="0"/>
        <w:spacing w:after="0" w:line="240" w:lineRule="auto"/>
        <w:ind w:left="2357" w:right="2358"/>
        <w:jc w:val="center"/>
        <w:outlineLvl w:val="0"/>
        <w:rPr>
          <w:rFonts w:ascii="Arial" w:eastAsia="Arial" w:hAnsi="Arial"/>
          <w:b/>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312"/>
      </w:tblGrid>
      <w:tr w:rsidR="002B3741" w:rsidRPr="002B3741" w14:paraId="55B8ACBF" w14:textId="77777777" w:rsidTr="002B3741">
        <w:trPr>
          <w:trHeight w:val="20"/>
        </w:trPr>
        <w:tc>
          <w:tcPr>
            <w:tcW w:w="3731" w:type="pct"/>
            <w:shd w:val="clear" w:color="auto" w:fill="D9D9D9"/>
          </w:tcPr>
          <w:p w14:paraId="0F2F0C81"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Aportaciones</w:t>
            </w:r>
          </w:p>
        </w:tc>
        <w:tc>
          <w:tcPr>
            <w:tcW w:w="1269" w:type="pct"/>
            <w:shd w:val="clear" w:color="auto" w:fill="D9D9D9"/>
            <w:vAlign w:val="center"/>
          </w:tcPr>
          <w:p w14:paraId="1AFF7859" w14:textId="4042C2A5" w:rsidR="002B3741" w:rsidRPr="002B3741" w:rsidRDefault="002B3741" w:rsidP="00866779">
            <w:pPr>
              <w:widowControl w:val="0"/>
              <w:pBdr>
                <w:top w:val="nil"/>
                <w:left w:val="nil"/>
                <w:bottom w:val="nil"/>
                <w:right w:val="nil"/>
                <w:between w:val="nil"/>
              </w:pBdr>
              <w:spacing w:after="0" w:line="360" w:lineRule="auto"/>
              <w:ind w:right="185"/>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9’</w:t>
            </w:r>
            <w:r w:rsidR="0000798B">
              <w:rPr>
                <w:rFonts w:ascii="Arial" w:eastAsia="Arial" w:hAnsi="Arial"/>
                <w:b/>
                <w:color w:val="000000"/>
                <w:sz w:val="20"/>
                <w:szCs w:val="20"/>
                <w:lang w:val="es-ES" w:eastAsia="es-MX"/>
              </w:rPr>
              <w:t>996</w:t>
            </w:r>
            <w:r w:rsidR="006B6141">
              <w:rPr>
                <w:rFonts w:ascii="Arial" w:eastAsia="Arial" w:hAnsi="Arial"/>
                <w:b/>
                <w:color w:val="000000"/>
                <w:sz w:val="20"/>
                <w:szCs w:val="20"/>
                <w:lang w:val="es-ES" w:eastAsia="es-MX"/>
              </w:rPr>
              <w:t>,</w:t>
            </w:r>
            <w:r w:rsidR="0000798B">
              <w:rPr>
                <w:rFonts w:ascii="Arial" w:eastAsia="Arial" w:hAnsi="Arial"/>
                <w:b/>
                <w:color w:val="000000"/>
                <w:sz w:val="20"/>
                <w:szCs w:val="20"/>
                <w:lang w:val="es-ES" w:eastAsia="es-MX"/>
              </w:rPr>
              <w:t>992</w:t>
            </w:r>
            <w:r w:rsidRPr="002B3741">
              <w:rPr>
                <w:rFonts w:ascii="Arial" w:eastAsia="Arial" w:hAnsi="Arial"/>
                <w:b/>
                <w:color w:val="000000"/>
                <w:sz w:val="20"/>
                <w:szCs w:val="20"/>
                <w:lang w:val="es-ES" w:eastAsia="es-MX"/>
              </w:rPr>
              <w:t>.00</w:t>
            </w:r>
          </w:p>
        </w:tc>
      </w:tr>
      <w:tr w:rsidR="002B3741" w:rsidRPr="002B3741" w14:paraId="3454DA3F" w14:textId="77777777" w:rsidTr="002B3741">
        <w:trPr>
          <w:trHeight w:val="20"/>
        </w:trPr>
        <w:tc>
          <w:tcPr>
            <w:tcW w:w="3731" w:type="pct"/>
          </w:tcPr>
          <w:p w14:paraId="28C800FE"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Fondo de Aportaciones para la Infraestructura Social Municipal</w:t>
            </w:r>
          </w:p>
        </w:tc>
        <w:tc>
          <w:tcPr>
            <w:tcW w:w="1269" w:type="pct"/>
            <w:vAlign w:val="center"/>
          </w:tcPr>
          <w:p w14:paraId="1BDACF71" w14:textId="49DACCF0" w:rsidR="002B3741" w:rsidRPr="002B3741" w:rsidRDefault="002B3741" w:rsidP="00866779">
            <w:pPr>
              <w:widowControl w:val="0"/>
              <w:pBdr>
                <w:top w:val="nil"/>
                <w:left w:val="nil"/>
                <w:bottom w:val="nil"/>
                <w:right w:val="nil"/>
                <w:between w:val="nil"/>
              </w:pBdr>
              <w:spacing w:after="0" w:line="360" w:lineRule="auto"/>
              <w:ind w:right="185"/>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3’</w:t>
            </w:r>
            <w:r w:rsidR="0000798B">
              <w:rPr>
                <w:rFonts w:ascii="Arial" w:eastAsia="Arial" w:hAnsi="Arial"/>
                <w:color w:val="000000"/>
                <w:sz w:val="20"/>
                <w:szCs w:val="20"/>
                <w:lang w:val="es-ES" w:eastAsia="es-MX"/>
              </w:rPr>
              <w:t>751</w:t>
            </w:r>
            <w:r w:rsidR="006B6141">
              <w:rPr>
                <w:rFonts w:ascii="Arial" w:eastAsia="Arial" w:hAnsi="Arial"/>
                <w:color w:val="000000"/>
                <w:sz w:val="20"/>
                <w:szCs w:val="20"/>
                <w:lang w:val="es-ES" w:eastAsia="es-MX"/>
              </w:rPr>
              <w:t>,</w:t>
            </w:r>
            <w:r w:rsidR="0000798B">
              <w:rPr>
                <w:rFonts w:ascii="Arial" w:eastAsia="Arial" w:hAnsi="Arial"/>
                <w:color w:val="000000"/>
                <w:sz w:val="20"/>
                <w:szCs w:val="20"/>
                <w:lang w:val="es-ES" w:eastAsia="es-MX"/>
              </w:rPr>
              <w:t>042</w:t>
            </w:r>
            <w:r w:rsidRPr="002B3741">
              <w:rPr>
                <w:rFonts w:ascii="Arial" w:eastAsia="Arial" w:hAnsi="Arial"/>
                <w:color w:val="000000"/>
                <w:sz w:val="20"/>
                <w:szCs w:val="20"/>
                <w:lang w:val="es-ES" w:eastAsia="es-MX"/>
              </w:rPr>
              <w:t>.00</w:t>
            </w:r>
          </w:p>
        </w:tc>
      </w:tr>
      <w:tr w:rsidR="002B3741" w:rsidRPr="002B3741" w14:paraId="44B39C03" w14:textId="77777777" w:rsidTr="002B3741">
        <w:trPr>
          <w:trHeight w:val="20"/>
        </w:trPr>
        <w:tc>
          <w:tcPr>
            <w:tcW w:w="3731" w:type="pct"/>
          </w:tcPr>
          <w:p w14:paraId="36458591"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Fondo de Aportaciones para el Fortalecimiento Municipal</w:t>
            </w:r>
          </w:p>
        </w:tc>
        <w:tc>
          <w:tcPr>
            <w:tcW w:w="1269" w:type="pct"/>
            <w:vAlign w:val="center"/>
          </w:tcPr>
          <w:p w14:paraId="2421EDFC" w14:textId="3F044796" w:rsidR="002B3741" w:rsidRPr="002B3741" w:rsidRDefault="002B3741" w:rsidP="00866779">
            <w:pPr>
              <w:widowControl w:val="0"/>
              <w:pBdr>
                <w:top w:val="nil"/>
                <w:left w:val="nil"/>
                <w:bottom w:val="nil"/>
                <w:right w:val="nil"/>
                <w:between w:val="nil"/>
              </w:pBdr>
              <w:spacing w:after="0" w:line="360" w:lineRule="auto"/>
              <w:ind w:right="185"/>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bookmarkStart w:id="0" w:name="OLE_LINK1"/>
            <w:r w:rsidR="006B6141">
              <w:rPr>
                <w:rFonts w:ascii="Arial" w:eastAsia="Arial" w:hAnsi="Arial"/>
                <w:color w:val="000000"/>
                <w:sz w:val="20"/>
                <w:szCs w:val="20"/>
                <w:lang w:val="es-ES" w:eastAsia="es-MX"/>
              </w:rPr>
              <w:t>6</w:t>
            </w:r>
            <w:r w:rsidRPr="002B3741">
              <w:rPr>
                <w:rFonts w:ascii="Arial" w:eastAsia="Arial" w:hAnsi="Arial"/>
                <w:color w:val="000000"/>
                <w:sz w:val="20"/>
                <w:szCs w:val="20"/>
                <w:lang w:val="es-ES" w:eastAsia="es-MX"/>
              </w:rPr>
              <w:t>’</w:t>
            </w:r>
            <w:r w:rsidR="0000798B">
              <w:rPr>
                <w:rFonts w:ascii="Arial" w:eastAsia="Arial" w:hAnsi="Arial"/>
                <w:color w:val="000000"/>
                <w:sz w:val="20"/>
                <w:szCs w:val="20"/>
                <w:lang w:val="es-ES" w:eastAsia="es-MX"/>
              </w:rPr>
              <w:t>245</w:t>
            </w:r>
            <w:r w:rsidRPr="002B3741">
              <w:rPr>
                <w:rFonts w:ascii="Arial" w:eastAsia="Arial" w:hAnsi="Arial"/>
                <w:color w:val="000000"/>
                <w:sz w:val="20"/>
                <w:szCs w:val="20"/>
                <w:lang w:val="es-ES" w:eastAsia="es-MX"/>
              </w:rPr>
              <w:t>,</w:t>
            </w:r>
            <w:r w:rsidR="006B6141">
              <w:rPr>
                <w:rFonts w:ascii="Arial" w:eastAsia="Arial" w:hAnsi="Arial"/>
                <w:color w:val="000000"/>
                <w:sz w:val="20"/>
                <w:szCs w:val="20"/>
                <w:lang w:val="es-ES" w:eastAsia="es-MX"/>
              </w:rPr>
              <w:t>95</w:t>
            </w:r>
            <w:r w:rsidR="0000798B">
              <w:rPr>
                <w:rFonts w:ascii="Arial" w:eastAsia="Arial" w:hAnsi="Arial"/>
                <w:color w:val="000000"/>
                <w:sz w:val="20"/>
                <w:szCs w:val="20"/>
                <w:lang w:val="es-ES" w:eastAsia="es-MX"/>
              </w:rPr>
              <w:t>0</w:t>
            </w:r>
            <w:r w:rsidRPr="002B3741">
              <w:rPr>
                <w:rFonts w:ascii="Arial" w:eastAsia="Arial" w:hAnsi="Arial"/>
                <w:color w:val="000000"/>
                <w:sz w:val="20"/>
                <w:szCs w:val="20"/>
                <w:lang w:val="es-ES" w:eastAsia="es-MX"/>
              </w:rPr>
              <w:t>.00</w:t>
            </w:r>
            <w:bookmarkEnd w:id="0"/>
          </w:p>
        </w:tc>
      </w:tr>
    </w:tbl>
    <w:p w14:paraId="3974F329" w14:textId="77777777" w:rsidR="002B3741" w:rsidRPr="002B3741" w:rsidRDefault="002B3741" w:rsidP="002B3741">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312"/>
      </w:tblGrid>
      <w:tr w:rsidR="002B3741" w:rsidRPr="002B3741" w14:paraId="2E25E8A3" w14:textId="77777777" w:rsidTr="002B3741">
        <w:trPr>
          <w:trHeight w:val="20"/>
        </w:trPr>
        <w:tc>
          <w:tcPr>
            <w:tcW w:w="3731" w:type="pct"/>
            <w:shd w:val="clear" w:color="auto" w:fill="D9D9D9"/>
          </w:tcPr>
          <w:p w14:paraId="56A13E17"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Convenios</w:t>
            </w:r>
          </w:p>
        </w:tc>
        <w:tc>
          <w:tcPr>
            <w:tcW w:w="1269" w:type="pct"/>
            <w:shd w:val="clear" w:color="auto" w:fill="D9D9D9"/>
          </w:tcPr>
          <w:p w14:paraId="02D7DC2A" w14:textId="16C47D31"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        1</w:t>
            </w:r>
            <w:r w:rsidR="0000798B">
              <w:rPr>
                <w:rFonts w:ascii="Arial" w:eastAsia="Arial" w:hAnsi="Arial"/>
                <w:b/>
                <w:color w:val="000000"/>
                <w:sz w:val="20"/>
                <w:szCs w:val="20"/>
                <w:lang w:val="es-ES" w:eastAsia="es-MX"/>
              </w:rPr>
              <w:t>6</w:t>
            </w:r>
            <w:r w:rsidRPr="002B3741">
              <w:rPr>
                <w:rFonts w:ascii="Arial" w:eastAsia="Arial" w:hAnsi="Arial"/>
                <w:b/>
                <w:color w:val="000000"/>
                <w:sz w:val="20"/>
                <w:szCs w:val="20"/>
                <w:lang w:val="es-ES" w:eastAsia="es-MX"/>
              </w:rPr>
              <w:t>’</w:t>
            </w:r>
            <w:r w:rsidR="0000798B">
              <w:rPr>
                <w:rFonts w:ascii="Arial" w:eastAsia="Arial" w:hAnsi="Arial"/>
                <w:b/>
                <w:color w:val="000000"/>
                <w:sz w:val="20"/>
                <w:szCs w:val="20"/>
                <w:lang w:val="es-ES" w:eastAsia="es-MX"/>
              </w:rPr>
              <w:t>116</w:t>
            </w:r>
            <w:r w:rsidRPr="002B3741">
              <w:rPr>
                <w:rFonts w:ascii="Arial" w:eastAsia="Arial" w:hAnsi="Arial"/>
                <w:b/>
                <w:color w:val="000000"/>
                <w:sz w:val="20"/>
                <w:szCs w:val="20"/>
                <w:lang w:val="es-ES" w:eastAsia="es-MX"/>
              </w:rPr>
              <w:t>,</w:t>
            </w:r>
            <w:r w:rsidR="006B6141">
              <w:rPr>
                <w:rFonts w:ascii="Arial" w:eastAsia="Arial" w:hAnsi="Arial"/>
                <w:b/>
                <w:color w:val="000000"/>
                <w:sz w:val="20"/>
                <w:szCs w:val="20"/>
                <w:lang w:val="es-ES" w:eastAsia="es-MX"/>
              </w:rPr>
              <w:t>4</w:t>
            </w:r>
            <w:r w:rsidR="0000798B">
              <w:rPr>
                <w:rFonts w:ascii="Arial" w:eastAsia="Arial" w:hAnsi="Arial"/>
                <w:b/>
                <w:color w:val="000000"/>
                <w:sz w:val="20"/>
                <w:szCs w:val="20"/>
                <w:lang w:val="es-ES" w:eastAsia="es-MX"/>
              </w:rPr>
              <w:t>36</w:t>
            </w:r>
            <w:r w:rsidRPr="002B3741">
              <w:rPr>
                <w:rFonts w:ascii="Arial" w:eastAsia="Arial" w:hAnsi="Arial"/>
                <w:b/>
                <w:color w:val="000000"/>
                <w:sz w:val="20"/>
                <w:szCs w:val="20"/>
                <w:lang w:val="es-ES" w:eastAsia="es-MX"/>
              </w:rPr>
              <w:t>.00</w:t>
            </w:r>
          </w:p>
        </w:tc>
      </w:tr>
      <w:tr w:rsidR="002B3741" w:rsidRPr="002B3741" w14:paraId="4C5B63E4" w14:textId="77777777" w:rsidTr="002B3741">
        <w:trPr>
          <w:trHeight w:val="20"/>
        </w:trPr>
        <w:tc>
          <w:tcPr>
            <w:tcW w:w="3731" w:type="pct"/>
          </w:tcPr>
          <w:p w14:paraId="7F5A8397" w14:textId="77777777" w:rsidR="002B3741" w:rsidRPr="002B3741" w:rsidRDefault="002B3741" w:rsidP="00866779">
            <w:pPr>
              <w:widowControl w:val="0"/>
              <w:pBdr>
                <w:top w:val="nil"/>
                <w:left w:val="nil"/>
                <w:bottom w:val="nil"/>
                <w:right w:val="nil"/>
                <w:between w:val="nil"/>
              </w:pBdr>
              <w:spacing w:after="0" w:line="360" w:lineRule="auto"/>
              <w:ind w:right="82"/>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Con la Federación o el Estado: Hábitat, Tu Casa, Rescate de Espacios Públicos</w:t>
            </w:r>
          </w:p>
        </w:tc>
        <w:tc>
          <w:tcPr>
            <w:tcW w:w="1269" w:type="pct"/>
            <w:vAlign w:val="center"/>
          </w:tcPr>
          <w:p w14:paraId="4E77288C" w14:textId="554D8401" w:rsidR="002B3741" w:rsidRPr="002B3741" w:rsidRDefault="002B3741" w:rsidP="00866779">
            <w:pPr>
              <w:widowControl w:val="0"/>
              <w:pBdr>
                <w:top w:val="nil"/>
                <w:left w:val="nil"/>
                <w:bottom w:val="nil"/>
                <w:right w:val="nil"/>
                <w:between w:val="nil"/>
              </w:pBdr>
              <w:spacing w:after="0" w:line="360" w:lineRule="auto"/>
              <w:ind w:right="185"/>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1</w:t>
            </w:r>
            <w:r w:rsidR="0000798B">
              <w:rPr>
                <w:rFonts w:ascii="Arial" w:eastAsia="Arial" w:hAnsi="Arial"/>
                <w:color w:val="000000"/>
                <w:sz w:val="20"/>
                <w:szCs w:val="20"/>
                <w:lang w:val="es-ES" w:eastAsia="es-MX"/>
              </w:rPr>
              <w:t>6</w:t>
            </w:r>
            <w:r w:rsidRPr="002B3741">
              <w:rPr>
                <w:rFonts w:ascii="Arial" w:eastAsia="Arial" w:hAnsi="Arial"/>
                <w:color w:val="000000"/>
                <w:sz w:val="20"/>
                <w:szCs w:val="20"/>
                <w:lang w:val="es-ES" w:eastAsia="es-MX"/>
              </w:rPr>
              <w:t>’</w:t>
            </w:r>
            <w:r w:rsidR="0000798B">
              <w:rPr>
                <w:rFonts w:ascii="Arial" w:eastAsia="Arial" w:hAnsi="Arial"/>
                <w:color w:val="000000"/>
                <w:sz w:val="20"/>
                <w:szCs w:val="20"/>
                <w:lang w:val="es-ES" w:eastAsia="es-MX"/>
              </w:rPr>
              <w:t>116</w:t>
            </w:r>
            <w:r w:rsidRPr="002B3741">
              <w:rPr>
                <w:rFonts w:ascii="Arial" w:eastAsia="Arial" w:hAnsi="Arial"/>
                <w:color w:val="000000"/>
                <w:sz w:val="20"/>
                <w:szCs w:val="20"/>
                <w:lang w:val="es-ES" w:eastAsia="es-MX"/>
              </w:rPr>
              <w:t>,</w:t>
            </w:r>
            <w:r w:rsidR="006B6141">
              <w:rPr>
                <w:rFonts w:ascii="Arial" w:eastAsia="Arial" w:hAnsi="Arial"/>
                <w:color w:val="000000"/>
                <w:sz w:val="20"/>
                <w:szCs w:val="20"/>
                <w:lang w:val="es-ES" w:eastAsia="es-MX"/>
              </w:rPr>
              <w:t>4</w:t>
            </w:r>
            <w:r w:rsidR="0000798B">
              <w:rPr>
                <w:rFonts w:ascii="Arial" w:eastAsia="Arial" w:hAnsi="Arial"/>
                <w:color w:val="000000"/>
                <w:sz w:val="20"/>
                <w:szCs w:val="20"/>
                <w:lang w:val="es-ES" w:eastAsia="es-MX"/>
              </w:rPr>
              <w:t>36</w:t>
            </w:r>
            <w:r w:rsidRPr="002B3741">
              <w:rPr>
                <w:rFonts w:ascii="Arial" w:eastAsia="Arial" w:hAnsi="Arial"/>
                <w:color w:val="000000"/>
                <w:sz w:val="20"/>
                <w:szCs w:val="20"/>
                <w:lang w:val="es-ES" w:eastAsia="es-MX"/>
              </w:rPr>
              <w:t>.00</w:t>
            </w:r>
          </w:p>
        </w:tc>
      </w:tr>
    </w:tbl>
    <w:p w14:paraId="69140448" w14:textId="77777777" w:rsidR="002B3741" w:rsidRPr="002B3741" w:rsidRDefault="002B3741" w:rsidP="002B3741">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CellMar>
          <w:left w:w="72" w:type="dxa"/>
          <w:right w:w="72" w:type="dxa"/>
        </w:tblCellMar>
        <w:tblLook w:val="0000" w:firstRow="0" w:lastRow="0" w:firstColumn="0" w:lastColumn="0" w:noHBand="0" w:noVBand="0"/>
      </w:tblPr>
      <w:tblGrid>
        <w:gridCol w:w="6796"/>
        <w:gridCol w:w="2309"/>
      </w:tblGrid>
      <w:tr w:rsidR="002B3741" w:rsidRPr="002B3741" w14:paraId="6D67C541" w14:textId="77777777" w:rsidTr="00866779">
        <w:tc>
          <w:tcPr>
            <w:tcW w:w="3732" w:type="pct"/>
            <w:tcBorders>
              <w:top w:val="single" w:sz="6" w:space="0" w:color="auto"/>
              <w:left w:val="single" w:sz="6" w:space="0" w:color="auto"/>
              <w:bottom w:val="single" w:sz="6" w:space="0" w:color="auto"/>
              <w:right w:val="single" w:sz="6" w:space="0" w:color="auto"/>
            </w:tcBorders>
            <w:shd w:val="clear" w:color="auto" w:fill="D9D9D9"/>
            <w:vAlign w:val="center"/>
          </w:tcPr>
          <w:p w14:paraId="3FF531EC" w14:textId="77777777" w:rsidR="002B3741" w:rsidRPr="002B3741" w:rsidRDefault="002B3741" w:rsidP="00866779">
            <w:pPr>
              <w:spacing w:after="0" w:line="360" w:lineRule="auto"/>
              <w:jc w:val="both"/>
              <w:rPr>
                <w:rFonts w:ascii="Arial" w:eastAsia="Times New Roman" w:hAnsi="Arial"/>
                <w:b/>
                <w:sz w:val="20"/>
                <w:szCs w:val="20"/>
                <w:lang w:val="es-ES" w:eastAsia="es-ES"/>
              </w:rPr>
            </w:pPr>
            <w:r w:rsidRPr="002B3741">
              <w:rPr>
                <w:rFonts w:ascii="Arial" w:eastAsia="Times New Roman" w:hAnsi="Arial"/>
                <w:b/>
                <w:sz w:val="20"/>
                <w:szCs w:val="20"/>
                <w:lang w:val="es-ES" w:eastAsia="es-ES"/>
              </w:rPr>
              <w:t>Incentivos Derivados de la Colaboración Fiscal</w:t>
            </w:r>
          </w:p>
        </w:tc>
        <w:tc>
          <w:tcPr>
            <w:tcW w:w="1268" w:type="pct"/>
            <w:tcBorders>
              <w:top w:val="single" w:sz="6" w:space="0" w:color="auto"/>
              <w:left w:val="single" w:sz="6" w:space="0" w:color="auto"/>
              <w:bottom w:val="single" w:sz="6" w:space="0" w:color="auto"/>
              <w:right w:val="single" w:sz="6" w:space="0" w:color="auto"/>
            </w:tcBorders>
            <w:shd w:val="clear" w:color="auto" w:fill="D9D9D9"/>
            <w:vAlign w:val="center"/>
          </w:tcPr>
          <w:p w14:paraId="3C88F690" w14:textId="77777777" w:rsidR="002B3741" w:rsidRPr="002B3741" w:rsidRDefault="002B3741" w:rsidP="00866779">
            <w:pPr>
              <w:spacing w:after="0" w:line="360" w:lineRule="auto"/>
              <w:jc w:val="both"/>
              <w:rPr>
                <w:rFonts w:ascii="Arial" w:eastAsia="Times New Roman" w:hAnsi="Arial"/>
                <w:b/>
                <w:sz w:val="20"/>
                <w:szCs w:val="20"/>
                <w:lang w:val="es-ES" w:eastAsia="es-ES"/>
              </w:rPr>
            </w:pPr>
          </w:p>
        </w:tc>
      </w:tr>
      <w:tr w:rsidR="002B3741" w:rsidRPr="002B3741" w14:paraId="79709D72" w14:textId="77777777" w:rsidTr="00866779">
        <w:tc>
          <w:tcPr>
            <w:tcW w:w="3732" w:type="pct"/>
            <w:tcBorders>
              <w:top w:val="single" w:sz="6" w:space="0" w:color="auto"/>
              <w:left w:val="single" w:sz="6" w:space="0" w:color="auto"/>
              <w:bottom w:val="single" w:sz="6" w:space="0" w:color="auto"/>
              <w:right w:val="single" w:sz="6" w:space="0" w:color="auto"/>
            </w:tcBorders>
            <w:vAlign w:val="center"/>
          </w:tcPr>
          <w:p w14:paraId="410751BD" w14:textId="77777777" w:rsidR="002B3741" w:rsidRPr="002B3741" w:rsidRDefault="002B3741" w:rsidP="00866779">
            <w:pPr>
              <w:spacing w:after="0" w:line="360" w:lineRule="auto"/>
              <w:jc w:val="both"/>
              <w:rPr>
                <w:rFonts w:ascii="Arial" w:eastAsia="Times New Roman" w:hAnsi="Arial"/>
                <w:sz w:val="20"/>
                <w:szCs w:val="20"/>
                <w:lang w:val="es-ES" w:eastAsia="es-ES"/>
              </w:rPr>
            </w:pPr>
            <w:r w:rsidRPr="002B3741">
              <w:rPr>
                <w:rFonts w:ascii="Arial" w:eastAsia="Times New Roman" w:hAnsi="Arial"/>
                <w:sz w:val="20"/>
                <w:szCs w:val="20"/>
                <w:lang w:val="es-ES" w:eastAsia="es-ES"/>
              </w:rPr>
              <w:t>&gt; Incentivos Derivados de la Colaboración Fiscal</w:t>
            </w:r>
          </w:p>
        </w:tc>
        <w:tc>
          <w:tcPr>
            <w:tcW w:w="1268" w:type="pct"/>
            <w:tcBorders>
              <w:top w:val="single" w:sz="6" w:space="0" w:color="auto"/>
              <w:left w:val="single" w:sz="6" w:space="0" w:color="auto"/>
              <w:bottom w:val="single" w:sz="6" w:space="0" w:color="auto"/>
              <w:right w:val="single" w:sz="6" w:space="0" w:color="auto"/>
            </w:tcBorders>
            <w:vAlign w:val="center"/>
          </w:tcPr>
          <w:p w14:paraId="50D794B4" w14:textId="77777777" w:rsidR="002B3741" w:rsidRPr="002B3741" w:rsidRDefault="002B3741" w:rsidP="00866779">
            <w:pPr>
              <w:spacing w:after="0" w:line="360" w:lineRule="auto"/>
              <w:jc w:val="both"/>
              <w:rPr>
                <w:rFonts w:ascii="Arial" w:eastAsia="Times New Roman" w:hAnsi="Arial"/>
                <w:sz w:val="20"/>
                <w:szCs w:val="20"/>
                <w:lang w:val="es-ES" w:eastAsia="es-ES"/>
              </w:rPr>
            </w:pPr>
            <w:r w:rsidRPr="002B3741">
              <w:rPr>
                <w:rFonts w:ascii="Arial" w:eastAsia="Times New Roman" w:hAnsi="Arial"/>
                <w:sz w:val="20"/>
                <w:szCs w:val="20"/>
                <w:lang w:val="es-ES" w:eastAsia="es-ES"/>
              </w:rPr>
              <w:t>$</w:t>
            </w:r>
            <w:r w:rsidRPr="002B3741">
              <w:rPr>
                <w:rFonts w:ascii="Arial" w:eastAsia="Times New Roman" w:hAnsi="Arial"/>
                <w:sz w:val="20"/>
                <w:szCs w:val="20"/>
                <w:lang w:val="es-ES" w:eastAsia="es-ES"/>
              </w:rPr>
              <w:tab/>
              <w:t xml:space="preserve">             0.00</w:t>
            </w:r>
          </w:p>
        </w:tc>
      </w:tr>
    </w:tbl>
    <w:p w14:paraId="7055195E" w14:textId="77777777" w:rsidR="002B3741" w:rsidRPr="002B3741" w:rsidRDefault="002B3741" w:rsidP="002B3741">
      <w:pPr>
        <w:widowControl w:val="0"/>
        <w:spacing w:after="0" w:line="240" w:lineRule="auto"/>
        <w:rPr>
          <w:rFonts w:ascii="Arial" w:eastAsia="Arial" w:hAnsi="Arial"/>
          <w:lang w:val="es-ES" w:eastAsia="es-MX"/>
        </w:rPr>
      </w:pPr>
    </w:p>
    <w:tbl>
      <w:tblPr>
        <w:tblW w:w="5000" w:type="pct"/>
        <w:tblCellMar>
          <w:left w:w="72" w:type="dxa"/>
          <w:right w:w="72" w:type="dxa"/>
        </w:tblCellMar>
        <w:tblLook w:val="0000" w:firstRow="0" w:lastRow="0" w:firstColumn="0" w:lastColumn="0" w:noHBand="0" w:noVBand="0"/>
      </w:tblPr>
      <w:tblGrid>
        <w:gridCol w:w="6796"/>
        <w:gridCol w:w="2309"/>
      </w:tblGrid>
      <w:tr w:rsidR="002B3741" w:rsidRPr="002B3741" w14:paraId="3367A041" w14:textId="77777777" w:rsidTr="00866779">
        <w:tc>
          <w:tcPr>
            <w:tcW w:w="3732" w:type="pct"/>
            <w:tcBorders>
              <w:top w:val="single" w:sz="6" w:space="0" w:color="auto"/>
              <w:left w:val="single" w:sz="6" w:space="0" w:color="auto"/>
              <w:bottom w:val="single" w:sz="6" w:space="0" w:color="auto"/>
              <w:right w:val="single" w:sz="6" w:space="0" w:color="auto"/>
            </w:tcBorders>
            <w:shd w:val="clear" w:color="auto" w:fill="D9D9D9"/>
            <w:vAlign w:val="center"/>
          </w:tcPr>
          <w:p w14:paraId="0BBB2E34" w14:textId="77777777" w:rsidR="002B3741" w:rsidRPr="002B3741" w:rsidRDefault="002B3741" w:rsidP="00866779">
            <w:pPr>
              <w:spacing w:after="0" w:line="360" w:lineRule="auto"/>
              <w:jc w:val="both"/>
              <w:rPr>
                <w:rFonts w:ascii="Arial" w:eastAsia="Times New Roman" w:hAnsi="Arial"/>
                <w:b/>
                <w:sz w:val="20"/>
                <w:szCs w:val="20"/>
                <w:lang w:val="es-ES" w:eastAsia="es-ES"/>
              </w:rPr>
            </w:pPr>
            <w:r w:rsidRPr="002B3741">
              <w:rPr>
                <w:rFonts w:ascii="Arial" w:eastAsia="Times New Roman" w:hAnsi="Arial"/>
                <w:b/>
                <w:sz w:val="20"/>
                <w:szCs w:val="20"/>
                <w:lang w:val="es-ES" w:eastAsia="es-ES"/>
              </w:rPr>
              <w:t>Fondos Distintos de Aportaciones</w:t>
            </w:r>
          </w:p>
        </w:tc>
        <w:tc>
          <w:tcPr>
            <w:tcW w:w="1268" w:type="pct"/>
            <w:tcBorders>
              <w:top w:val="single" w:sz="6" w:space="0" w:color="auto"/>
              <w:left w:val="single" w:sz="6" w:space="0" w:color="auto"/>
              <w:bottom w:val="single" w:sz="6" w:space="0" w:color="auto"/>
              <w:right w:val="single" w:sz="6" w:space="0" w:color="auto"/>
            </w:tcBorders>
            <w:shd w:val="clear" w:color="auto" w:fill="D9D9D9"/>
            <w:vAlign w:val="center"/>
          </w:tcPr>
          <w:p w14:paraId="26E82888" w14:textId="77777777" w:rsidR="002B3741" w:rsidRPr="002B3741" w:rsidRDefault="002B3741" w:rsidP="00866779">
            <w:pPr>
              <w:spacing w:after="0" w:line="360" w:lineRule="auto"/>
              <w:jc w:val="both"/>
              <w:rPr>
                <w:rFonts w:ascii="Arial" w:eastAsia="Times New Roman" w:hAnsi="Arial"/>
                <w:b/>
                <w:sz w:val="20"/>
                <w:szCs w:val="20"/>
                <w:lang w:val="es-ES" w:eastAsia="es-ES"/>
              </w:rPr>
            </w:pPr>
          </w:p>
        </w:tc>
      </w:tr>
      <w:tr w:rsidR="002B3741" w:rsidRPr="002B3741" w14:paraId="4473F524" w14:textId="77777777" w:rsidTr="00866779">
        <w:tc>
          <w:tcPr>
            <w:tcW w:w="3732" w:type="pct"/>
            <w:tcBorders>
              <w:top w:val="single" w:sz="6" w:space="0" w:color="auto"/>
              <w:left w:val="single" w:sz="6" w:space="0" w:color="auto"/>
              <w:bottom w:val="single" w:sz="6" w:space="0" w:color="auto"/>
              <w:right w:val="single" w:sz="6" w:space="0" w:color="auto"/>
            </w:tcBorders>
            <w:vAlign w:val="center"/>
          </w:tcPr>
          <w:p w14:paraId="297BB5F5" w14:textId="77777777" w:rsidR="002B3741" w:rsidRPr="002B3741" w:rsidRDefault="002B3741" w:rsidP="00866779">
            <w:pPr>
              <w:spacing w:after="0" w:line="360" w:lineRule="auto"/>
              <w:jc w:val="both"/>
              <w:rPr>
                <w:rFonts w:ascii="Arial" w:eastAsia="Times New Roman" w:hAnsi="Arial"/>
                <w:sz w:val="20"/>
                <w:szCs w:val="20"/>
                <w:lang w:val="es-ES" w:eastAsia="es-ES"/>
              </w:rPr>
            </w:pPr>
            <w:r w:rsidRPr="002B3741">
              <w:rPr>
                <w:rFonts w:ascii="Arial" w:eastAsia="Times New Roman" w:hAnsi="Arial"/>
                <w:sz w:val="20"/>
                <w:szCs w:val="20"/>
                <w:lang w:val="es-ES" w:eastAsia="es-ES"/>
              </w:rPr>
              <w:t>&gt; Fondos Distintos de Aportaciones</w:t>
            </w:r>
          </w:p>
        </w:tc>
        <w:tc>
          <w:tcPr>
            <w:tcW w:w="1268" w:type="pct"/>
            <w:tcBorders>
              <w:top w:val="single" w:sz="6" w:space="0" w:color="auto"/>
              <w:left w:val="single" w:sz="6" w:space="0" w:color="auto"/>
              <w:bottom w:val="single" w:sz="6" w:space="0" w:color="auto"/>
              <w:right w:val="single" w:sz="6" w:space="0" w:color="auto"/>
            </w:tcBorders>
            <w:vAlign w:val="center"/>
          </w:tcPr>
          <w:p w14:paraId="0A003167" w14:textId="77777777" w:rsidR="002B3741" w:rsidRPr="002B3741" w:rsidRDefault="002B3741" w:rsidP="00866779">
            <w:pPr>
              <w:spacing w:after="0" w:line="360" w:lineRule="auto"/>
              <w:jc w:val="both"/>
              <w:rPr>
                <w:rFonts w:ascii="Arial" w:eastAsia="Times New Roman" w:hAnsi="Arial"/>
                <w:sz w:val="20"/>
                <w:szCs w:val="20"/>
                <w:lang w:val="es-ES" w:eastAsia="es-ES"/>
              </w:rPr>
            </w:pPr>
            <w:r w:rsidRPr="002B3741">
              <w:rPr>
                <w:rFonts w:ascii="Arial" w:eastAsia="Times New Roman" w:hAnsi="Arial"/>
                <w:sz w:val="20"/>
                <w:szCs w:val="20"/>
                <w:lang w:val="es-ES" w:eastAsia="es-ES"/>
              </w:rPr>
              <w:t>$</w:t>
            </w:r>
            <w:r w:rsidRPr="002B3741">
              <w:rPr>
                <w:rFonts w:ascii="Arial" w:eastAsia="Times New Roman" w:hAnsi="Arial"/>
                <w:sz w:val="20"/>
                <w:szCs w:val="20"/>
                <w:lang w:val="es-ES" w:eastAsia="es-ES"/>
              </w:rPr>
              <w:tab/>
              <w:t xml:space="preserve">             0.00</w:t>
            </w:r>
          </w:p>
        </w:tc>
      </w:tr>
    </w:tbl>
    <w:p w14:paraId="2F902CD0"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913ED05"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12.- </w:t>
      </w:r>
      <w:r w:rsidRPr="002B3741">
        <w:rPr>
          <w:rFonts w:ascii="Arial" w:eastAsia="Arial" w:hAnsi="Arial"/>
          <w:color w:val="000000"/>
          <w:sz w:val="20"/>
          <w:szCs w:val="20"/>
          <w:lang w:val="es-ES" w:eastAsia="es-MX"/>
        </w:rPr>
        <w:t>Los ingresos por Transferencias, Asignaciones, Subsidios y Subvenciones, y Pensiones y Jubilaciones que percibirá la Hacienda Pública Municipal se integrarán por los siguientes conceptos:</w:t>
      </w:r>
    </w:p>
    <w:p w14:paraId="1C78C145" w14:textId="77777777" w:rsidR="002B3741" w:rsidRPr="002B3741" w:rsidRDefault="002B3741" w:rsidP="00866779">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3"/>
        <w:gridCol w:w="2157"/>
      </w:tblGrid>
      <w:tr w:rsidR="002B3741" w:rsidRPr="002B3741" w14:paraId="53B5106C" w14:textId="77777777" w:rsidTr="002B3741">
        <w:trPr>
          <w:trHeight w:val="20"/>
        </w:trPr>
        <w:tc>
          <w:tcPr>
            <w:tcW w:w="6483" w:type="dxa"/>
            <w:shd w:val="clear" w:color="auto" w:fill="D9D9D9"/>
          </w:tcPr>
          <w:p w14:paraId="5F9B2F7C"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Transferencias, Asignaciones, Subsidios y Subvenciones, y Pensiones y Jubilaciones</w:t>
            </w:r>
          </w:p>
        </w:tc>
        <w:tc>
          <w:tcPr>
            <w:tcW w:w="2157" w:type="dxa"/>
            <w:shd w:val="clear" w:color="auto" w:fill="D9D9D9"/>
          </w:tcPr>
          <w:p w14:paraId="5F798375" w14:textId="77777777" w:rsidR="002B3741" w:rsidRPr="002B3741" w:rsidRDefault="002B3741" w:rsidP="002B3741">
            <w:pPr>
              <w:widowControl w:val="0"/>
              <w:pBdr>
                <w:top w:val="nil"/>
                <w:left w:val="nil"/>
                <w:bottom w:val="nil"/>
                <w:right w:val="nil"/>
                <w:between w:val="nil"/>
              </w:pBdr>
              <w:tabs>
                <w:tab w:val="left" w:pos="1056"/>
              </w:tabs>
              <w:spacing w:after="0" w:line="360" w:lineRule="auto"/>
              <w:ind w:left="106"/>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2B3741" w:rsidRPr="002B3741" w14:paraId="76DB58C5" w14:textId="77777777" w:rsidTr="002B3741">
        <w:trPr>
          <w:trHeight w:val="20"/>
        </w:trPr>
        <w:tc>
          <w:tcPr>
            <w:tcW w:w="6483" w:type="dxa"/>
          </w:tcPr>
          <w:p w14:paraId="6443CECE"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Transferencias y Asignaciones </w:t>
            </w:r>
          </w:p>
        </w:tc>
        <w:tc>
          <w:tcPr>
            <w:tcW w:w="2157" w:type="dxa"/>
          </w:tcPr>
          <w:p w14:paraId="1861B14B" w14:textId="77777777" w:rsidR="002B3741" w:rsidRPr="002B3741" w:rsidRDefault="002B3741" w:rsidP="002B3741">
            <w:pPr>
              <w:widowControl w:val="0"/>
              <w:pBdr>
                <w:top w:val="nil"/>
                <w:left w:val="nil"/>
                <w:bottom w:val="nil"/>
                <w:right w:val="nil"/>
                <w:between w:val="nil"/>
              </w:pBdr>
              <w:tabs>
                <w:tab w:val="left" w:pos="1055"/>
              </w:tabs>
              <w:spacing w:after="0" w:line="360" w:lineRule="auto"/>
              <w:ind w:left="106"/>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2B3741" w:rsidRPr="002B3741" w14:paraId="22C8F149" w14:textId="77777777" w:rsidTr="002B3741">
        <w:trPr>
          <w:trHeight w:val="20"/>
        </w:trPr>
        <w:tc>
          <w:tcPr>
            <w:tcW w:w="6483" w:type="dxa"/>
          </w:tcPr>
          <w:p w14:paraId="57E96531" w14:textId="77777777" w:rsidR="002B3741" w:rsidRPr="002B3741" w:rsidRDefault="002B3741" w:rsidP="00866779">
            <w:pPr>
              <w:widowControl w:val="0"/>
              <w:pBdr>
                <w:top w:val="nil"/>
                <w:left w:val="nil"/>
                <w:bottom w:val="nil"/>
                <w:right w:val="nil"/>
                <w:between w:val="nil"/>
              </w:pBdr>
              <w:tabs>
                <w:tab w:val="left" w:pos="1296"/>
                <w:tab w:val="left" w:pos="1946"/>
                <w:tab w:val="left" w:pos="3131"/>
                <w:tab w:val="left" w:pos="3761"/>
                <w:tab w:val="left" w:pos="5068"/>
                <w:tab w:val="left" w:pos="6197"/>
              </w:tabs>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Las recibidas por conceptos diversos a participaciones, aportaciones o aprovechamientos</w:t>
            </w:r>
          </w:p>
        </w:tc>
        <w:tc>
          <w:tcPr>
            <w:tcW w:w="2157" w:type="dxa"/>
            <w:vAlign w:val="center"/>
          </w:tcPr>
          <w:p w14:paraId="2FDBEABC" w14:textId="77777777" w:rsidR="002B3741" w:rsidRPr="002B3741" w:rsidRDefault="002B3741" w:rsidP="002B3741">
            <w:pPr>
              <w:widowControl w:val="0"/>
              <w:pBdr>
                <w:top w:val="nil"/>
                <w:left w:val="nil"/>
                <w:bottom w:val="nil"/>
                <w:right w:val="nil"/>
                <w:between w:val="nil"/>
              </w:pBdr>
              <w:tabs>
                <w:tab w:val="left" w:pos="1055"/>
              </w:tabs>
              <w:spacing w:after="0" w:line="360" w:lineRule="auto"/>
              <w:ind w:left="106"/>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2B3741" w:rsidRPr="002B3741" w14:paraId="7D632E70" w14:textId="77777777" w:rsidTr="002B3741">
        <w:trPr>
          <w:trHeight w:val="20"/>
        </w:trPr>
        <w:tc>
          <w:tcPr>
            <w:tcW w:w="6483" w:type="dxa"/>
          </w:tcPr>
          <w:p w14:paraId="11DD3FD6"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Subsidios y Subvenciones</w:t>
            </w:r>
          </w:p>
        </w:tc>
        <w:tc>
          <w:tcPr>
            <w:tcW w:w="2157" w:type="dxa"/>
          </w:tcPr>
          <w:p w14:paraId="6FE69EB3" w14:textId="77777777" w:rsidR="002B3741" w:rsidRPr="002B3741" w:rsidRDefault="002B3741" w:rsidP="002B3741">
            <w:pPr>
              <w:widowControl w:val="0"/>
              <w:pBdr>
                <w:top w:val="nil"/>
                <w:left w:val="nil"/>
                <w:bottom w:val="nil"/>
                <w:right w:val="nil"/>
                <w:between w:val="nil"/>
              </w:pBdr>
              <w:tabs>
                <w:tab w:val="left" w:pos="1058"/>
              </w:tabs>
              <w:spacing w:after="0" w:line="360" w:lineRule="auto"/>
              <w:ind w:left="106"/>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bl>
    <w:p w14:paraId="60F970CD" w14:textId="77777777" w:rsidR="002B3741" w:rsidRPr="002B3741" w:rsidRDefault="002B3741" w:rsidP="00CB1E7A">
      <w:pPr>
        <w:widowControl w:val="0"/>
        <w:spacing w:after="0" w:line="240" w:lineRule="auto"/>
        <w:rPr>
          <w:rFonts w:ascii="Arial" w:eastAsia="Arial" w:hAnsi="Arial"/>
          <w:sz w:val="20"/>
          <w:szCs w:val="20"/>
          <w:lang w:val="es-ES" w:eastAsia="es-MX"/>
        </w:rPr>
      </w:pPr>
    </w:p>
    <w:p w14:paraId="5C695AE3"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13.- </w:t>
      </w:r>
      <w:r w:rsidRPr="002B3741">
        <w:rPr>
          <w:rFonts w:ascii="Arial" w:eastAsia="Arial" w:hAnsi="Arial"/>
          <w:color w:val="000000"/>
          <w:sz w:val="20"/>
          <w:szCs w:val="20"/>
          <w:lang w:val="es-ES" w:eastAsia="es-MX"/>
        </w:rPr>
        <w:t>Los ingresos por Ingresos Derivados de Financiamientos que percibirá la Hacienda Pública Municipal se integrarán por los siguientes conceptos:</w:t>
      </w:r>
    </w:p>
    <w:p w14:paraId="50D09E51" w14:textId="77777777" w:rsidR="002B3741" w:rsidRPr="002B3741" w:rsidRDefault="002B3741" w:rsidP="00CB1E7A">
      <w:pPr>
        <w:widowControl w:val="0"/>
        <w:spacing w:after="0" w:line="240" w:lineRule="auto"/>
        <w:rPr>
          <w:rFonts w:ascii="Arial" w:eastAsia="Arial" w:hAnsi="Arial"/>
          <w:sz w:val="20"/>
          <w:szCs w:val="20"/>
          <w:lang w:val="es-ES" w:eastAsia="es-MX"/>
        </w:rPr>
      </w:pPr>
    </w:p>
    <w:tbl>
      <w:tblPr>
        <w:tblW w:w="86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8"/>
        <w:gridCol w:w="2152"/>
      </w:tblGrid>
      <w:tr w:rsidR="002B3741" w:rsidRPr="002B3741" w14:paraId="5C05930A" w14:textId="77777777" w:rsidTr="00866779">
        <w:tc>
          <w:tcPr>
            <w:tcW w:w="6488" w:type="dxa"/>
            <w:shd w:val="clear" w:color="auto" w:fill="D9D9D9"/>
          </w:tcPr>
          <w:p w14:paraId="6E5659D2" w14:textId="77777777" w:rsidR="002B3741" w:rsidRPr="002B3741" w:rsidRDefault="002B3741" w:rsidP="00866779">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Ingresos Derivados de Financiamientos</w:t>
            </w:r>
          </w:p>
        </w:tc>
        <w:tc>
          <w:tcPr>
            <w:tcW w:w="2152" w:type="dxa"/>
            <w:shd w:val="clear" w:color="auto" w:fill="D9D9D9"/>
          </w:tcPr>
          <w:p w14:paraId="01C0C9AD" w14:textId="77777777" w:rsidR="002B3741" w:rsidRPr="002B3741" w:rsidRDefault="002B3741" w:rsidP="00866779">
            <w:pPr>
              <w:widowControl w:val="0"/>
              <w:pBdr>
                <w:top w:val="nil"/>
                <w:left w:val="nil"/>
                <w:bottom w:val="nil"/>
                <w:right w:val="nil"/>
                <w:between w:val="nil"/>
              </w:pBdr>
              <w:tabs>
                <w:tab w:val="left" w:pos="1055"/>
              </w:tabs>
              <w:spacing w:after="0" w:line="360" w:lineRule="auto"/>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2B3741" w:rsidRPr="002B3741" w14:paraId="1191550C" w14:textId="77777777" w:rsidTr="00866779">
        <w:tc>
          <w:tcPr>
            <w:tcW w:w="6488" w:type="dxa"/>
          </w:tcPr>
          <w:p w14:paraId="5CE6D261" w14:textId="77777777" w:rsidR="002B3741" w:rsidRPr="002B3741" w:rsidRDefault="002B3741" w:rsidP="00866779">
            <w:pPr>
              <w:widowControl w:val="0"/>
              <w:pBdr>
                <w:top w:val="nil"/>
                <w:left w:val="nil"/>
                <w:bottom w:val="nil"/>
                <w:right w:val="nil"/>
                <w:between w:val="nil"/>
              </w:pBdr>
              <w:spacing w:after="0" w:line="360" w:lineRule="auto"/>
              <w:contextualSpacing/>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Endeudamiento Interno</w:t>
            </w:r>
          </w:p>
        </w:tc>
        <w:tc>
          <w:tcPr>
            <w:tcW w:w="2152" w:type="dxa"/>
          </w:tcPr>
          <w:p w14:paraId="1E21CBBA" w14:textId="77777777" w:rsidR="002B3741" w:rsidRPr="002B3741" w:rsidRDefault="002B3741" w:rsidP="00866779">
            <w:pPr>
              <w:widowControl w:val="0"/>
              <w:pBdr>
                <w:top w:val="nil"/>
                <w:left w:val="nil"/>
                <w:bottom w:val="nil"/>
                <w:right w:val="nil"/>
                <w:between w:val="nil"/>
              </w:pBdr>
              <w:tabs>
                <w:tab w:val="left" w:pos="1057"/>
              </w:tabs>
              <w:spacing w:after="0" w:line="360" w:lineRule="auto"/>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2B3741" w:rsidRPr="002B3741" w14:paraId="69EDBDF1" w14:textId="77777777" w:rsidTr="00866779">
        <w:tc>
          <w:tcPr>
            <w:tcW w:w="6488" w:type="dxa"/>
          </w:tcPr>
          <w:p w14:paraId="0F7862DD" w14:textId="77777777" w:rsidR="002B3741" w:rsidRPr="002B3741" w:rsidRDefault="002B3741" w:rsidP="00866779">
            <w:pPr>
              <w:widowControl w:val="0"/>
              <w:pBdr>
                <w:top w:val="nil"/>
                <w:left w:val="nil"/>
                <w:bottom w:val="nil"/>
                <w:right w:val="nil"/>
                <w:between w:val="nil"/>
              </w:pBdr>
              <w:spacing w:after="0" w:line="360" w:lineRule="auto"/>
              <w:contextualSpacing/>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Endeudamiento Externo</w:t>
            </w:r>
          </w:p>
        </w:tc>
        <w:tc>
          <w:tcPr>
            <w:tcW w:w="2152" w:type="dxa"/>
          </w:tcPr>
          <w:p w14:paraId="18755FED" w14:textId="77777777" w:rsidR="002B3741" w:rsidRPr="002B3741" w:rsidRDefault="002B3741" w:rsidP="00866779">
            <w:pPr>
              <w:widowControl w:val="0"/>
              <w:pBdr>
                <w:top w:val="nil"/>
                <w:left w:val="nil"/>
                <w:bottom w:val="nil"/>
                <w:right w:val="nil"/>
                <w:between w:val="nil"/>
              </w:pBdr>
              <w:tabs>
                <w:tab w:val="left" w:pos="1056"/>
              </w:tabs>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2B3741" w:rsidRPr="002B3741" w14:paraId="6127D198" w14:textId="77777777" w:rsidTr="00866779">
        <w:tc>
          <w:tcPr>
            <w:tcW w:w="6488" w:type="dxa"/>
          </w:tcPr>
          <w:p w14:paraId="609CC541" w14:textId="77777777" w:rsidR="002B3741" w:rsidRPr="002B3741" w:rsidRDefault="002B3741" w:rsidP="00866779">
            <w:pPr>
              <w:widowControl w:val="0"/>
              <w:pBdr>
                <w:top w:val="nil"/>
                <w:left w:val="nil"/>
                <w:bottom w:val="nil"/>
                <w:right w:val="nil"/>
                <w:between w:val="nil"/>
              </w:pBdr>
              <w:spacing w:after="0" w:line="360" w:lineRule="auto"/>
              <w:contextualSpacing/>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lastRenderedPageBreak/>
              <w:t>Financiamiento Interno</w:t>
            </w:r>
          </w:p>
        </w:tc>
        <w:tc>
          <w:tcPr>
            <w:tcW w:w="2152" w:type="dxa"/>
          </w:tcPr>
          <w:p w14:paraId="79482E5E" w14:textId="77777777" w:rsidR="002B3741" w:rsidRPr="002B3741" w:rsidRDefault="002B3741" w:rsidP="00866779">
            <w:pPr>
              <w:widowControl w:val="0"/>
              <w:pBdr>
                <w:top w:val="nil"/>
                <w:left w:val="nil"/>
                <w:bottom w:val="nil"/>
                <w:right w:val="nil"/>
                <w:between w:val="nil"/>
              </w:pBdr>
              <w:tabs>
                <w:tab w:val="left" w:pos="1057"/>
              </w:tabs>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bl>
    <w:p w14:paraId="3C35D08E" w14:textId="77777777" w:rsidR="00866779" w:rsidRDefault="00866779" w:rsidP="00CB1E7A">
      <w:pPr>
        <w:spacing w:after="0" w:line="240" w:lineRule="auto"/>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8"/>
        <w:gridCol w:w="2152"/>
      </w:tblGrid>
      <w:tr w:rsidR="002B3741" w:rsidRPr="002B3741" w14:paraId="5193EAD4" w14:textId="77777777" w:rsidTr="00866779">
        <w:trPr>
          <w:trHeight w:val="20"/>
        </w:trPr>
        <w:tc>
          <w:tcPr>
            <w:tcW w:w="6488" w:type="dxa"/>
          </w:tcPr>
          <w:p w14:paraId="605C45C1" w14:textId="2090CD77" w:rsidR="002B3741" w:rsidRPr="002B3741" w:rsidRDefault="002B3741" w:rsidP="000C669A">
            <w:pPr>
              <w:widowControl w:val="0"/>
              <w:pBdr>
                <w:top w:val="nil"/>
                <w:left w:val="nil"/>
                <w:bottom w:val="nil"/>
                <w:right w:val="nil"/>
                <w:between w:val="nil"/>
              </w:pBdr>
              <w:spacing w:after="0" w:line="24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EL TOTAL DE INGRESO QUE EL MUNICIPIO DE TIXPÉUAL, YUCATÁN PERCIBIRÁ DURANTE EL EJERCICIO FISCAL 202</w:t>
            </w:r>
            <w:r w:rsidR="004408E7">
              <w:rPr>
                <w:rFonts w:ascii="Arial" w:eastAsia="Arial" w:hAnsi="Arial"/>
                <w:b/>
                <w:color w:val="000000"/>
                <w:sz w:val="20"/>
                <w:szCs w:val="20"/>
                <w:lang w:val="es-ES" w:eastAsia="es-MX"/>
              </w:rPr>
              <w:t>6</w:t>
            </w:r>
            <w:r w:rsidRPr="002B3741">
              <w:rPr>
                <w:rFonts w:ascii="Arial" w:eastAsia="Arial" w:hAnsi="Arial"/>
                <w:b/>
                <w:color w:val="000000"/>
                <w:sz w:val="20"/>
                <w:szCs w:val="20"/>
                <w:lang w:val="es-ES" w:eastAsia="es-MX"/>
              </w:rPr>
              <w:t>, ASCENDERÁ A:</w:t>
            </w:r>
          </w:p>
        </w:tc>
        <w:tc>
          <w:tcPr>
            <w:tcW w:w="2152" w:type="dxa"/>
          </w:tcPr>
          <w:p w14:paraId="1B095F26" w14:textId="1BB33E91" w:rsidR="002B3741" w:rsidRPr="000C51F2" w:rsidRDefault="002B3741" w:rsidP="000C669A">
            <w:pPr>
              <w:widowControl w:val="0"/>
              <w:pBdr>
                <w:top w:val="nil"/>
                <w:left w:val="nil"/>
                <w:bottom w:val="nil"/>
                <w:right w:val="nil"/>
                <w:between w:val="nil"/>
              </w:pBdr>
              <w:spacing w:after="0" w:line="240" w:lineRule="auto"/>
              <w:jc w:val="both"/>
              <w:rPr>
                <w:rFonts w:ascii="Arial" w:eastAsia="Arial" w:hAnsi="Arial"/>
                <w:b/>
                <w:color w:val="000000"/>
                <w:sz w:val="20"/>
                <w:szCs w:val="20"/>
                <w:lang w:val="es-ES" w:eastAsia="es-MX"/>
              </w:rPr>
            </w:pPr>
            <w:r w:rsidRPr="000C51F2">
              <w:rPr>
                <w:rFonts w:ascii="Arial" w:eastAsia="Arial" w:hAnsi="Arial"/>
                <w:b/>
                <w:color w:val="000000"/>
                <w:sz w:val="20"/>
                <w:szCs w:val="20"/>
                <w:lang w:val="es-ES" w:eastAsia="es-MX"/>
              </w:rPr>
              <w:t xml:space="preserve">       $</w:t>
            </w:r>
            <w:r w:rsidR="0000798B">
              <w:rPr>
                <w:rFonts w:ascii="Arial" w:eastAsia="Arial" w:hAnsi="Arial"/>
                <w:b/>
                <w:color w:val="000000"/>
                <w:sz w:val="20"/>
                <w:szCs w:val="20"/>
                <w:lang w:val="es-ES" w:eastAsia="es-MX"/>
              </w:rPr>
              <w:t>50</w:t>
            </w:r>
            <w:r w:rsidRPr="000C51F2">
              <w:rPr>
                <w:rFonts w:ascii="Arial" w:eastAsia="Arial" w:hAnsi="Arial"/>
                <w:b/>
                <w:color w:val="000000"/>
                <w:sz w:val="20"/>
                <w:szCs w:val="20"/>
                <w:lang w:val="es-ES" w:eastAsia="es-MX"/>
              </w:rPr>
              <w:t>’</w:t>
            </w:r>
            <w:r w:rsidR="0000798B">
              <w:rPr>
                <w:rFonts w:ascii="Arial" w:eastAsia="Arial" w:hAnsi="Arial"/>
                <w:b/>
                <w:color w:val="000000"/>
                <w:sz w:val="20"/>
                <w:szCs w:val="20"/>
                <w:lang w:val="es-ES" w:eastAsia="es-MX"/>
              </w:rPr>
              <w:t>020</w:t>
            </w:r>
            <w:r w:rsidRPr="000C51F2">
              <w:rPr>
                <w:rFonts w:ascii="Arial" w:eastAsia="Arial" w:hAnsi="Arial"/>
                <w:b/>
                <w:color w:val="000000"/>
                <w:sz w:val="20"/>
                <w:szCs w:val="20"/>
                <w:lang w:val="es-ES" w:eastAsia="es-MX"/>
              </w:rPr>
              <w:t>,</w:t>
            </w:r>
            <w:r w:rsidR="0000798B">
              <w:rPr>
                <w:rFonts w:ascii="Arial" w:eastAsia="Arial" w:hAnsi="Arial"/>
                <w:b/>
                <w:color w:val="000000"/>
                <w:sz w:val="20"/>
                <w:szCs w:val="20"/>
                <w:lang w:val="es-ES" w:eastAsia="es-MX"/>
              </w:rPr>
              <w:t>629</w:t>
            </w:r>
            <w:r w:rsidRPr="000C51F2">
              <w:rPr>
                <w:rFonts w:ascii="Arial" w:eastAsia="Arial" w:hAnsi="Arial"/>
                <w:b/>
                <w:color w:val="000000"/>
                <w:sz w:val="20"/>
                <w:szCs w:val="20"/>
                <w:lang w:val="es-ES" w:eastAsia="es-MX"/>
              </w:rPr>
              <w:t>.00</w:t>
            </w:r>
          </w:p>
        </w:tc>
      </w:tr>
    </w:tbl>
    <w:p w14:paraId="32A49F6F" w14:textId="77777777" w:rsidR="002B3741" w:rsidRPr="002B3741" w:rsidRDefault="002B3741" w:rsidP="00F12B49">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708525AF"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14.- </w:t>
      </w:r>
      <w:r w:rsidRPr="002B3741">
        <w:rPr>
          <w:rFonts w:ascii="Arial" w:eastAsia="Arial" w:hAnsi="Arial"/>
          <w:color w:val="000000"/>
          <w:sz w:val="20"/>
          <w:szCs w:val="20"/>
          <w:lang w:val="es-ES" w:eastAsia="es-MX"/>
        </w:rPr>
        <w:t>Las contribuciones causadas en ejercicios fiscales anteriores, pendientes de liquidación o pago se cubrirán de conformidad con las disposiciones legales que rigieron en la época en que se causaron.</w:t>
      </w:r>
    </w:p>
    <w:p w14:paraId="3F03ABE7" w14:textId="77777777" w:rsidR="002B3741" w:rsidRPr="002B3741" w:rsidRDefault="002B3741" w:rsidP="00F12B49">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0AE6842E"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Artículo 15.</w:t>
      </w:r>
      <w:r w:rsidRPr="002B3741">
        <w:rPr>
          <w:rFonts w:ascii="Arial" w:eastAsia="Arial" w:hAnsi="Arial"/>
          <w:color w:val="000000"/>
          <w:sz w:val="20"/>
          <w:szCs w:val="20"/>
          <w:lang w:val="es-ES" w:eastAsia="es-MX"/>
        </w:rPr>
        <w:t xml:space="preserve">- El pago de las contribuciones se acredita con el recibo oficial expedido por la Tesorería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o con los formatos de declaración sellados y tarjados por la misma tesorería o por las instituciones bancarias autorizadas para el efecto.</w:t>
      </w:r>
    </w:p>
    <w:p w14:paraId="48698239" w14:textId="77777777" w:rsidR="002B3741" w:rsidRPr="002B3741" w:rsidRDefault="002B3741" w:rsidP="00F12B49">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12B59050"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16.- </w:t>
      </w:r>
      <w:r w:rsidRPr="002B3741">
        <w:rPr>
          <w:rFonts w:ascii="Arial" w:eastAsia="Arial" w:hAnsi="Arial"/>
          <w:color w:val="000000"/>
          <w:sz w:val="20"/>
          <w:szCs w:val="20"/>
          <w:lang w:val="es-ES" w:eastAsia="es-MX"/>
        </w:rPr>
        <w:t xml:space="preserve">Las contribuciones se causarán, liquidarán y recaudarán en los términos de la Ley de Hacienda para 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y a falta de disposición procedimental expresa, se aplicará supletoriamente el Código Fiscal del Estado de Yucatán y el Código Fiscal de la Federación, respectivamente.</w:t>
      </w:r>
    </w:p>
    <w:p w14:paraId="5A6E0B1A" w14:textId="77777777" w:rsidR="002B3741" w:rsidRDefault="002B3741" w:rsidP="00CB1E7A">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4AACCD92"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Artículo 17.-</w:t>
      </w:r>
      <w:r w:rsidRPr="002B3741">
        <w:rPr>
          <w:rFonts w:ascii="Arial" w:eastAsia="Arial" w:hAnsi="Arial"/>
          <w:color w:val="000000"/>
          <w:sz w:val="20"/>
          <w:szCs w:val="20"/>
          <w:lang w:val="es-ES" w:eastAsia="es-MX"/>
        </w:rPr>
        <w:t xml:space="preserve"> El Ayuntamiento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podrá celebrar con el Gobierno Estatal los convenios necesarios para coordinarse administrativamente en las funciones de recaudación, comprobación, determinación y cobranza de las contribuciones y créditos fiscales estatales y federales.</w:t>
      </w:r>
    </w:p>
    <w:p w14:paraId="62572DCF" w14:textId="77777777" w:rsidR="002B3741" w:rsidRPr="002B3741" w:rsidRDefault="002B3741" w:rsidP="00CB1E7A">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45853AE3" w14:textId="77777777" w:rsidR="002B3741" w:rsidRPr="002B3741" w:rsidRDefault="002B3741" w:rsidP="002B3741">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De igual manera, el Ayuntamiento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podrá establecer programas de apoyo a los deudores de la tesorería, mediante acuerdos autorizados por H. Cabildo, a fin de facilitar el cumplimiento de las cargas fiscales.</w:t>
      </w:r>
    </w:p>
    <w:p w14:paraId="2330E464" w14:textId="77777777" w:rsidR="002B3741" w:rsidRPr="006B6141" w:rsidRDefault="002B3741" w:rsidP="00CB1E7A">
      <w:pPr>
        <w:widowControl w:val="0"/>
        <w:pBdr>
          <w:top w:val="nil"/>
          <w:left w:val="nil"/>
          <w:bottom w:val="nil"/>
          <w:right w:val="nil"/>
          <w:between w:val="nil"/>
        </w:pBdr>
        <w:spacing w:after="0" w:line="240" w:lineRule="auto"/>
        <w:jc w:val="center"/>
        <w:rPr>
          <w:rFonts w:ascii="Arial" w:eastAsia="Arial" w:hAnsi="Arial"/>
          <w:b/>
          <w:sz w:val="20"/>
          <w:szCs w:val="20"/>
          <w:lang w:eastAsia="es-MX"/>
        </w:rPr>
      </w:pPr>
    </w:p>
    <w:p w14:paraId="25B6A693" w14:textId="77777777" w:rsidR="002B3741" w:rsidRPr="002B3741" w:rsidRDefault="002B3741" w:rsidP="00CB1E7A">
      <w:pPr>
        <w:widowControl w:val="0"/>
        <w:pBdr>
          <w:top w:val="nil"/>
          <w:left w:val="nil"/>
          <w:bottom w:val="nil"/>
          <w:right w:val="nil"/>
          <w:between w:val="nil"/>
        </w:pBdr>
        <w:spacing w:after="0" w:line="240" w:lineRule="auto"/>
        <w:jc w:val="center"/>
        <w:rPr>
          <w:rFonts w:ascii="Arial" w:eastAsia="Arial" w:hAnsi="Arial"/>
          <w:b/>
          <w:color w:val="000000"/>
          <w:sz w:val="20"/>
          <w:szCs w:val="20"/>
          <w:lang w:val="en-US" w:eastAsia="es-MX"/>
        </w:rPr>
      </w:pPr>
      <w:r w:rsidRPr="002B3741">
        <w:rPr>
          <w:rFonts w:ascii="Arial" w:eastAsia="Arial" w:hAnsi="Arial"/>
          <w:b/>
          <w:sz w:val="20"/>
          <w:szCs w:val="20"/>
          <w:lang w:val="en-US" w:eastAsia="es-MX"/>
        </w:rPr>
        <w:t xml:space="preserve">T r a n s </w:t>
      </w:r>
      <w:proofErr w:type="spellStart"/>
      <w:r w:rsidRPr="002B3741">
        <w:rPr>
          <w:rFonts w:ascii="Arial" w:eastAsia="Arial" w:hAnsi="Arial"/>
          <w:b/>
          <w:sz w:val="20"/>
          <w:szCs w:val="20"/>
          <w:lang w:val="en-US" w:eastAsia="es-MX"/>
        </w:rPr>
        <w:t>i</w:t>
      </w:r>
      <w:proofErr w:type="spellEnd"/>
      <w:r w:rsidRPr="002B3741">
        <w:rPr>
          <w:rFonts w:ascii="Arial" w:eastAsia="Arial" w:hAnsi="Arial"/>
          <w:b/>
          <w:sz w:val="20"/>
          <w:szCs w:val="20"/>
          <w:lang w:val="en-US" w:eastAsia="es-MX"/>
        </w:rPr>
        <w:t xml:space="preserve"> t o r </w:t>
      </w:r>
      <w:proofErr w:type="spellStart"/>
      <w:r w:rsidRPr="002B3741">
        <w:rPr>
          <w:rFonts w:ascii="Arial" w:eastAsia="Arial" w:hAnsi="Arial"/>
          <w:b/>
          <w:sz w:val="20"/>
          <w:szCs w:val="20"/>
          <w:lang w:val="en-US" w:eastAsia="es-MX"/>
        </w:rPr>
        <w:t>i</w:t>
      </w:r>
      <w:proofErr w:type="spellEnd"/>
      <w:r w:rsidRPr="002B3741">
        <w:rPr>
          <w:rFonts w:ascii="Arial" w:eastAsia="Arial" w:hAnsi="Arial"/>
          <w:b/>
          <w:sz w:val="20"/>
          <w:szCs w:val="20"/>
          <w:lang w:val="en-US" w:eastAsia="es-MX"/>
        </w:rPr>
        <w:t xml:space="preserve"> o </w:t>
      </w:r>
    </w:p>
    <w:p w14:paraId="6B210B80" w14:textId="77777777" w:rsidR="002B3741" w:rsidRPr="002B3741" w:rsidRDefault="002B3741" w:rsidP="00CB1E7A">
      <w:pPr>
        <w:widowControl w:val="0"/>
        <w:spacing w:after="0" w:line="240" w:lineRule="auto"/>
        <w:jc w:val="both"/>
        <w:rPr>
          <w:rFonts w:ascii="Arial" w:eastAsia="Arial" w:hAnsi="Arial"/>
          <w:b/>
          <w:sz w:val="20"/>
          <w:szCs w:val="20"/>
          <w:lang w:val="en-US" w:eastAsia="es-MX"/>
        </w:rPr>
      </w:pPr>
    </w:p>
    <w:p w14:paraId="6ED21CC8" w14:textId="2982877C" w:rsidR="002B3741" w:rsidRPr="002B3741" w:rsidRDefault="002B3741" w:rsidP="00CB1E7A">
      <w:pPr>
        <w:widowControl w:val="0"/>
        <w:pBdr>
          <w:top w:val="nil"/>
          <w:left w:val="nil"/>
          <w:bottom w:val="nil"/>
          <w:right w:val="nil"/>
          <w:between w:val="nil"/>
        </w:pBdr>
        <w:spacing w:after="0" w:line="360" w:lineRule="auto"/>
        <w:jc w:val="both"/>
        <w:rPr>
          <w:rFonts w:ascii="Arial" w:eastAsia="Arial MT" w:hAnsi="Arial"/>
          <w:color w:val="000000"/>
          <w:sz w:val="20"/>
          <w:szCs w:val="20"/>
          <w:lang w:val="es-ES" w:eastAsia="es-MX"/>
        </w:rPr>
      </w:pPr>
      <w:bookmarkStart w:id="1" w:name="_gjdgxs" w:colFirst="0" w:colLast="0"/>
      <w:bookmarkEnd w:id="1"/>
      <w:r w:rsidRPr="002B3741">
        <w:rPr>
          <w:rFonts w:ascii="Arial" w:eastAsia="Arial" w:hAnsi="Arial"/>
          <w:b/>
          <w:color w:val="000000"/>
          <w:sz w:val="20"/>
          <w:szCs w:val="20"/>
          <w:lang w:val="es-ES" w:eastAsia="es-MX"/>
        </w:rPr>
        <w:t xml:space="preserve">Artículo </w:t>
      </w:r>
      <w:r w:rsidR="000C669A" w:rsidRPr="002B3741">
        <w:rPr>
          <w:rFonts w:ascii="Arial" w:eastAsia="Arial" w:hAnsi="Arial"/>
          <w:b/>
          <w:color w:val="000000"/>
          <w:sz w:val="20"/>
          <w:szCs w:val="20"/>
          <w:lang w:val="es-ES" w:eastAsia="es-MX"/>
        </w:rPr>
        <w:t>Único. -</w:t>
      </w:r>
      <w:r w:rsidRPr="002B3741">
        <w:rPr>
          <w:rFonts w:ascii="Arial" w:eastAsia="Arial" w:hAnsi="Arial"/>
          <w:b/>
          <w:color w:val="000000"/>
          <w:sz w:val="20"/>
          <w:szCs w:val="20"/>
          <w:lang w:val="es-ES" w:eastAsia="es-MX"/>
        </w:rPr>
        <w:t xml:space="preserve"> </w:t>
      </w:r>
      <w:r w:rsidRPr="002B3741">
        <w:rPr>
          <w:rFonts w:ascii="Arial" w:eastAsia="Arial" w:hAnsi="Arial"/>
          <w:color w:val="000000"/>
          <w:sz w:val="20"/>
          <w:szCs w:val="20"/>
          <w:lang w:val="es-ES" w:eastAsia="es-MX"/>
        </w:rPr>
        <w:t>Para poder percibir aprovechamientos vía sanciones o infracciones por faltas administrativas, el Ayuntamiento deberá contar con los reglamentos municipales respectivos y con el Bando de Policía y Gobierno del Municipio, mismos que establecerán los montos de las sanciones correspondientes.</w:t>
      </w:r>
    </w:p>
    <w:sectPr w:rsidR="002B3741" w:rsidRPr="002B3741" w:rsidSect="00B20FF4">
      <w:footerReference w:type="default" r:id="rId8"/>
      <w:pgSz w:w="12240" w:h="15840" w:code="1"/>
      <w:pgMar w:top="1843"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2F9C" w14:textId="77777777" w:rsidR="00192F2D" w:rsidRDefault="00192F2D">
      <w:pPr>
        <w:spacing w:after="0" w:line="240" w:lineRule="auto"/>
      </w:pPr>
      <w:r>
        <w:separator/>
      </w:r>
    </w:p>
  </w:endnote>
  <w:endnote w:type="continuationSeparator" w:id="0">
    <w:p w14:paraId="6CE5028F" w14:textId="77777777" w:rsidR="00192F2D" w:rsidRDefault="0019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89DF" w14:textId="77777777" w:rsidR="001C1913" w:rsidRPr="009C3E88" w:rsidRDefault="001C1913">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00F12B49" w:rsidRPr="00F12B49">
      <w:rPr>
        <w:rFonts w:ascii="Arial" w:hAnsi="Arial"/>
        <w:noProof/>
        <w:sz w:val="20"/>
        <w:szCs w:val="20"/>
        <w:lang w:val="es-ES"/>
      </w:rPr>
      <w:t>22</w:t>
    </w:r>
    <w:r w:rsidRPr="009C3E88">
      <w:rPr>
        <w:rFonts w:ascii="Arial" w:hAnsi="Arial"/>
        <w:sz w:val="20"/>
        <w:szCs w:val="20"/>
      </w:rPr>
      <w:fldChar w:fldCharType="end"/>
    </w:r>
  </w:p>
  <w:p w14:paraId="1EE30AFA" w14:textId="77777777" w:rsidR="001C1913" w:rsidRDefault="001C19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74D4" w14:textId="77777777" w:rsidR="00192F2D" w:rsidRDefault="00192F2D">
      <w:pPr>
        <w:spacing w:after="0" w:line="240" w:lineRule="auto"/>
      </w:pPr>
      <w:r>
        <w:separator/>
      </w:r>
    </w:p>
  </w:footnote>
  <w:footnote w:type="continuationSeparator" w:id="0">
    <w:p w14:paraId="7C7E5315" w14:textId="77777777" w:rsidR="00192F2D" w:rsidRDefault="00192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1"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3"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4"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101ABC"/>
    <w:multiLevelType w:val="hybridMultilevel"/>
    <w:tmpl w:val="B920AFE8"/>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0"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A5037E"/>
    <w:multiLevelType w:val="hybridMultilevel"/>
    <w:tmpl w:val="54A49B16"/>
    <w:lvl w:ilvl="0" w:tplc="2698EA38">
      <w:start w:val="1"/>
      <w:numFmt w:val="lowerLetter"/>
      <w:lvlText w:val="%1)"/>
      <w:lvlJc w:val="left"/>
      <w:pPr>
        <w:ind w:left="1899"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24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31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38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456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528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60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67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74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4" w15:restartNumberingAfterBreak="0">
    <w:nsid w:val="46672AE9"/>
    <w:multiLevelType w:val="hybridMultilevel"/>
    <w:tmpl w:val="D22EA4B4"/>
    <w:lvl w:ilvl="0" w:tplc="FE4C474C">
      <w:start w:val="1"/>
      <w:numFmt w:val="lowerLetter"/>
      <w:lvlText w:val="%1)"/>
      <w:lvlJc w:val="left"/>
      <w:pPr>
        <w:ind w:left="1231"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920AEF68">
      <w:start w:val="1"/>
      <w:numFmt w:val="lowerLetter"/>
      <w:lvlText w:val="%2"/>
      <w:lvlJc w:val="left"/>
      <w:pPr>
        <w:ind w:left="17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4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31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89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61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3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60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7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5"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16"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6753C2"/>
    <w:multiLevelType w:val="hybridMultilevel"/>
    <w:tmpl w:val="1B48ECE4"/>
    <w:lvl w:ilvl="0" w:tplc="802C956E">
      <w:start w:val="1"/>
      <w:numFmt w:val="lowerLetter"/>
      <w:lvlText w:val="%1)"/>
      <w:lvlJc w:val="left"/>
      <w:pPr>
        <w:ind w:left="923"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9"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87037466">
    <w:abstractNumId w:val="11"/>
  </w:num>
  <w:num w:numId="2" w16cid:durableId="1762214043">
    <w:abstractNumId w:val="5"/>
  </w:num>
  <w:num w:numId="3" w16cid:durableId="1626739383">
    <w:abstractNumId w:val="12"/>
  </w:num>
  <w:num w:numId="4" w16cid:durableId="12103412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99126">
    <w:abstractNumId w:val="17"/>
  </w:num>
  <w:num w:numId="6" w16cid:durableId="1241788338">
    <w:abstractNumId w:val="3"/>
  </w:num>
  <w:num w:numId="7" w16cid:durableId="705377573">
    <w:abstractNumId w:val="2"/>
  </w:num>
  <w:num w:numId="8" w16cid:durableId="1006635826">
    <w:abstractNumId w:val="1"/>
  </w:num>
  <w:num w:numId="9" w16cid:durableId="1783914251">
    <w:abstractNumId w:val="0"/>
  </w:num>
  <w:num w:numId="10" w16cid:durableId="1031997637">
    <w:abstractNumId w:val="15"/>
  </w:num>
  <w:num w:numId="11" w16cid:durableId="2010060080">
    <w:abstractNumId w:val="9"/>
  </w:num>
  <w:num w:numId="12" w16cid:durableId="929317531">
    <w:abstractNumId w:val="18"/>
  </w:num>
  <w:num w:numId="13" w16cid:durableId="1766224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1180397">
    <w:abstractNumId w:val="13"/>
  </w:num>
  <w:num w:numId="15" w16cid:durableId="342627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715901">
    <w:abstractNumId w:val="14"/>
  </w:num>
  <w:num w:numId="17" w16cid:durableId="1100183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0937650">
    <w:abstractNumId w:val="19"/>
  </w:num>
  <w:num w:numId="19" w16cid:durableId="1045175983">
    <w:abstractNumId w:val="8"/>
  </w:num>
  <w:num w:numId="20" w16cid:durableId="1688098082">
    <w:abstractNumId w:val="20"/>
  </w:num>
  <w:num w:numId="21" w16cid:durableId="1611352268">
    <w:abstractNumId w:val="7"/>
  </w:num>
  <w:num w:numId="22" w16cid:durableId="483930877">
    <w:abstractNumId w:val="10"/>
  </w:num>
  <w:num w:numId="23" w16cid:durableId="1470131125">
    <w:abstractNumId w:val="4"/>
  </w:num>
  <w:num w:numId="24" w16cid:durableId="436291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pt-BR" w:vendorID="64" w:dllVersion="6" w:nlCheck="1" w:checkStyle="0"/>
  <w:activeWritingStyle w:appName="MSWord" w:lang="es-MX" w:vendorID="64" w:dllVersion="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AR" w:vendorID="64" w:dllVersion="6"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019C2"/>
    <w:rsid w:val="0000798B"/>
    <w:rsid w:val="00012130"/>
    <w:rsid w:val="00020978"/>
    <w:rsid w:val="00020D2A"/>
    <w:rsid w:val="000222EC"/>
    <w:rsid w:val="00024DCC"/>
    <w:rsid w:val="00027985"/>
    <w:rsid w:val="00032FF9"/>
    <w:rsid w:val="00033923"/>
    <w:rsid w:val="00033EDC"/>
    <w:rsid w:val="00034470"/>
    <w:rsid w:val="000377F7"/>
    <w:rsid w:val="00043C5F"/>
    <w:rsid w:val="00044766"/>
    <w:rsid w:val="00051650"/>
    <w:rsid w:val="000524D5"/>
    <w:rsid w:val="00060E11"/>
    <w:rsid w:val="00060E8A"/>
    <w:rsid w:val="0006366B"/>
    <w:rsid w:val="000700DE"/>
    <w:rsid w:val="00070EE9"/>
    <w:rsid w:val="00081D8B"/>
    <w:rsid w:val="00090B12"/>
    <w:rsid w:val="00091C05"/>
    <w:rsid w:val="000A0BC3"/>
    <w:rsid w:val="000A1580"/>
    <w:rsid w:val="000B1BCA"/>
    <w:rsid w:val="000C51F2"/>
    <w:rsid w:val="000C59EE"/>
    <w:rsid w:val="000C669A"/>
    <w:rsid w:val="000C6AA7"/>
    <w:rsid w:val="000C6B69"/>
    <w:rsid w:val="000E72BB"/>
    <w:rsid w:val="000E7474"/>
    <w:rsid w:val="000E7FDB"/>
    <w:rsid w:val="000F1FEB"/>
    <w:rsid w:val="000F3D1B"/>
    <w:rsid w:val="000F3F8A"/>
    <w:rsid w:val="000F6B3A"/>
    <w:rsid w:val="001026D6"/>
    <w:rsid w:val="00105B19"/>
    <w:rsid w:val="00107D67"/>
    <w:rsid w:val="00116209"/>
    <w:rsid w:val="00117D01"/>
    <w:rsid w:val="00121F26"/>
    <w:rsid w:val="001255F9"/>
    <w:rsid w:val="001260A4"/>
    <w:rsid w:val="00127DD6"/>
    <w:rsid w:val="0013357D"/>
    <w:rsid w:val="00140524"/>
    <w:rsid w:val="001477BC"/>
    <w:rsid w:val="001501BF"/>
    <w:rsid w:val="00150EF4"/>
    <w:rsid w:val="001652F1"/>
    <w:rsid w:val="0016546C"/>
    <w:rsid w:val="00171EA7"/>
    <w:rsid w:val="00174A9A"/>
    <w:rsid w:val="00176F84"/>
    <w:rsid w:val="00177E90"/>
    <w:rsid w:val="00181996"/>
    <w:rsid w:val="001848E5"/>
    <w:rsid w:val="00190BB3"/>
    <w:rsid w:val="00191C91"/>
    <w:rsid w:val="00192F2D"/>
    <w:rsid w:val="00193BF8"/>
    <w:rsid w:val="001A03DB"/>
    <w:rsid w:val="001A2BA5"/>
    <w:rsid w:val="001A331B"/>
    <w:rsid w:val="001A36D8"/>
    <w:rsid w:val="001B0470"/>
    <w:rsid w:val="001C1913"/>
    <w:rsid w:val="001C1E31"/>
    <w:rsid w:val="001C34DE"/>
    <w:rsid w:val="001C4B69"/>
    <w:rsid w:val="001C67A3"/>
    <w:rsid w:val="001D11F7"/>
    <w:rsid w:val="001D18CF"/>
    <w:rsid w:val="001D4387"/>
    <w:rsid w:val="001D4CF8"/>
    <w:rsid w:val="001D5E62"/>
    <w:rsid w:val="001D73E1"/>
    <w:rsid w:val="001E34E0"/>
    <w:rsid w:val="001E5F90"/>
    <w:rsid w:val="001E7D2D"/>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5510"/>
    <w:rsid w:val="00226345"/>
    <w:rsid w:val="002327EE"/>
    <w:rsid w:val="002328FC"/>
    <w:rsid w:val="00234148"/>
    <w:rsid w:val="002408D7"/>
    <w:rsid w:val="00242DB7"/>
    <w:rsid w:val="00243CFC"/>
    <w:rsid w:val="00244C55"/>
    <w:rsid w:val="00257082"/>
    <w:rsid w:val="00265508"/>
    <w:rsid w:val="002664DC"/>
    <w:rsid w:val="0027176F"/>
    <w:rsid w:val="00271F1A"/>
    <w:rsid w:val="002774FC"/>
    <w:rsid w:val="002842D8"/>
    <w:rsid w:val="002855E7"/>
    <w:rsid w:val="00287FEB"/>
    <w:rsid w:val="00297926"/>
    <w:rsid w:val="002A236D"/>
    <w:rsid w:val="002B1603"/>
    <w:rsid w:val="002B3741"/>
    <w:rsid w:val="002B5045"/>
    <w:rsid w:val="002B7B9A"/>
    <w:rsid w:val="002C1A76"/>
    <w:rsid w:val="002C1D1A"/>
    <w:rsid w:val="002C753B"/>
    <w:rsid w:val="002C7EAD"/>
    <w:rsid w:val="002D0DE7"/>
    <w:rsid w:val="002D0F79"/>
    <w:rsid w:val="002D10D3"/>
    <w:rsid w:val="002D6181"/>
    <w:rsid w:val="002F19F9"/>
    <w:rsid w:val="002F4B9D"/>
    <w:rsid w:val="002F59B3"/>
    <w:rsid w:val="002F5C7A"/>
    <w:rsid w:val="002F73A5"/>
    <w:rsid w:val="002F76AD"/>
    <w:rsid w:val="00306843"/>
    <w:rsid w:val="00310150"/>
    <w:rsid w:val="00315884"/>
    <w:rsid w:val="00315C10"/>
    <w:rsid w:val="003224C1"/>
    <w:rsid w:val="00322BBB"/>
    <w:rsid w:val="00330338"/>
    <w:rsid w:val="00334499"/>
    <w:rsid w:val="00335C58"/>
    <w:rsid w:val="0033687E"/>
    <w:rsid w:val="003379D4"/>
    <w:rsid w:val="00341416"/>
    <w:rsid w:val="00343D4A"/>
    <w:rsid w:val="003462B1"/>
    <w:rsid w:val="00356541"/>
    <w:rsid w:val="003641FF"/>
    <w:rsid w:val="00375C08"/>
    <w:rsid w:val="003776C6"/>
    <w:rsid w:val="0038132F"/>
    <w:rsid w:val="003875B6"/>
    <w:rsid w:val="00390FB5"/>
    <w:rsid w:val="00392386"/>
    <w:rsid w:val="003A010F"/>
    <w:rsid w:val="003A641B"/>
    <w:rsid w:val="003B034E"/>
    <w:rsid w:val="003C3C30"/>
    <w:rsid w:val="003C409F"/>
    <w:rsid w:val="003D0334"/>
    <w:rsid w:val="003D06C8"/>
    <w:rsid w:val="003D6880"/>
    <w:rsid w:val="003E04EC"/>
    <w:rsid w:val="003E0CE3"/>
    <w:rsid w:val="003E44DC"/>
    <w:rsid w:val="003E579C"/>
    <w:rsid w:val="003E5843"/>
    <w:rsid w:val="003F3651"/>
    <w:rsid w:val="003F67E5"/>
    <w:rsid w:val="004040A6"/>
    <w:rsid w:val="00405A10"/>
    <w:rsid w:val="00407AEA"/>
    <w:rsid w:val="00415F63"/>
    <w:rsid w:val="00416C72"/>
    <w:rsid w:val="00424BD6"/>
    <w:rsid w:val="00435F10"/>
    <w:rsid w:val="004373B0"/>
    <w:rsid w:val="004408E7"/>
    <w:rsid w:val="00440B1B"/>
    <w:rsid w:val="00441AC3"/>
    <w:rsid w:val="0044392A"/>
    <w:rsid w:val="0044426B"/>
    <w:rsid w:val="0044571A"/>
    <w:rsid w:val="0044576D"/>
    <w:rsid w:val="004514D6"/>
    <w:rsid w:val="004533ED"/>
    <w:rsid w:val="00461017"/>
    <w:rsid w:val="00466173"/>
    <w:rsid w:val="00470BAB"/>
    <w:rsid w:val="00480F45"/>
    <w:rsid w:val="00485003"/>
    <w:rsid w:val="004858C2"/>
    <w:rsid w:val="004860C0"/>
    <w:rsid w:val="0048642F"/>
    <w:rsid w:val="00494528"/>
    <w:rsid w:val="0049709A"/>
    <w:rsid w:val="004A051F"/>
    <w:rsid w:val="004B43EB"/>
    <w:rsid w:val="004C0727"/>
    <w:rsid w:val="004C4792"/>
    <w:rsid w:val="004C58A3"/>
    <w:rsid w:val="004D2BCC"/>
    <w:rsid w:val="004D3CAB"/>
    <w:rsid w:val="004D6236"/>
    <w:rsid w:val="004E0723"/>
    <w:rsid w:val="004E09AE"/>
    <w:rsid w:val="004E5A9C"/>
    <w:rsid w:val="004E67A0"/>
    <w:rsid w:val="004F004A"/>
    <w:rsid w:val="004F0D7E"/>
    <w:rsid w:val="004F2748"/>
    <w:rsid w:val="004F4CCA"/>
    <w:rsid w:val="004F6EFC"/>
    <w:rsid w:val="00500073"/>
    <w:rsid w:val="005013D6"/>
    <w:rsid w:val="00502C86"/>
    <w:rsid w:val="00503B83"/>
    <w:rsid w:val="00503C99"/>
    <w:rsid w:val="00505D6F"/>
    <w:rsid w:val="005135DD"/>
    <w:rsid w:val="00516110"/>
    <w:rsid w:val="00516307"/>
    <w:rsid w:val="00521620"/>
    <w:rsid w:val="00524929"/>
    <w:rsid w:val="0052602F"/>
    <w:rsid w:val="00542233"/>
    <w:rsid w:val="0055233D"/>
    <w:rsid w:val="00552EA7"/>
    <w:rsid w:val="0055382F"/>
    <w:rsid w:val="00553E6D"/>
    <w:rsid w:val="00555079"/>
    <w:rsid w:val="00555554"/>
    <w:rsid w:val="0055600D"/>
    <w:rsid w:val="00556F68"/>
    <w:rsid w:val="005602EF"/>
    <w:rsid w:val="00566360"/>
    <w:rsid w:val="00573B88"/>
    <w:rsid w:val="00574EBA"/>
    <w:rsid w:val="00575120"/>
    <w:rsid w:val="00580A07"/>
    <w:rsid w:val="00581542"/>
    <w:rsid w:val="00584BC7"/>
    <w:rsid w:val="00586C2B"/>
    <w:rsid w:val="005924A3"/>
    <w:rsid w:val="0059269A"/>
    <w:rsid w:val="00597095"/>
    <w:rsid w:val="005A16BB"/>
    <w:rsid w:val="005A32B3"/>
    <w:rsid w:val="005A6F86"/>
    <w:rsid w:val="005A7F65"/>
    <w:rsid w:val="005B3826"/>
    <w:rsid w:val="005B3D33"/>
    <w:rsid w:val="005B4AEA"/>
    <w:rsid w:val="005C0C96"/>
    <w:rsid w:val="005D4224"/>
    <w:rsid w:val="005D4958"/>
    <w:rsid w:val="005D4DCA"/>
    <w:rsid w:val="005F06A3"/>
    <w:rsid w:val="005F212F"/>
    <w:rsid w:val="005F4435"/>
    <w:rsid w:val="00600629"/>
    <w:rsid w:val="0060515E"/>
    <w:rsid w:val="00611DC4"/>
    <w:rsid w:val="006220C9"/>
    <w:rsid w:val="00622BF7"/>
    <w:rsid w:val="00625106"/>
    <w:rsid w:val="00625F37"/>
    <w:rsid w:val="00627FCB"/>
    <w:rsid w:val="00627FE7"/>
    <w:rsid w:val="00633CCE"/>
    <w:rsid w:val="006354DC"/>
    <w:rsid w:val="006366D6"/>
    <w:rsid w:val="00641370"/>
    <w:rsid w:val="006430A7"/>
    <w:rsid w:val="00643330"/>
    <w:rsid w:val="0066550C"/>
    <w:rsid w:val="00691BBA"/>
    <w:rsid w:val="00692BCD"/>
    <w:rsid w:val="0069377B"/>
    <w:rsid w:val="006964C8"/>
    <w:rsid w:val="006A4CD2"/>
    <w:rsid w:val="006A628C"/>
    <w:rsid w:val="006B17E5"/>
    <w:rsid w:val="006B3653"/>
    <w:rsid w:val="006B6141"/>
    <w:rsid w:val="006C022F"/>
    <w:rsid w:val="006D364C"/>
    <w:rsid w:val="006E53FC"/>
    <w:rsid w:val="006E5FFF"/>
    <w:rsid w:val="006F3383"/>
    <w:rsid w:val="006F470D"/>
    <w:rsid w:val="00715309"/>
    <w:rsid w:val="0071590F"/>
    <w:rsid w:val="00725B89"/>
    <w:rsid w:val="00726303"/>
    <w:rsid w:val="0073251F"/>
    <w:rsid w:val="00732D06"/>
    <w:rsid w:val="00735467"/>
    <w:rsid w:val="00740E2D"/>
    <w:rsid w:val="00744A68"/>
    <w:rsid w:val="00760B63"/>
    <w:rsid w:val="00761368"/>
    <w:rsid w:val="007627C5"/>
    <w:rsid w:val="00762F3C"/>
    <w:rsid w:val="00770835"/>
    <w:rsid w:val="00771576"/>
    <w:rsid w:val="007717EE"/>
    <w:rsid w:val="0077587B"/>
    <w:rsid w:val="00780EA0"/>
    <w:rsid w:val="007A0506"/>
    <w:rsid w:val="007B2A9B"/>
    <w:rsid w:val="007B5895"/>
    <w:rsid w:val="007B6320"/>
    <w:rsid w:val="007C66B7"/>
    <w:rsid w:val="007D3C2B"/>
    <w:rsid w:val="007D6679"/>
    <w:rsid w:val="007D7E52"/>
    <w:rsid w:val="007E391C"/>
    <w:rsid w:val="007E4376"/>
    <w:rsid w:val="007E5EFF"/>
    <w:rsid w:val="007F6117"/>
    <w:rsid w:val="008112EB"/>
    <w:rsid w:val="00815781"/>
    <w:rsid w:val="00816014"/>
    <w:rsid w:val="00821A14"/>
    <w:rsid w:val="0082640A"/>
    <w:rsid w:val="00833F1F"/>
    <w:rsid w:val="008357AE"/>
    <w:rsid w:val="00836510"/>
    <w:rsid w:val="00836762"/>
    <w:rsid w:val="008408C8"/>
    <w:rsid w:val="00840A48"/>
    <w:rsid w:val="008432B1"/>
    <w:rsid w:val="0085058E"/>
    <w:rsid w:val="00856337"/>
    <w:rsid w:val="008632A4"/>
    <w:rsid w:val="008654D1"/>
    <w:rsid w:val="00865685"/>
    <w:rsid w:val="00866779"/>
    <w:rsid w:val="00874450"/>
    <w:rsid w:val="00876F49"/>
    <w:rsid w:val="00893B76"/>
    <w:rsid w:val="008A2145"/>
    <w:rsid w:val="008A321D"/>
    <w:rsid w:val="008A7B0A"/>
    <w:rsid w:val="008B0EEE"/>
    <w:rsid w:val="008B367A"/>
    <w:rsid w:val="008B3E03"/>
    <w:rsid w:val="008C57D6"/>
    <w:rsid w:val="008D0BE8"/>
    <w:rsid w:val="008D261E"/>
    <w:rsid w:val="008D4D5A"/>
    <w:rsid w:val="008D4E65"/>
    <w:rsid w:val="008D5E72"/>
    <w:rsid w:val="008E04A5"/>
    <w:rsid w:val="008E4E58"/>
    <w:rsid w:val="008F0306"/>
    <w:rsid w:val="008F2894"/>
    <w:rsid w:val="008F3BB3"/>
    <w:rsid w:val="008F5E6B"/>
    <w:rsid w:val="00902086"/>
    <w:rsid w:val="009035F2"/>
    <w:rsid w:val="00912CE9"/>
    <w:rsid w:val="00912FBF"/>
    <w:rsid w:val="009143C8"/>
    <w:rsid w:val="00914E1D"/>
    <w:rsid w:val="009153EA"/>
    <w:rsid w:val="00926244"/>
    <w:rsid w:val="009414E9"/>
    <w:rsid w:val="00950DF1"/>
    <w:rsid w:val="00951969"/>
    <w:rsid w:val="009578EB"/>
    <w:rsid w:val="00961361"/>
    <w:rsid w:val="00963374"/>
    <w:rsid w:val="00965B9A"/>
    <w:rsid w:val="00966078"/>
    <w:rsid w:val="00967C20"/>
    <w:rsid w:val="00983CD2"/>
    <w:rsid w:val="00993AB3"/>
    <w:rsid w:val="00994A1C"/>
    <w:rsid w:val="00996208"/>
    <w:rsid w:val="009A0A9C"/>
    <w:rsid w:val="009A6374"/>
    <w:rsid w:val="009B4AE2"/>
    <w:rsid w:val="009B787C"/>
    <w:rsid w:val="009C14F1"/>
    <w:rsid w:val="009C3A85"/>
    <w:rsid w:val="009C3E88"/>
    <w:rsid w:val="009C76E2"/>
    <w:rsid w:val="009D6F2F"/>
    <w:rsid w:val="009E35ED"/>
    <w:rsid w:val="009E5E06"/>
    <w:rsid w:val="009E65BF"/>
    <w:rsid w:val="009E6DDA"/>
    <w:rsid w:val="009F11D8"/>
    <w:rsid w:val="009F6D59"/>
    <w:rsid w:val="00A01712"/>
    <w:rsid w:val="00A040D6"/>
    <w:rsid w:val="00A141B1"/>
    <w:rsid w:val="00A14E10"/>
    <w:rsid w:val="00A2266E"/>
    <w:rsid w:val="00A249E6"/>
    <w:rsid w:val="00A25193"/>
    <w:rsid w:val="00A25FD7"/>
    <w:rsid w:val="00A273AF"/>
    <w:rsid w:val="00A3046D"/>
    <w:rsid w:val="00A31DF9"/>
    <w:rsid w:val="00A35464"/>
    <w:rsid w:val="00A35D71"/>
    <w:rsid w:val="00A503AF"/>
    <w:rsid w:val="00A53B7E"/>
    <w:rsid w:val="00A54CBA"/>
    <w:rsid w:val="00A6091A"/>
    <w:rsid w:val="00A73CC3"/>
    <w:rsid w:val="00A76B17"/>
    <w:rsid w:val="00A80A95"/>
    <w:rsid w:val="00A84626"/>
    <w:rsid w:val="00A851D1"/>
    <w:rsid w:val="00A8762D"/>
    <w:rsid w:val="00A92F5D"/>
    <w:rsid w:val="00A93A8B"/>
    <w:rsid w:val="00A93EEB"/>
    <w:rsid w:val="00A94EC6"/>
    <w:rsid w:val="00A97092"/>
    <w:rsid w:val="00AA02FD"/>
    <w:rsid w:val="00AA1BB2"/>
    <w:rsid w:val="00AA21E5"/>
    <w:rsid w:val="00AA2E97"/>
    <w:rsid w:val="00AA550D"/>
    <w:rsid w:val="00AA6159"/>
    <w:rsid w:val="00AA7EA6"/>
    <w:rsid w:val="00AA7EB6"/>
    <w:rsid w:val="00AB3FA8"/>
    <w:rsid w:val="00AC0ED4"/>
    <w:rsid w:val="00AC28C0"/>
    <w:rsid w:val="00AE4E12"/>
    <w:rsid w:val="00AE6DE7"/>
    <w:rsid w:val="00AE7059"/>
    <w:rsid w:val="00AF1FE2"/>
    <w:rsid w:val="00AF5BEC"/>
    <w:rsid w:val="00AF7F2D"/>
    <w:rsid w:val="00B0371C"/>
    <w:rsid w:val="00B0628E"/>
    <w:rsid w:val="00B066FB"/>
    <w:rsid w:val="00B079D5"/>
    <w:rsid w:val="00B13589"/>
    <w:rsid w:val="00B13912"/>
    <w:rsid w:val="00B14DD6"/>
    <w:rsid w:val="00B20FF4"/>
    <w:rsid w:val="00B25D1B"/>
    <w:rsid w:val="00B300CF"/>
    <w:rsid w:val="00B31B19"/>
    <w:rsid w:val="00B53C51"/>
    <w:rsid w:val="00B63C82"/>
    <w:rsid w:val="00B67D6D"/>
    <w:rsid w:val="00B70DF2"/>
    <w:rsid w:val="00B710A4"/>
    <w:rsid w:val="00B81554"/>
    <w:rsid w:val="00B85DA6"/>
    <w:rsid w:val="00B90219"/>
    <w:rsid w:val="00BA1EA1"/>
    <w:rsid w:val="00BA5546"/>
    <w:rsid w:val="00BA7CE0"/>
    <w:rsid w:val="00BB1EF2"/>
    <w:rsid w:val="00BD1172"/>
    <w:rsid w:val="00BD20A3"/>
    <w:rsid w:val="00BD2DF8"/>
    <w:rsid w:val="00BD6690"/>
    <w:rsid w:val="00BF3C76"/>
    <w:rsid w:val="00C025DB"/>
    <w:rsid w:val="00C057DA"/>
    <w:rsid w:val="00C159F8"/>
    <w:rsid w:val="00C1690E"/>
    <w:rsid w:val="00C20F6A"/>
    <w:rsid w:val="00C3333A"/>
    <w:rsid w:val="00C35621"/>
    <w:rsid w:val="00C425C3"/>
    <w:rsid w:val="00C44FA7"/>
    <w:rsid w:val="00C50F66"/>
    <w:rsid w:val="00C529FE"/>
    <w:rsid w:val="00C612D1"/>
    <w:rsid w:val="00C61DE0"/>
    <w:rsid w:val="00C64E1B"/>
    <w:rsid w:val="00C66231"/>
    <w:rsid w:val="00C704CA"/>
    <w:rsid w:val="00C75371"/>
    <w:rsid w:val="00C77EFB"/>
    <w:rsid w:val="00C81255"/>
    <w:rsid w:val="00C82AAD"/>
    <w:rsid w:val="00C96252"/>
    <w:rsid w:val="00CA2380"/>
    <w:rsid w:val="00CA35B0"/>
    <w:rsid w:val="00CA7C8E"/>
    <w:rsid w:val="00CB1E7A"/>
    <w:rsid w:val="00CB3CF2"/>
    <w:rsid w:val="00CB55B5"/>
    <w:rsid w:val="00CB5D0E"/>
    <w:rsid w:val="00CB6510"/>
    <w:rsid w:val="00CC31FE"/>
    <w:rsid w:val="00CC722D"/>
    <w:rsid w:val="00CD3082"/>
    <w:rsid w:val="00CD34EB"/>
    <w:rsid w:val="00CE2147"/>
    <w:rsid w:val="00CE27E8"/>
    <w:rsid w:val="00CE410B"/>
    <w:rsid w:val="00CE5480"/>
    <w:rsid w:val="00CF4C0F"/>
    <w:rsid w:val="00CF7044"/>
    <w:rsid w:val="00CF7FC2"/>
    <w:rsid w:val="00D07256"/>
    <w:rsid w:val="00D10348"/>
    <w:rsid w:val="00D1280E"/>
    <w:rsid w:val="00D13B49"/>
    <w:rsid w:val="00D1424A"/>
    <w:rsid w:val="00D21481"/>
    <w:rsid w:val="00D23470"/>
    <w:rsid w:val="00D3686A"/>
    <w:rsid w:val="00D40EB0"/>
    <w:rsid w:val="00D4146F"/>
    <w:rsid w:val="00D556C9"/>
    <w:rsid w:val="00D55D07"/>
    <w:rsid w:val="00D61AD6"/>
    <w:rsid w:val="00D63A75"/>
    <w:rsid w:val="00D70E9A"/>
    <w:rsid w:val="00D756DE"/>
    <w:rsid w:val="00D75CA4"/>
    <w:rsid w:val="00D81B44"/>
    <w:rsid w:val="00D82063"/>
    <w:rsid w:val="00D83D56"/>
    <w:rsid w:val="00D84B74"/>
    <w:rsid w:val="00D9105A"/>
    <w:rsid w:val="00D92FD1"/>
    <w:rsid w:val="00D93419"/>
    <w:rsid w:val="00DA632F"/>
    <w:rsid w:val="00DB2DD9"/>
    <w:rsid w:val="00DB676B"/>
    <w:rsid w:val="00DC028C"/>
    <w:rsid w:val="00DD31B2"/>
    <w:rsid w:val="00DD7A21"/>
    <w:rsid w:val="00DE0A12"/>
    <w:rsid w:val="00DE60DA"/>
    <w:rsid w:val="00DF4EFB"/>
    <w:rsid w:val="00DF7DFB"/>
    <w:rsid w:val="00E01079"/>
    <w:rsid w:val="00E0344F"/>
    <w:rsid w:val="00E04572"/>
    <w:rsid w:val="00E047C4"/>
    <w:rsid w:val="00E12CA7"/>
    <w:rsid w:val="00E13150"/>
    <w:rsid w:val="00E14143"/>
    <w:rsid w:val="00E16E84"/>
    <w:rsid w:val="00E21BFC"/>
    <w:rsid w:val="00E25061"/>
    <w:rsid w:val="00E26BA6"/>
    <w:rsid w:val="00E26C1C"/>
    <w:rsid w:val="00E27305"/>
    <w:rsid w:val="00E2742F"/>
    <w:rsid w:val="00E32234"/>
    <w:rsid w:val="00E36711"/>
    <w:rsid w:val="00E3766D"/>
    <w:rsid w:val="00E43FED"/>
    <w:rsid w:val="00E467A7"/>
    <w:rsid w:val="00E53B20"/>
    <w:rsid w:val="00E548AB"/>
    <w:rsid w:val="00E63ED7"/>
    <w:rsid w:val="00E65897"/>
    <w:rsid w:val="00E7148C"/>
    <w:rsid w:val="00E72939"/>
    <w:rsid w:val="00E735FA"/>
    <w:rsid w:val="00E75F53"/>
    <w:rsid w:val="00E807D3"/>
    <w:rsid w:val="00E86995"/>
    <w:rsid w:val="00E92A73"/>
    <w:rsid w:val="00E92D4A"/>
    <w:rsid w:val="00E93886"/>
    <w:rsid w:val="00E952E3"/>
    <w:rsid w:val="00EA2308"/>
    <w:rsid w:val="00EA46BC"/>
    <w:rsid w:val="00EB4F44"/>
    <w:rsid w:val="00EC44B7"/>
    <w:rsid w:val="00EC69D5"/>
    <w:rsid w:val="00ED24B5"/>
    <w:rsid w:val="00EF1343"/>
    <w:rsid w:val="00EF7346"/>
    <w:rsid w:val="00F02DCB"/>
    <w:rsid w:val="00F04807"/>
    <w:rsid w:val="00F06907"/>
    <w:rsid w:val="00F101FA"/>
    <w:rsid w:val="00F12B49"/>
    <w:rsid w:val="00F12D0A"/>
    <w:rsid w:val="00F13F84"/>
    <w:rsid w:val="00F16D56"/>
    <w:rsid w:val="00F20830"/>
    <w:rsid w:val="00F222EC"/>
    <w:rsid w:val="00F24266"/>
    <w:rsid w:val="00F26360"/>
    <w:rsid w:val="00F32F77"/>
    <w:rsid w:val="00F46397"/>
    <w:rsid w:val="00F508DA"/>
    <w:rsid w:val="00F52A46"/>
    <w:rsid w:val="00F548DE"/>
    <w:rsid w:val="00F60661"/>
    <w:rsid w:val="00F60C46"/>
    <w:rsid w:val="00F60DCD"/>
    <w:rsid w:val="00F61910"/>
    <w:rsid w:val="00F647F5"/>
    <w:rsid w:val="00F67DCE"/>
    <w:rsid w:val="00F77CF9"/>
    <w:rsid w:val="00F80299"/>
    <w:rsid w:val="00F83C4A"/>
    <w:rsid w:val="00F83E69"/>
    <w:rsid w:val="00F85527"/>
    <w:rsid w:val="00F92133"/>
    <w:rsid w:val="00F96B78"/>
    <w:rsid w:val="00FA1FCF"/>
    <w:rsid w:val="00FA700B"/>
    <w:rsid w:val="00FC4B24"/>
    <w:rsid w:val="00FC6898"/>
    <w:rsid w:val="00FD05E7"/>
    <w:rsid w:val="00FD0BB9"/>
    <w:rsid w:val="00FD1718"/>
    <w:rsid w:val="00FD626A"/>
    <w:rsid w:val="00FE1A17"/>
    <w:rsid w:val="00FE1C05"/>
    <w:rsid w:val="00FE64F9"/>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1806"/>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F802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F80299"/>
    <w:rPr>
      <w:rFonts w:ascii="Arial" w:eastAsia="Arial" w:hAnsi="Arial"/>
      <w:color w:val="000000"/>
      <w:sz w:val="15"/>
    </w:rPr>
  </w:style>
  <w:style w:type="paragraph" w:customStyle="1" w:styleId="footnotedescription">
    <w:name w:val="footnote description"/>
    <w:next w:val="Normal"/>
    <w:link w:val="footnotedescriptionChar"/>
    <w:rsid w:val="00F80299"/>
    <w:pPr>
      <w:spacing w:line="300" w:lineRule="auto"/>
      <w:ind w:left="245"/>
      <w:jc w:val="both"/>
    </w:pPr>
    <w:rPr>
      <w:rFonts w:ascii="Arial" w:eastAsia="Arial" w:hAnsi="Arial"/>
      <w:color w:val="000000"/>
      <w:sz w:val="15"/>
    </w:rPr>
  </w:style>
  <w:style w:type="character" w:customStyle="1" w:styleId="footnotemark">
    <w:name w:val="footnote mark"/>
    <w:rsid w:val="00F80299"/>
    <w:rPr>
      <w:rFonts w:ascii="Arial" w:eastAsia="Arial" w:hAnsi="Arial" w:cs="Arial" w:hint="default"/>
      <w:color w:val="000000"/>
      <w:sz w:val="19"/>
      <w:vertAlign w:val="superscript"/>
    </w:rPr>
  </w:style>
  <w:style w:type="table" w:customStyle="1" w:styleId="TableGrid">
    <w:name w:val="TableGrid"/>
    <w:rsid w:val="00F8029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F8029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F8029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F8029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F8029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basedOn w:val="Normal"/>
    <w:link w:val="SangradetextonormalCar"/>
    <w:uiPriority w:val="99"/>
    <w:semiHidden/>
    <w:unhideWhenUsed/>
    <w:rsid w:val="00735467"/>
    <w:pPr>
      <w:spacing w:after="120"/>
      <w:ind w:left="283"/>
    </w:pPr>
  </w:style>
  <w:style w:type="character" w:customStyle="1" w:styleId="SangradetextonormalCar">
    <w:name w:val="Sangría de texto normal Car"/>
    <w:basedOn w:val="Fuentedeprrafopredeter"/>
    <w:link w:val="Sangradetextonormal"/>
    <w:uiPriority w:val="99"/>
    <w:semiHidden/>
    <w:rsid w:val="00735467"/>
    <w:rPr>
      <w:sz w:val="22"/>
      <w:szCs w:val="22"/>
      <w:lang w:eastAsia="en-US"/>
    </w:rPr>
  </w:style>
  <w:style w:type="paragraph" w:styleId="Textoindependiente2">
    <w:name w:val="Body Text 2"/>
    <w:basedOn w:val="Normal"/>
    <w:link w:val="Textoindependiente2Car"/>
    <w:uiPriority w:val="99"/>
    <w:semiHidden/>
    <w:unhideWhenUsed/>
    <w:rsid w:val="00735467"/>
    <w:pPr>
      <w:spacing w:after="120" w:line="480" w:lineRule="auto"/>
    </w:pPr>
  </w:style>
  <w:style w:type="character" w:customStyle="1" w:styleId="Textoindependiente2Car">
    <w:name w:val="Texto independiente 2 Car"/>
    <w:basedOn w:val="Fuentedeprrafopredeter"/>
    <w:link w:val="Textoindependiente2"/>
    <w:uiPriority w:val="99"/>
    <w:semiHidden/>
    <w:rsid w:val="00735467"/>
    <w:rPr>
      <w:sz w:val="22"/>
      <w:szCs w:val="22"/>
      <w:lang w:eastAsia="en-US"/>
    </w:rPr>
  </w:style>
  <w:style w:type="paragraph" w:styleId="Textonotapie">
    <w:name w:val="footnote text"/>
    <w:basedOn w:val="Normal"/>
    <w:link w:val="TextonotapieCar"/>
    <w:uiPriority w:val="99"/>
    <w:rsid w:val="0073546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35467"/>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3546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35467"/>
    <w:pPr>
      <w:spacing w:after="0" w:line="240" w:lineRule="auto"/>
      <w:jc w:val="both"/>
    </w:pPr>
    <w:rPr>
      <w:sz w:val="20"/>
      <w:szCs w:val="20"/>
      <w:vertAlign w:val="superscript"/>
      <w:lang w:eastAsia="es-MX"/>
    </w:rPr>
  </w:style>
  <w:style w:type="paragraph" w:styleId="NormalWeb">
    <w:name w:val="Normal (Web)"/>
    <w:basedOn w:val="Normal"/>
    <w:uiPriority w:val="99"/>
    <w:semiHidden/>
    <w:unhideWhenUsed/>
    <w:rsid w:val="00B20FF4"/>
    <w:rPr>
      <w:rFonts w:ascii="Times New Roman" w:hAnsi="Times New Roman" w:cs="Times New Roman"/>
      <w:sz w:val="24"/>
      <w:szCs w:val="24"/>
    </w:rPr>
  </w:style>
  <w:style w:type="character" w:styleId="Nmerodepgina">
    <w:name w:val="page number"/>
    <w:basedOn w:val="Fuentedeprrafopredeter"/>
    <w:rsid w:val="00B2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342E-0EA3-4F97-B752-D459C6DB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1777</Words>
  <Characters>9385</Characters>
  <Application>Microsoft Office Word</Application>
  <DocSecurity>0</DocSecurity>
  <Lines>521</Lines>
  <Paragraphs>465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Geovanni Gabriel Casanova Trujeque</cp:lastModifiedBy>
  <cp:revision>2</cp:revision>
  <cp:lastPrinted>2024-03-05T19:32:00Z</cp:lastPrinted>
  <dcterms:created xsi:type="dcterms:W3CDTF">2025-11-26T02:09:00Z</dcterms:created>
  <dcterms:modified xsi:type="dcterms:W3CDTF">2025-11-26T02:09:00Z</dcterms:modified>
</cp:coreProperties>
</file>