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2240" w:h="15840"/>
          <w:pgMar w:left="1985" w:right="1134" w:header="0" w:top="1701" w:footer="0" w:bottom="1418" w:gutter="0"/>
          <w:pgNumType w:fmt="decimal"/>
          <w:formProt w:val="false"/>
          <w:textDirection w:val="lrTb"/>
          <w:docGrid w:type="default" w:linePitch="360" w:charSpace="0"/>
        </w:sectPr>
        <w:pStyle w:val="Normal"/>
        <w:spacing w:lineRule="auto" w:line="360"/>
        <w:jc w:val="center"/>
        <w:rPr>
          <w:rFonts w:ascii="Tahoma" w:hAnsi="Tahoma" w:cs="Tahoma"/>
          <w:b/>
          <w:b/>
          <w:bCs/>
          <w:sz w:val="28"/>
          <w:szCs w:val="28"/>
          <w:lang w:val="es-MX" w:eastAsia="es-MX"/>
        </w:rPr>
      </w:pPr>
      <w:r>
        <w:rPr>
          <w:rFonts w:cs="Tahoma" w:ascii="Tahoma" w:hAnsi="Tahoma"/>
          <w:b/>
          <w:bCs/>
          <w:sz w:val="28"/>
          <w:szCs w:val="28"/>
          <w:lang w:val="es-MX" w:eastAsia="es-MX"/>
        </w:rPr>
      </w:r>
      <w:r>
        <mc:AlternateContent>
          <mc:Choice Requires="wps">
            <w:drawing>
              <wp:anchor behindDoc="0" distT="0" distB="0" distL="114935" distR="114935" simplePos="0" locked="0" layoutInCell="1" allowOverlap="1" relativeHeight="37">
                <wp:simplePos x="0" y="0"/>
                <wp:positionH relativeFrom="column">
                  <wp:posOffset>198120</wp:posOffset>
                </wp:positionH>
                <wp:positionV relativeFrom="paragraph">
                  <wp:posOffset>2139950</wp:posOffset>
                </wp:positionV>
                <wp:extent cx="5943600" cy="2658745"/>
                <wp:effectExtent l="0" t="0" r="0" b="0"/>
                <wp:wrapNone/>
                <wp:docPr id="1" name="Marco1"/>
                <a:graphic xmlns:a="http://schemas.openxmlformats.org/drawingml/2006/main">
                  <a:graphicData uri="http://schemas.microsoft.com/office/word/2010/wordprocessingShape">
                    <wps:wsp>
                      <wps:cNvSpPr txBox="1"/>
                      <wps:spPr>
                        <a:xfrm>
                          <a:off x="0" y="0"/>
                          <a:ext cx="5943600" cy="2658745"/>
                        </a:xfrm>
                        <a:prstGeom prst="rect"/>
                        <a:solidFill>
                          <a:srgbClr val="FFFFFF"/>
                        </a:solidFill>
                      </wps:spPr>
                      <wps:txbx>
                        <w:txbxContent>
                          <w:p>
                            <w:pPr>
                              <w:pStyle w:val="NormalWeb"/>
                              <w:spacing w:lineRule="auto" w:line="480" w:before="0" w:after="0"/>
                              <w:jc w:val="center"/>
                              <w:rPr>
                                <w:b/>
                                <w:b/>
                                <w:sz w:val="60"/>
                                <w:szCs w:val="60"/>
                              </w:rPr>
                            </w:pPr>
                            <w:r>
                              <w:rPr>
                                <w:rFonts w:cs="Tahoma" w:ascii="Tahoma" w:hAnsi="Tahoma"/>
                                <w:b/>
                                <w:sz w:val="60"/>
                                <w:szCs w:val="60"/>
                              </w:rPr>
                              <w:t>LEY DE HACIENDA DEL MUNICIPIO DE OXKUTZCAB, YUCATÁN</w:t>
                            </w:r>
                          </w:p>
                        </w:txbxContent>
                      </wps:txbx>
                      <wps:bodyPr anchor="t" lIns="92075" tIns="46355" rIns="92075" bIns="46355">
                        <a:noAutofit/>
                      </wps:bodyPr>
                    </wps:wsp>
                  </a:graphicData>
                </a:graphic>
              </wp:anchor>
            </w:drawing>
          </mc:Choice>
          <mc:Fallback>
            <w:pict>
              <v:rect fillcolor="#FFFFFF" style="position:absolute;rotation:0;width:468pt;height:209.35pt;mso-wrap-distance-left:9.05pt;mso-wrap-distance-right:9.05pt;mso-wrap-distance-top:0pt;mso-wrap-distance-bottom:0pt;margin-top:168.5pt;mso-position-vertical-relative:text;margin-left:15.6pt;mso-position-horizontal-relative:text">
                <v:textbox inset="0.100694444444444in,0.0506944444444444in,0.100694444444444in,0.0506944444444444in">
                  <w:txbxContent>
                    <w:p>
                      <w:pPr>
                        <w:pStyle w:val="NormalWeb"/>
                        <w:spacing w:lineRule="auto" w:line="480" w:before="0" w:after="0"/>
                        <w:jc w:val="center"/>
                        <w:rPr>
                          <w:b/>
                          <w:b/>
                          <w:sz w:val="60"/>
                          <w:szCs w:val="60"/>
                        </w:rPr>
                      </w:pPr>
                      <w:r>
                        <w:rPr>
                          <w:rFonts w:cs="Tahoma" w:ascii="Tahoma" w:hAnsi="Tahoma"/>
                          <w:b/>
                          <w:sz w:val="60"/>
                          <w:szCs w:val="60"/>
                        </w:rPr>
                        <w:t>LEY DE HACIENDA DEL MUNICIPIO DE OXKUTZCAB, YUCATÁN</w:t>
                      </w:r>
                    </w:p>
                  </w:txbxContent>
                </v:textbox>
              </v:rect>
            </w:pict>
          </mc:Fallback>
        </mc:AlternateContent>
      </w:r>
    </w:p>
    <w:p>
      <w:pPr>
        <w:pStyle w:val="Normal"/>
        <w:jc w:val="center"/>
        <w:rPr>
          <w:rFonts w:ascii="Arial" w:hAnsi="Arial" w:cs="Arial"/>
          <w:b/>
          <w:b/>
          <w:sz w:val="20"/>
          <w:szCs w:val="20"/>
        </w:rPr>
      </w:pPr>
      <w:r>
        <w:rPr>
          <w:rFonts w:cs="Arial" w:ascii="Arial" w:hAnsi="Arial"/>
          <w:b/>
          <w:sz w:val="20"/>
          <w:szCs w:val="20"/>
        </w:rPr>
        <w:t>TÍTULO PRIMERO</w:t>
      </w:r>
    </w:p>
    <w:p>
      <w:pPr>
        <w:pStyle w:val="Normal"/>
        <w:jc w:val="center"/>
        <w:rPr>
          <w:rFonts w:ascii="Arial" w:hAnsi="Arial" w:cs="Arial"/>
          <w:b/>
          <w:b/>
          <w:sz w:val="20"/>
          <w:szCs w:val="20"/>
        </w:rPr>
      </w:pPr>
      <w:r>
        <w:rPr>
          <w:rFonts w:cs="Arial" w:ascii="Arial" w:hAnsi="Arial"/>
          <w:b/>
          <w:sz w:val="20"/>
          <w:szCs w:val="20"/>
        </w:rPr>
        <w:t>DISPOSICIONES GENERALES</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Del objeto de la ley</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Artículo 1.-</w:t>
      </w:r>
      <w:r>
        <w:rPr>
          <w:rFonts w:cs="Arial" w:ascii="Arial" w:hAnsi="Arial"/>
          <w:sz w:val="20"/>
          <w:szCs w:val="20"/>
        </w:rPr>
        <w:t xml:space="preserve"> La presente ley es de orden público y de observancia general, en el territorio del Municipio de Oxkutzcab, y tiene por objeto:</w:t>
      </w:r>
    </w:p>
    <w:p>
      <w:pPr>
        <w:pStyle w:val="Normal"/>
        <w:jc w:val="both"/>
        <w:rPr>
          <w:rFonts w:ascii="Arial" w:hAnsi="Arial" w:cs="Arial"/>
          <w:sz w:val="20"/>
          <w:szCs w:val="20"/>
        </w:rPr>
      </w:pPr>
      <w:r>
        <w:rPr>
          <w:rFonts w:cs="Arial" w:ascii="Arial" w:hAnsi="Arial"/>
          <w:sz w:val="20"/>
          <w:szCs w:val="20"/>
        </w:rPr>
      </w:r>
    </w:p>
    <w:p>
      <w:pPr>
        <w:pStyle w:val="Normal"/>
        <w:numPr>
          <w:ilvl w:val="0"/>
          <w:numId w:val="17"/>
        </w:numPr>
        <w:jc w:val="both"/>
        <w:rPr/>
      </w:pPr>
      <w:r>
        <w:rPr>
          <w:rFonts w:cs="Arial" w:ascii="Arial" w:hAnsi="Arial"/>
          <w:sz w:val="20"/>
          <w:szCs w:val="20"/>
        </w:rPr>
        <w:t xml:space="preserve">Establecer los conceptos por los que la Hacienda Pública del Municipio de Oxkutzcab, podrá percibir ingresos; </w:t>
      </w:r>
    </w:p>
    <w:p>
      <w:pPr>
        <w:pStyle w:val="Normal"/>
        <w:numPr>
          <w:ilvl w:val="0"/>
          <w:numId w:val="17"/>
        </w:numPr>
        <w:jc w:val="both"/>
        <w:rPr>
          <w:rFonts w:ascii="Arial" w:hAnsi="Arial" w:cs="Arial"/>
          <w:sz w:val="20"/>
          <w:szCs w:val="20"/>
        </w:rPr>
      </w:pPr>
      <w:r>
        <w:rPr>
          <w:rFonts w:cs="Arial" w:ascii="Arial" w:hAnsi="Arial"/>
          <w:sz w:val="20"/>
          <w:szCs w:val="20"/>
        </w:rPr>
        <w:t>Definir el objeto, sujeto, base y época de pago de las contribuciones, y</w:t>
      </w:r>
    </w:p>
    <w:p>
      <w:pPr>
        <w:pStyle w:val="Normal"/>
        <w:numPr>
          <w:ilvl w:val="0"/>
          <w:numId w:val="17"/>
        </w:numPr>
        <w:jc w:val="both"/>
        <w:rPr>
          <w:rFonts w:ascii="Arial" w:hAnsi="Arial" w:cs="Arial"/>
          <w:b/>
          <w:b/>
          <w:sz w:val="20"/>
          <w:szCs w:val="20"/>
        </w:rPr>
      </w:pPr>
      <w:r>
        <w:rPr>
          <w:rFonts w:cs="Arial" w:ascii="Arial" w:hAnsi="Arial"/>
          <w:sz w:val="20"/>
          <w:szCs w:val="20"/>
        </w:rPr>
        <w:t>Señalar las obligaciones y derechos que en materia fiscal tendrán las autoridades y los sujetos a que la misma se refiere.</w:t>
      </w:r>
    </w:p>
    <w:p>
      <w:pPr>
        <w:pStyle w:val="Ttulo1"/>
        <w:spacing w:before="0" w:after="0"/>
        <w:jc w:val="both"/>
        <w:rPr>
          <w:rFonts w:ascii="Arial" w:hAnsi="Arial" w:cs="Arial"/>
          <w:b w:val="false"/>
          <w:b w:val="false"/>
          <w:sz w:val="20"/>
          <w:szCs w:val="20"/>
        </w:rPr>
      </w:pPr>
      <w:r>
        <w:rPr>
          <w:rFonts w:cs="Arial"/>
          <w:b w:val="false"/>
          <w:sz w:val="20"/>
          <w:szCs w:val="20"/>
        </w:rPr>
      </w:r>
    </w:p>
    <w:p>
      <w:pPr>
        <w:pStyle w:val="Ttulo1"/>
        <w:spacing w:before="0" w:after="0"/>
        <w:jc w:val="both"/>
        <w:rPr/>
      </w:pPr>
      <w:r>
        <w:rPr>
          <w:rFonts w:cs="Arial"/>
          <w:sz w:val="20"/>
        </w:rPr>
        <w:t xml:space="preserve">Artículo 2.- </w:t>
      </w:r>
      <w:r>
        <w:rPr>
          <w:rFonts w:cs="Arial"/>
          <w:b w:val="false"/>
          <w:sz w:val="20"/>
        </w:rPr>
        <w:t>De conformidad con lo establecido por el Código Fiscal y la Ley de Coordinación Fiscal, ambas del Estado de Yucatán, para cubrir el gasto público y demás obligaciones a su cargo, la Hacienda Pública del Municipio de Oxkutzcab, Yucatán, podrá percibir ingresos por los siguientes conceptos:</w:t>
      </w:r>
    </w:p>
    <w:p>
      <w:pPr>
        <w:pStyle w:val="Ttulo1"/>
        <w:spacing w:before="0" w:after="0"/>
        <w:jc w:val="both"/>
        <w:rPr>
          <w:rFonts w:cs="Arial"/>
          <w:b w:val="false"/>
          <w:b w:val="false"/>
          <w:sz w:val="20"/>
        </w:rPr>
      </w:pPr>
      <w:r>
        <w:rPr>
          <w:rFonts w:cs="Arial"/>
          <w:b w:val="false"/>
          <w:sz w:val="20"/>
        </w:rPr>
      </w:r>
    </w:p>
    <w:p>
      <w:pPr>
        <w:pStyle w:val="Ttulo1"/>
        <w:numPr>
          <w:ilvl w:val="0"/>
          <w:numId w:val="16"/>
        </w:numPr>
        <w:spacing w:before="0" w:after="0"/>
        <w:jc w:val="both"/>
        <w:rPr>
          <w:rFonts w:cs="Arial"/>
          <w:b w:val="false"/>
          <w:b w:val="false"/>
          <w:sz w:val="20"/>
        </w:rPr>
      </w:pPr>
      <w:r>
        <w:rPr>
          <w:rFonts w:cs="Arial"/>
          <w:b w:val="false"/>
          <w:sz w:val="20"/>
        </w:rPr>
        <w:t>Impuestos;</w:t>
      </w:r>
    </w:p>
    <w:p>
      <w:pPr>
        <w:pStyle w:val="Ttulo1"/>
        <w:numPr>
          <w:ilvl w:val="0"/>
          <w:numId w:val="16"/>
        </w:numPr>
        <w:spacing w:before="0" w:after="0"/>
        <w:jc w:val="both"/>
        <w:rPr>
          <w:rFonts w:cs="Arial"/>
          <w:b w:val="false"/>
          <w:b w:val="false"/>
          <w:sz w:val="20"/>
        </w:rPr>
      </w:pPr>
      <w:r>
        <w:rPr>
          <w:rFonts w:cs="Arial"/>
          <w:b w:val="false"/>
          <w:sz w:val="20"/>
        </w:rPr>
        <w:t xml:space="preserve">Derechos; </w:t>
      </w:r>
    </w:p>
    <w:p>
      <w:pPr>
        <w:pStyle w:val="Ttulo1"/>
        <w:numPr>
          <w:ilvl w:val="0"/>
          <w:numId w:val="16"/>
        </w:numPr>
        <w:spacing w:before="0" w:after="0"/>
        <w:jc w:val="both"/>
        <w:rPr>
          <w:rFonts w:cs="Arial"/>
          <w:b w:val="false"/>
          <w:b w:val="false"/>
          <w:sz w:val="20"/>
        </w:rPr>
      </w:pPr>
      <w:r>
        <w:rPr>
          <w:rFonts w:cs="Arial"/>
          <w:b w:val="false"/>
          <w:sz w:val="20"/>
        </w:rPr>
        <w:t>Contribuciones de Mejoras;</w:t>
      </w:r>
    </w:p>
    <w:p>
      <w:pPr>
        <w:pStyle w:val="Ttulo1"/>
        <w:numPr>
          <w:ilvl w:val="0"/>
          <w:numId w:val="16"/>
        </w:numPr>
        <w:spacing w:before="0" w:after="0"/>
        <w:jc w:val="both"/>
        <w:rPr>
          <w:rFonts w:cs="Arial"/>
          <w:b w:val="false"/>
          <w:b w:val="false"/>
          <w:sz w:val="20"/>
        </w:rPr>
      </w:pPr>
      <w:r>
        <w:rPr>
          <w:rFonts w:cs="Arial"/>
          <w:b w:val="false"/>
          <w:sz w:val="20"/>
        </w:rPr>
        <w:t>Productos;</w:t>
      </w:r>
    </w:p>
    <w:p>
      <w:pPr>
        <w:pStyle w:val="Ttulo1"/>
        <w:numPr>
          <w:ilvl w:val="0"/>
          <w:numId w:val="16"/>
        </w:numPr>
        <w:spacing w:before="0" w:after="0"/>
        <w:jc w:val="both"/>
        <w:rPr>
          <w:rFonts w:cs="Arial"/>
          <w:b w:val="false"/>
          <w:b w:val="false"/>
          <w:sz w:val="20"/>
        </w:rPr>
      </w:pPr>
      <w:r>
        <w:rPr>
          <w:rFonts w:cs="Arial"/>
          <w:b w:val="false"/>
          <w:sz w:val="20"/>
        </w:rPr>
        <w:t xml:space="preserve">Aprovechamientos; </w:t>
      </w:r>
    </w:p>
    <w:p>
      <w:pPr>
        <w:pStyle w:val="Ttulo1"/>
        <w:numPr>
          <w:ilvl w:val="0"/>
          <w:numId w:val="16"/>
        </w:numPr>
        <w:spacing w:before="0" w:after="0"/>
        <w:jc w:val="both"/>
        <w:rPr>
          <w:rFonts w:cs="Arial"/>
          <w:b w:val="false"/>
          <w:b w:val="false"/>
          <w:sz w:val="20"/>
        </w:rPr>
      </w:pPr>
      <w:r>
        <w:rPr>
          <w:rFonts w:cs="Arial"/>
          <w:b w:val="false"/>
          <w:sz w:val="20"/>
        </w:rPr>
        <w:t>Participaciones;</w:t>
      </w:r>
    </w:p>
    <w:p>
      <w:pPr>
        <w:pStyle w:val="Ttulo1"/>
        <w:numPr>
          <w:ilvl w:val="0"/>
          <w:numId w:val="16"/>
        </w:numPr>
        <w:spacing w:before="0" w:after="0"/>
        <w:jc w:val="both"/>
        <w:rPr>
          <w:rFonts w:cs="Arial"/>
          <w:b w:val="false"/>
          <w:b w:val="false"/>
          <w:sz w:val="20"/>
        </w:rPr>
      </w:pPr>
      <w:r>
        <w:rPr>
          <w:rFonts w:cs="Arial"/>
          <w:b w:val="false"/>
          <w:sz w:val="20"/>
        </w:rPr>
        <w:t xml:space="preserve">Aportaciones, e </w:t>
      </w:r>
    </w:p>
    <w:p>
      <w:pPr>
        <w:pStyle w:val="Ttulo1"/>
        <w:numPr>
          <w:ilvl w:val="0"/>
          <w:numId w:val="16"/>
        </w:numPr>
        <w:spacing w:before="0" w:after="0"/>
        <w:jc w:val="both"/>
        <w:rPr>
          <w:rFonts w:cs="Arial"/>
          <w:b w:val="false"/>
          <w:b w:val="false"/>
          <w:sz w:val="20"/>
        </w:rPr>
      </w:pPr>
      <w:r>
        <w:rPr>
          <w:rFonts w:cs="Arial"/>
          <w:b w:val="false"/>
          <w:sz w:val="20"/>
        </w:rPr>
        <w:t>Ingresos Extraordinarios:</w:t>
      </w:r>
    </w:p>
    <w:p>
      <w:pPr>
        <w:pStyle w:val="Normal"/>
        <w:jc w:val="both"/>
        <w:rPr>
          <w:rFonts w:ascii="Arial" w:hAnsi="Arial" w:cs="Arial"/>
          <w:b/>
          <w:b/>
          <w:sz w:val="20"/>
          <w:szCs w:val="20"/>
        </w:rPr>
      </w:pPr>
      <w:r>
        <w:rPr>
          <w:rFonts w:cs="Arial" w:ascii="Arial" w:hAnsi="Arial"/>
          <w:b/>
          <w:sz w:val="20"/>
          <w:szCs w:val="20"/>
        </w:rPr>
      </w:r>
    </w:p>
    <w:p>
      <w:pPr>
        <w:pStyle w:val="Ttulo1"/>
        <w:spacing w:before="0" w:after="0"/>
        <w:rPr>
          <w:rFonts w:cs="Arial"/>
          <w:sz w:val="20"/>
        </w:rPr>
      </w:pPr>
      <w:r>
        <w:rPr>
          <w:rFonts w:cs="Arial"/>
          <w:sz w:val="20"/>
        </w:rPr>
        <w:t>CAPÍTULO II</w:t>
      </w:r>
    </w:p>
    <w:p>
      <w:pPr>
        <w:pStyle w:val="Normal"/>
        <w:jc w:val="center"/>
        <w:rPr>
          <w:rFonts w:ascii="Arial" w:hAnsi="Arial" w:cs="Arial"/>
          <w:b/>
          <w:b/>
          <w:sz w:val="20"/>
          <w:szCs w:val="20"/>
        </w:rPr>
      </w:pPr>
      <w:r>
        <w:rPr>
          <w:rFonts w:cs="Arial" w:ascii="Arial" w:hAnsi="Arial"/>
          <w:b/>
          <w:sz w:val="20"/>
          <w:szCs w:val="20"/>
        </w:rPr>
        <w:t>De los Ordenamientos Fiscales</w:t>
      </w:r>
    </w:p>
    <w:p>
      <w:pPr>
        <w:pStyle w:val="Normal"/>
        <w:jc w:val="both"/>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 xml:space="preserve">Artículo 3.- </w:t>
      </w:r>
      <w:r>
        <w:rPr>
          <w:rFonts w:cs="Arial" w:ascii="Arial" w:hAnsi="Arial"/>
          <w:sz w:val="20"/>
          <w:szCs w:val="20"/>
        </w:rPr>
        <w:t>Son ordenamientos fiscales:</w:t>
      </w:r>
    </w:p>
    <w:p>
      <w:pPr>
        <w:pStyle w:val="Normal"/>
        <w:jc w:val="both"/>
        <w:rPr>
          <w:rFonts w:ascii="Arial" w:hAnsi="Arial" w:cs="Arial"/>
          <w:sz w:val="20"/>
          <w:szCs w:val="20"/>
        </w:rPr>
      </w:pPr>
      <w:r>
        <w:rPr>
          <w:rFonts w:cs="Arial" w:ascii="Arial" w:hAnsi="Arial"/>
          <w:sz w:val="20"/>
          <w:szCs w:val="20"/>
        </w:rPr>
        <w:t> </w:t>
      </w:r>
    </w:p>
    <w:p>
      <w:pPr>
        <w:pStyle w:val="Normal"/>
        <w:numPr>
          <w:ilvl w:val="0"/>
          <w:numId w:val="15"/>
        </w:numPr>
        <w:jc w:val="both"/>
        <w:rPr>
          <w:rFonts w:ascii="Arial" w:hAnsi="Arial" w:cs="Arial"/>
          <w:sz w:val="20"/>
          <w:szCs w:val="20"/>
        </w:rPr>
      </w:pPr>
      <w:r>
        <w:rPr>
          <w:rFonts w:cs="Arial" w:ascii="Arial" w:hAnsi="Arial"/>
          <w:sz w:val="20"/>
          <w:szCs w:val="20"/>
        </w:rPr>
        <w:t>El Código Fiscal del Estado de Yucatán;</w:t>
      </w:r>
    </w:p>
    <w:p>
      <w:pPr>
        <w:pStyle w:val="Normal"/>
        <w:numPr>
          <w:ilvl w:val="0"/>
          <w:numId w:val="15"/>
        </w:numPr>
        <w:jc w:val="both"/>
        <w:rPr>
          <w:rFonts w:ascii="Arial" w:hAnsi="Arial" w:cs="Arial"/>
          <w:sz w:val="20"/>
          <w:szCs w:val="20"/>
        </w:rPr>
      </w:pPr>
      <w:r>
        <w:rPr>
          <w:rFonts w:cs="Arial" w:ascii="Arial" w:hAnsi="Arial"/>
          <w:sz w:val="20"/>
          <w:szCs w:val="20"/>
        </w:rPr>
        <w:t>La Ley de Coordinación Fiscal del Estado de Yucatán;</w:t>
      </w:r>
    </w:p>
    <w:p>
      <w:pPr>
        <w:pStyle w:val="Normal"/>
        <w:numPr>
          <w:ilvl w:val="0"/>
          <w:numId w:val="15"/>
        </w:numPr>
        <w:jc w:val="both"/>
        <w:rPr/>
      </w:pPr>
      <w:r>
        <w:rPr>
          <w:rFonts w:cs="Arial" w:ascii="Arial" w:hAnsi="Arial"/>
          <w:sz w:val="20"/>
          <w:szCs w:val="20"/>
        </w:rPr>
        <w:t>La Ley de Hacienda del Municipio de Oxkutzcab, Yucatán;</w:t>
      </w:r>
    </w:p>
    <w:p>
      <w:pPr>
        <w:pStyle w:val="Normal"/>
        <w:numPr>
          <w:ilvl w:val="0"/>
          <w:numId w:val="15"/>
        </w:numPr>
        <w:jc w:val="both"/>
        <w:rPr/>
      </w:pPr>
      <w:r>
        <w:rPr>
          <w:rFonts w:cs="Arial" w:ascii="Arial" w:hAnsi="Arial"/>
          <w:sz w:val="20"/>
          <w:szCs w:val="20"/>
        </w:rPr>
        <w:t>La Ley de Ingresos del Municipio de Oxkutzcab, Yucatán, y</w:t>
      </w:r>
    </w:p>
    <w:p>
      <w:pPr>
        <w:pStyle w:val="Normal"/>
        <w:numPr>
          <w:ilvl w:val="0"/>
          <w:numId w:val="15"/>
        </w:numPr>
        <w:jc w:val="both"/>
        <w:rPr/>
      </w:pPr>
      <w:r>
        <w:rPr>
          <w:rFonts w:cs="Arial" w:ascii="Arial" w:hAnsi="Arial"/>
          <w:sz w:val="20"/>
          <w:szCs w:val="20"/>
        </w:rPr>
        <w:t>Los Reglamentos Municipales y las demás leyes, que contengan disposiciones de carácter fiscal y hacendaría.</w:t>
      </w:r>
    </w:p>
    <w:p>
      <w:pPr>
        <w:pStyle w:val="Ttulo1"/>
        <w:spacing w:before="0" w:after="0"/>
        <w:jc w:val="both"/>
        <w:rPr>
          <w:rFonts w:ascii="Arial" w:hAnsi="Arial" w:cs="Arial"/>
          <w:sz w:val="20"/>
          <w:szCs w:val="20"/>
        </w:rPr>
      </w:pPr>
      <w:r>
        <w:rPr>
          <w:rFonts w:cs="Arial"/>
          <w:sz w:val="20"/>
          <w:szCs w:val="20"/>
        </w:rPr>
      </w:r>
    </w:p>
    <w:p>
      <w:pPr>
        <w:pStyle w:val="Ttulo1"/>
        <w:spacing w:before="0" w:after="0"/>
        <w:jc w:val="both"/>
        <w:rPr/>
      </w:pPr>
      <w:r>
        <w:rPr>
          <w:rFonts w:cs="Arial"/>
          <w:sz w:val="20"/>
        </w:rPr>
        <w:t xml:space="preserve">Artículo 4.- </w:t>
      </w:r>
      <w:r>
        <w:rPr>
          <w:rFonts w:cs="Arial"/>
          <w:b w:val="false"/>
          <w:sz w:val="20"/>
        </w:rPr>
        <w:t>La Ley de Ingresos del Municipio de Oxkutzcab para cada ejercicio fiscal, tendrá por objeto establecer los conceptos por los que la Hacienda Pública Municipal podrá percibir ingresos; señalar las tasas, cuotas y tarifas aplicables para el pago de las contribuciones; así como el cálculo de ingresos a percibir.</w:t>
      </w:r>
    </w:p>
    <w:p>
      <w:pPr>
        <w:pStyle w:val="Normal"/>
        <w:jc w:val="both"/>
        <w:rPr>
          <w:rFonts w:ascii="Arial" w:hAnsi="Arial" w:cs="Arial"/>
          <w:b/>
          <w:b/>
          <w:sz w:val="20"/>
          <w:szCs w:val="20"/>
        </w:rPr>
      </w:pPr>
      <w:r>
        <w:rPr>
          <w:rFonts w:cs="Arial" w:ascii="Arial" w:hAnsi="Arial"/>
          <w:b/>
          <w:sz w:val="20"/>
          <w:szCs w:val="20"/>
        </w:rPr>
      </w:r>
    </w:p>
    <w:p>
      <w:pPr>
        <w:pStyle w:val="Textoindependiente2"/>
        <w:rPr/>
      </w:pPr>
      <w:r>
        <w:rPr>
          <w:rFonts w:cs="Arial" w:ascii="Arial" w:hAnsi="Arial"/>
          <w:b/>
          <w:sz w:val="20"/>
          <w:szCs w:val="20"/>
          <w:lang w:val="es-ES"/>
        </w:rPr>
        <w:t>Artículo 5.-</w:t>
      </w:r>
      <w:r>
        <w:rPr>
          <w:rFonts w:cs="Arial" w:ascii="Arial" w:hAnsi="Arial"/>
          <w:sz w:val="20"/>
          <w:szCs w:val="20"/>
        </w:rPr>
        <w:t xml:space="preserve"> </w:t>
      </w:r>
      <w:r>
        <w:rPr>
          <w:rFonts w:cs="Arial" w:ascii="Arial" w:hAnsi="Arial"/>
          <w:sz w:val="20"/>
          <w:szCs w:val="20"/>
          <w:lang w:val="es-ES"/>
        </w:rPr>
        <w:t>A</w:t>
      </w:r>
      <w:r>
        <w:rPr>
          <w:rFonts w:cs="Arial" w:ascii="Arial" w:hAnsi="Arial"/>
          <w:sz w:val="20"/>
          <w:szCs w:val="20"/>
        </w:rPr>
        <w:t xml:space="preserve"> falta de norma fiscal municipal expresa, será de aplicación supletoria el Código Fiscal del Estado de Yucatán.</w:t>
      </w:r>
    </w:p>
    <w:p>
      <w:pPr>
        <w:pStyle w:val="Normal"/>
        <w:jc w:val="both"/>
        <w:rPr>
          <w:rFonts w:ascii="Arial" w:hAnsi="Arial" w:cs="Arial"/>
          <w:sz w:val="20"/>
          <w:szCs w:val="20"/>
        </w:rPr>
      </w:pPr>
      <w:r>
        <w:rPr>
          <w:rFonts w:cs="Arial" w:ascii="Arial" w:hAnsi="Arial"/>
          <w:sz w:val="20"/>
          <w:szCs w:val="20"/>
        </w:rPr>
        <w:t>  </w:t>
      </w:r>
    </w:p>
    <w:p>
      <w:pPr>
        <w:pStyle w:val="Normal"/>
        <w:jc w:val="center"/>
        <w:rPr>
          <w:rFonts w:ascii="Arial" w:hAnsi="Arial" w:cs="Arial"/>
          <w:b/>
          <w:b/>
          <w:sz w:val="20"/>
          <w:szCs w:val="20"/>
        </w:rPr>
      </w:pPr>
      <w:r>
        <w:rPr>
          <w:rFonts w:cs="Arial" w:ascii="Arial" w:hAnsi="Arial"/>
          <w:b/>
          <w:sz w:val="20"/>
          <w:szCs w:val="20"/>
        </w:rPr>
        <w:t>CAPÍTULO III</w:t>
      </w:r>
    </w:p>
    <w:p>
      <w:pPr>
        <w:pStyle w:val="Normal"/>
        <w:jc w:val="center"/>
        <w:rPr>
          <w:rFonts w:ascii="Arial" w:hAnsi="Arial" w:cs="Arial"/>
          <w:b/>
          <w:b/>
          <w:sz w:val="20"/>
          <w:szCs w:val="20"/>
        </w:rPr>
      </w:pPr>
      <w:r>
        <w:rPr>
          <w:rFonts w:cs="Arial" w:ascii="Arial" w:hAnsi="Arial"/>
          <w:b/>
          <w:sz w:val="20"/>
          <w:szCs w:val="20"/>
        </w:rPr>
        <w:t>De las Autoridades Fiscales</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Artículo 6.-</w:t>
      </w:r>
      <w:r>
        <w:rPr>
          <w:rFonts w:cs="Arial" w:ascii="Arial" w:hAnsi="Arial"/>
          <w:sz w:val="20"/>
          <w:szCs w:val="20"/>
        </w:rPr>
        <w:t xml:space="preserve"> Para los efectos de la presente ley, son autoridades fiscales:</w:t>
      </w:r>
    </w:p>
    <w:p>
      <w:pPr>
        <w:pStyle w:val="Normal"/>
        <w:jc w:val="both"/>
        <w:rPr>
          <w:rFonts w:ascii="Arial" w:hAnsi="Arial" w:cs="Arial"/>
          <w:b/>
          <w:b/>
          <w:sz w:val="20"/>
          <w:szCs w:val="20"/>
        </w:rPr>
      </w:pPr>
      <w:r>
        <w:rPr>
          <w:rFonts w:cs="Arial" w:ascii="Arial" w:hAnsi="Arial"/>
          <w:b/>
          <w:sz w:val="20"/>
          <w:szCs w:val="20"/>
        </w:rPr>
        <w:t> </w:t>
      </w:r>
    </w:p>
    <w:p>
      <w:pPr>
        <w:pStyle w:val="Normal"/>
        <w:numPr>
          <w:ilvl w:val="0"/>
          <w:numId w:val="18"/>
        </w:numPr>
        <w:jc w:val="both"/>
        <w:rPr>
          <w:rFonts w:ascii="Arial" w:hAnsi="Arial" w:cs="Arial"/>
          <w:sz w:val="20"/>
          <w:szCs w:val="20"/>
        </w:rPr>
      </w:pPr>
      <w:r>
        <w:rPr>
          <w:rFonts w:cs="Arial" w:ascii="Arial" w:hAnsi="Arial"/>
          <w:sz w:val="20"/>
          <w:szCs w:val="20"/>
        </w:rPr>
        <w:t>El Ayuntamiento;</w:t>
      </w:r>
    </w:p>
    <w:p>
      <w:pPr>
        <w:pStyle w:val="Normal"/>
        <w:numPr>
          <w:ilvl w:val="0"/>
          <w:numId w:val="18"/>
        </w:numPr>
        <w:jc w:val="both"/>
        <w:rPr>
          <w:rFonts w:ascii="Arial" w:hAnsi="Arial" w:cs="Arial"/>
          <w:sz w:val="20"/>
          <w:szCs w:val="20"/>
        </w:rPr>
      </w:pPr>
      <w:r>
        <w:rPr>
          <w:rFonts w:cs="Arial" w:ascii="Arial" w:hAnsi="Arial"/>
          <w:sz w:val="20"/>
          <w:szCs w:val="20"/>
        </w:rPr>
        <w:t>El Presidente Municipal;</w:t>
      </w:r>
    </w:p>
    <w:p>
      <w:pPr>
        <w:pStyle w:val="Normal"/>
        <w:numPr>
          <w:ilvl w:val="0"/>
          <w:numId w:val="18"/>
        </w:numPr>
        <w:jc w:val="both"/>
        <w:rPr>
          <w:rFonts w:ascii="Arial" w:hAnsi="Arial" w:cs="Arial"/>
          <w:sz w:val="20"/>
          <w:szCs w:val="20"/>
        </w:rPr>
      </w:pPr>
      <w:r>
        <w:rPr>
          <w:rFonts w:cs="Arial" w:ascii="Arial" w:hAnsi="Arial"/>
          <w:sz w:val="20"/>
          <w:szCs w:val="20"/>
        </w:rPr>
        <w:t>El Tesorero Municipal;</w:t>
      </w:r>
    </w:p>
    <w:p>
      <w:pPr>
        <w:pStyle w:val="Normal"/>
        <w:numPr>
          <w:ilvl w:val="0"/>
          <w:numId w:val="18"/>
        </w:numPr>
        <w:jc w:val="both"/>
        <w:rPr>
          <w:rFonts w:ascii="Arial" w:hAnsi="Arial" w:cs="Arial"/>
          <w:sz w:val="20"/>
          <w:szCs w:val="20"/>
        </w:rPr>
      </w:pPr>
      <w:r>
        <w:rPr>
          <w:rFonts w:cs="Arial" w:ascii="Arial" w:hAnsi="Arial"/>
          <w:sz w:val="20"/>
          <w:szCs w:val="20"/>
        </w:rPr>
        <w:t>El Titular de la oficina recaudadora, y</w:t>
      </w:r>
    </w:p>
    <w:p>
      <w:pPr>
        <w:pStyle w:val="Normal"/>
        <w:numPr>
          <w:ilvl w:val="0"/>
          <w:numId w:val="18"/>
        </w:numPr>
        <w:jc w:val="both"/>
        <w:rPr>
          <w:rFonts w:ascii="Arial" w:hAnsi="Arial" w:cs="Arial"/>
          <w:sz w:val="20"/>
          <w:szCs w:val="20"/>
        </w:rPr>
      </w:pPr>
      <w:r>
        <w:rPr>
          <w:rFonts w:cs="Arial" w:ascii="Arial" w:hAnsi="Arial"/>
          <w:sz w:val="20"/>
          <w:szCs w:val="20"/>
        </w:rPr>
        <w:t>El Titular de la oficina encargada de aplicar el procedimiento administrativo de ejecución.</w:t>
      </w:r>
    </w:p>
    <w:p>
      <w:pPr>
        <w:pStyle w:val="Normal"/>
        <w:jc w:val="both"/>
        <w:rPr>
          <w:rFonts w:ascii="Arial" w:hAnsi="Arial" w:cs="Arial"/>
          <w:sz w:val="20"/>
          <w:szCs w:val="20"/>
        </w:rPr>
      </w:pPr>
      <w:r>
        <w:rPr>
          <w:rFonts w:cs="Arial" w:ascii="Arial" w:hAnsi="Arial"/>
          <w:sz w:val="20"/>
          <w:szCs w:val="20"/>
        </w:rPr>
        <w:t> </w:t>
      </w:r>
    </w:p>
    <w:p>
      <w:pPr>
        <w:pStyle w:val="Normal"/>
        <w:jc w:val="center"/>
        <w:rPr>
          <w:rFonts w:ascii="Arial" w:hAnsi="Arial" w:cs="Arial"/>
          <w:b/>
          <w:b/>
          <w:sz w:val="20"/>
          <w:szCs w:val="20"/>
        </w:rPr>
      </w:pPr>
      <w:r>
        <w:rPr>
          <w:rFonts w:cs="Arial" w:ascii="Arial" w:hAnsi="Arial"/>
          <w:b/>
          <w:sz w:val="20"/>
          <w:szCs w:val="20"/>
        </w:rPr>
        <w:t>CAPÍTULO IV</w:t>
      </w:r>
    </w:p>
    <w:p>
      <w:pPr>
        <w:pStyle w:val="Normal"/>
        <w:jc w:val="center"/>
        <w:rPr>
          <w:rFonts w:ascii="Arial" w:hAnsi="Arial" w:cs="Arial"/>
          <w:b/>
          <w:b/>
          <w:sz w:val="20"/>
          <w:szCs w:val="20"/>
        </w:rPr>
      </w:pPr>
      <w:r>
        <w:rPr>
          <w:rFonts w:cs="Arial" w:ascii="Arial" w:hAnsi="Arial"/>
          <w:b/>
          <w:sz w:val="20"/>
          <w:szCs w:val="20"/>
        </w:rPr>
        <w:t>De los Contribuyentes y sus Obligaciones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Artículo 7.</w:t>
      </w:r>
      <w:r>
        <w:rPr>
          <w:rFonts w:cs="Arial" w:ascii="Arial" w:hAnsi="Arial"/>
          <w:sz w:val="20"/>
          <w:szCs w:val="20"/>
        </w:rPr>
        <w:t>- Las personas físicas o morales, mexicanas o extranjeras, domiciliadas dentro del Municipio de Oxkutzcab,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Artículo 8.-</w:t>
      </w:r>
      <w:r>
        <w:rPr>
          <w:rFonts w:cs="Arial" w:ascii="Arial" w:hAnsi="Arial"/>
          <w:sz w:val="20"/>
          <w:szCs w:val="20"/>
        </w:rPr>
        <w:t xml:space="preserve"> Para los efectos de esta ley, se entenderá por territorio municipal, el área geográfica que, para cada uno de los Municipios del Estado señala, la Ley Orgánica de los Municipios del Estado de Yucatán o bien el área geográfica que delimite el Congreso del Estado en cualquiera de los casos previstos en la propia Ley Orgánica.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Artículo 9.- </w:t>
      </w:r>
      <w:r>
        <w:rPr>
          <w:rFonts w:cs="Arial" w:ascii="Arial" w:hAnsi="Arial"/>
          <w:sz w:val="20"/>
          <w:szCs w:val="20"/>
        </w:rPr>
        <w:t>Las personas a que se refiere el artículo 7 de esta ley, además de las obligaciones especiales contenidas en la presente Ley, deberán cumplir con las siguientes:</w:t>
      </w:r>
    </w:p>
    <w:p>
      <w:pPr>
        <w:pStyle w:val="Normal"/>
        <w:jc w:val="both"/>
        <w:rPr>
          <w:rFonts w:ascii="Arial" w:hAnsi="Arial" w:cs="Arial"/>
          <w:sz w:val="20"/>
          <w:szCs w:val="20"/>
        </w:rPr>
      </w:pPr>
      <w:r>
        <w:rPr>
          <w:rFonts w:cs="Arial" w:ascii="Arial" w:hAnsi="Arial"/>
          <w:sz w:val="20"/>
          <w:szCs w:val="20"/>
        </w:rPr>
      </w:r>
    </w:p>
    <w:p>
      <w:pPr>
        <w:pStyle w:val="Normal"/>
        <w:numPr>
          <w:ilvl w:val="0"/>
          <w:numId w:val="11"/>
        </w:numPr>
        <w:jc w:val="both"/>
        <w:rPr/>
      </w:pPr>
      <w:r>
        <w:rPr>
          <w:rFonts w:cs="Arial" w:ascii="Arial" w:hAnsi="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pPr>
        <w:pStyle w:val="Normal"/>
        <w:numPr>
          <w:ilvl w:val="0"/>
          <w:numId w:val="11"/>
        </w:numPr>
        <w:jc w:val="both"/>
        <w:rPr/>
      </w:pPr>
      <w:r>
        <w:rPr>
          <w:rFonts w:cs="Arial" w:ascii="Arial" w:hAnsi="Arial"/>
          <w:sz w:val="20"/>
          <w:szCs w:val="20"/>
        </w:rPr>
        <w:t>Recabar de la Dirección de Desarrollo Urbano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pPr>
        <w:pStyle w:val="Normal"/>
        <w:numPr>
          <w:ilvl w:val="0"/>
          <w:numId w:val="11"/>
        </w:numPr>
        <w:jc w:val="both"/>
        <w:rPr>
          <w:rFonts w:ascii="Arial" w:hAnsi="Arial" w:cs="Arial"/>
          <w:sz w:val="20"/>
          <w:szCs w:val="20"/>
        </w:rPr>
      </w:pPr>
      <w:r>
        <w:rPr>
          <w:rFonts w:cs="Arial" w:ascii="Arial" w:hAnsi="Arial"/>
          <w:sz w:val="20"/>
          <w:szCs w:val="20"/>
        </w:rPr>
        <w:t>Dar aviso por escrito, en un plazo de quince días, de cualquier modificación, aumento de giro, traspaso, cambio de domicilio, cambio de denominación, suspensión de actividades, clausura y baja.</w:t>
      </w:r>
    </w:p>
    <w:p>
      <w:pPr>
        <w:pStyle w:val="Normal"/>
        <w:numPr>
          <w:ilvl w:val="0"/>
          <w:numId w:val="11"/>
        </w:numPr>
        <w:jc w:val="both"/>
        <w:rPr>
          <w:rFonts w:ascii="Arial" w:hAnsi="Arial" w:cs="Arial"/>
          <w:sz w:val="20"/>
          <w:szCs w:val="20"/>
        </w:rPr>
      </w:pPr>
      <w:r>
        <w:rPr>
          <w:rFonts w:cs="Arial" w:ascii="Arial" w:hAnsi="Arial"/>
          <w:sz w:val="20"/>
          <w:szCs w:val="20"/>
        </w:rPr>
        <w:t>Recabar autorización de la Tesorería Municipal, si realizan actividades eventuales y con base en dicha autorización, solicitar la determinación de las contribuciones que estén obligados a pagar.</w:t>
      </w:r>
    </w:p>
    <w:p>
      <w:pPr>
        <w:pStyle w:val="Normal"/>
        <w:numPr>
          <w:ilvl w:val="0"/>
          <w:numId w:val="11"/>
        </w:numPr>
        <w:jc w:val="both"/>
        <w:rPr>
          <w:rFonts w:ascii="Arial" w:hAnsi="Arial" w:cs="Arial"/>
          <w:sz w:val="20"/>
          <w:szCs w:val="20"/>
        </w:rPr>
      </w:pPr>
      <w:r>
        <w:rPr>
          <w:rFonts w:cs="Arial" w:ascii="Arial" w:hAnsi="Arial"/>
          <w:sz w:val="20"/>
          <w:szCs w:val="20"/>
        </w:rPr>
        <w:t>Utilizar las formas o formularios elaborados por la Tesorería Municipal, para comparecer, solicitar o liquidar créditos fiscales y/o administrativos.</w:t>
      </w:r>
    </w:p>
    <w:p>
      <w:pPr>
        <w:pStyle w:val="Normal"/>
        <w:numPr>
          <w:ilvl w:val="0"/>
          <w:numId w:val="11"/>
        </w:numPr>
        <w:jc w:val="both"/>
        <w:rPr/>
      </w:pPr>
      <w:r>
        <w:rPr>
          <w:rFonts w:cs="Arial" w:ascii="Arial" w:hAnsi="Arial"/>
          <w:sz w:val="20"/>
          <w:szCs w:val="20"/>
        </w:rPr>
        <w:t>Permitir las visitas de inspección, atender los requerimientos de documentación y auditorías que determine la Tesorería Municipal, en la forma y dentro de los plazos que señala el Código Fiscal del Estado de Yucatán.</w:t>
      </w:r>
    </w:p>
    <w:p>
      <w:pPr>
        <w:pStyle w:val="Normal"/>
        <w:numPr>
          <w:ilvl w:val="0"/>
          <w:numId w:val="11"/>
        </w:numPr>
        <w:jc w:val="both"/>
        <w:rPr>
          <w:rFonts w:ascii="Arial" w:hAnsi="Arial" w:cs="Arial"/>
          <w:sz w:val="20"/>
          <w:szCs w:val="20"/>
        </w:rPr>
      </w:pPr>
      <w:r>
        <w:rPr>
          <w:rFonts w:cs="Arial" w:ascii="Arial" w:hAnsi="Arial"/>
          <w:sz w:val="20"/>
          <w:szCs w:val="20"/>
        </w:rPr>
        <w:t>Exhibir los documentos públicos y privados que requiera la Tesorería Municipal, previo mandamiento por escrito que funde y motive esta medida.</w:t>
      </w:r>
    </w:p>
    <w:p>
      <w:pPr>
        <w:pStyle w:val="Normal"/>
        <w:numPr>
          <w:ilvl w:val="0"/>
          <w:numId w:val="11"/>
        </w:numPr>
        <w:jc w:val="both"/>
        <w:rPr>
          <w:rFonts w:ascii="Arial" w:hAnsi="Arial" w:cs="Arial"/>
          <w:sz w:val="20"/>
          <w:szCs w:val="20"/>
        </w:rPr>
      </w:pPr>
      <w:r>
        <w:rPr>
          <w:rFonts w:cs="Arial" w:ascii="Arial" w:hAnsi="Arial"/>
          <w:sz w:val="20"/>
          <w:szCs w:val="20"/>
        </w:rPr>
        <w:t>Proporcionar con veracidad los datos que requiera la Tesorería Municipal, y</w:t>
      </w:r>
    </w:p>
    <w:p>
      <w:pPr>
        <w:pStyle w:val="Normal"/>
        <w:numPr>
          <w:ilvl w:val="0"/>
          <w:numId w:val="11"/>
        </w:numPr>
        <w:jc w:val="both"/>
        <w:rPr>
          <w:rFonts w:ascii="Arial" w:hAnsi="Arial" w:cs="Arial"/>
          <w:sz w:val="20"/>
          <w:szCs w:val="20"/>
        </w:rPr>
      </w:pPr>
      <w:r>
        <w:rPr>
          <w:rFonts w:cs="Arial" w:ascii="Arial" w:hAnsi="Arial"/>
          <w:sz w:val="20"/>
          <w:szCs w:val="20"/>
        </w:rPr>
        <w:t>Realizar los pagos, y cumplir con las obligaciones fiscales, en la forma y términos que señala la presente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10.-</w:t>
      </w:r>
      <w:r>
        <w:rPr>
          <w:rFonts w:cs="Arial" w:ascii="Arial" w:hAnsi="Arial"/>
          <w:sz w:val="20"/>
          <w:szCs w:val="20"/>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V</w:t>
      </w:r>
    </w:p>
    <w:p>
      <w:pPr>
        <w:pStyle w:val="Normal"/>
        <w:jc w:val="center"/>
        <w:rPr>
          <w:rFonts w:ascii="Arial" w:hAnsi="Arial" w:cs="Arial"/>
          <w:b/>
          <w:b/>
          <w:sz w:val="20"/>
          <w:szCs w:val="20"/>
        </w:rPr>
      </w:pPr>
      <w:r>
        <w:rPr>
          <w:rFonts w:cs="Arial" w:ascii="Arial" w:hAnsi="Arial"/>
          <w:b/>
          <w:sz w:val="20"/>
          <w:szCs w:val="20"/>
        </w:rPr>
        <w:t>De los Créditos Fiscales</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Artículo 11.-</w:t>
      </w:r>
      <w:r>
        <w:rPr>
          <w:rFonts w:cs="Arial" w:ascii="Arial" w:hAnsi="Arial"/>
          <w:sz w:val="20"/>
          <w:szCs w:val="20"/>
        </w:rPr>
        <w:t xml:space="preserve"> Son créditos fiscales los que el Ayuntamiento de Oxkutzcab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12.- </w:t>
      </w:r>
      <w:r>
        <w:rPr>
          <w:rFonts w:cs="Arial" w:ascii="Arial" w:hAnsi="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pPr>
        <w:pStyle w:val="Normal"/>
        <w:jc w:val="both"/>
        <w:rPr>
          <w:rFonts w:ascii="Arial" w:hAnsi="Arial" w:cs="Arial"/>
          <w:sz w:val="20"/>
          <w:szCs w:val="20"/>
        </w:rPr>
      </w:pPr>
      <w:r>
        <w:rPr>
          <w:rFonts w:cs="Arial" w:ascii="Arial" w:hAnsi="Arial"/>
          <w:sz w:val="20"/>
          <w:szCs w:val="20"/>
        </w:rPr>
      </w:r>
    </w:p>
    <w:p>
      <w:pPr>
        <w:pStyle w:val="Cuerpodetextoconsangra"/>
        <w:spacing w:before="0" w:after="0"/>
        <w:ind w:left="0" w:hanging="0"/>
        <w:jc w:val="both"/>
        <w:rPr>
          <w:rFonts w:ascii="Arial" w:hAnsi="Arial" w:cs="Arial"/>
          <w:sz w:val="20"/>
          <w:szCs w:val="20"/>
        </w:rPr>
      </w:pPr>
      <w:r>
        <w:rPr>
          <w:rFonts w:cs="Arial" w:ascii="Arial" w:hAnsi="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Artículo 13.- </w:t>
      </w:r>
      <w:r>
        <w:rPr>
          <w:rFonts w:cs="Arial" w:ascii="Arial" w:hAnsi="Arial"/>
          <w:sz w:val="20"/>
          <w:szCs w:val="20"/>
        </w:rPr>
        <w:t>Son solidariamente responsables del pago de un crédito fiscal:</w:t>
      </w:r>
    </w:p>
    <w:p>
      <w:pPr>
        <w:pStyle w:val="Normal"/>
        <w:numPr>
          <w:ilvl w:val="0"/>
          <w:numId w:val="2"/>
        </w:numPr>
        <w:jc w:val="both"/>
        <w:rPr/>
      </w:pPr>
      <w:r>
        <w:rPr>
          <w:rFonts w:eastAsia="Arial" w:cs="Arial" w:ascii="Arial" w:hAnsi="Arial"/>
          <w:sz w:val="20"/>
          <w:szCs w:val="20"/>
        </w:rPr>
        <w:t xml:space="preserve"> </w:t>
      </w:r>
      <w:r>
        <w:rPr>
          <w:rFonts w:cs="Arial" w:ascii="Arial" w:hAnsi="Arial"/>
          <w:sz w:val="20"/>
          <w:szCs w:val="20"/>
        </w:rPr>
        <w:t xml:space="preserve">Las personas físicas y morales, que adquieran bienes o negociaciones ubicadas dentro del territorio municipal, que reporten adeudos a favor del Municipio y, que correspondan a períodos anteriores a la adquisición. </w:t>
      </w:r>
    </w:p>
    <w:p>
      <w:pPr>
        <w:pStyle w:val="Normal"/>
        <w:numPr>
          <w:ilvl w:val="0"/>
          <w:numId w:val="2"/>
        </w:numPr>
        <w:jc w:val="both"/>
        <w:rPr/>
      </w:pPr>
      <w:r>
        <w:rPr>
          <w:rFonts w:eastAsia="Arial" w:cs="Arial" w:ascii="Arial" w:hAnsi="Arial"/>
          <w:sz w:val="20"/>
          <w:szCs w:val="20"/>
        </w:rPr>
        <w:t xml:space="preserve"> </w:t>
      </w:r>
      <w:r>
        <w:rPr>
          <w:rFonts w:cs="Arial" w:ascii="Arial" w:hAnsi="Arial"/>
          <w:sz w:val="20"/>
          <w:szCs w:val="20"/>
        </w:rPr>
        <w:t>Los albaceas, copropietarios, fideicomitentes o fideicomisarios de un bien determinado, por cuya administración, copropiedad o derecho se cause una contribución a favor del Municipio.</w:t>
      </w:r>
    </w:p>
    <w:p>
      <w:pPr>
        <w:pStyle w:val="Normal"/>
        <w:numPr>
          <w:ilvl w:val="0"/>
          <w:numId w:val="2"/>
        </w:numPr>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Los retenedores de impuestos, y</w:t>
      </w:r>
    </w:p>
    <w:p>
      <w:pPr>
        <w:pStyle w:val="Normal"/>
        <w:numPr>
          <w:ilvl w:val="0"/>
          <w:numId w:val="2"/>
        </w:numPr>
        <w:jc w:val="both"/>
        <w:rPr/>
      </w:pPr>
      <w:r>
        <w:rPr>
          <w:rFonts w:eastAsia="Arial" w:cs="Arial" w:ascii="Arial" w:hAnsi="Arial"/>
          <w:sz w:val="20"/>
          <w:szCs w:val="20"/>
        </w:rPr>
        <w:t xml:space="preserve"> </w:t>
      </w:r>
      <w:r>
        <w:rPr>
          <w:rFonts w:cs="Arial" w:ascii="Arial" w:hAnsi="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14.- </w:t>
      </w:r>
      <w:r>
        <w:rPr>
          <w:rFonts w:cs="Arial" w:ascii="Arial" w:hAnsi="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15.- </w:t>
      </w:r>
      <w:r>
        <w:rPr>
          <w:rFonts w:cs="Arial" w:ascii="Arial" w:hAnsi="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16.- </w:t>
      </w:r>
      <w:r>
        <w:rPr>
          <w:rFonts w:cs="Arial" w:ascii="Arial" w:hAnsi="Arial"/>
          <w:sz w:val="20"/>
          <w:szCs w:val="20"/>
        </w:rPr>
        <w:t>Los pagos que se hagan se aplicarán a los créditos más antiguos siempre que se trate de una misma contribución y, antes del adeudo principal, a los accesorios, en el siguiente orden:</w:t>
      </w:r>
    </w:p>
    <w:p>
      <w:pPr>
        <w:pStyle w:val="Normal"/>
        <w:numPr>
          <w:ilvl w:val="0"/>
          <w:numId w:val="5"/>
        </w:numPr>
        <w:jc w:val="both"/>
        <w:rPr>
          <w:rFonts w:ascii="Arial" w:hAnsi="Arial" w:cs="Arial"/>
          <w:sz w:val="20"/>
          <w:szCs w:val="20"/>
        </w:rPr>
      </w:pPr>
      <w:r>
        <w:rPr>
          <w:rFonts w:cs="Arial" w:ascii="Arial" w:hAnsi="Arial"/>
          <w:sz w:val="20"/>
          <w:szCs w:val="20"/>
        </w:rPr>
        <w:t>Gastos de ejecución;</w:t>
      </w:r>
    </w:p>
    <w:p>
      <w:pPr>
        <w:pStyle w:val="Normal"/>
        <w:numPr>
          <w:ilvl w:val="0"/>
          <w:numId w:val="5"/>
        </w:numPr>
        <w:jc w:val="both"/>
        <w:rPr>
          <w:rFonts w:ascii="Arial" w:hAnsi="Arial" w:cs="Arial"/>
          <w:sz w:val="20"/>
          <w:szCs w:val="20"/>
        </w:rPr>
      </w:pPr>
      <w:r>
        <w:rPr>
          <w:rFonts w:cs="Arial" w:ascii="Arial" w:hAnsi="Arial"/>
          <w:sz w:val="20"/>
          <w:szCs w:val="20"/>
        </w:rPr>
        <w:t>Recargos;</w:t>
      </w:r>
    </w:p>
    <w:p>
      <w:pPr>
        <w:pStyle w:val="Normal"/>
        <w:numPr>
          <w:ilvl w:val="0"/>
          <w:numId w:val="5"/>
        </w:numPr>
        <w:jc w:val="both"/>
        <w:rPr>
          <w:rFonts w:ascii="Arial" w:hAnsi="Arial" w:cs="Arial"/>
          <w:sz w:val="20"/>
          <w:szCs w:val="20"/>
        </w:rPr>
      </w:pPr>
      <w:r>
        <w:rPr>
          <w:rFonts w:cs="Arial" w:ascii="Arial" w:hAnsi="Arial"/>
          <w:sz w:val="20"/>
          <w:szCs w:val="20"/>
        </w:rPr>
        <w:t>Multas, e</w:t>
      </w:r>
    </w:p>
    <w:p>
      <w:pPr>
        <w:pStyle w:val="Normal"/>
        <w:numPr>
          <w:ilvl w:val="0"/>
          <w:numId w:val="5"/>
        </w:numPr>
        <w:jc w:val="both"/>
        <w:rPr>
          <w:rFonts w:ascii="Arial" w:hAnsi="Arial" w:cs="Arial"/>
          <w:sz w:val="20"/>
          <w:szCs w:val="20"/>
        </w:rPr>
      </w:pPr>
      <w:r>
        <w:rPr>
          <w:rFonts w:cs="Arial" w:ascii="Arial" w:hAnsi="Arial"/>
          <w:sz w:val="20"/>
          <w:szCs w:val="20"/>
        </w:rPr>
        <w:t>Indemnización.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17.-</w:t>
      </w:r>
      <w:r>
        <w:rPr>
          <w:rFonts w:cs="Arial" w:ascii="Arial" w:hAnsi="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18.-</w:t>
      </w:r>
      <w:r>
        <w:rPr>
          <w:rFonts w:cs="Arial" w:ascii="Arial" w:hAnsi="Arial"/>
          <w:sz w:val="20"/>
          <w:szCs w:val="20"/>
        </w:rPr>
        <w:t xml:space="preserve"> Las autoridades fiscales municipales están obligadas a devolver las cantidades pagadas indebidamente. La devolución se efectuará de conformidad con lo establecido en el Código Fiscal del Estado de Yucatán.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Cuerpodetexto"/>
        <w:tabs>
          <w:tab w:val="clear" w:pos="708"/>
          <w:tab w:val="left" w:pos="1260" w:leader="none"/>
        </w:tabs>
        <w:spacing w:before="0" w:after="0"/>
        <w:ind w:right="0" w:hanging="0"/>
        <w:jc w:val="center"/>
        <w:rPr>
          <w:b/>
          <w:b/>
          <w:sz w:val="20"/>
        </w:rPr>
      </w:pPr>
      <w:r>
        <w:rPr>
          <w:b/>
          <w:sz w:val="20"/>
        </w:rPr>
        <w:t>CAPÍTULO VI</w:t>
      </w:r>
    </w:p>
    <w:p>
      <w:pPr>
        <w:pStyle w:val="Cuerpodetexto"/>
        <w:tabs>
          <w:tab w:val="clear" w:pos="708"/>
          <w:tab w:val="left" w:pos="1260" w:leader="none"/>
        </w:tabs>
        <w:spacing w:before="0" w:after="0"/>
        <w:ind w:right="0" w:hanging="0"/>
        <w:jc w:val="center"/>
        <w:rPr>
          <w:b/>
          <w:b/>
          <w:sz w:val="20"/>
        </w:rPr>
      </w:pPr>
      <w:r>
        <w:rPr>
          <w:b/>
          <w:sz w:val="20"/>
        </w:rPr>
        <w:t>De la Actualización y los Recargos</w:t>
      </w:r>
    </w:p>
    <w:p>
      <w:pPr>
        <w:pStyle w:val="Normal"/>
        <w:jc w:val="both"/>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Artículo 19.-</w:t>
      </w:r>
      <w:r>
        <w:rPr>
          <w:rFonts w:cs="Arial" w:ascii="Arial" w:hAnsi="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pPr>
        <w:pStyle w:val="Normal"/>
        <w:jc w:val="both"/>
        <w:rPr>
          <w:rFonts w:ascii="Arial" w:hAnsi="Arial" w:cs="Arial"/>
          <w:sz w:val="20"/>
          <w:szCs w:val="20"/>
        </w:rPr>
      </w:pPr>
      <w:r>
        <w:rPr>
          <w:rFonts w:cs="Arial" w:ascii="Arial" w:hAnsi="Arial"/>
          <w:sz w:val="20"/>
          <w:szCs w:val="20"/>
        </w:rPr>
      </w:r>
    </w:p>
    <w:p>
      <w:pPr>
        <w:pStyle w:val="Normal"/>
        <w:autoSpaceDE w:val="false"/>
        <w:jc w:val="both"/>
        <w:rPr/>
      </w:pPr>
      <w:r>
        <w:rPr>
          <w:rFonts w:cs="Arial" w:ascii="Arial" w:hAnsi="Arial"/>
          <w:b/>
          <w:bCs/>
          <w:color w:val="000000"/>
          <w:sz w:val="20"/>
          <w:szCs w:val="20"/>
        </w:rPr>
        <w:t xml:space="preserve">Artículo 20.- </w:t>
      </w:r>
      <w:r>
        <w:rPr>
          <w:rFonts w:cs="Arial" w:ascii="Arial" w:hAnsi="Arial"/>
          <w:color w:val="000000"/>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Oxkutzcab, por la falta de pago oportuno</w:t>
      </w:r>
    </w:p>
    <w:p>
      <w:pPr>
        <w:pStyle w:val="Normal"/>
        <w:autoSpaceDE w:val="false"/>
        <w:jc w:val="both"/>
        <w:rPr>
          <w:rFonts w:ascii="Arial" w:hAnsi="Arial" w:cs="Arial"/>
          <w:color w:val="000000"/>
          <w:sz w:val="20"/>
          <w:szCs w:val="20"/>
        </w:rPr>
      </w:pPr>
      <w:r>
        <w:rPr>
          <w:rFonts w:cs="Arial" w:ascii="Arial" w:hAnsi="Arial"/>
          <w:color w:val="000000"/>
          <w:sz w:val="20"/>
          <w:szCs w:val="20"/>
        </w:rPr>
      </w:r>
    </w:p>
    <w:p>
      <w:pPr>
        <w:pStyle w:val="Normal"/>
        <w:autoSpaceDE w:val="false"/>
        <w:jc w:val="both"/>
        <w:rPr/>
      </w:pPr>
      <w:r>
        <w:rPr>
          <w:rFonts w:cs="Arial" w:ascii="Arial" w:hAnsi="Arial"/>
          <w:b/>
          <w:sz w:val="20"/>
          <w:szCs w:val="20"/>
        </w:rPr>
        <w:t>Artículo 21.-</w:t>
      </w:r>
      <w:r>
        <w:rPr>
          <w:rFonts w:cs="Arial" w:ascii="Arial" w:hAnsi="Arial"/>
          <w:sz w:val="20"/>
          <w:szCs w:val="20"/>
        </w:rPr>
        <w:t xml:space="preserve"> Para efectos de la determinación, cálculo y pago de los recargos a que se refiere el artículo anterior, se estará a lo dispuesto en el Código Fiscal del Estado  de Yucatán. </w:t>
      </w:r>
    </w:p>
    <w:p>
      <w:pPr>
        <w:pStyle w:val="Normal"/>
        <w:jc w:val="both"/>
        <w:rPr>
          <w:rFonts w:ascii="Arial" w:hAnsi="Arial" w:cs="Arial"/>
          <w:sz w:val="20"/>
          <w:szCs w:val="20"/>
        </w:rPr>
      </w:pPr>
      <w:r>
        <w:rPr>
          <w:rFonts w:cs="Arial" w:ascii="Arial" w:hAnsi="Arial"/>
          <w:b/>
          <w:sz w:val="20"/>
          <w:szCs w:val="20"/>
        </w:rPr>
        <w:t> </w:t>
      </w: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VII</w:t>
      </w:r>
    </w:p>
    <w:p>
      <w:pPr>
        <w:pStyle w:val="Normal"/>
        <w:jc w:val="center"/>
        <w:rPr>
          <w:rFonts w:ascii="Arial" w:hAnsi="Arial" w:cs="Arial"/>
          <w:b/>
          <w:b/>
          <w:sz w:val="20"/>
          <w:szCs w:val="20"/>
        </w:rPr>
      </w:pPr>
      <w:r>
        <w:rPr>
          <w:rFonts w:cs="Arial" w:ascii="Arial" w:hAnsi="Arial"/>
          <w:b/>
          <w:sz w:val="20"/>
          <w:szCs w:val="20"/>
        </w:rPr>
        <w:t>De las Licencias de Funcionamiento</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Artículo 22.-</w:t>
      </w:r>
      <w:r>
        <w:rPr>
          <w:rFonts w:cs="Arial" w:ascii="Arial" w:hAnsi="Arial"/>
          <w:sz w:val="20"/>
          <w:szCs w:val="20"/>
        </w:rPr>
        <w:t xml:space="preserve"> Ninguna licencia de funcionamiento podrá otorgarse por un plazo que exceda el del ejercicio constitucional del Ayuntamiento.</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b/>
          <w:sz w:val="20"/>
          <w:szCs w:val="20"/>
        </w:rPr>
        <w:t>Artículo 23.-</w:t>
      </w:r>
      <w:r>
        <w:rPr>
          <w:rFonts w:cs="Arial" w:ascii="Arial" w:hAnsi="Arial"/>
          <w:sz w:val="20"/>
          <w:szCs w:val="20"/>
        </w:rP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estas obligaciones, el Tesorero Municipal estará facultado para proponer al cabildo la revocación de la licencia que corresponda, sin perjuicio de las sanciones a que se refiere la fracción II y último párrafo del artículo 154 de esta Ley.</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 adición a lo señalado en el párrafo inmediato anterior, el Tesorero Municipal estará facultado para proponer a la consideración del cabildo la revocación de la licencia de funcionamiento para aquellos casos que para su obtención o revalidación se hayan proporcionado o presentado información o documentos falsos o cuando se le revoque la licencia de uso de suelo por resolución de autoridad competente.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24.-</w:t>
      </w:r>
      <w:r>
        <w:rPr>
          <w:rFonts w:cs="Arial" w:ascii="Arial" w:hAnsi="Arial"/>
          <w:sz w:val="20"/>
          <w:szCs w:val="20"/>
        </w:rPr>
        <w:t xml:space="preserve"> La revalidación de las licencias de funcionamiento estará vigente desde el día de su otorgamiento y hasta el día 31 de diciembre del año en que se tramiten.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25.-</w:t>
      </w:r>
      <w:r>
        <w:rPr>
          <w:rFonts w:cs="Arial" w:ascii="Arial" w:hAnsi="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w:t>
      </w:r>
      <w:r>
        <w:rPr>
          <w:rFonts w:cs="Arial" w:ascii="Arial" w:hAnsi="Arial"/>
          <w:b/>
          <w:sz w:val="20"/>
          <w:szCs w:val="20"/>
        </w:rPr>
        <w:t xml:space="preserve"> </w:t>
      </w:r>
      <w:r>
        <w:rPr>
          <w:rFonts w:cs="Arial" w:ascii="Arial" w:hAnsi="Arial"/>
          <w:sz w:val="20"/>
          <w:szCs w:val="20"/>
        </w:rPr>
        <w:t xml:space="preserve">condición, serán iguales a las expresadas por dichas dependencias. </w:t>
      </w:r>
    </w:p>
    <w:p>
      <w:pPr>
        <w:pStyle w:val="Cuerpodetexto"/>
        <w:spacing w:before="0" w:after="0"/>
        <w:ind w:right="0" w:firstLine="708"/>
        <w:rPr>
          <w:rFonts w:ascii="Arial" w:hAnsi="Arial" w:cs="Arial"/>
          <w:sz w:val="20"/>
          <w:szCs w:val="20"/>
        </w:rPr>
      </w:pPr>
      <w:r>
        <w:rPr>
          <w:rFonts w:cs="Arial"/>
          <w:sz w:val="20"/>
          <w:szCs w:val="20"/>
        </w:rPr>
      </w:r>
    </w:p>
    <w:p>
      <w:pPr>
        <w:pStyle w:val="Cuerpodetexto"/>
        <w:spacing w:before="0" w:after="0"/>
        <w:ind w:right="0" w:hanging="0"/>
        <w:rPr/>
      </w:pPr>
      <w:r>
        <w:rPr>
          <w:b/>
          <w:sz w:val="20"/>
        </w:rPr>
        <w:t>Artículo 26.-</w:t>
      </w:r>
      <w:r>
        <w:rPr>
          <w:sz w:val="20"/>
        </w:rPr>
        <w:t xml:space="preserve"> Las personas físicas o morales que soliciten licencias de funcionamiento, tendrán que presentar a Tesorería Municipal, además del pedimento respectivo, los siguientes documentos:</w:t>
      </w:r>
    </w:p>
    <w:p>
      <w:pPr>
        <w:pStyle w:val="Cuerpodetexto"/>
        <w:numPr>
          <w:ilvl w:val="0"/>
          <w:numId w:val="20"/>
        </w:numPr>
        <w:spacing w:before="0" w:after="0"/>
        <w:ind w:left="0" w:right="0" w:firstLine="567"/>
        <w:rPr/>
      </w:pPr>
      <w:r>
        <w:rPr>
          <w:sz w:val="20"/>
        </w:rPr>
        <w:t>El que compruebe fehacientemente que está al día en el pago del impuesto predial y derecho de servicio de agua potable correspondientes al domicilio donde se encuentra el comercio, negocio o establecimiento en caso de ser propietario; en caso contrario, deberá presentar, además de lo ya mencionado en esta fracción, el convenio, contrato u otro documento que compruebe la legal posesión del mismo.</w:t>
      </w:r>
    </w:p>
    <w:p>
      <w:pPr>
        <w:pStyle w:val="Cuerpodetexto"/>
        <w:numPr>
          <w:ilvl w:val="0"/>
          <w:numId w:val="20"/>
        </w:numPr>
        <w:spacing w:before="0" w:after="0"/>
        <w:ind w:left="0" w:right="0" w:firstLine="567"/>
        <w:rPr>
          <w:sz w:val="20"/>
        </w:rPr>
      </w:pPr>
      <w:r>
        <w:rPr>
          <w:sz w:val="20"/>
        </w:rPr>
        <w:t xml:space="preserve">Licencia de uso de suelo. </w:t>
      </w:r>
    </w:p>
    <w:p>
      <w:pPr>
        <w:pStyle w:val="Cuerpodetexto"/>
        <w:numPr>
          <w:ilvl w:val="0"/>
          <w:numId w:val="20"/>
        </w:numPr>
        <w:spacing w:before="0" w:after="0"/>
        <w:ind w:left="0" w:right="0" w:firstLine="567"/>
        <w:rPr>
          <w:sz w:val="20"/>
        </w:rPr>
      </w:pPr>
      <w:r>
        <w:rPr>
          <w:sz w:val="20"/>
        </w:rPr>
        <w:t xml:space="preserve">Determinación sanitaria, en su caso. </w:t>
      </w:r>
    </w:p>
    <w:p>
      <w:pPr>
        <w:pStyle w:val="Cuerpodetexto"/>
        <w:numPr>
          <w:ilvl w:val="0"/>
          <w:numId w:val="20"/>
        </w:numPr>
        <w:spacing w:before="0" w:after="0"/>
        <w:ind w:left="0" w:right="0" w:firstLine="567"/>
        <w:rPr>
          <w:sz w:val="20"/>
        </w:rPr>
      </w:pPr>
      <w:r>
        <w:rPr>
          <w:sz w:val="20"/>
        </w:rPr>
        <w:t>El recibo de pago del derecho correspondiente en su caso.</w:t>
      </w:r>
    </w:p>
    <w:p>
      <w:pPr>
        <w:pStyle w:val="Normal"/>
        <w:numPr>
          <w:ilvl w:val="0"/>
          <w:numId w:val="20"/>
        </w:numPr>
        <w:jc w:val="both"/>
        <w:rPr>
          <w:rFonts w:ascii="Arial" w:hAnsi="Arial" w:cs="Arial"/>
          <w:sz w:val="20"/>
          <w:szCs w:val="20"/>
        </w:rPr>
      </w:pPr>
      <w:r>
        <w:rPr>
          <w:rFonts w:cs="Arial" w:ascii="Arial" w:hAnsi="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pPr>
        <w:pStyle w:val="Normal"/>
        <w:numPr>
          <w:ilvl w:val="0"/>
          <w:numId w:val="20"/>
        </w:numPr>
        <w:jc w:val="both"/>
        <w:rPr>
          <w:rFonts w:ascii="Arial" w:hAnsi="Arial" w:cs="Arial"/>
          <w:sz w:val="20"/>
          <w:szCs w:val="20"/>
        </w:rPr>
      </w:pPr>
      <w:r>
        <w:rPr>
          <w:rFonts w:cs="Arial" w:ascii="Arial" w:hAnsi="Arial"/>
          <w:sz w:val="20"/>
          <w:szCs w:val="20"/>
        </w:rPr>
        <w:t>El contrato vigente del servicio de recolección y traslado de residuos sólidos no peligrosos o basura con la Dirección de Recolección de Residuos Sólidos del Municipio de Oxkutzcab, Yucatán, quien presta el servicio en la zona geográfica donde se ubique la Persona Física o Moral solicitante, y estar al día en el pago de dicho servicio.</w:t>
      </w:r>
    </w:p>
    <w:p>
      <w:pPr>
        <w:pStyle w:val="Normal"/>
        <w:numPr>
          <w:ilvl w:val="0"/>
          <w:numId w:val="20"/>
        </w:numPr>
        <w:jc w:val="both"/>
        <w:rPr>
          <w:rFonts w:ascii="Arial" w:hAnsi="Arial" w:cs="Arial"/>
          <w:sz w:val="20"/>
          <w:szCs w:val="20"/>
        </w:rPr>
      </w:pPr>
      <w:r>
        <w:rPr>
          <w:rFonts w:cs="Arial" w:ascii="Arial" w:hAnsi="Arial"/>
          <w:sz w:val="20"/>
          <w:szCs w:val="20"/>
        </w:rPr>
        <w:t>Copia del comprobante de inscripción en el Registro Federal de Contribuyentes;</w:t>
      </w:r>
    </w:p>
    <w:p>
      <w:pPr>
        <w:pStyle w:val="Normal"/>
        <w:numPr>
          <w:ilvl w:val="0"/>
          <w:numId w:val="20"/>
        </w:numPr>
        <w:jc w:val="both"/>
        <w:rPr>
          <w:rFonts w:ascii="Arial" w:hAnsi="Arial" w:cs="Arial"/>
          <w:sz w:val="20"/>
          <w:szCs w:val="20"/>
        </w:rPr>
      </w:pPr>
      <w:r>
        <w:rPr>
          <w:rFonts w:cs="Arial" w:ascii="Arial" w:hAnsi="Arial"/>
          <w:sz w:val="20"/>
          <w:szCs w:val="20"/>
        </w:rPr>
        <w:t>Copia del comprobante de su Clave Única de Registro de Población en su caso, y</w:t>
      </w:r>
    </w:p>
    <w:p>
      <w:pPr>
        <w:pStyle w:val="Normal"/>
        <w:numPr>
          <w:ilvl w:val="0"/>
          <w:numId w:val="20"/>
        </w:numPr>
        <w:jc w:val="both"/>
        <w:rPr>
          <w:rFonts w:ascii="Arial" w:hAnsi="Arial" w:cs="Arial"/>
          <w:sz w:val="20"/>
          <w:szCs w:val="20"/>
        </w:rPr>
      </w:pPr>
      <w:r>
        <w:rPr>
          <w:rFonts w:cs="Arial" w:ascii="Arial" w:hAnsi="Arial"/>
          <w:sz w:val="20"/>
          <w:szCs w:val="20"/>
        </w:rPr>
        <w:t>Autorización de ocupación en los casos previstos en el Reglamento de Construcciones del Municipio de Oxkutzcab.</w:t>
      </w:r>
    </w:p>
    <w:p>
      <w:pPr>
        <w:pStyle w:val="Normal"/>
        <w:ind w:left="567"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pPr>
        <w:pStyle w:val="Normal"/>
        <w:jc w:val="both"/>
        <w:rPr>
          <w:rFonts w:ascii="Arial" w:hAnsi="Arial" w:cs="Arial"/>
          <w:sz w:val="20"/>
          <w:szCs w:val="20"/>
        </w:rPr>
      </w:pPr>
      <w:r>
        <w:rPr>
          <w:rFonts w:cs="Arial" w:ascii="Arial" w:hAnsi="Arial"/>
          <w:sz w:val="20"/>
          <w:szCs w:val="20"/>
        </w:rPr>
      </w:r>
    </w:p>
    <w:p>
      <w:pPr>
        <w:pStyle w:val="Cuerpodetexto"/>
        <w:spacing w:before="0" w:after="0"/>
        <w:ind w:right="0" w:hanging="0"/>
        <w:rPr/>
      </w:pPr>
      <w:r>
        <w:rPr>
          <w:b/>
          <w:sz w:val="20"/>
        </w:rPr>
        <w:t>Artículo 27.-</w:t>
      </w:r>
      <w:r>
        <w:rPr>
          <w:sz w:val="20"/>
        </w:rPr>
        <w:t xml:space="preserve"> Las personas físicas o morales que soliciten revalidar licencias de funcionamiento, tendrán que presentar a Tesorería Municipal, además del pedimento respectivo, los siguientes documentos:</w:t>
      </w:r>
    </w:p>
    <w:p>
      <w:pPr>
        <w:pStyle w:val="Cuerpodetexto"/>
        <w:spacing w:before="0" w:after="0"/>
        <w:ind w:right="0" w:hanging="0"/>
        <w:rPr>
          <w:sz w:val="20"/>
        </w:rPr>
      </w:pPr>
      <w:r>
        <w:rPr>
          <w:sz w:val="20"/>
        </w:rPr>
      </w:r>
    </w:p>
    <w:p>
      <w:pPr>
        <w:pStyle w:val="Normal"/>
        <w:numPr>
          <w:ilvl w:val="0"/>
          <w:numId w:val="22"/>
        </w:numPr>
        <w:jc w:val="both"/>
        <w:rPr>
          <w:rFonts w:ascii="Arial" w:hAnsi="Arial" w:cs="Arial"/>
          <w:sz w:val="20"/>
          <w:szCs w:val="20"/>
        </w:rPr>
      </w:pPr>
      <w:r>
        <w:rPr>
          <w:rFonts w:cs="Arial" w:ascii="Arial" w:hAnsi="Arial"/>
          <w:sz w:val="20"/>
          <w:szCs w:val="20"/>
        </w:rPr>
        <w:t>Licencia de funcionamiento expedida por la administración municipal inmediata anterior.</w:t>
      </w:r>
    </w:p>
    <w:p>
      <w:pPr>
        <w:pStyle w:val="Normal"/>
        <w:numPr>
          <w:ilvl w:val="0"/>
          <w:numId w:val="22"/>
        </w:numPr>
        <w:jc w:val="both"/>
        <w:rPr/>
      </w:pPr>
      <w:r>
        <w:rPr>
          <w:rFonts w:cs="Arial" w:ascii="Arial" w:hAnsi="Arial"/>
          <w:sz w:val="20"/>
          <w:szCs w:val="20"/>
        </w:rPr>
        <w:t>Documento que compruebe fehacientemente que está al día en el pago del impuesto predial, derecho de servicio de agua potable y del servicio de recolección y traslado de residuos sólidos no peligrosos o basura, correspondientes al domicilio donde se encuentra el comercio, negocio o establecimiento en caso de ser propietario; en caso contrario, deberá presentar el convenio, contrato u otro documento que compruebe la legal posesión del mismo.</w:t>
      </w:r>
    </w:p>
    <w:p>
      <w:pPr>
        <w:pStyle w:val="Normal"/>
        <w:numPr>
          <w:ilvl w:val="0"/>
          <w:numId w:val="22"/>
        </w:numPr>
        <w:jc w:val="both"/>
        <w:rPr>
          <w:rFonts w:ascii="Arial" w:hAnsi="Arial" w:cs="Arial"/>
          <w:sz w:val="20"/>
          <w:szCs w:val="20"/>
        </w:rPr>
      </w:pPr>
      <w:r>
        <w:rPr>
          <w:rFonts w:cs="Arial" w:ascii="Arial" w:hAnsi="Arial"/>
          <w:sz w:val="20"/>
          <w:szCs w:val="20"/>
        </w:rPr>
        <w:t>El recibo de pago del derecho correspondiente en su caso.</w:t>
      </w:r>
    </w:p>
    <w:p>
      <w:pPr>
        <w:pStyle w:val="Normal"/>
        <w:numPr>
          <w:ilvl w:val="0"/>
          <w:numId w:val="22"/>
        </w:numPr>
        <w:jc w:val="both"/>
        <w:rPr>
          <w:rFonts w:ascii="Arial" w:hAnsi="Arial" w:cs="Arial"/>
          <w:sz w:val="20"/>
          <w:szCs w:val="20"/>
        </w:rPr>
      </w:pPr>
      <w:r>
        <w:rPr>
          <w:rFonts w:cs="Arial" w:ascii="Arial" w:hAnsi="Arial"/>
          <w:sz w:val="20"/>
          <w:szCs w:val="20"/>
        </w:rPr>
        <w:t>Determinación sanitaria, en su caso.</w:t>
      </w:r>
    </w:p>
    <w:p>
      <w:pPr>
        <w:pStyle w:val="Normal"/>
        <w:numPr>
          <w:ilvl w:val="0"/>
          <w:numId w:val="22"/>
        </w:numPr>
        <w:jc w:val="both"/>
        <w:rPr>
          <w:rFonts w:ascii="Arial" w:hAnsi="Arial" w:cs="Arial"/>
          <w:sz w:val="20"/>
          <w:szCs w:val="20"/>
        </w:rPr>
      </w:pPr>
      <w:r>
        <w:rPr>
          <w:rFonts w:cs="Arial" w:ascii="Arial" w:hAnsi="Arial"/>
          <w:sz w:val="20"/>
          <w:szCs w:val="20"/>
        </w:rPr>
        <w:t>Copia del  comprobante de inscripción en el Registro Federal de Contribuyentes, y</w:t>
      </w:r>
    </w:p>
    <w:p>
      <w:pPr>
        <w:pStyle w:val="Normal"/>
        <w:numPr>
          <w:ilvl w:val="0"/>
          <w:numId w:val="22"/>
        </w:numPr>
        <w:jc w:val="both"/>
        <w:rPr>
          <w:rFonts w:ascii="Arial" w:hAnsi="Arial" w:cs="Arial"/>
          <w:sz w:val="20"/>
          <w:szCs w:val="20"/>
        </w:rPr>
      </w:pPr>
      <w:r>
        <w:rPr>
          <w:rFonts w:cs="Arial" w:ascii="Arial" w:hAnsi="Arial"/>
          <w:sz w:val="20"/>
          <w:szCs w:val="20"/>
        </w:rPr>
        <w:t>Copia del comprobante de su Clave Única de Registro de Población en su caso</w:t>
      </w:r>
      <w:r>
        <w:rPr>
          <w:rFonts w:cs="Arial" w:ascii="Arial" w:hAnsi="Arial"/>
          <w:b/>
          <w:sz w:val="20"/>
          <w:szCs w:val="20"/>
        </w:rPr>
        <w:t>.</w:t>
      </w:r>
    </w:p>
    <w:p>
      <w:pPr>
        <w:pStyle w:val="Normal"/>
        <w:ind w:left="900" w:hanging="0"/>
        <w:jc w:val="both"/>
        <w:rPr>
          <w:rFonts w:ascii="Arial" w:hAnsi="Arial" w:cs="Arial"/>
          <w:sz w:val="20"/>
          <w:szCs w:val="20"/>
        </w:rPr>
      </w:pPr>
      <w:r>
        <w:rPr>
          <w:rFonts w:eastAsia="Arial" w:cs="Arial" w:ascii="Arial" w:hAnsi="Arial"/>
          <w:b/>
          <w:sz w:val="20"/>
          <w:szCs w:val="20"/>
        </w:rPr>
        <w:t xml:space="preserve"> </w:t>
      </w:r>
    </w:p>
    <w:p>
      <w:pPr>
        <w:pStyle w:val="Cuerpodetexto"/>
        <w:spacing w:before="0" w:after="0"/>
        <w:ind w:right="0" w:hanging="0"/>
        <w:rPr>
          <w:sz w:val="20"/>
        </w:rPr>
      </w:pPr>
      <w:r>
        <w:rPr>
          <w:sz w:val="20"/>
        </w:rPr>
        <w:t>Los requisitos de las fracciones V y VI, sólo se presentarán en caso de que esos datos no estén registrados en el Padrón Municipal.</w:t>
      </w:r>
    </w:p>
    <w:p>
      <w:pPr>
        <w:pStyle w:val="Cuerpodetexto"/>
        <w:tabs>
          <w:tab w:val="clear" w:pos="708"/>
          <w:tab w:val="left" w:pos="1260" w:leader="none"/>
        </w:tabs>
        <w:spacing w:before="0" w:after="0"/>
        <w:ind w:right="0" w:hanging="0"/>
        <w:rPr>
          <w:sz w:val="20"/>
        </w:rPr>
      </w:pPr>
      <w:r>
        <w:rPr>
          <w:sz w:val="20"/>
        </w:rPr>
      </w:r>
    </w:p>
    <w:p>
      <w:pPr>
        <w:pStyle w:val="Cuerpodetexto"/>
        <w:tabs>
          <w:tab w:val="clear" w:pos="708"/>
          <w:tab w:val="left" w:pos="1260" w:leader="none"/>
        </w:tabs>
        <w:spacing w:before="0" w:after="0"/>
        <w:ind w:right="0" w:hanging="0"/>
        <w:rPr>
          <w:sz w:val="20"/>
        </w:rPr>
      </w:pPr>
      <w:r>
        <w:rPr>
          <w:sz w:val="20"/>
        </w:rPr>
        <w:t>La licencia cuya vigencia termine de manera anticipada de conformidad con este Artículo, deberá revalidarse dentro de los treinta días naturales siguientes a su vencimiento.</w:t>
      </w:r>
    </w:p>
    <w:p>
      <w:pPr>
        <w:pStyle w:val="Cuerpodetexto"/>
        <w:tabs>
          <w:tab w:val="clear" w:pos="708"/>
          <w:tab w:val="left" w:pos="1260" w:leader="none"/>
        </w:tabs>
        <w:spacing w:before="0" w:after="0"/>
        <w:ind w:right="0" w:hanging="0"/>
        <w:rPr>
          <w:sz w:val="20"/>
        </w:rPr>
      </w:pPr>
      <w:r>
        <w:rPr>
          <w:sz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28.-</w:t>
      </w:r>
      <w:r>
        <w:rPr>
          <w:rFonts w:cs="Arial" w:ascii="Arial" w:hAnsi="Arial"/>
          <w:sz w:val="20"/>
          <w:szCs w:val="20"/>
        </w:rPr>
        <w:t xml:space="preserve">  Cuando en la presente ley se haga mención de las palabras "salario" o "salario mínimo" dichos términos se entenderán indistintamente como el salario mínimo general diario de la zona económica a la que pertenezca el Municipio de Oxkutzcab, Yucatán, que estuviese vigente en el momento en que se determine una contribución o un crédito fiscal.</w:t>
      </w:r>
    </w:p>
    <w:p>
      <w:pPr>
        <w:pStyle w:val="Normal"/>
        <w:jc w:val="center"/>
        <w:rPr>
          <w:rFonts w:ascii="Arial" w:hAnsi="Arial" w:cs="Arial"/>
          <w:b/>
          <w:b/>
          <w:bCs/>
          <w:sz w:val="20"/>
          <w:szCs w:val="20"/>
        </w:rPr>
      </w:pPr>
      <w:r>
        <w:rPr>
          <w:rFonts w:cs="Arial" w:ascii="Arial" w:hAnsi="Arial"/>
          <w:b/>
          <w:bCs/>
          <w:sz w:val="20"/>
          <w:szCs w:val="20"/>
        </w:rPr>
      </w:r>
    </w:p>
    <w:p>
      <w:pPr>
        <w:pStyle w:val="Ttulo1"/>
        <w:spacing w:before="0" w:after="0"/>
        <w:rPr>
          <w:rFonts w:ascii="Arial" w:hAnsi="Arial" w:cs="Arial"/>
          <w:b w:val="false"/>
          <w:b w:val="false"/>
          <w:bCs/>
          <w:sz w:val="20"/>
          <w:szCs w:val="20"/>
        </w:rPr>
      </w:pPr>
      <w:r>
        <w:rPr>
          <w:rFonts w:cs="Arial"/>
          <w:b w:val="false"/>
          <w:bCs/>
          <w:sz w:val="20"/>
          <w:szCs w:val="20"/>
        </w:rPr>
      </w:r>
    </w:p>
    <w:p>
      <w:pPr>
        <w:pStyle w:val="Ttulo1"/>
        <w:spacing w:before="0" w:after="0"/>
        <w:rPr>
          <w:rFonts w:cs="Arial"/>
          <w:sz w:val="20"/>
        </w:rPr>
      </w:pPr>
      <w:r>
        <w:rPr>
          <w:rFonts w:cs="Arial"/>
          <w:sz w:val="20"/>
        </w:rPr>
      </w:r>
    </w:p>
    <w:p>
      <w:pPr>
        <w:pStyle w:val="Ttulo1"/>
        <w:spacing w:before="0" w:after="0"/>
        <w:rPr>
          <w:rFonts w:cs="Arial"/>
          <w:sz w:val="20"/>
        </w:rPr>
      </w:pPr>
      <w:r>
        <w:rPr>
          <w:rFonts w:cs="Arial"/>
          <w:sz w:val="20"/>
        </w:rPr>
      </w:r>
    </w:p>
    <w:p>
      <w:pPr>
        <w:pStyle w:val="Ttulo1"/>
        <w:spacing w:before="0" w:after="0"/>
        <w:rPr>
          <w:rFonts w:cs="Arial"/>
          <w:sz w:val="20"/>
        </w:rPr>
      </w:pPr>
      <w:r>
        <w:rPr>
          <w:rFonts w:cs="Arial"/>
          <w:sz w:val="20"/>
        </w:rPr>
        <w:t>TÍTULO SEGUNDO</w:t>
      </w:r>
    </w:p>
    <w:p>
      <w:pPr>
        <w:pStyle w:val="Normal"/>
        <w:jc w:val="center"/>
        <w:rPr>
          <w:rFonts w:ascii="Arial" w:hAnsi="Arial" w:cs="Arial"/>
          <w:b/>
          <w:b/>
          <w:sz w:val="20"/>
          <w:szCs w:val="20"/>
          <w:lang w:val="es-ES_tradnl"/>
        </w:rPr>
      </w:pPr>
      <w:r>
        <w:rPr>
          <w:rFonts w:cs="Arial" w:ascii="Arial" w:hAnsi="Arial"/>
          <w:b/>
          <w:sz w:val="20"/>
          <w:szCs w:val="20"/>
          <w:lang w:val="es-ES_tradnl"/>
        </w:rPr>
        <w:t>DE LOS CONCEPTOS DE INGRESO Y SUS ELEMENTOS</w:t>
      </w:r>
    </w:p>
    <w:p>
      <w:pPr>
        <w:pStyle w:val="Normal"/>
        <w:rPr>
          <w:rFonts w:ascii="Arial" w:hAnsi="Arial" w:cs="Arial"/>
          <w:b/>
          <w:b/>
          <w:sz w:val="20"/>
          <w:szCs w:val="20"/>
          <w:lang w:val="es-ES_tradnl"/>
        </w:rPr>
      </w:pPr>
      <w:r>
        <w:rPr>
          <w:rFonts w:cs="Arial" w:ascii="Arial" w:hAnsi="Arial"/>
          <w:b/>
          <w:sz w:val="20"/>
          <w:szCs w:val="20"/>
          <w:lang w:val="es-ES_tradnl"/>
        </w:rPr>
      </w:r>
    </w:p>
    <w:p>
      <w:pPr>
        <w:pStyle w:val="Ttulo2"/>
        <w:spacing w:lineRule="auto" w:line="240" w:before="0" w:after="0"/>
        <w:ind w:left="0" w:right="0" w:hanging="0"/>
        <w:jc w:val="center"/>
        <w:rPr>
          <w:rFonts w:cs="Arial"/>
          <w:sz w:val="20"/>
        </w:rPr>
      </w:pPr>
      <w:r>
        <w:rPr>
          <w:rFonts w:cs="Arial"/>
          <w:sz w:val="20"/>
        </w:rPr>
        <w:t>CAPÍTULO I</w:t>
      </w:r>
    </w:p>
    <w:p>
      <w:pPr>
        <w:pStyle w:val="Ttulo2"/>
        <w:spacing w:lineRule="auto" w:line="240" w:before="0" w:after="0"/>
        <w:ind w:left="0" w:right="0" w:hanging="0"/>
        <w:jc w:val="center"/>
        <w:rPr>
          <w:rFonts w:cs="Arial"/>
          <w:sz w:val="20"/>
        </w:rPr>
      </w:pPr>
      <w:r>
        <w:rPr>
          <w:rFonts w:cs="Arial"/>
          <w:sz w:val="20"/>
        </w:rPr>
        <w:t>Impuestos</w:t>
      </w:r>
    </w:p>
    <w:p>
      <w:pPr>
        <w:pStyle w:val="Normal"/>
        <w:rPr>
          <w:rFonts w:ascii="Arial" w:hAnsi="Arial" w:cs="Arial"/>
          <w:sz w:val="20"/>
          <w:szCs w:val="20"/>
          <w:lang w:val="es-ES_tradnl"/>
        </w:rPr>
      </w:pPr>
      <w:r>
        <w:rPr>
          <w:rFonts w:cs="Arial" w:ascii="Arial" w:hAnsi="Arial"/>
          <w:sz w:val="20"/>
          <w:szCs w:val="20"/>
          <w:lang w:val="es-ES_tradnl"/>
        </w:rPr>
      </w:r>
    </w:p>
    <w:p>
      <w:pPr>
        <w:pStyle w:val="Ttulo2"/>
        <w:spacing w:lineRule="auto" w:line="240" w:before="0" w:after="0"/>
        <w:ind w:left="0" w:right="0" w:hanging="0"/>
        <w:jc w:val="center"/>
        <w:rPr>
          <w:rFonts w:cs="Arial"/>
          <w:sz w:val="20"/>
        </w:rPr>
      </w:pPr>
      <w:r>
        <w:rPr>
          <w:rFonts w:cs="Arial"/>
          <w:sz w:val="20"/>
        </w:rPr>
        <w:t>Sección Primera</w:t>
      </w:r>
    </w:p>
    <w:p>
      <w:pPr>
        <w:pStyle w:val="Normal"/>
        <w:jc w:val="center"/>
        <w:rPr>
          <w:rFonts w:ascii="Arial" w:hAnsi="Arial" w:cs="Arial"/>
          <w:b/>
          <w:b/>
          <w:sz w:val="20"/>
          <w:szCs w:val="20"/>
        </w:rPr>
      </w:pPr>
      <w:r>
        <w:rPr>
          <w:rFonts w:cs="Arial" w:ascii="Arial" w:hAnsi="Arial"/>
          <w:b/>
          <w:sz w:val="20"/>
          <w:szCs w:val="20"/>
        </w:rPr>
        <w:t>Impuesto Predial</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29.-</w:t>
      </w:r>
      <w:r>
        <w:rPr>
          <w:rFonts w:cs="Arial" w:ascii="Arial" w:hAnsi="Arial"/>
          <w:sz w:val="20"/>
          <w:szCs w:val="20"/>
        </w:rPr>
        <w:t xml:space="preserve"> Son sujetos del Impuesto Predial: </w:t>
      </w:r>
    </w:p>
    <w:p>
      <w:pPr>
        <w:pStyle w:val="Normal"/>
        <w:jc w:val="both"/>
        <w:rPr>
          <w:rFonts w:ascii="Arial" w:hAnsi="Arial" w:cs="Arial"/>
          <w:sz w:val="20"/>
          <w:szCs w:val="20"/>
        </w:rPr>
      </w:pPr>
      <w:r>
        <w:rPr>
          <w:rFonts w:cs="Arial" w:ascii="Arial" w:hAnsi="Arial"/>
          <w:sz w:val="20"/>
          <w:szCs w:val="20"/>
        </w:rPr>
      </w:r>
    </w:p>
    <w:p>
      <w:pPr>
        <w:pStyle w:val="Normal"/>
        <w:numPr>
          <w:ilvl w:val="0"/>
          <w:numId w:val="10"/>
        </w:numPr>
        <w:jc w:val="both"/>
        <w:rPr/>
      </w:pPr>
      <w:r>
        <w:rPr>
          <w:rFonts w:eastAsia="Arial" w:cs="Arial" w:ascii="Arial" w:hAnsi="Arial"/>
          <w:sz w:val="20"/>
          <w:szCs w:val="20"/>
        </w:rPr>
        <w:t xml:space="preserve"> </w:t>
      </w:r>
      <w:r>
        <w:rPr>
          <w:rFonts w:cs="Arial" w:ascii="Arial" w:hAnsi="Arial"/>
          <w:sz w:val="20"/>
          <w:szCs w:val="20"/>
        </w:rPr>
        <w:t xml:space="preserve">Los propietarios o usufructuarios de inmuebles ubicados en el Municipio de Oxkutzcab, Yucatán, así como de las construcciones permanentes edificadas en ellos. </w:t>
      </w:r>
    </w:p>
    <w:p>
      <w:pPr>
        <w:pStyle w:val="Normal"/>
        <w:jc w:val="both"/>
        <w:rPr>
          <w:rFonts w:ascii="Arial" w:hAnsi="Arial" w:cs="Arial"/>
          <w:sz w:val="20"/>
          <w:szCs w:val="20"/>
        </w:rPr>
      </w:pPr>
      <w:r>
        <w:rPr>
          <w:rFonts w:cs="Arial" w:ascii="Arial" w:hAnsi="Arial"/>
          <w:sz w:val="20"/>
          <w:szCs w:val="20"/>
        </w:rPr>
      </w:r>
    </w:p>
    <w:p>
      <w:pPr>
        <w:pStyle w:val="Normal"/>
        <w:numPr>
          <w:ilvl w:val="0"/>
          <w:numId w:val="10"/>
        </w:numPr>
        <w:jc w:val="both"/>
        <w:rPr/>
      </w:pPr>
      <w:r>
        <w:rPr>
          <w:rFonts w:eastAsia="Arial" w:cs="Arial" w:ascii="Arial" w:hAnsi="Arial"/>
          <w:sz w:val="20"/>
          <w:szCs w:val="20"/>
        </w:rPr>
        <w:t xml:space="preserve"> </w:t>
      </w:r>
      <w:r>
        <w:rPr>
          <w:rFonts w:cs="Arial" w:ascii="Arial" w:hAnsi="Arial"/>
          <w:sz w:val="20"/>
          <w:szCs w:val="20"/>
        </w:rPr>
        <w:t xml:space="preserve">Los fideicomitentes, por todo el tiempo que el fiduciario no transmitiere la propiedad o el uso del inmueble al fideicomisario o a las demás personas que correspondiere, en cumplimiento del contrato de fideicomiso. </w:t>
      </w:r>
    </w:p>
    <w:p>
      <w:pPr>
        <w:pStyle w:val="Normal"/>
        <w:jc w:val="both"/>
        <w:rPr>
          <w:rFonts w:ascii="Arial" w:hAnsi="Arial" w:cs="Arial"/>
          <w:sz w:val="20"/>
          <w:szCs w:val="20"/>
        </w:rPr>
      </w:pPr>
      <w:r>
        <w:rPr>
          <w:rFonts w:cs="Arial" w:ascii="Arial" w:hAnsi="Arial"/>
          <w:sz w:val="20"/>
          <w:szCs w:val="20"/>
        </w:rPr>
      </w:r>
    </w:p>
    <w:p>
      <w:pPr>
        <w:pStyle w:val="Normal"/>
        <w:numPr>
          <w:ilvl w:val="0"/>
          <w:numId w:val="10"/>
        </w:numPr>
        <w:jc w:val="both"/>
        <w:rPr/>
      </w:pPr>
      <w:r>
        <w:rPr>
          <w:rFonts w:eastAsia="Arial" w:cs="Arial" w:ascii="Arial" w:hAnsi="Arial"/>
          <w:sz w:val="20"/>
          <w:szCs w:val="20"/>
        </w:rPr>
        <w:t xml:space="preserve"> </w:t>
      </w:r>
      <w:r>
        <w:rPr>
          <w:rFonts w:cs="Arial" w:ascii="Arial" w:hAnsi="Arial"/>
          <w:sz w:val="20"/>
          <w:szCs w:val="20"/>
        </w:rPr>
        <w:t xml:space="preserve">Los fideicomisarios, cuando tengan la posesión o el uso del inmueble. </w:t>
      </w:r>
    </w:p>
    <w:p>
      <w:pPr>
        <w:pStyle w:val="Normal"/>
        <w:jc w:val="both"/>
        <w:rPr>
          <w:rFonts w:ascii="Arial" w:hAnsi="Arial" w:cs="Arial"/>
          <w:sz w:val="20"/>
          <w:szCs w:val="20"/>
        </w:rPr>
      </w:pPr>
      <w:r>
        <w:rPr>
          <w:rFonts w:cs="Arial" w:ascii="Arial" w:hAnsi="Arial"/>
          <w:sz w:val="20"/>
          <w:szCs w:val="20"/>
        </w:rPr>
      </w:r>
    </w:p>
    <w:p>
      <w:pPr>
        <w:pStyle w:val="Normal"/>
        <w:numPr>
          <w:ilvl w:val="0"/>
          <w:numId w:val="10"/>
        </w:numPr>
        <w:jc w:val="both"/>
        <w:rPr/>
      </w:pPr>
      <w:r>
        <w:rPr>
          <w:rFonts w:eastAsia="Arial" w:cs="Arial" w:ascii="Arial" w:hAnsi="Arial"/>
          <w:sz w:val="20"/>
          <w:szCs w:val="20"/>
        </w:rPr>
        <w:t xml:space="preserve"> </w:t>
      </w:r>
      <w:r>
        <w:rPr>
          <w:rFonts w:cs="Arial" w:ascii="Arial" w:hAnsi="Arial"/>
          <w:sz w:val="20"/>
          <w:szCs w:val="20"/>
        </w:rPr>
        <w:t>Los fiduciarios, cuando por virtud del contrato del fideicomiso tengan la posesión o el uso del inmueble.</w:t>
      </w:r>
    </w:p>
    <w:p>
      <w:pPr>
        <w:pStyle w:val="Normal"/>
        <w:jc w:val="both"/>
        <w:rPr>
          <w:rFonts w:ascii="Arial" w:hAnsi="Arial" w:cs="Arial"/>
          <w:sz w:val="20"/>
          <w:szCs w:val="20"/>
        </w:rPr>
      </w:pPr>
      <w:r>
        <w:rPr>
          <w:rFonts w:cs="Arial" w:ascii="Arial" w:hAnsi="Arial"/>
          <w:sz w:val="20"/>
          <w:szCs w:val="20"/>
        </w:rPr>
      </w:r>
    </w:p>
    <w:p>
      <w:pPr>
        <w:pStyle w:val="Normal"/>
        <w:numPr>
          <w:ilvl w:val="0"/>
          <w:numId w:val="10"/>
        </w:numPr>
        <w:jc w:val="both"/>
        <w:rPr/>
      </w:pPr>
      <w:r>
        <w:rPr>
          <w:rFonts w:eastAsia="Arial" w:cs="Arial" w:ascii="Arial" w:hAnsi="Arial"/>
          <w:sz w:val="20"/>
          <w:szCs w:val="20"/>
        </w:rPr>
        <w:t xml:space="preserve"> </w:t>
      </w:r>
      <w:r>
        <w:rPr>
          <w:rFonts w:cs="Arial" w:ascii="Arial" w:hAnsi="Arial"/>
          <w:sz w:val="20"/>
          <w:szCs w:val="20"/>
        </w:rPr>
        <w:t>Los subarrendadores, cuya base será la diferencia que resulte a su favor entre la contraprestación que recibe y la que paga.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30.-</w:t>
      </w:r>
      <w:r>
        <w:rPr>
          <w:rFonts w:cs="Arial" w:ascii="Arial" w:hAnsi="Arial"/>
          <w:sz w:val="20"/>
          <w:szCs w:val="20"/>
        </w:rPr>
        <w:t xml:space="preserve"> Son sujetos mancomunada y solidariamente responsables del impuesto predial:</w:t>
      </w:r>
    </w:p>
    <w:p>
      <w:pPr>
        <w:pStyle w:val="Normal"/>
        <w:jc w:val="both"/>
        <w:rPr>
          <w:rFonts w:ascii="Arial" w:hAnsi="Arial" w:cs="Arial"/>
          <w:sz w:val="20"/>
          <w:szCs w:val="20"/>
        </w:rPr>
      </w:pPr>
      <w:r>
        <w:rPr>
          <w:rFonts w:cs="Arial" w:ascii="Arial" w:hAnsi="Arial"/>
          <w:sz w:val="20"/>
          <w:szCs w:val="20"/>
        </w:rPr>
      </w:r>
    </w:p>
    <w:p>
      <w:pPr>
        <w:pStyle w:val="Normal"/>
        <w:numPr>
          <w:ilvl w:val="0"/>
          <w:numId w:val="24"/>
        </w:numPr>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Tesorería Municipal,y</w:t>
      </w:r>
    </w:p>
    <w:p>
      <w:pPr>
        <w:pStyle w:val="Normal"/>
        <w:jc w:val="both"/>
        <w:rPr>
          <w:rFonts w:ascii="Arial" w:hAnsi="Arial" w:cs="Arial"/>
          <w:sz w:val="20"/>
          <w:szCs w:val="20"/>
        </w:rPr>
      </w:pPr>
      <w:r>
        <w:rPr>
          <w:rFonts w:cs="Arial" w:ascii="Arial" w:hAnsi="Arial"/>
          <w:sz w:val="20"/>
          <w:szCs w:val="20"/>
        </w:rPr>
      </w:r>
    </w:p>
    <w:p>
      <w:pPr>
        <w:pStyle w:val="Normal"/>
        <w:numPr>
          <w:ilvl w:val="0"/>
          <w:numId w:val="24"/>
        </w:numPr>
        <w:jc w:val="both"/>
        <w:rPr/>
      </w:pPr>
      <w:r>
        <w:rPr>
          <w:rFonts w:eastAsia="Arial" w:cs="Arial" w:ascii="Arial" w:hAnsi="Arial"/>
          <w:sz w:val="20"/>
          <w:szCs w:val="20"/>
        </w:rPr>
        <w:t xml:space="preserve"> </w:t>
      </w:r>
      <w:r>
        <w:rPr>
          <w:rFonts w:cs="Arial" w:ascii="Arial" w:hAnsi="Arial"/>
          <w:sz w:val="20"/>
          <w:szCs w:val="20"/>
        </w:rPr>
        <w:t>Los empleados de la Tesorería Municipal, que formulen certificados de estar al corriente en el pago del impuesto predial, que alteren el importe de los adeudos por este concepto, o los dejen de cobrar.</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31.-</w:t>
      </w:r>
      <w:r>
        <w:rPr>
          <w:rFonts w:cs="Arial" w:ascii="Arial" w:hAnsi="Arial"/>
          <w:sz w:val="20"/>
          <w:szCs w:val="20"/>
        </w:rPr>
        <w:t xml:space="preserve"> Es objeto del impuesto predial:</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jc w:val="both"/>
        <w:rPr/>
      </w:pPr>
      <w:r>
        <w:rPr>
          <w:rFonts w:eastAsia="Arial" w:cs="Arial" w:ascii="Arial" w:hAnsi="Arial"/>
          <w:sz w:val="20"/>
          <w:szCs w:val="20"/>
        </w:rPr>
        <w:t xml:space="preserve"> </w:t>
      </w:r>
      <w:r>
        <w:rPr>
          <w:rFonts w:cs="Arial" w:ascii="Arial" w:hAnsi="Arial"/>
          <w:sz w:val="20"/>
          <w:szCs w:val="20"/>
        </w:rPr>
        <w:t>La propiedad y el usufructo, de predios urbanos y rústicos, ubicados en el Municipio de Oxkutzcab, Yucatán.</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jc w:val="both"/>
        <w:rPr/>
      </w:pPr>
      <w:r>
        <w:rPr>
          <w:rFonts w:eastAsia="Arial" w:cs="Arial" w:ascii="Arial" w:hAnsi="Arial"/>
          <w:sz w:val="20"/>
          <w:szCs w:val="20"/>
        </w:rPr>
        <w:t xml:space="preserve"> </w:t>
      </w:r>
      <w:r>
        <w:rPr>
          <w:rFonts w:cs="Arial" w:ascii="Arial" w:hAnsi="Arial"/>
          <w:sz w:val="20"/>
          <w:szCs w:val="20"/>
        </w:rPr>
        <w:t>La propiedad y el usufructo, de las construcciones edificadas, en predios urbanos y rústicos, ubicados en el Municipio de Oxkutzcab, Yucatán.</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jc w:val="both"/>
        <w:rPr/>
      </w:pPr>
      <w:r>
        <w:rPr>
          <w:rFonts w:eastAsia="Arial" w:cs="Arial" w:ascii="Arial" w:hAnsi="Arial"/>
          <w:sz w:val="20"/>
          <w:szCs w:val="20"/>
        </w:rPr>
        <w:t xml:space="preserve"> </w:t>
      </w:r>
      <w:r>
        <w:rPr>
          <w:rFonts w:cs="Arial" w:ascii="Arial" w:hAnsi="Arial"/>
          <w:sz w:val="20"/>
          <w:szCs w:val="20"/>
        </w:rPr>
        <w:t>Los derechos de fideicomisario, cuando el inmueble se encuentre en posesión o uso del mismo.</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Los derechos del fideicomitente, durante todo el tiempo que el fiduciario estuviere como propietario del inmueble, sin llevar a cabo la transmisión al fideicomisario, y</w:t>
      </w:r>
    </w:p>
    <w:p>
      <w:pPr>
        <w:pStyle w:val="Normal"/>
        <w:jc w:val="both"/>
        <w:rPr>
          <w:rFonts w:ascii="Arial" w:hAnsi="Arial" w:cs="Arial"/>
          <w:sz w:val="20"/>
          <w:szCs w:val="20"/>
        </w:rPr>
      </w:pPr>
      <w:r>
        <w:rPr>
          <w:rFonts w:cs="Arial" w:ascii="Arial" w:hAnsi="Arial"/>
          <w:sz w:val="20"/>
          <w:szCs w:val="20"/>
        </w:rPr>
      </w:r>
    </w:p>
    <w:p>
      <w:pPr>
        <w:pStyle w:val="Normal"/>
        <w:numPr>
          <w:ilvl w:val="0"/>
          <w:numId w:val="12"/>
        </w:numPr>
        <w:jc w:val="both"/>
        <w:rPr/>
      </w:pPr>
      <w:r>
        <w:rPr>
          <w:rFonts w:eastAsia="Arial" w:cs="Arial" w:ascii="Arial" w:hAnsi="Arial"/>
          <w:sz w:val="20"/>
          <w:szCs w:val="20"/>
        </w:rPr>
        <w:t xml:space="preserve"> </w:t>
      </w:r>
      <w:r>
        <w:rPr>
          <w:rFonts w:cs="Arial" w:ascii="Arial" w:hAnsi="Arial"/>
          <w:sz w:val="20"/>
          <w:szCs w:val="20"/>
        </w:rPr>
        <w:t>Los derechos de la fiduciaria, en relación con lo dispuesto en el Artículo 29 de esta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32.-</w:t>
      </w:r>
      <w:r>
        <w:rPr>
          <w:rFonts w:cs="Arial" w:ascii="Arial" w:hAnsi="Arial"/>
          <w:sz w:val="20"/>
          <w:szCs w:val="20"/>
        </w:rPr>
        <w:t xml:space="preserve"> Las bases del impuesto predial son:</w:t>
      </w:r>
    </w:p>
    <w:p>
      <w:pPr>
        <w:pStyle w:val="Normal"/>
        <w:jc w:val="both"/>
        <w:rPr>
          <w:rFonts w:ascii="Arial" w:hAnsi="Arial" w:cs="Arial"/>
          <w:sz w:val="20"/>
          <w:szCs w:val="20"/>
        </w:rPr>
      </w:pPr>
      <w:r>
        <w:rPr>
          <w:rFonts w:cs="Arial" w:ascii="Arial" w:hAnsi="Arial"/>
          <w:sz w:val="20"/>
          <w:szCs w:val="20"/>
        </w:rPr>
      </w:r>
    </w:p>
    <w:p>
      <w:pPr>
        <w:pStyle w:val="Normal"/>
        <w:numPr>
          <w:ilvl w:val="0"/>
          <w:numId w:val="13"/>
        </w:numPr>
        <w:jc w:val="both"/>
        <w:rPr/>
      </w:pPr>
      <w:r>
        <w:rPr>
          <w:rFonts w:eastAsia="Arial" w:cs="Arial" w:ascii="Arial" w:hAnsi="Arial"/>
          <w:sz w:val="20"/>
          <w:szCs w:val="20"/>
        </w:rPr>
        <w:t xml:space="preserve"> </w:t>
      </w:r>
      <w:r>
        <w:rPr>
          <w:rFonts w:cs="Arial" w:ascii="Arial" w:hAnsi="Arial"/>
          <w:sz w:val="20"/>
          <w:szCs w:val="20"/>
        </w:rPr>
        <w:t>El valor catastral del inmueble en los términos de lo dispuesto por la Ley del Catastro del Estado de Yucatán</w:t>
      </w:r>
    </w:p>
    <w:p>
      <w:pPr>
        <w:pStyle w:val="Normal"/>
        <w:jc w:val="both"/>
        <w:rPr>
          <w:rFonts w:ascii="Arial" w:hAnsi="Arial" w:cs="Arial"/>
          <w:sz w:val="20"/>
          <w:szCs w:val="20"/>
        </w:rPr>
      </w:pPr>
      <w:r>
        <w:rPr>
          <w:rFonts w:cs="Arial" w:ascii="Arial" w:hAnsi="Arial"/>
          <w:sz w:val="20"/>
          <w:szCs w:val="20"/>
        </w:rPr>
      </w:r>
    </w:p>
    <w:p>
      <w:pPr>
        <w:pStyle w:val="Normal"/>
        <w:numPr>
          <w:ilvl w:val="0"/>
          <w:numId w:val="13"/>
        </w:numPr>
        <w:jc w:val="both"/>
        <w:rPr/>
      </w:pPr>
      <w:r>
        <w:rPr>
          <w:rFonts w:eastAsia="Arial" w:cs="Arial" w:ascii="Arial" w:hAnsi="Arial"/>
          <w:sz w:val="20"/>
          <w:szCs w:val="20"/>
        </w:rPr>
        <w:t xml:space="preserve"> </w:t>
      </w:r>
      <w:r>
        <w:rPr>
          <w:rFonts w:cs="Arial" w:ascii="Arial" w:hAnsi="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33.-</w:t>
      </w:r>
      <w:r>
        <w:rPr>
          <w:rFonts w:cs="Arial" w:ascii="Arial" w:hAnsi="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de Oxkutzcab, Yucatán.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Cuando la Dirección de Catastro del Municipio de Oxkutzcab, Yucatán expidiere una cédula con diferente valor a la que existe registrada en el padrón municipal, el nuevo valor servirá como base para calcular el impuesto predial a partir del mes siguiente al en  que se emita  la citada cédula.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Lo dispuesto en el párrafo anterior no se aplicará a los contribuyentes que a la fecha de la emisión  de la nueva cédula catastral ya hubieren pagado el impuesto predial correspondiente. En este caso, el nuevo valor consignado en la cédula servirá como base del cálculo del impuesto predial para el siguiente bimestre no cubierto.</w:t>
      </w:r>
    </w:p>
    <w:p>
      <w:pPr>
        <w:pStyle w:val="Piedepgina"/>
        <w:tabs>
          <w:tab w:val="clear" w:pos="4419"/>
          <w:tab w:val="clear" w:pos="8838"/>
        </w:tabs>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34</w:t>
      </w:r>
      <w:r>
        <w:rPr>
          <w:rFonts w:cs="Arial" w:ascii="Arial" w:hAnsi="Arial"/>
          <w:sz w:val="20"/>
          <w:szCs w:val="20"/>
        </w:rPr>
        <w:t>.- Cuando la base del impuesto predial sea el valor catastral del inmueble, se determinará de aplicando la tarifa establecida en la Ley de Ingresos del Municipio de Oxkutzcab.</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35.-</w:t>
      </w:r>
      <w:r>
        <w:rPr>
          <w:rFonts w:cs="Arial" w:ascii="Arial" w:hAnsi="Arial"/>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Cuando el contribuyente pague el impuesto predial correspondiente a una anualidad, durante los meses de enero y febrero de dicho año, gozará de una bonificación del 0.30 y 0.20 respectivamente sobre el importe de dicho impuesto.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36.-</w:t>
      </w:r>
      <w:r>
        <w:rPr>
          <w:rFonts w:cs="Arial" w:ascii="Arial" w:hAnsi="Arial"/>
          <w:sz w:val="20"/>
          <w:szCs w:val="20"/>
        </w:rPr>
        <w:t xml:space="preserve">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pPr>
        <w:pStyle w:val="Normal"/>
        <w:jc w:val="both"/>
        <w:rPr>
          <w:rFonts w:ascii="Arial" w:hAnsi="Arial" w:cs="Arial"/>
          <w:sz w:val="20"/>
          <w:szCs w:val="20"/>
        </w:rPr>
      </w:pPr>
      <w:r>
        <w:rPr>
          <w:rFonts w:cs="Arial" w:ascii="Arial" w:hAnsi="Arial"/>
          <w:sz w:val="20"/>
          <w:szCs w:val="20"/>
        </w:rPr>
      </w:r>
    </w:p>
    <w:p>
      <w:pPr>
        <w:pStyle w:val="Textoindependiente2"/>
        <w:rPr>
          <w:rFonts w:ascii="Arial" w:hAnsi="Arial" w:cs="Arial"/>
          <w:sz w:val="20"/>
          <w:szCs w:val="20"/>
        </w:rPr>
      </w:pPr>
      <w:r>
        <w:rPr>
          <w:rFonts w:cs="Arial" w:ascii="Arial" w:hAnsi="Arial"/>
          <w:sz w:val="20"/>
          <w:szCs w:val="20"/>
        </w:rPr>
        <w:t>No será aplicada esta base cuando los inmuebles sean destinados a instituciones de beneficencia y centros de enseñanza reconocidos por la autoridad educativa correspondiente.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37.-</w:t>
      </w:r>
      <w:r>
        <w:rPr>
          <w:rFonts w:cs="Arial" w:ascii="Arial" w:hAnsi="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sz w:val="20"/>
          <w:szCs w:val="20"/>
        </w:rPr>
        <w:t>Cualquier cambio en el monto de la contraprestación que generó el pago del impuesto predial sobre la base a que se refiere el Artículo 36,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Artículo 36 de esta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Cuando de un inmueble formen parte dos o más departamentos y éstos se encontraren en los supuestos del citado Artículo 36, el contribuyente deberá empadronarse por cada departamento.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Los fedatarios públicos ante quienes se otorgare, firmare o ratificare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sz w:val="20"/>
          <w:szCs w:val="20"/>
        </w:rPr>
        <w:t xml:space="preserve">Artículo 38.- </w:t>
      </w:r>
      <w:r>
        <w:rPr>
          <w:rFonts w:cs="Arial" w:ascii="Arial" w:hAnsi="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Oxkutzcab.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39.</w:t>
      </w:r>
      <w:r>
        <w:rPr>
          <w:rFonts w:cs="Arial" w:ascii="Arial" w:hAnsi="Arial"/>
          <w:sz w:val="20"/>
          <w:szCs w:val="20"/>
        </w:rPr>
        <w:t>- Cuando el impuesto predial se cause sobre la base de la contraprestación pactada por usar, gozar o permitir la ocupación de un inmueble, el impuesto deberá cubrirse durante la primera quincena del  mes siguiente a aquél en que se cumpla alguno de los siguientes supuestos, lo que suceda primero: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sz w:val="20"/>
          <w:szCs w:val="20"/>
        </w:rPr>
        <w:t>.- Que sea exigible el pago de la contraprestación;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w:t>
      </w:r>
      <w:r>
        <w:rPr>
          <w:rFonts w:cs="Arial" w:ascii="Arial" w:hAnsi="Arial"/>
          <w:sz w:val="20"/>
          <w:szCs w:val="20"/>
        </w:rPr>
        <w:t>.- Que se expida el comprobante de la misma, 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III.-</w:t>
      </w:r>
      <w:r>
        <w:rPr>
          <w:rFonts w:cs="Arial" w:ascii="Arial" w:hAnsi="Arial"/>
          <w:sz w:val="20"/>
          <w:szCs w:val="20"/>
        </w:rPr>
        <w:t xml:space="preserve"> Que se cobre el  monto pactado por el uso o goce.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Salvo el caso en que los sujetos de este impuesto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40.- </w:t>
      </w:r>
      <w:r>
        <w:rPr>
          <w:rFonts w:cs="Arial" w:ascii="Arial" w:hAnsi="Arial"/>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Oxkutzcab, Yucatán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Los empleados y funcionarios del Registro Público de la Propiedad del Estado, se abstendrán de inscribir el documento que carezca del certificado de no adeudar contribuciones prediales, cuya fecha corresponda al mes anterior al de la fecha del otorgamiento del documento.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Tesorería Municipal, expedirá los certificados de no adeudar impuesto predial, conforme a la solicitud que por escrito presente el interesado, quien deberá señalar el mes y el año, respecto de los cuales solicite la certificación</w:t>
      </w:r>
    </w:p>
    <w:p>
      <w:pPr>
        <w:pStyle w:val="Ttulo2"/>
        <w:spacing w:lineRule="auto" w:line="240" w:before="0" w:after="0"/>
        <w:ind w:left="0" w:right="0" w:hanging="0"/>
        <w:jc w:val="center"/>
        <w:rPr>
          <w:rFonts w:ascii="Arial" w:hAnsi="Arial" w:cs="Arial"/>
          <w:sz w:val="20"/>
          <w:szCs w:val="20"/>
        </w:rPr>
      </w:pPr>
      <w:r>
        <w:rPr>
          <w:rFonts w:cs="Arial"/>
          <w:sz w:val="20"/>
          <w:szCs w:val="20"/>
        </w:rPr>
      </w:r>
    </w:p>
    <w:p>
      <w:pPr>
        <w:pStyle w:val="Ttulo2"/>
        <w:spacing w:lineRule="auto" w:line="240" w:before="0" w:after="0"/>
        <w:ind w:left="0" w:right="0" w:hanging="0"/>
        <w:jc w:val="center"/>
        <w:rPr>
          <w:rFonts w:cs="Arial"/>
          <w:sz w:val="20"/>
        </w:rPr>
      </w:pPr>
      <w:r>
        <w:rPr>
          <w:rFonts w:cs="Arial"/>
          <w:sz w:val="20"/>
        </w:rPr>
      </w:r>
    </w:p>
    <w:p>
      <w:pPr>
        <w:pStyle w:val="Ttulo2"/>
        <w:spacing w:lineRule="auto" w:line="240" w:before="0" w:after="0"/>
        <w:ind w:left="0" w:right="0" w:hanging="0"/>
        <w:jc w:val="center"/>
        <w:rPr>
          <w:rFonts w:cs="Arial"/>
          <w:sz w:val="20"/>
        </w:rPr>
      </w:pPr>
      <w:r>
        <w:rPr>
          <w:rFonts w:cs="Arial"/>
          <w:sz w:val="20"/>
        </w:rPr>
        <w:t>Sección Segunda</w:t>
      </w:r>
    </w:p>
    <w:p>
      <w:pPr>
        <w:pStyle w:val="Normal"/>
        <w:jc w:val="center"/>
        <w:rPr>
          <w:rFonts w:ascii="Arial" w:hAnsi="Arial" w:cs="Arial"/>
          <w:b/>
          <w:b/>
          <w:sz w:val="20"/>
          <w:szCs w:val="20"/>
        </w:rPr>
      </w:pPr>
      <w:r>
        <w:rPr>
          <w:rFonts w:cs="Arial" w:ascii="Arial" w:hAnsi="Arial"/>
          <w:b/>
          <w:sz w:val="20"/>
          <w:szCs w:val="20"/>
        </w:rPr>
        <w:t>Del Impuesto Sobre Adquisición de Inmuebles</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eastAsia="Arial" w:cs="Arial" w:ascii="Arial" w:hAnsi="Arial"/>
          <w:b/>
          <w:bCs/>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41.-</w:t>
      </w:r>
      <w:r>
        <w:rPr>
          <w:rFonts w:cs="Arial" w:ascii="Arial" w:hAnsi="Arial"/>
          <w:sz w:val="20"/>
          <w:szCs w:val="20"/>
        </w:rPr>
        <w:t xml:space="preserve"> Son sujetos del Impuesto Sobre Adquisición de Inmuebles, las personas físicas o morales que realicen cualquiera de los supuestos que se relacionan en el Artículo 43 de esta Ley, con excepción de los enajenantes.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42</w:t>
      </w:r>
      <w:r>
        <w:rPr>
          <w:rFonts w:cs="Arial" w:ascii="Arial" w:hAnsi="Arial"/>
          <w:sz w:val="20"/>
          <w:szCs w:val="20"/>
        </w:rPr>
        <w:t>.- Son sujetos solidariamente responsables del pago del Impuesto Sobre Adquisición de Inmuebles:</w:t>
      </w:r>
    </w:p>
    <w:p>
      <w:pPr>
        <w:pStyle w:val="Normal"/>
        <w:jc w:val="both"/>
        <w:rPr>
          <w:rFonts w:ascii="Arial" w:hAnsi="Arial" w:cs="Arial"/>
          <w:sz w:val="20"/>
          <w:szCs w:val="20"/>
        </w:rPr>
      </w:pPr>
      <w:r>
        <w:rPr>
          <w:rFonts w:cs="Arial" w:ascii="Arial" w:hAnsi="Arial"/>
          <w:sz w:val="20"/>
          <w:szCs w:val="20"/>
        </w:rPr>
      </w:r>
    </w:p>
    <w:p>
      <w:pPr>
        <w:pStyle w:val="Normal"/>
        <w:numPr>
          <w:ilvl w:val="0"/>
          <w:numId w:val="23"/>
        </w:numPr>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Los fedatarios públicos y las personas que por disposición legal tengan funciones notariales, cuando autoricen una escritura que contenga alguno de los supuestos que se relacionan en el Artículo 43 de la presente ley y no hubiesen constatado el pago del impuesto, y</w:t>
      </w:r>
    </w:p>
    <w:p>
      <w:pPr>
        <w:pStyle w:val="Normal"/>
        <w:jc w:val="both"/>
        <w:rPr>
          <w:rFonts w:ascii="Arial" w:hAnsi="Arial" w:cs="Arial"/>
          <w:sz w:val="20"/>
          <w:szCs w:val="20"/>
        </w:rPr>
      </w:pPr>
      <w:r>
        <w:rPr>
          <w:rFonts w:cs="Arial" w:ascii="Arial" w:hAnsi="Arial"/>
          <w:sz w:val="20"/>
          <w:szCs w:val="20"/>
        </w:rPr>
      </w:r>
    </w:p>
    <w:p>
      <w:pPr>
        <w:pStyle w:val="Normal"/>
        <w:numPr>
          <w:ilvl w:val="0"/>
          <w:numId w:val="23"/>
        </w:numPr>
        <w:jc w:val="both"/>
        <w:rPr/>
      </w:pPr>
      <w:r>
        <w:rPr>
          <w:rFonts w:eastAsia="Arial" w:cs="Arial" w:ascii="Arial" w:hAnsi="Arial"/>
          <w:sz w:val="20"/>
          <w:szCs w:val="20"/>
        </w:rPr>
        <w:t xml:space="preserve"> </w:t>
      </w:r>
      <w:r>
        <w:rPr>
          <w:rFonts w:cs="Arial" w:ascii="Arial" w:hAnsi="Arial"/>
          <w:sz w:val="20"/>
          <w:szCs w:val="20"/>
        </w:rPr>
        <w:t>Los funcionarios o empleados del Registro Público de la Propiedad del Estado, que inscriban cualquier acto, contrato o documento relativo a algunos de los supuestos que se relacionan en el mencionado Artículo 43 de esta ley, sin que les sea exhibido el recibo correspondiente al pago del impuesto.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43</w:t>
      </w:r>
      <w:r>
        <w:rPr>
          <w:rFonts w:cs="Arial" w:ascii="Arial" w:hAnsi="Arial"/>
          <w:sz w:val="20"/>
          <w:szCs w:val="20"/>
        </w:rPr>
        <w:t>.- Es objeto del Impuesto Sobre Adquisición de Inmuebles, toda adquisición del dominio de bienes inmuebles, que consistan en el suelo, en las construcciones adheridas a él, en ambos, o de derechos sobre los mismos, ubicados en el Municipio de Oxkutzcab.</w:t>
      </w:r>
    </w:p>
    <w:p>
      <w:pPr>
        <w:pStyle w:val="Normal"/>
        <w:jc w:val="both"/>
        <w:rPr>
          <w:rFonts w:ascii="Arial" w:hAnsi="Arial" w:cs="Arial"/>
          <w:sz w:val="20"/>
          <w:szCs w:val="20"/>
        </w:rPr>
      </w:pPr>
      <w:r>
        <w:rPr>
          <w:rFonts w:cs="Arial" w:ascii="Arial" w:hAnsi="Arial"/>
          <w:sz w:val="20"/>
          <w:szCs w:val="20"/>
        </w:rPr>
      </w:r>
    </w:p>
    <w:p>
      <w:pPr>
        <w:pStyle w:val="Textoindependiente2"/>
        <w:rPr>
          <w:rFonts w:ascii="Arial" w:hAnsi="Arial" w:cs="Arial"/>
          <w:sz w:val="20"/>
          <w:szCs w:val="20"/>
        </w:rPr>
      </w:pPr>
      <w:r>
        <w:rPr>
          <w:rFonts w:cs="Arial" w:ascii="Arial" w:hAnsi="Arial"/>
          <w:sz w:val="20"/>
          <w:szCs w:val="20"/>
        </w:rPr>
        <w:t>Para efectos de este Impuesto, se entiende por adquisición:</w:t>
      </w:r>
    </w:p>
    <w:p>
      <w:pPr>
        <w:pStyle w:val="Textoindependiente2"/>
        <w:tabs>
          <w:tab w:val="clear" w:pos="708"/>
          <w:tab w:val="left" w:pos="180" w:leader="none"/>
        </w:tabs>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Todo acto por el que se adquiera la propiedad, incluyendo la donación y la aportación a toda clase de personas morales.</w:t>
      </w:r>
    </w:p>
    <w:p>
      <w:pPr>
        <w:pStyle w:val="Normal"/>
        <w:tabs>
          <w:tab w:val="clear" w:pos="708"/>
          <w:tab w:val="left" w:pos="0" w:leader="none"/>
          <w:tab w:val="left" w:pos="18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compraventa en la que el vendedor se reserve la propiedad del inmueble, aún cuando la transferencia de ésta se realice con posterioridad.</w:t>
      </w:r>
    </w:p>
    <w:p>
      <w:pPr>
        <w:pStyle w:val="Normal"/>
        <w:tabs>
          <w:tab w:val="clear" w:pos="708"/>
          <w:tab w:val="left" w:pos="0" w:leader="none"/>
          <w:tab w:val="left" w:pos="18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180" w:leader="none"/>
          <w:tab w:val="left" w:pos="360" w:leader="none"/>
        </w:tabs>
        <w:jc w:val="both"/>
        <w:rPr>
          <w:rFonts w:ascii="Arial" w:hAnsi="Arial" w:cs="Arial"/>
          <w:sz w:val="20"/>
          <w:szCs w:val="20"/>
        </w:rPr>
      </w:pPr>
      <w:r>
        <w:rPr>
          <w:rFonts w:cs="Arial" w:ascii="Arial" w:hAnsi="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cesión de derechos del comprador o del futuro comprador, en los casos de las fracciones II y III que anteceden.</w:t>
      </w:r>
    </w:p>
    <w:p>
      <w:pPr>
        <w:pStyle w:val="Normal"/>
        <w:tabs>
          <w:tab w:val="clear" w:pos="708"/>
          <w:tab w:val="left" w:pos="0" w:leader="none"/>
          <w:tab w:val="left" w:pos="360" w:leader="none"/>
        </w:tabs>
        <w:ind w:firstLine="360"/>
        <w:jc w:val="both"/>
        <w:rPr>
          <w:rFonts w:ascii="Arial" w:hAnsi="Arial" w:cs="Arial"/>
          <w:b/>
          <w:b/>
          <w:bCs/>
          <w:sz w:val="20"/>
          <w:szCs w:val="20"/>
        </w:rPr>
      </w:pPr>
      <w:r>
        <w:rPr>
          <w:rFonts w:cs="Arial" w:ascii="Arial" w:hAnsi="Arial"/>
          <w:b/>
          <w:bCs/>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fusión o escisión de sociedades.</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dación en pago y la liquidación, reducción de capital, pago en especie de remanentes, utilidades o dividendos de asociaciones o sociedades civiles y mercantiles.</w:t>
      </w:r>
    </w:p>
    <w:p>
      <w:pPr>
        <w:pStyle w:val="Normal"/>
        <w:tabs>
          <w:tab w:val="clear" w:pos="708"/>
          <w:tab w:val="left" w:pos="0" w:leader="none"/>
          <w:tab w:val="left" w:pos="360" w:leader="none"/>
        </w:tabs>
        <w:ind w:firstLine="360"/>
        <w:jc w:val="both"/>
        <w:rPr>
          <w:rFonts w:ascii="Arial" w:hAnsi="Arial" w:cs="Arial"/>
          <w:b/>
          <w:b/>
          <w:bCs/>
          <w:sz w:val="20"/>
          <w:szCs w:val="20"/>
        </w:rPr>
      </w:pPr>
      <w:r>
        <w:rPr>
          <w:rFonts w:cs="Arial" w:ascii="Arial" w:hAnsi="Arial"/>
          <w:b/>
          <w:bCs/>
          <w:sz w:val="20"/>
          <w:szCs w:val="20"/>
        </w:rPr>
      </w:r>
    </w:p>
    <w:p>
      <w:pPr>
        <w:pStyle w:val="Textoindependiente2"/>
        <w:numPr>
          <w:ilvl w:val="0"/>
          <w:numId w:val="4"/>
        </w:numPr>
        <w:tabs>
          <w:tab w:val="clear" w:pos="708"/>
          <w:tab w:val="left" w:pos="360" w:leader="none"/>
        </w:tabs>
        <w:rPr>
          <w:rFonts w:ascii="Arial" w:hAnsi="Arial" w:cs="Arial"/>
          <w:sz w:val="20"/>
          <w:szCs w:val="20"/>
        </w:rPr>
      </w:pPr>
      <w:r>
        <w:rPr>
          <w:rFonts w:cs="Arial" w:ascii="Arial" w:hAnsi="Arial"/>
          <w:sz w:val="20"/>
          <w:szCs w:val="20"/>
        </w:rPr>
        <w:t>La constitución de usufructo y la adquisición del derecho de ejercicio del mismo.</w:t>
      </w:r>
    </w:p>
    <w:p>
      <w:pPr>
        <w:pStyle w:val="Normal"/>
        <w:tabs>
          <w:tab w:val="clear" w:pos="708"/>
          <w:tab w:val="left" w:pos="0" w:leader="none"/>
          <w:tab w:val="left" w:pos="360" w:leader="none"/>
        </w:tabs>
        <w:ind w:firstLine="360"/>
        <w:jc w:val="both"/>
        <w:rPr>
          <w:rFonts w:ascii="Arial" w:hAnsi="Arial" w:cs="Arial"/>
          <w:b/>
          <w:b/>
          <w:bCs/>
          <w:sz w:val="20"/>
          <w:szCs w:val="20"/>
          <w:lang w:val="es-ES_tradnl"/>
        </w:rPr>
      </w:pPr>
      <w:r>
        <w:rPr>
          <w:rFonts w:cs="Arial" w:ascii="Arial" w:hAnsi="Arial"/>
          <w:b/>
          <w:bCs/>
          <w:sz w:val="20"/>
          <w:szCs w:val="20"/>
          <w:lang w:val="es-ES_tradnl"/>
        </w:rPr>
      </w:r>
    </w:p>
    <w:p>
      <w:pPr>
        <w:pStyle w:val="Textoindependiente2"/>
        <w:numPr>
          <w:ilvl w:val="0"/>
          <w:numId w:val="4"/>
        </w:numPr>
        <w:tabs>
          <w:tab w:val="clear" w:pos="708"/>
          <w:tab w:val="left" w:pos="360" w:leader="none"/>
        </w:tabs>
        <w:rPr>
          <w:rFonts w:ascii="Arial" w:hAnsi="Arial" w:cs="Arial"/>
          <w:sz w:val="20"/>
          <w:szCs w:val="20"/>
        </w:rPr>
      </w:pPr>
      <w:r>
        <w:rPr>
          <w:rFonts w:cs="Arial" w:ascii="Arial" w:hAnsi="Arial"/>
          <w:sz w:val="20"/>
          <w:szCs w:val="20"/>
        </w:rPr>
        <w:t>La prescripción positiva.</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cesión de derechos del heredero o legatario. Se entenderá como cesión de derechos la renuncia de la herencia o del legado, efectuado después del reconocimiento de herederos y legatarios.</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adquisición que se realice a través de un contrato de fideicomiso, en los términos de los supuestos relacionados en el Código Fiscal de la Federación.</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disolución de la copropiedad y de la sociedad conyugal, por la parte que el copropietario o el cónyuge adquiera en demasía del porcentaje que le corresponde.</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La adquisición de la propiedad de bienes inmuebles, en virtud de remate judicial o administrativo, y</w:t>
      </w:r>
    </w:p>
    <w:p>
      <w:pPr>
        <w:pStyle w:val="Normal"/>
        <w:tabs>
          <w:tab w:val="clear" w:pos="708"/>
          <w:tab w:val="left" w:pos="0" w:leader="none"/>
          <w:tab w:val="left" w:pos="360" w:leader="none"/>
        </w:tabs>
        <w:ind w:firstLine="360"/>
        <w:jc w:val="both"/>
        <w:rPr>
          <w:rFonts w:ascii="Arial" w:hAnsi="Arial" w:cs="Arial"/>
          <w:sz w:val="20"/>
          <w:szCs w:val="20"/>
        </w:rPr>
      </w:pPr>
      <w:r>
        <w:rPr>
          <w:rFonts w:cs="Arial" w:ascii="Arial" w:hAnsi="Arial"/>
          <w:sz w:val="20"/>
          <w:szCs w:val="20"/>
        </w:rPr>
      </w:r>
    </w:p>
    <w:p>
      <w:pPr>
        <w:pStyle w:val="Normal"/>
        <w:numPr>
          <w:ilvl w:val="0"/>
          <w:numId w:val="4"/>
        </w:numPr>
        <w:tabs>
          <w:tab w:val="clear" w:pos="708"/>
          <w:tab w:val="left" w:pos="360" w:leader="none"/>
        </w:tabs>
        <w:jc w:val="both"/>
        <w:rPr>
          <w:rFonts w:ascii="Arial" w:hAnsi="Arial" w:cs="Arial"/>
          <w:sz w:val="20"/>
          <w:szCs w:val="20"/>
        </w:rPr>
      </w:pPr>
      <w:r>
        <w:rPr>
          <w:rFonts w:cs="Arial" w:ascii="Arial" w:hAnsi="Arial"/>
          <w:sz w:val="20"/>
          <w:szCs w:val="20"/>
        </w:rPr>
        <w:t>En los casos de permuta se considerará que se efectúan dos adquisiciones.</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44.-</w:t>
      </w:r>
      <w:r>
        <w:rPr>
          <w:rFonts w:cs="Arial" w:ascii="Arial" w:hAnsi="Arial"/>
          <w:sz w:val="20"/>
          <w:szCs w:val="20"/>
        </w:rPr>
        <w:t xml:space="preserve"> No se causará el Impuesto Sobre Adquisición de lnmuebles en las adquisiciones que realicen la Federación, los Estados, el Distrito Federal, los Municipios, las Instituciones de Beneficencia Pública, la Universidad Autónoma de Yucatán, los partidos políticos y en los casos siguientes: </w:t>
      </w:r>
    </w:p>
    <w:p>
      <w:pPr>
        <w:pStyle w:val="Normal"/>
        <w:jc w:val="both"/>
        <w:rPr>
          <w:rFonts w:ascii="Arial" w:hAnsi="Arial" w:cs="Arial"/>
          <w:b/>
          <w:b/>
          <w:bCs/>
          <w:sz w:val="20"/>
          <w:szCs w:val="20"/>
        </w:rPr>
      </w:pPr>
      <w:r>
        <w:rPr>
          <w:rFonts w:cs="Arial" w:ascii="Arial" w:hAnsi="Arial"/>
          <w:b/>
          <w:bCs/>
          <w:sz w:val="20"/>
          <w:szCs w:val="20"/>
        </w:rPr>
      </w:r>
    </w:p>
    <w:p>
      <w:pPr>
        <w:pStyle w:val="Normal"/>
        <w:numPr>
          <w:ilvl w:val="0"/>
          <w:numId w:val="21"/>
        </w:numPr>
        <w:jc w:val="both"/>
        <w:rPr/>
      </w:pPr>
      <w:r>
        <w:rPr>
          <w:rFonts w:eastAsia="Arial" w:cs="Arial" w:ascii="Arial" w:hAnsi="Arial"/>
          <w:sz w:val="20"/>
          <w:szCs w:val="20"/>
        </w:rPr>
        <w:t xml:space="preserve"> </w:t>
      </w:r>
      <w:r>
        <w:rPr>
          <w:rFonts w:cs="Arial" w:ascii="Arial" w:hAnsi="Arial"/>
          <w:sz w:val="20"/>
          <w:szCs w:val="20"/>
        </w:rPr>
        <w:t xml:space="preserve">La transformación de sociedades, con excepción de la fusión. </w:t>
      </w:r>
    </w:p>
    <w:p>
      <w:pPr>
        <w:pStyle w:val="Normal"/>
        <w:jc w:val="both"/>
        <w:rPr>
          <w:rFonts w:ascii="Arial" w:hAnsi="Arial" w:cs="Arial"/>
          <w:sz w:val="20"/>
          <w:szCs w:val="20"/>
        </w:rPr>
      </w:pPr>
      <w:r>
        <w:rPr>
          <w:rFonts w:cs="Arial" w:ascii="Arial" w:hAnsi="Arial"/>
          <w:sz w:val="20"/>
          <w:szCs w:val="20"/>
        </w:rPr>
      </w:r>
    </w:p>
    <w:p>
      <w:pPr>
        <w:pStyle w:val="Normal"/>
        <w:numPr>
          <w:ilvl w:val="0"/>
          <w:numId w:val="21"/>
        </w:numPr>
        <w:jc w:val="both"/>
        <w:rPr/>
      </w:pPr>
      <w:r>
        <w:rPr>
          <w:rFonts w:eastAsia="Arial" w:cs="Arial" w:ascii="Arial" w:hAnsi="Arial"/>
          <w:sz w:val="20"/>
          <w:szCs w:val="20"/>
        </w:rPr>
        <w:t xml:space="preserve"> </w:t>
      </w:r>
      <w:r>
        <w:rPr>
          <w:rFonts w:cs="Arial" w:ascii="Arial" w:hAnsi="Arial"/>
          <w:sz w:val="20"/>
          <w:szCs w:val="20"/>
        </w:rPr>
        <w:t xml:space="preserve">En la adquisición que realicen los Estados Extranjeros, en los casos que existiera reciprocidad. </w:t>
      </w:r>
    </w:p>
    <w:p>
      <w:pPr>
        <w:pStyle w:val="Normal"/>
        <w:jc w:val="both"/>
        <w:rPr>
          <w:rFonts w:ascii="Arial" w:hAnsi="Arial" w:cs="Arial"/>
          <w:sz w:val="20"/>
          <w:szCs w:val="20"/>
        </w:rPr>
      </w:pPr>
      <w:r>
        <w:rPr>
          <w:rFonts w:cs="Arial" w:ascii="Arial" w:hAnsi="Arial"/>
          <w:sz w:val="20"/>
          <w:szCs w:val="20"/>
        </w:rPr>
      </w:r>
    </w:p>
    <w:p>
      <w:pPr>
        <w:pStyle w:val="Normal"/>
        <w:numPr>
          <w:ilvl w:val="0"/>
          <w:numId w:val="21"/>
        </w:numPr>
        <w:jc w:val="both"/>
        <w:rPr/>
      </w:pPr>
      <w:r>
        <w:rPr>
          <w:rFonts w:eastAsia="Arial" w:cs="Arial" w:ascii="Arial" w:hAnsi="Arial"/>
          <w:sz w:val="20"/>
          <w:szCs w:val="20"/>
        </w:rPr>
        <w:t xml:space="preserve"> </w:t>
      </w:r>
      <w:r>
        <w:rPr>
          <w:rFonts w:cs="Arial" w:ascii="Arial" w:hAnsi="Arial"/>
          <w:sz w:val="20"/>
          <w:szCs w:val="20"/>
        </w:rPr>
        <w:t xml:space="preserve">Cuando se adquiera la propiedad de Inmuebles, con motivo de la constitución de la sociedad conyugal. </w:t>
      </w:r>
    </w:p>
    <w:p>
      <w:pPr>
        <w:pStyle w:val="Normal"/>
        <w:jc w:val="both"/>
        <w:rPr>
          <w:rFonts w:ascii="Arial" w:hAnsi="Arial" w:cs="Arial"/>
          <w:sz w:val="20"/>
          <w:szCs w:val="20"/>
        </w:rPr>
      </w:pPr>
      <w:r>
        <w:rPr>
          <w:rFonts w:cs="Arial" w:ascii="Arial" w:hAnsi="Arial"/>
          <w:sz w:val="20"/>
          <w:szCs w:val="20"/>
        </w:rPr>
      </w:r>
    </w:p>
    <w:p>
      <w:pPr>
        <w:pStyle w:val="Normal"/>
        <w:numPr>
          <w:ilvl w:val="0"/>
          <w:numId w:val="21"/>
        </w:numPr>
        <w:jc w:val="both"/>
        <w:rPr/>
      </w:pPr>
      <w:r>
        <w:rPr>
          <w:rFonts w:eastAsia="Arial" w:cs="Arial" w:ascii="Arial" w:hAnsi="Arial"/>
          <w:sz w:val="20"/>
          <w:szCs w:val="20"/>
        </w:rPr>
        <w:t xml:space="preserve"> </w:t>
      </w:r>
      <w:r>
        <w:rPr>
          <w:rFonts w:cs="Arial" w:ascii="Arial" w:hAnsi="Arial"/>
          <w:sz w:val="20"/>
          <w:szCs w:val="20"/>
        </w:rPr>
        <w:t xml:space="preserve">La disolución de la copropiedad, siempre que las partes adjudicadas no excedan de las porciones que a cada uno de los copropietarios corresponda. En caso contrario, deberá pagarse el impuesto sobre el exceso o la diferencia. </w:t>
      </w:r>
    </w:p>
    <w:p>
      <w:pPr>
        <w:pStyle w:val="Normal"/>
        <w:jc w:val="both"/>
        <w:rPr>
          <w:rFonts w:ascii="Arial" w:hAnsi="Arial" w:cs="Arial"/>
          <w:sz w:val="20"/>
          <w:szCs w:val="20"/>
        </w:rPr>
      </w:pPr>
      <w:r>
        <w:rPr>
          <w:rFonts w:cs="Arial" w:ascii="Arial" w:hAnsi="Arial"/>
          <w:sz w:val="20"/>
          <w:szCs w:val="20"/>
        </w:rPr>
      </w:r>
    </w:p>
    <w:p>
      <w:pPr>
        <w:pStyle w:val="Normal"/>
        <w:numPr>
          <w:ilvl w:val="0"/>
          <w:numId w:val="21"/>
        </w:numPr>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Cuando se adquieran inmuebles por herencia o legado, y</w:t>
      </w:r>
    </w:p>
    <w:p>
      <w:pPr>
        <w:pStyle w:val="Normal"/>
        <w:ind w:firstLine="60"/>
        <w:jc w:val="both"/>
        <w:rPr>
          <w:rFonts w:ascii="Arial" w:hAnsi="Arial" w:cs="Arial"/>
          <w:sz w:val="20"/>
          <w:szCs w:val="20"/>
        </w:rPr>
      </w:pPr>
      <w:r>
        <w:rPr>
          <w:rFonts w:cs="Arial" w:ascii="Arial" w:hAnsi="Arial"/>
          <w:sz w:val="20"/>
          <w:szCs w:val="20"/>
        </w:rPr>
      </w:r>
    </w:p>
    <w:p>
      <w:pPr>
        <w:pStyle w:val="Normal"/>
        <w:numPr>
          <w:ilvl w:val="0"/>
          <w:numId w:val="21"/>
        </w:numPr>
        <w:jc w:val="both"/>
        <w:rPr/>
      </w:pPr>
      <w:r>
        <w:rPr>
          <w:rFonts w:eastAsia="Arial" w:cs="Arial" w:ascii="Arial" w:hAnsi="Arial"/>
          <w:sz w:val="20"/>
          <w:szCs w:val="20"/>
        </w:rPr>
        <w:t xml:space="preserve"> </w:t>
      </w:r>
      <w:r>
        <w:rPr>
          <w:rFonts w:cs="Arial" w:ascii="Arial" w:hAnsi="Arial"/>
          <w:sz w:val="20"/>
          <w:szCs w:val="20"/>
        </w:rPr>
        <w:t>La donación entre cónyuges, ascendientes o descendientes en línea directa, previa comprobación del  parentesco ante la Tesorería Municipal.</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 xml:space="preserve">Artículo </w:t>
      </w:r>
      <w:r>
        <w:rPr>
          <w:rFonts w:cs="Arial" w:ascii="Arial" w:hAnsi="Arial"/>
          <w:b/>
          <w:bCs/>
          <w:sz w:val="20"/>
          <w:szCs w:val="20"/>
        </w:rPr>
        <w:t>45.-</w:t>
      </w:r>
      <w:r>
        <w:rPr>
          <w:rFonts w:cs="Arial" w:ascii="Arial" w:hAnsi="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43 de esta ley, el avalúo expedido por las autoridades fiscales, las instituciones de crédito, la Comisión de Avalúos de Bienes Nacionales,  por corredor  público o perito valuador que se registre ante la Tesorería Municipal, previo cumplimiento de los siguientes requisitos:</w:t>
      </w:r>
    </w:p>
    <w:p>
      <w:pPr>
        <w:pStyle w:val="Normal"/>
        <w:jc w:val="both"/>
        <w:rPr>
          <w:rFonts w:ascii="Arial" w:hAnsi="Arial" w:cs="Arial"/>
          <w:sz w:val="20"/>
          <w:szCs w:val="20"/>
        </w:rPr>
      </w:pPr>
      <w:r>
        <w:rPr>
          <w:rFonts w:cs="Arial" w:ascii="Arial" w:hAnsi="Arial"/>
          <w:sz w:val="20"/>
          <w:szCs w:val="20"/>
        </w:rPr>
      </w:r>
    </w:p>
    <w:p>
      <w:pPr>
        <w:pStyle w:val="Normal"/>
        <w:numPr>
          <w:ilvl w:val="0"/>
          <w:numId w:val="6"/>
        </w:numPr>
        <w:jc w:val="both"/>
        <w:rPr>
          <w:rFonts w:ascii="Arial" w:hAnsi="Arial" w:cs="Arial"/>
          <w:sz w:val="20"/>
          <w:szCs w:val="20"/>
        </w:rPr>
      </w:pPr>
      <w:r>
        <w:rPr>
          <w:rFonts w:cs="Arial" w:ascii="Arial" w:hAnsi="Arial"/>
          <w:sz w:val="20"/>
          <w:szCs w:val="20"/>
        </w:rPr>
        <w:t>Ser ciudadano mexicano en pleno goce de sus derechos.</w:t>
      </w:r>
    </w:p>
    <w:p>
      <w:pPr>
        <w:pStyle w:val="Normal"/>
        <w:jc w:val="both"/>
        <w:rPr>
          <w:rFonts w:ascii="Arial" w:hAnsi="Arial" w:cs="Arial"/>
          <w:sz w:val="20"/>
          <w:szCs w:val="20"/>
        </w:rPr>
      </w:pPr>
      <w:r>
        <w:rPr>
          <w:rFonts w:cs="Arial" w:ascii="Arial" w:hAnsi="Arial"/>
          <w:sz w:val="20"/>
          <w:szCs w:val="20"/>
        </w:rPr>
      </w:r>
    </w:p>
    <w:p>
      <w:pPr>
        <w:pStyle w:val="Normal"/>
        <w:numPr>
          <w:ilvl w:val="0"/>
          <w:numId w:val="6"/>
        </w:numPr>
        <w:jc w:val="both"/>
        <w:rPr>
          <w:rFonts w:ascii="Arial" w:hAnsi="Arial" w:cs="Arial"/>
          <w:sz w:val="20"/>
          <w:szCs w:val="20"/>
        </w:rPr>
      </w:pPr>
      <w:r>
        <w:rPr>
          <w:rFonts w:cs="Arial" w:ascii="Arial" w:hAnsi="Arial"/>
          <w:sz w:val="20"/>
          <w:szCs w:val="20"/>
        </w:rPr>
        <w:t xml:space="preserve">Acreditar con documentación fehaciente, experiencia valuatoria mínima de tres años inmediatos anteriores a la fecha de solicitud del registro.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Cuando el adquirente asuma la obligación de pagar alguna deuda del enajenante o de perdonarla, el importe de dicha deuda, se considerará parte del  precio pactado. </w:t>
      </w:r>
    </w:p>
    <w:p>
      <w:pPr>
        <w:pStyle w:val="Normal"/>
        <w:jc w:val="both"/>
        <w:rPr>
          <w:rFonts w:ascii="Arial" w:hAnsi="Arial" w:cs="Arial"/>
          <w:sz w:val="20"/>
          <w:szCs w:val="20"/>
        </w:rPr>
      </w:pPr>
      <w:r>
        <w:rPr>
          <w:rFonts w:cs="Arial" w:ascii="Arial" w:hAnsi="Arial"/>
          <w:sz w:val="20"/>
          <w:szCs w:val="20"/>
        </w:rPr>
      </w:r>
    </w:p>
    <w:p>
      <w:pPr>
        <w:pStyle w:val="Textoindependiente2"/>
        <w:rPr/>
      </w:pPr>
      <w:r>
        <w:rPr>
          <w:rFonts w:cs="Arial" w:ascii="Arial" w:hAnsi="Arial"/>
          <w:sz w:val="20"/>
          <w:szCs w:val="20"/>
        </w:rPr>
        <w:t>En todos los casos relacionados en el Artículo 43, se deberá practicar avalúo sobre los inmuebles objeto de las operaciones consignadas en ese Artículo y a ellos deberá anexarse el resumen valuatorio que contendrá:</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 xml:space="preserve">I.- </w:t>
      </w:r>
      <w:r>
        <w:rPr>
          <w:rFonts w:cs="Arial" w:ascii="Arial" w:hAnsi="Arial"/>
          <w:sz w:val="20"/>
          <w:szCs w:val="20"/>
        </w:rPr>
        <w:t xml:space="preserve"> ANTECENDENTES:</w:t>
      </w:r>
    </w:p>
    <w:p>
      <w:pPr>
        <w:pStyle w:val="Normal"/>
        <w:jc w:val="both"/>
        <w:rPr>
          <w:rFonts w:ascii="Arial" w:hAnsi="Arial" w:cs="Arial"/>
          <w:sz w:val="20"/>
          <w:szCs w:val="20"/>
        </w:rPr>
      </w:pPr>
      <w:r>
        <w:rPr>
          <w:rFonts w:cs="Arial" w:ascii="Arial" w:hAnsi="Arial"/>
          <w:sz w:val="20"/>
          <w:szCs w:val="20"/>
        </w:rPr>
      </w:r>
    </w:p>
    <w:tbl>
      <w:tblPr>
        <w:tblW w:w="8741" w:type="dxa"/>
        <w:jc w:val="left"/>
        <w:tblInd w:w="-5" w:type="dxa"/>
        <w:tblCellMar>
          <w:top w:w="0" w:type="dxa"/>
          <w:left w:w="70" w:type="dxa"/>
          <w:bottom w:w="0" w:type="dxa"/>
          <w:right w:w="70" w:type="dxa"/>
        </w:tblCellMar>
      </w:tblPr>
      <w:tblGrid>
        <w:gridCol w:w="2913"/>
        <w:gridCol w:w="2914"/>
        <w:gridCol w:w="2914"/>
      </w:tblGrid>
      <w:tr>
        <w:trPr/>
        <w:tc>
          <w:tcPr>
            <w:tcW w:w="2913"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a).- Valuador:</w:t>
            </w:r>
          </w:p>
        </w:tc>
        <w:tc>
          <w:tcPr>
            <w:tcW w:w="2914"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b).- Registro Municipal</w:t>
            </w:r>
          </w:p>
        </w:tc>
        <w:tc>
          <w:tcPr>
            <w:tcW w:w="291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t>c).- Fecha de Avalúo</w:t>
            </w:r>
          </w:p>
        </w:tc>
      </w:tr>
    </w:tbl>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w:t>
      </w:r>
      <w:r>
        <w:rPr>
          <w:rFonts w:cs="Arial" w:ascii="Arial" w:hAnsi="Arial"/>
          <w:sz w:val="20"/>
          <w:szCs w:val="20"/>
        </w:rPr>
        <w:t xml:space="preserve"> UBICACIÓN:</w:t>
      </w:r>
    </w:p>
    <w:p>
      <w:pPr>
        <w:pStyle w:val="Normal"/>
        <w:jc w:val="both"/>
        <w:rPr>
          <w:rFonts w:ascii="Arial" w:hAnsi="Arial" w:cs="Arial"/>
          <w:sz w:val="20"/>
          <w:szCs w:val="20"/>
        </w:rPr>
      </w:pPr>
      <w:r>
        <w:rPr>
          <w:rFonts w:cs="Arial" w:ascii="Arial" w:hAnsi="Arial"/>
          <w:sz w:val="20"/>
          <w:szCs w:val="20"/>
        </w:rPr>
      </w:r>
    </w:p>
    <w:tbl>
      <w:tblPr>
        <w:tblW w:w="8741" w:type="dxa"/>
        <w:jc w:val="left"/>
        <w:tblInd w:w="-5" w:type="dxa"/>
        <w:tblCellMar>
          <w:top w:w="0" w:type="dxa"/>
          <w:left w:w="70" w:type="dxa"/>
          <w:bottom w:w="0" w:type="dxa"/>
          <w:right w:w="70" w:type="dxa"/>
        </w:tblCellMar>
      </w:tblPr>
      <w:tblGrid>
        <w:gridCol w:w="2910"/>
        <w:gridCol w:w="1455"/>
        <w:gridCol w:w="1456"/>
        <w:gridCol w:w="2920"/>
      </w:tblGrid>
      <w:tr>
        <w:trPr/>
        <w:tc>
          <w:tcPr>
            <w:tcW w:w="2910"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a).- Localidad</w:t>
            </w:r>
          </w:p>
        </w:tc>
        <w:tc>
          <w:tcPr>
            <w:tcW w:w="2911" w:type="dxa"/>
            <w:gridSpan w:val="2"/>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b).- Sector Catastral</w:t>
            </w:r>
          </w:p>
        </w:tc>
        <w:tc>
          <w:tcPr>
            <w:tcW w:w="292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t>c).- Calle y Número</w:t>
            </w:r>
          </w:p>
          <w:p>
            <w:pPr>
              <w:pStyle w:val="Normal"/>
              <w:jc w:val="both"/>
              <w:rPr>
                <w:rFonts w:ascii="Arial" w:hAnsi="Arial" w:cs="Arial"/>
                <w:sz w:val="20"/>
                <w:szCs w:val="20"/>
              </w:rPr>
            </w:pPr>
            <w:r>
              <w:rPr>
                <w:rFonts w:cs="Arial" w:ascii="Arial" w:hAnsi="Arial"/>
                <w:sz w:val="20"/>
                <w:szCs w:val="20"/>
              </w:rPr>
            </w:r>
          </w:p>
        </w:tc>
      </w:tr>
      <w:tr>
        <w:trPr/>
        <w:tc>
          <w:tcPr>
            <w:tcW w:w="4365" w:type="dxa"/>
            <w:gridSpan w:val="2"/>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 xml:space="preserve">d).- Colonia </w:t>
            </w:r>
          </w:p>
        </w:tc>
        <w:tc>
          <w:tcPr>
            <w:tcW w:w="4376"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t>e).- Observaciones (en su caso)</w:t>
            </w:r>
          </w:p>
        </w:tc>
      </w:tr>
    </w:tbl>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III.-</w:t>
      </w:r>
      <w:r>
        <w:rPr>
          <w:rFonts w:cs="Arial" w:ascii="Arial" w:hAnsi="Arial"/>
          <w:sz w:val="20"/>
          <w:szCs w:val="20"/>
        </w:rPr>
        <w:t xml:space="preserve"> RESUMEN VALUATORIO: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TERRENO</w:t>
      </w:r>
    </w:p>
    <w:tbl>
      <w:tblPr>
        <w:tblW w:w="8741" w:type="dxa"/>
        <w:jc w:val="left"/>
        <w:tblInd w:w="-5" w:type="dxa"/>
        <w:tblCellMar>
          <w:top w:w="0" w:type="dxa"/>
          <w:left w:w="70" w:type="dxa"/>
          <w:bottom w:w="0" w:type="dxa"/>
          <w:right w:w="70" w:type="dxa"/>
        </w:tblCellMar>
      </w:tblPr>
      <w:tblGrid>
        <w:gridCol w:w="2914"/>
        <w:gridCol w:w="2907"/>
        <w:gridCol w:w="2920"/>
      </w:tblGrid>
      <w:tr>
        <w:trPr/>
        <w:tc>
          <w:tcPr>
            <w:tcW w:w="2914"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1.-Superficie total (m2)</w:t>
            </w:r>
          </w:p>
        </w:tc>
        <w:tc>
          <w:tcPr>
            <w:tcW w:w="2907"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2.- Valor Unitario (en pesos)</w:t>
            </w:r>
          </w:p>
        </w:tc>
        <w:tc>
          <w:tcPr>
            <w:tcW w:w="292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t>3.- Valor catastral (en pesos)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b).- CONSTRUCCIÓN</w:t>
      </w:r>
    </w:p>
    <w:tbl>
      <w:tblPr>
        <w:tblW w:w="8741" w:type="dxa"/>
        <w:jc w:val="left"/>
        <w:tblInd w:w="-5" w:type="dxa"/>
        <w:tblCellMar>
          <w:top w:w="0" w:type="dxa"/>
          <w:left w:w="70" w:type="dxa"/>
          <w:bottom w:w="0" w:type="dxa"/>
          <w:right w:w="70" w:type="dxa"/>
        </w:tblCellMar>
      </w:tblPr>
      <w:tblGrid>
        <w:gridCol w:w="2909"/>
        <w:gridCol w:w="2902"/>
        <w:gridCol w:w="2930"/>
      </w:tblGrid>
      <w:tr>
        <w:trPr/>
        <w:tc>
          <w:tcPr>
            <w:tcW w:w="2909"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1.-Superficie total (m2)</w:t>
            </w:r>
          </w:p>
        </w:tc>
        <w:tc>
          <w:tcPr>
            <w:tcW w:w="2902" w:type="dxa"/>
            <w:tcBorders>
              <w:top w:val="single" w:sz="4" w:space="0" w:color="000000"/>
              <w:left w:val="single" w:sz="4" w:space="0" w:color="000000"/>
              <w:bottom w:val="single" w:sz="4" w:space="0" w:color="000000"/>
            </w:tcBorders>
          </w:tcPr>
          <w:p>
            <w:pPr>
              <w:pStyle w:val="Normal"/>
              <w:jc w:val="both"/>
              <w:rPr>
                <w:rFonts w:ascii="Arial" w:hAnsi="Arial" w:cs="Arial"/>
                <w:sz w:val="20"/>
                <w:szCs w:val="20"/>
              </w:rPr>
            </w:pPr>
            <w:r>
              <w:rPr>
                <w:rFonts w:cs="Arial" w:ascii="Arial" w:hAnsi="Arial"/>
                <w:sz w:val="20"/>
                <w:szCs w:val="20"/>
              </w:rPr>
              <w:t>2.- Valor Unitario (en pesos)</w:t>
            </w:r>
          </w:p>
        </w:tc>
        <w:tc>
          <w:tcPr>
            <w:tcW w:w="293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0"/>
                <w:szCs w:val="20"/>
              </w:rPr>
            </w:pPr>
            <w:r>
              <w:rPr>
                <w:rFonts w:cs="Arial" w:ascii="Arial" w:hAnsi="Arial"/>
                <w:sz w:val="20"/>
                <w:szCs w:val="20"/>
              </w:rPr>
              <w:t xml:space="preserve">c) Valor de la </w:t>
            </w:r>
          </w:p>
          <w:p>
            <w:pPr>
              <w:pStyle w:val="Normal"/>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construcción (en pesos)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 Valor Comercial (en pesos)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Para los efectos del presente Artículo el usufructo y la nuda  propiedad tienen cada uno el valor equivalente al .5 del valor de la propiedad.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En la elaboración de los avalúos referidos así como para determinar el costo de los mismos con cargo a los contribuyentes, las autoridades fiscales municipales observarán las disposiciones del Código Fiscal del  Estado de Yucatán o, en su defecto, las disposiciones relativas del Código Fiscal de la Federación y su reglamento.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46.- </w:t>
      </w:r>
      <w:r>
        <w:rPr>
          <w:rFonts w:cs="Arial" w:ascii="Arial" w:hAnsi="Arial"/>
          <w:sz w:val="20"/>
          <w:szCs w:val="20"/>
        </w:rPr>
        <w:t>Los avalúos que se practiquen para el efecto del pago del Impuesto Sobre Adquisición de Bienes Inmuebles, tendrán una vigencia de seis meses, contados a partir de la fecha de su expedición.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b/>
          <w:sz w:val="20"/>
          <w:szCs w:val="20"/>
        </w:rPr>
        <w:t xml:space="preserve">Artículo 47.- </w:t>
      </w:r>
      <w:r>
        <w:rPr>
          <w:rFonts w:cs="Arial" w:ascii="Arial" w:hAnsi="Arial"/>
          <w:sz w:val="20"/>
          <w:szCs w:val="20"/>
        </w:rPr>
        <w:t>El impuesto a que se refiere esta Sección se calculará aplicando la tasa establecida en la Ley de Ingresos del Municipio de Oxkutzcab; a la base señalada en el Artículo 45 de esta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48.- </w:t>
      </w:r>
      <w:r>
        <w:rPr>
          <w:rFonts w:cs="Arial" w:ascii="Arial" w:hAnsi="Arial"/>
          <w:sz w:val="20"/>
          <w:szCs w:val="20"/>
        </w:rPr>
        <w:t xml:space="preserve">Los fedatarios públicos y las personas que por disposición legal tengan funciones notariales, deberán manifestar a la Tesorería Municipal, por duplicado, dentro de los treinta días hábiles siguientes a la fecha del acto o contrato, la adquisición de inmuebles realizadas ante ellos, expresando: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sz w:val="20"/>
          <w:szCs w:val="20"/>
        </w:rPr>
        <w:t xml:space="preserve"> Nombres y domicilios de los contratantes.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w:t>
      </w:r>
      <w:r>
        <w:rPr>
          <w:rFonts w:cs="Arial" w:ascii="Arial" w:hAnsi="Arial"/>
          <w:sz w:val="20"/>
          <w:szCs w:val="20"/>
        </w:rPr>
        <w:t xml:space="preserve"> Nombre del fedatario público y número que le corresponda a la notaría o escribanía. En caso de tratarse de persona distinta a los anteriores, con funciones notariales, deberá expresar su nombre y el cargo que detenta.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III</w:t>
      </w:r>
      <w:r>
        <w:rPr>
          <w:rFonts w:cs="Arial" w:ascii="Arial" w:hAnsi="Arial"/>
          <w:sz w:val="20"/>
          <w:szCs w:val="20"/>
        </w:rPr>
        <w:t xml:space="preserve">.- Firma y sello, en su caso, del autorizante. </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rPr>
        <w:t>IV</w:t>
      </w:r>
      <w:r>
        <w:rPr>
          <w:rFonts w:cs="Arial" w:ascii="Arial" w:hAnsi="Arial"/>
          <w:sz w:val="20"/>
          <w:szCs w:val="20"/>
        </w:rPr>
        <w:t xml:space="preserve">.- Fecha en que se firmó la escritura de adquisición del inmueble o de los derechos sobre el mismo.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V</w:t>
      </w:r>
      <w:r>
        <w:rPr>
          <w:rFonts w:cs="Arial" w:ascii="Arial" w:hAnsi="Arial"/>
          <w:sz w:val="20"/>
          <w:szCs w:val="20"/>
        </w:rPr>
        <w:t>.- Naturaleza del acto, contrato o concepto de adquisición.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VI</w:t>
      </w:r>
      <w:r>
        <w:rPr>
          <w:rFonts w:cs="Arial" w:ascii="Arial" w:hAnsi="Arial"/>
          <w:sz w:val="20"/>
          <w:szCs w:val="20"/>
        </w:rPr>
        <w:t xml:space="preserve">.- Identificación del inmueble.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VII</w:t>
      </w:r>
      <w:r>
        <w:rPr>
          <w:rFonts w:cs="Arial" w:ascii="Arial" w:hAnsi="Arial"/>
          <w:sz w:val="20"/>
          <w:szCs w:val="20"/>
        </w:rPr>
        <w:t>.- Valor catastral vigente.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bCs/>
          <w:sz w:val="20"/>
          <w:szCs w:val="20"/>
        </w:rPr>
        <w:t>VIII</w:t>
      </w:r>
      <w:r>
        <w:rPr>
          <w:rFonts w:cs="Arial" w:ascii="Arial" w:hAnsi="Arial"/>
          <w:sz w:val="20"/>
          <w:szCs w:val="20"/>
        </w:rPr>
        <w:t>.- Valor de la operación consignada en el contrato,y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IX</w:t>
      </w:r>
      <w:r>
        <w:rPr>
          <w:rFonts w:cs="Arial" w:ascii="Arial" w:hAnsi="Arial"/>
          <w:sz w:val="20"/>
          <w:szCs w:val="20"/>
        </w:rPr>
        <w:t xml:space="preserve">.- Liquidación del impuesto.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A la manifestación señalada en este Artículo, se acumulará copia del avalúo practicado al efecto. </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Cuando los fedatarios públicos y quienes realizan funciones notariales no cumplan con la obligación a que se refiere este Artículo, serán sancionados con una multa de diez salarios mínimos.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49</w:t>
      </w:r>
      <w:r>
        <w:rPr>
          <w:rFonts w:cs="Arial" w:ascii="Arial" w:hAnsi="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44 de esta Ley.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Por su parte, los registradores no inscribirán en el Registro Público de la Propiedad del Estado los documentos donde conste la adquisición de inmuebles o de derechos sobre los mismos, sin cerciorarse antes de que se cumplió con la primera parte del presente Artículo. La citada acumulación deberá constar en la inscripción correspondiente.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 caso contrario, los fedatarios públicos, las personas que tengan funciones notariales y los registradores serán solidariamente responsables del pago del impuesto y sus accesorios legales.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50</w:t>
      </w:r>
      <w:r>
        <w:rPr>
          <w:rFonts w:cs="Arial" w:ascii="Arial" w:hAnsi="Arial"/>
          <w:sz w:val="20"/>
          <w:szCs w:val="20"/>
        </w:rPr>
        <w:t>.- El pago del Impuesto Sobre Adquisición de Inmuebles, deberá hacerse, dentro de los treinta días hábiles siguientes a la fecha en que, según el caso, ocurra primero alguno de los siguientes supuestos: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w:t>
      </w:r>
      <w:r>
        <w:rPr>
          <w:rFonts w:cs="Arial" w:ascii="Arial" w:hAnsi="Arial"/>
          <w:sz w:val="20"/>
          <w:szCs w:val="20"/>
        </w:rPr>
        <w:t xml:space="preserve"> Se celebre el acto contrato.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sz w:val="20"/>
          <w:szCs w:val="20"/>
        </w:rPr>
        <w:t>b)</w:t>
      </w:r>
      <w:r>
        <w:rPr>
          <w:rFonts w:cs="Arial" w:ascii="Arial" w:hAnsi="Arial"/>
          <w:sz w:val="20"/>
          <w:szCs w:val="20"/>
        </w:rPr>
        <w:t xml:space="preserve"> Se eleve a escritura pública.</w:t>
      </w:r>
    </w:p>
    <w:p>
      <w:pPr>
        <w:pStyle w:val="Normal"/>
        <w:jc w:val="both"/>
        <w:rPr>
          <w:rFonts w:ascii="Arial" w:hAnsi="Arial" w:cs="Arial"/>
          <w:sz w:val="20"/>
          <w:szCs w:val="20"/>
        </w:rPr>
      </w:pPr>
      <w:r>
        <w:rPr>
          <w:rFonts w:cs="Arial" w:ascii="Arial" w:hAnsi="Arial"/>
          <w:sz w:val="20"/>
          <w:szCs w:val="20"/>
        </w:rPr>
      </w:r>
    </w:p>
    <w:p>
      <w:pPr>
        <w:pStyle w:val="Textoindependiente2"/>
        <w:rPr/>
      </w:pPr>
      <w:r>
        <w:rPr>
          <w:rFonts w:cs="Arial" w:ascii="Arial" w:hAnsi="Arial"/>
          <w:b/>
          <w:sz w:val="20"/>
          <w:szCs w:val="20"/>
        </w:rPr>
        <w:t>c)</w:t>
      </w:r>
      <w:r>
        <w:rPr>
          <w:rFonts w:cs="Arial" w:ascii="Arial" w:hAnsi="Arial"/>
          <w:sz w:val="20"/>
          <w:szCs w:val="20"/>
        </w:rPr>
        <w:t xml:space="preserve"> Se inscriba en el Registro Público.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51</w:t>
      </w:r>
      <w:r>
        <w:rPr>
          <w:rFonts w:cs="Arial" w:ascii="Arial" w:hAnsi="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21 de esta ley. Lo anterior, sin perjuicio de la aplicación del recargo establecido para las contribuciones fiscales pagadas en forma extemporánea.</w:t>
      </w:r>
    </w:p>
    <w:p>
      <w:pPr>
        <w:pStyle w:val="Normal"/>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Sección Tercera</w:t>
      </w:r>
    </w:p>
    <w:p>
      <w:pPr>
        <w:pStyle w:val="Normal"/>
        <w:jc w:val="center"/>
        <w:rPr>
          <w:rFonts w:ascii="Arial" w:hAnsi="Arial" w:cs="Arial"/>
          <w:b/>
          <w:b/>
          <w:bCs/>
          <w:sz w:val="20"/>
          <w:szCs w:val="20"/>
        </w:rPr>
      </w:pPr>
      <w:r>
        <w:rPr>
          <w:rFonts w:cs="Arial" w:ascii="Arial" w:hAnsi="Arial"/>
          <w:b/>
          <w:bCs/>
          <w:sz w:val="20"/>
          <w:szCs w:val="20"/>
        </w:rPr>
        <w:t>Impuesto Sobre Diversiones y Espectáculos Públicos</w:t>
      </w:r>
    </w:p>
    <w:p>
      <w:pPr>
        <w:pStyle w:val="Normal"/>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52</w:t>
      </w:r>
      <w:r>
        <w:rPr>
          <w:rFonts w:cs="Arial" w:ascii="Arial" w:hAnsi="Arial"/>
          <w:sz w:val="20"/>
          <w:szCs w:val="20"/>
        </w:rPr>
        <w:t>. Son sujetos del Impuesto Sobre Diversiones y Espectáculos Públicos, las personas físicas o morales que perciban ingresos derivados de la comercialización de actos, diversiones o espectáculos públicos, ya sea en forma permanente o temporal.</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sz w:val="20"/>
          <w:szCs w:val="20"/>
        </w:rPr>
        <w:t xml:space="preserve"> </w:t>
      </w:r>
      <w:r>
        <w:rPr>
          <w:rFonts w:cs="Arial" w:ascii="Arial" w:hAnsi="Arial"/>
          <w:sz w:val="20"/>
          <w:szCs w:val="20"/>
        </w:rPr>
        <w:t>Los sujetos de este impuesto deberán cumplir, en lo conducente, con lo dispuesto en el Artículo 9 de esta Ley y, especialmente, con la obtención de la licencia de funcionamiento a que se refiere el Artículo 23.</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53</w:t>
      </w:r>
      <w:r>
        <w:rPr>
          <w:rFonts w:cs="Arial" w:ascii="Arial" w:hAnsi="Arial"/>
          <w:sz w:val="20"/>
          <w:szCs w:val="20"/>
        </w:rPr>
        <w:t>.- Es objeto del Impuesto Sobre Diversiones y Espectáculos Públicos el ingreso derivado de la comercialización de actos, diversiones y espectáculos públicos.</w:t>
      </w:r>
    </w:p>
    <w:p>
      <w:pPr>
        <w:pStyle w:val="Normal"/>
        <w:jc w:val="both"/>
        <w:rPr>
          <w:rFonts w:ascii="Arial" w:hAnsi="Arial" w:cs="Arial"/>
          <w:sz w:val="20"/>
          <w:szCs w:val="20"/>
        </w:rPr>
      </w:pPr>
      <w:r>
        <w:rPr>
          <w:rFonts w:cs="Arial" w:ascii="Arial" w:hAnsi="Arial"/>
          <w:sz w:val="20"/>
          <w:szCs w:val="20"/>
        </w:rPr>
      </w:r>
    </w:p>
    <w:p>
      <w:pPr>
        <w:pStyle w:val="Normal"/>
        <w:ind w:firstLine="709"/>
        <w:jc w:val="both"/>
        <w:rPr/>
      </w:pPr>
      <w:r>
        <w:rPr>
          <w:rFonts w:cs="Arial" w:ascii="Arial" w:hAnsi="Arial"/>
          <w:sz w:val="20"/>
          <w:szCs w:val="20"/>
        </w:rPr>
        <w:t>Para los efectos de este Sección se consideran: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Diversiones Públicas:</w:t>
      </w:r>
      <w:r>
        <w:rPr>
          <w:rFonts w:cs="Arial" w:ascii="Arial" w:hAnsi="Arial"/>
          <w:sz w:val="20"/>
          <w:szCs w:val="20"/>
        </w:rPr>
        <w:t xml:space="preserve"> aquellos eventos a los cuales el público asiste mediante el pago de una cuota de admisión, con la finalidad de participar o tener la oportunidad de participar activamente en los mismos.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Espectáculos Públicos:</w:t>
      </w:r>
      <w:r>
        <w:rPr>
          <w:rFonts w:cs="Arial" w:ascii="Arial" w:hAnsi="Arial"/>
          <w:sz w:val="20"/>
          <w:szCs w:val="20"/>
        </w:rPr>
        <w:t xml:space="preserve"> aquellos eventos a los que el público asiste, mediante el pago de una cuota de admisión, con la finalidad de recrearse y disfrutar con la presentación del mismo pero, sin participar en forma activa.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Cuota de Admisión:</w:t>
      </w:r>
      <w:r>
        <w:rPr>
          <w:rFonts w:cs="Arial" w:ascii="Arial" w:hAnsi="Arial"/>
          <w:sz w:val="20"/>
          <w:szCs w:val="20"/>
        </w:rPr>
        <w:t xml:space="preserve"> el importe del boleto de entrada, donativo, cooperación o cualquier otra denominación que se le de a la cantidad de dinero por la que se permita el acceso a las diversiones y espectáculos públicos.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54</w:t>
      </w:r>
      <w:r>
        <w:rPr>
          <w:rFonts w:cs="Arial" w:ascii="Arial" w:hAnsi="Arial"/>
          <w:sz w:val="20"/>
          <w:szCs w:val="20"/>
        </w:rPr>
        <w:t>.- La base del Impuesto Sobre Diversiones y Espectáculos Públicos, será la totalidad del ingreso percibido por los sujetos del impuesto, en la comercialización correspondiente.</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sz w:val="20"/>
          <w:szCs w:val="20"/>
        </w:rPr>
        <w:t xml:space="preserve">Artículo 55.- </w:t>
      </w:r>
      <w:r>
        <w:rPr>
          <w:rFonts w:cs="Arial" w:ascii="Arial" w:hAnsi="Arial"/>
          <w:sz w:val="20"/>
          <w:szCs w:val="20"/>
        </w:rPr>
        <w:t>La tasa del Impuesto Sobre Espectáculos y Diversiones Públicas será la establecida en la Ley de Ingresos del Municipio de Oxkutzcab.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56</w:t>
      </w:r>
      <w:r>
        <w:rPr>
          <w:rFonts w:cs="Arial" w:ascii="Arial" w:hAnsi="Arial"/>
          <w:sz w:val="20"/>
          <w:szCs w:val="20"/>
        </w:rPr>
        <w:t>.- Cuando las diversiones y espectáculos públicos sean organizados con motivos exclusivamente culturales, de beneficencia o en promoción del deporte, el Tesorero Municipal, quedará facultado para disminuir las tasas previstas en el Artículo que antecede.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57</w:t>
      </w:r>
      <w:r>
        <w:rPr>
          <w:rFonts w:cs="Arial" w:ascii="Arial" w:hAnsi="Arial"/>
          <w:sz w:val="20"/>
          <w:szCs w:val="20"/>
        </w:rPr>
        <w:t>.- El pago de este impuesto se sujetará a lo siguiente: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w:t>
      </w:r>
      <w:r>
        <w:rPr>
          <w:rFonts w:cs="Arial" w:ascii="Arial" w:hAnsi="Arial"/>
          <w:sz w:val="20"/>
          <w:szCs w:val="20"/>
        </w:rPr>
        <w:t xml:space="preserve"> Si pudiera determinarse previamente el monto del ingreso, el pago se efectuará antes de la realización de la diversión o espectáculo respectivo.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b)</w:t>
      </w:r>
      <w:r>
        <w:rPr>
          <w:rFonts w:cs="Arial" w:ascii="Arial" w:hAnsi="Arial"/>
          <w:sz w:val="20"/>
          <w:szCs w:val="20"/>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 la realización del propio espectáculo, pagando el contribuyente la diferencia que existiere a su cargo o reintegrándose al propio contribuyente la diferencia que hubiere a su favor.</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Cuando los sujetos obligados a otorgar la garantía a que se refiere el párrafo anterior no cumplan con tal obligación, la Tesorería Municipal podrá suspender el evento hasta en tanto no se otorgue dicha garantía, para ello las autoridades fiscales municipales podrán solicitar el auxilio de la fuerza pública.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Tesorería Municipal, el día hábil siguiente al de la realización del evento.</w:t>
      </w:r>
    </w:p>
    <w:p>
      <w:pPr>
        <w:pStyle w:val="Normal"/>
        <w:ind w:firstLine="709"/>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58</w:t>
      </w:r>
      <w:r>
        <w:rPr>
          <w:rFonts w:cs="Arial" w:ascii="Arial" w:hAnsi="Arial"/>
          <w:sz w:val="20"/>
          <w:szCs w:val="20"/>
        </w:rPr>
        <w:t>.- Para los efectos del Impuesto sobre Diversiones y Espectáculos Públicos, será aplicable en lo conducente, lo dispuesto por el Reglamento para la Celebración de Espectáculos Públicos en el Municipio de Oxkutzcab, Yucatán.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tulo2"/>
        <w:spacing w:lineRule="auto" w:line="240" w:before="0" w:after="0"/>
        <w:ind w:left="0" w:right="0" w:hanging="0"/>
        <w:jc w:val="center"/>
        <w:rPr>
          <w:rFonts w:cs="Arial"/>
          <w:sz w:val="20"/>
        </w:rPr>
      </w:pPr>
      <w:r>
        <w:rPr>
          <w:rFonts w:cs="Arial"/>
          <w:sz w:val="20"/>
        </w:rPr>
        <w:t>CAPÍTULO II</w:t>
      </w:r>
    </w:p>
    <w:p>
      <w:pPr>
        <w:pStyle w:val="Ttulo2"/>
        <w:spacing w:lineRule="auto" w:line="240" w:before="0" w:after="0"/>
        <w:ind w:left="0" w:right="0" w:hanging="0"/>
        <w:jc w:val="center"/>
        <w:rPr>
          <w:rFonts w:cs="Arial"/>
          <w:sz w:val="20"/>
        </w:rPr>
      </w:pPr>
      <w:r>
        <w:rPr>
          <w:rFonts w:cs="Arial"/>
          <w:sz w:val="20"/>
        </w:rPr>
        <w:t>Derechos</w:t>
      </w:r>
    </w:p>
    <w:p>
      <w:pPr>
        <w:pStyle w:val="Normal"/>
        <w:rPr>
          <w:rFonts w:ascii="Arial" w:hAnsi="Arial" w:cs="Arial"/>
          <w:sz w:val="20"/>
          <w:szCs w:val="20"/>
          <w:lang w:val="es-ES_tradnl"/>
        </w:rPr>
      </w:pPr>
      <w:r>
        <w:rPr>
          <w:rFonts w:cs="Arial" w:ascii="Arial" w:hAnsi="Arial"/>
          <w:sz w:val="20"/>
          <w:szCs w:val="20"/>
          <w:lang w:val="es-ES_tradnl"/>
        </w:rPr>
      </w:r>
    </w:p>
    <w:p>
      <w:pPr>
        <w:pStyle w:val="Ttulo2"/>
        <w:spacing w:lineRule="auto" w:line="240" w:before="0" w:after="0"/>
        <w:ind w:left="0" w:right="0" w:hanging="0"/>
        <w:jc w:val="center"/>
        <w:rPr>
          <w:rFonts w:cs="Arial"/>
          <w:sz w:val="20"/>
        </w:rPr>
      </w:pPr>
      <w:r>
        <w:rPr>
          <w:rFonts w:cs="Arial"/>
          <w:sz w:val="20"/>
        </w:rPr>
        <w:t>Sección Primera</w:t>
      </w:r>
    </w:p>
    <w:p>
      <w:pPr>
        <w:pStyle w:val="Normal"/>
        <w:jc w:val="center"/>
        <w:rPr>
          <w:rFonts w:ascii="Arial" w:hAnsi="Arial" w:cs="Arial"/>
          <w:b/>
          <w:b/>
          <w:sz w:val="20"/>
          <w:szCs w:val="20"/>
        </w:rPr>
      </w:pPr>
      <w:r>
        <w:rPr>
          <w:rFonts w:cs="Arial" w:ascii="Arial" w:hAnsi="Arial"/>
          <w:b/>
          <w:sz w:val="20"/>
          <w:szCs w:val="20"/>
        </w:rPr>
        <w:t>Generalidades</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59</w:t>
      </w:r>
      <w:r>
        <w:rPr>
          <w:rFonts w:cs="Arial" w:ascii="Arial" w:hAnsi="Arial"/>
          <w:sz w:val="20"/>
          <w:szCs w:val="20"/>
        </w:rPr>
        <w:t xml:space="preserve">.- Las personas físicas y morales pagarán los derechos que se establecen en esta ley, en las cajas recaudadoras de la Tesorería Municipal o en las que ésta autorice para tal efecto.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El pago de los derechos deberá hacerse previamente a la prestación del servicio, salvo en los casos expresamente señalados en esta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60</w:t>
      </w:r>
      <w:r>
        <w:rPr>
          <w:rFonts w:cs="Arial" w:ascii="Arial" w:hAnsi="Arial"/>
          <w:sz w:val="20"/>
          <w:szCs w:val="20"/>
        </w:rPr>
        <w:t>.- Los derechos que establece esta ley se pagarán por los servicios que preste el Ayuntamiento de Oxkutzcab, Yucatán, en sus funciones de derecho público o por el uso o aprovechamiento de los bienes del dominio público del Municipio.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Cuando de conformidad con la Ley Orgánica de los Municipios del Estado de Yucatán o cualesquiera otras disposiciones legales o reglamentarias, los servicios que preste una dependencia del Ayuntamiento, sean proporcionados por otra distinta, se seguirán cobrando los derechos en los términos establecidos por esta ley.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61</w:t>
      </w:r>
      <w:r>
        <w:rPr>
          <w:rFonts w:cs="Arial" w:ascii="Arial" w:hAnsi="Arial"/>
          <w:sz w:val="20"/>
          <w:szCs w:val="20"/>
        </w:rPr>
        <w:t>.-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Sección Segunda</w:t>
      </w:r>
    </w:p>
    <w:p>
      <w:pPr>
        <w:pStyle w:val="Normal"/>
        <w:jc w:val="center"/>
        <w:rPr>
          <w:rFonts w:ascii="Arial" w:hAnsi="Arial" w:cs="Arial"/>
          <w:b/>
          <w:b/>
          <w:sz w:val="20"/>
          <w:szCs w:val="20"/>
        </w:rPr>
      </w:pPr>
      <w:r>
        <w:rPr>
          <w:rFonts w:cs="Arial" w:ascii="Arial" w:hAnsi="Arial"/>
          <w:b/>
          <w:sz w:val="20"/>
          <w:szCs w:val="20"/>
        </w:rPr>
        <w:t>Derechos por Licencias y Permisos</w:t>
      </w:r>
    </w:p>
    <w:p>
      <w:pPr>
        <w:pStyle w:val="Normal"/>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62</w:t>
      </w:r>
      <w:r>
        <w:rPr>
          <w:rFonts w:cs="Arial" w:ascii="Arial" w:hAnsi="Arial"/>
          <w:sz w:val="20"/>
          <w:szCs w:val="20"/>
        </w:rPr>
        <w:t>.- Son objeto de estos derechos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pPr>
        <w:pStyle w:val="Normal"/>
        <w:jc w:val="both"/>
        <w:rPr>
          <w:rFonts w:ascii="Arial" w:hAnsi="Arial" w:cs="Arial"/>
          <w:sz w:val="20"/>
          <w:szCs w:val="20"/>
        </w:rPr>
      </w:pPr>
      <w:r>
        <w:rPr>
          <w:rFonts w:cs="Arial" w:ascii="Arial" w:hAnsi="Arial"/>
          <w:sz w:val="20"/>
          <w:szCs w:val="20"/>
        </w:rPr>
      </w:r>
    </w:p>
    <w:p>
      <w:pPr>
        <w:pStyle w:val="Normal"/>
        <w:widowControl w:val="false"/>
        <w:ind w:firstLine="708"/>
        <w:jc w:val="both"/>
        <w:rPr/>
      </w:pPr>
      <w:r>
        <w:rPr>
          <w:rFonts w:cs="Arial" w:ascii="Arial" w:hAnsi="Arial"/>
          <w:sz w:val="20"/>
          <w:szCs w:val="20"/>
        </w:rPr>
        <w:t>Así como, todos los establecimientos, negocios y o empresas en general sean estas comerciales, industriales, de servicios o cualquier otro giro, que no estén relacionadas con la venta de bebidas alcohólicas.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63</w:t>
      </w:r>
      <w:r>
        <w:rPr>
          <w:rFonts w:cs="Arial" w:ascii="Arial" w:hAnsi="Arial"/>
          <w:sz w:val="20"/>
          <w:szCs w:val="20"/>
        </w:rPr>
        <w:t>.- Son sujetos de estos derechos las personas físicas o morales que soliciten y obtengan las licencias, permisos o autorizaciones a que se refiere el Artículo anterior, o que realicen por cuenta propia o ajena las mismas actividades referidas y que dan motivo al pago de derechos al Municipio.</w:t>
      </w:r>
    </w:p>
    <w:p>
      <w:pPr>
        <w:pStyle w:val="Normal"/>
        <w:jc w:val="both"/>
        <w:rPr>
          <w:rFonts w:ascii="Arial" w:hAnsi="Arial" w:cs="Arial"/>
          <w:b/>
          <w:b/>
          <w:bCs/>
          <w:sz w:val="20"/>
          <w:szCs w:val="20"/>
          <w:lang w:val="es-ES_tradnl"/>
        </w:rPr>
      </w:pPr>
      <w:r>
        <w:rPr>
          <w:rFonts w:cs="Arial" w:ascii="Arial" w:hAnsi="Arial"/>
          <w:b/>
          <w:bCs/>
          <w:sz w:val="20"/>
          <w:szCs w:val="20"/>
          <w:lang w:val="es-ES_tradnl"/>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64</w:t>
      </w:r>
      <w:r>
        <w:rPr>
          <w:rFonts w:cs="Arial" w:ascii="Arial" w:hAnsi="Arial"/>
          <w:sz w:val="20"/>
          <w:szCs w:val="20"/>
        </w:rPr>
        <w:t>.- La base para el pago de estos derechos será el tipo de autorización, licencia, permiso o revalidación de éstos, así como el número de días y horas, tratándose de permisos eventuales o de funcionamiento en horarios extraordinarios.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65</w:t>
      </w:r>
      <w:r>
        <w:rPr>
          <w:rFonts w:cs="Arial" w:ascii="Arial" w:hAnsi="Arial"/>
          <w:sz w:val="20"/>
          <w:szCs w:val="20"/>
        </w:rPr>
        <w:t>.- El pago de los derechos a que se refiere esta Sección deberá cubrirse con anticipación al otorgamiento de las licencias o permisos referidos.</w:t>
      </w:r>
    </w:p>
    <w:p>
      <w:pPr>
        <w:pStyle w:val="Normal"/>
        <w:jc w:val="both"/>
        <w:rPr>
          <w:rFonts w:ascii="Arial" w:hAnsi="Arial" w:cs="Arial"/>
          <w:sz w:val="20"/>
          <w:szCs w:val="20"/>
        </w:rPr>
      </w:pPr>
      <w:r>
        <w:rPr>
          <w:rFonts w:cs="Arial" w:ascii="Arial" w:hAnsi="Arial"/>
          <w:sz w:val="20"/>
          <w:szCs w:val="20"/>
        </w:rPr>
      </w:r>
    </w:p>
    <w:p>
      <w:pPr>
        <w:pStyle w:val="Normal"/>
        <w:widowControl w:val="false"/>
        <w:ind w:firstLine="708"/>
        <w:jc w:val="both"/>
        <w:rPr/>
      </w:pPr>
      <w:r>
        <w:rPr>
          <w:rFonts w:cs="Arial" w:ascii="Arial" w:hAnsi="Arial"/>
          <w:sz w:val="20"/>
          <w:szCs w:val="20"/>
        </w:rPr>
        <w:t>Respecto a los establecimientos, negocios y o empresas en general sean estas comerciales, industriales, de servicios o cualquier otro giro, que no estén relacionadas con la venta de bebidas alcohólicas, deberán:</w:t>
      </w:r>
    </w:p>
    <w:p>
      <w:pPr>
        <w:pStyle w:val="Normal"/>
        <w:widowControl w:val="false"/>
        <w:ind w:firstLine="708"/>
        <w:jc w:val="both"/>
        <w:rPr>
          <w:rFonts w:ascii="Arial" w:hAnsi="Arial" w:cs="Arial"/>
          <w:sz w:val="20"/>
          <w:szCs w:val="20"/>
        </w:rPr>
      </w:pPr>
      <w:r>
        <w:rPr>
          <w:rFonts w:cs="Arial" w:ascii="Arial" w:hAnsi="Arial"/>
          <w:sz w:val="20"/>
          <w:szCs w:val="20"/>
        </w:rPr>
      </w:r>
    </w:p>
    <w:p>
      <w:pPr>
        <w:pStyle w:val="Normal"/>
        <w:widowControl w:val="false"/>
        <w:ind w:left="708" w:hanging="0"/>
        <w:jc w:val="both"/>
        <w:rPr/>
      </w:pPr>
      <w:r>
        <w:rPr>
          <w:rFonts w:cs="Arial" w:ascii="Arial" w:hAnsi="Arial"/>
          <w:b/>
          <w:sz w:val="20"/>
          <w:szCs w:val="20"/>
        </w:rPr>
        <w:t>a)</w:t>
        <w:tab/>
      </w:r>
      <w:r>
        <w:rPr>
          <w:rFonts w:cs="Arial" w:ascii="Arial" w:hAnsi="Arial"/>
          <w:sz w:val="20"/>
          <w:szCs w:val="20"/>
        </w:rPr>
        <w:t>Pagar el derecho para el otorgamiento de la correspondiente autorización del uso de suelo y funcionamiento, este deberá ser cubierto dentro de los 30 días posteriores al inicio de actividades.</w:t>
      </w:r>
    </w:p>
    <w:p>
      <w:pPr>
        <w:pStyle w:val="Normal"/>
        <w:widowControl w:val="false"/>
        <w:ind w:left="708" w:hanging="0"/>
        <w:jc w:val="both"/>
        <w:rPr/>
      </w:pPr>
      <w:r>
        <w:rPr>
          <w:rFonts w:cs="Arial" w:ascii="Arial" w:hAnsi="Arial"/>
          <w:b/>
          <w:sz w:val="20"/>
          <w:szCs w:val="20"/>
        </w:rPr>
        <w:t>b)</w:t>
        <w:tab/>
      </w:r>
      <w:r>
        <w:rPr>
          <w:rFonts w:cs="Arial" w:ascii="Arial" w:hAnsi="Arial"/>
          <w:sz w:val="20"/>
          <w:szCs w:val="20"/>
        </w:rPr>
        <w:t>Pagar anualmente el derecho correspondiente a la renovación dentro de los primeros 60 días de cada año.</w:t>
      </w:r>
    </w:p>
    <w:p>
      <w:pPr>
        <w:pStyle w:val="Normal"/>
        <w:widowControl w:val="false"/>
        <w:ind w:left="708" w:hanging="0"/>
        <w:jc w:val="both"/>
        <w:rPr/>
      </w:pPr>
      <w:r>
        <w:rPr>
          <w:rFonts w:cs="Arial" w:ascii="Arial" w:hAnsi="Arial"/>
          <w:b/>
          <w:sz w:val="20"/>
          <w:szCs w:val="20"/>
        </w:rPr>
        <w:t>c)</w:t>
        <w:tab/>
      </w:r>
      <w:r>
        <w:rPr>
          <w:rFonts w:cs="Arial" w:ascii="Arial" w:hAnsi="Arial"/>
          <w:sz w:val="20"/>
          <w:szCs w:val="20"/>
        </w:rPr>
        <w:t xml:space="preserve">La tasa se determinara con la base en el cuadro de categorización de los giros comerciales, señalados en la ley de ingreso del municipio de Oxkutzcab, tasados en salarios mínimos para su cobro.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66.-</w:t>
      </w:r>
      <w:r>
        <w:rPr>
          <w:rFonts w:cs="Arial" w:ascii="Arial" w:hAnsi="Arial"/>
          <w:sz w:val="20"/>
          <w:szCs w:val="20"/>
        </w:rPr>
        <w:t xml:space="preserve"> Por el otorgamiento de licencias o permisos a que hace referencia esta Sección, se causarán y pagarán derechos de conformidad con las tarifas señaladas la Ley de Ingresos del Municipio de Oxkutzcab.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extoindependiente2"/>
        <w:jc w:val="center"/>
        <w:rPr/>
      </w:pPr>
      <w:r>
        <w:rPr>
          <w:rFonts w:cs="Arial" w:ascii="Arial" w:hAnsi="Arial"/>
          <w:b/>
          <w:sz w:val="20"/>
          <w:szCs w:val="20"/>
        </w:rPr>
        <w:t>Sección</w:t>
      </w:r>
      <w:r>
        <w:rPr>
          <w:rFonts w:cs="Arial" w:ascii="Arial" w:hAnsi="Arial"/>
          <w:b/>
          <w:bCs/>
          <w:sz w:val="20"/>
          <w:szCs w:val="20"/>
          <w:lang w:val="es-ES"/>
        </w:rPr>
        <w:t xml:space="preserve"> Tercera</w:t>
      </w:r>
    </w:p>
    <w:p>
      <w:pPr>
        <w:pStyle w:val="Textoindependiente2"/>
        <w:jc w:val="center"/>
        <w:rPr>
          <w:rFonts w:ascii="Arial" w:hAnsi="Arial" w:cs="Arial"/>
          <w:b/>
          <w:b/>
          <w:bCs/>
          <w:sz w:val="20"/>
          <w:szCs w:val="20"/>
        </w:rPr>
      </w:pPr>
      <w:r>
        <w:rPr>
          <w:rFonts w:cs="Arial" w:ascii="Arial" w:hAnsi="Arial"/>
          <w:b/>
          <w:bCs/>
          <w:sz w:val="20"/>
          <w:szCs w:val="20"/>
          <w:lang w:val="es-ES"/>
        </w:rPr>
        <w:t>Derechos por S</w:t>
      </w:r>
      <w:r>
        <w:rPr>
          <w:rFonts w:cs="Arial" w:ascii="Arial" w:hAnsi="Arial"/>
          <w:b/>
          <w:bCs/>
          <w:sz w:val="20"/>
          <w:szCs w:val="20"/>
        </w:rPr>
        <w:t>ervicios en Materia de Desarrollo Urbano</w:t>
      </w:r>
    </w:p>
    <w:p>
      <w:pPr>
        <w:pStyle w:val="Normal"/>
        <w:jc w:val="center"/>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67</w:t>
      </w:r>
      <w:r>
        <w:rPr>
          <w:rFonts w:cs="Arial" w:ascii="Arial" w:hAnsi="Arial"/>
          <w:sz w:val="20"/>
          <w:szCs w:val="20"/>
        </w:rPr>
        <w:t xml:space="preserve">.- Son sujetos obligados al pago de derechos, por los servicios que presta la Dirección de Desarrollo Urbano y Obras Públicas, las personas físicas o morales que soliciten, cualesquiera de los servicios a que se refiere este Sección.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68</w:t>
      </w:r>
      <w:r>
        <w:rPr>
          <w:rFonts w:cs="Arial" w:ascii="Arial" w:hAnsi="Arial"/>
          <w:sz w:val="20"/>
          <w:szCs w:val="20"/>
        </w:rPr>
        <w:t>.- Son obligados solidarios al pago de estos derechos, los propietarios, fideicomitentes, mientras el fiduciario no transmitiere la propiedad del inmueble; los fideicomisarios cuando estuvieren en posesión o uso del inmueble, los adquirentes de un inmueble por cualquier título, aún cuando no se hubiere otorgado a su favor la escritura definitiva de compraventa y los responsables de la obra.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69</w:t>
      </w:r>
      <w:r>
        <w:rPr>
          <w:rFonts w:cs="Arial" w:ascii="Arial" w:hAnsi="Arial"/>
          <w:sz w:val="20"/>
          <w:szCs w:val="20"/>
        </w:rPr>
        <w:t>.- Los sujetos pagarán los derechos por los servicios que soliciten a la Dirección de Desarrollo Urbano y Obras Públicas, consistentes en: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b/>
          <w:b/>
          <w:sz w:val="20"/>
          <w:szCs w:val="20"/>
        </w:rPr>
      </w:pPr>
      <w:r>
        <w:rPr>
          <w:rFonts w:cs="Arial" w:ascii="Arial" w:hAnsi="Arial"/>
          <w:b/>
          <w:sz w:val="20"/>
          <w:szCs w:val="20"/>
        </w:rPr>
        <w:t xml:space="preserve">a) </w:t>
      </w:r>
      <w:r>
        <w:rPr>
          <w:rFonts w:cs="Arial" w:ascii="Arial" w:hAnsi="Arial"/>
          <w:bCs/>
          <w:sz w:val="20"/>
          <w:szCs w:val="20"/>
        </w:rPr>
        <w:t>Factibilidad de uso de suelo.</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b) </w:t>
      </w:r>
      <w:r>
        <w:rPr>
          <w:rFonts w:cs="Arial" w:ascii="Arial" w:hAnsi="Arial"/>
          <w:bCs/>
          <w:sz w:val="20"/>
          <w:szCs w:val="20"/>
        </w:rPr>
        <w:t>Licencia de uso de suelo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sz w:val="20"/>
          <w:szCs w:val="20"/>
        </w:rPr>
      </w:pPr>
      <w:r>
        <w:rPr>
          <w:rFonts w:cs="Arial" w:ascii="Arial" w:hAnsi="Arial"/>
          <w:b/>
          <w:sz w:val="20"/>
          <w:szCs w:val="20"/>
        </w:rPr>
        <w:t xml:space="preserve">c) </w:t>
      </w:r>
      <w:r>
        <w:rPr>
          <w:rFonts w:cs="Arial" w:ascii="Arial" w:hAnsi="Arial"/>
          <w:bCs/>
          <w:sz w:val="20"/>
          <w:szCs w:val="20"/>
        </w:rPr>
        <w:t>Licencia de construcción.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d) </w:t>
      </w:r>
      <w:r>
        <w:rPr>
          <w:rFonts w:cs="Arial" w:ascii="Arial" w:hAnsi="Arial"/>
          <w:bCs/>
          <w:sz w:val="20"/>
          <w:szCs w:val="20"/>
        </w:rPr>
        <w:t>Constancia de terminación de obra.</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e) </w:t>
      </w:r>
      <w:r>
        <w:rPr>
          <w:rFonts w:cs="Arial" w:ascii="Arial" w:hAnsi="Arial"/>
          <w:bCs/>
          <w:sz w:val="20"/>
          <w:szCs w:val="20"/>
        </w:rPr>
        <w:t>Licencia de urbanización</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f) </w:t>
      </w:r>
      <w:r>
        <w:rPr>
          <w:rFonts w:cs="Arial" w:ascii="Arial" w:hAnsi="Arial"/>
          <w:bCs/>
          <w:sz w:val="20"/>
          <w:szCs w:val="20"/>
        </w:rPr>
        <w:t>Constancia de alineamiento.</w:t>
      </w:r>
      <w:r>
        <w:rPr>
          <w:rFonts w:cs="Arial" w:ascii="Arial" w:hAnsi="Arial"/>
          <w:b/>
          <w:sz w:val="20"/>
          <w:szCs w:val="20"/>
        </w:rPr>
        <w:t xml:space="preserve"> </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g) </w:t>
      </w:r>
      <w:r>
        <w:rPr>
          <w:rFonts w:cs="Arial" w:ascii="Arial" w:hAnsi="Arial"/>
          <w:bCs/>
          <w:sz w:val="20"/>
          <w:szCs w:val="20"/>
        </w:rPr>
        <w:t>Constancia para obras de urbanización.</w:t>
      </w:r>
      <w:r>
        <w:rPr>
          <w:rFonts w:cs="Arial" w:ascii="Arial" w:hAnsi="Arial"/>
          <w:b/>
          <w:sz w:val="20"/>
          <w:szCs w:val="20"/>
        </w:rPr>
        <w:t xml:space="preserve"> </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h) </w:t>
      </w:r>
      <w:r>
        <w:rPr>
          <w:rFonts w:cs="Arial" w:ascii="Arial" w:hAnsi="Arial"/>
          <w:bCs/>
          <w:sz w:val="20"/>
          <w:szCs w:val="20"/>
        </w:rPr>
        <w:t>Revisión de planos para la autorización de uso del suelo.</w:t>
      </w:r>
      <w:r>
        <w:rPr>
          <w:rFonts w:cs="Arial" w:ascii="Arial" w:hAnsi="Arial"/>
          <w:b/>
          <w:sz w:val="20"/>
          <w:szCs w:val="20"/>
        </w:rPr>
        <w:t xml:space="preserve"> </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i) </w:t>
      </w:r>
      <w:r>
        <w:rPr>
          <w:rFonts w:cs="Arial" w:ascii="Arial" w:hAnsi="Arial"/>
          <w:bCs/>
          <w:sz w:val="20"/>
          <w:szCs w:val="20"/>
        </w:rPr>
        <w:t>Permisos de anuncios.</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sz w:val="20"/>
          <w:szCs w:val="20"/>
        </w:rPr>
        <w:t xml:space="preserve">j) </w:t>
      </w:r>
      <w:r>
        <w:rPr>
          <w:rFonts w:cs="Arial" w:ascii="Arial" w:hAnsi="Arial"/>
          <w:bCs/>
          <w:sz w:val="20"/>
          <w:szCs w:val="20"/>
        </w:rPr>
        <w:t>Derogado</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sz w:val="20"/>
          <w:szCs w:val="20"/>
        </w:rPr>
        <w:t xml:space="preserve">k) </w:t>
      </w:r>
      <w:r>
        <w:rPr>
          <w:rFonts w:cs="Arial" w:ascii="Arial" w:hAnsi="Arial"/>
          <w:bCs/>
          <w:sz w:val="20"/>
          <w:szCs w:val="20"/>
        </w:rPr>
        <w:t>Derogado</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Cs/>
          <w:sz w:val="20"/>
          <w:szCs w:val="20"/>
        </w:rPr>
      </w:pPr>
      <w:r>
        <w:rPr>
          <w:rFonts w:cs="Arial" w:ascii="Arial" w:hAnsi="Arial"/>
          <w:b/>
          <w:sz w:val="20"/>
          <w:szCs w:val="20"/>
        </w:rPr>
        <w:t xml:space="preserve">l) </w:t>
      </w:r>
      <w:r>
        <w:rPr>
          <w:rFonts w:cs="Arial" w:ascii="Arial" w:hAnsi="Arial"/>
          <w:bCs/>
          <w:sz w:val="20"/>
          <w:szCs w:val="20"/>
        </w:rPr>
        <w:t>Derogado</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70</w:t>
      </w:r>
      <w:r>
        <w:rPr>
          <w:rFonts w:cs="Arial" w:ascii="Arial" w:hAnsi="Arial"/>
          <w:sz w:val="20"/>
          <w:szCs w:val="20"/>
        </w:rPr>
        <w:t>.- Las bases para el cobro de los derechos mencionados en el Artículo que antecede, serán: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sz w:val="20"/>
          <w:szCs w:val="20"/>
        </w:rPr>
        <w:t>a)</w:t>
      </w:r>
      <w:r>
        <w:rPr>
          <w:rFonts w:cs="Arial" w:ascii="Arial" w:hAnsi="Arial"/>
          <w:sz w:val="20"/>
          <w:szCs w:val="20"/>
        </w:rPr>
        <w:t xml:space="preserve"> El número de metros lineales.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b)</w:t>
      </w:r>
      <w:r>
        <w:rPr>
          <w:rFonts w:cs="Arial" w:ascii="Arial" w:hAnsi="Arial"/>
          <w:sz w:val="20"/>
          <w:szCs w:val="20"/>
        </w:rPr>
        <w:t xml:space="preserve"> El número de metros cuadrados.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c)</w:t>
      </w:r>
      <w:r>
        <w:rPr>
          <w:rFonts w:cs="Arial" w:ascii="Arial" w:hAnsi="Arial"/>
          <w:sz w:val="20"/>
          <w:szCs w:val="20"/>
        </w:rPr>
        <w:t xml:space="preserve"> El número de metros cúbicos.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d)</w:t>
      </w:r>
      <w:r>
        <w:rPr>
          <w:rFonts w:cs="Arial" w:ascii="Arial" w:hAnsi="Arial"/>
          <w:sz w:val="20"/>
          <w:szCs w:val="20"/>
        </w:rPr>
        <w:t xml:space="preserve"> El número de predios, departamentos o locales resultantes.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e)</w:t>
      </w:r>
      <w:r>
        <w:rPr>
          <w:rFonts w:cs="Arial" w:ascii="Arial" w:hAnsi="Arial"/>
          <w:sz w:val="20"/>
          <w:szCs w:val="20"/>
        </w:rPr>
        <w:t xml:space="preserve"> El servicio prestado.</w:t>
      </w:r>
    </w:p>
    <w:p>
      <w:pPr>
        <w:pStyle w:val="Normal"/>
        <w:jc w:val="both"/>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lang w:val="es-ES_tradnl"/>
        </w:rPr>
        <w:t>Artículo</w:t>
      </w:r>
      <w:r>
        <w:rPr>
          <w:rFonts w:cs="Arial" w:ascii="Arial" w:hAnsi="Arial"/>
          <w:b/>
          <w:bCs/>
          <w:sz w:val="20"/>
          <w:szCs w:val="20"/>
        </w:rPr>
        <w:t xml:space="preserve"> 71</w:t>
      </w:r>
      <w:r>
        <w:rPr>
          <w:rFonts w:cs="Arial" w:ascii="Arial" w:hAnsi="Arial"/>
          <w:sz w:val="20"/>
          <w:szCs w:val="20"/>
        </w:rPr>
        <w:t>.- Para los efectos de esta Sección, las construcciones se clasificarán en cuatro tipos:</w:t>
      </w:r>
    </w:p>
    <w:p>
      <w:pPr>
        <w:pStyle w:val="Piedepgina"/>
        <w:tabs>
          <w:tab w:val="clear" w:pos="4419"/>
          <w:tab w:val="clear" w:pos="8838"/>
        </w:tabs>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TIPO A: Mampostería o block con techo de concreto.</w:t>
      </w:r>
    </w:p>
    <w:p>
      <w:pPr>
        <w:pStyle w:val="Normal"/>
        <w:rPr/>
      </w:pPr>
      <w:r>
        <w:rPr>
          <w:rFonts w:cs="Arial" w:ascii="Arial" w:hAnsi="Arial"/>
          <w:sz w:val="20"/>
          <w:szCs w:val="20"/>
        </w:rPr>
        <w:t>TIPO B. Mampostería o block con techo de hierro o rollizos.</w:t>
      </w:r>
    </w:p>
    <w:p>
      <w:pPr>
        <w:pStyle w:val="Normal"/>
        <w:rPr/>
      </w:pPr>
      <w:r>
        <w:rPr>
          <w:rFonts w:cs="Arial" w:ascii="Arial" w:hAnsi="Arial"/>
          <w:sz w:val="20"/>
          <w:szCs w:val="20"/>
        </w:rPr>
        <w:t>TIPO C: Mampostería o block con techo de zinc, asbesto o teja.</w:t>
      </w:r>
    </w:p>
    <w:p>
      <w:pPr>
        <w:pStyle w:val="Normal"/>
        <w:jc w:val="both"/>
        <w:rPr/>
      </w:pPr>
      <w:r>
        <w:rPr>
          <w:rFonts w:cs="Arial" w:ascii="Arial" w:hAnsi="Arial"/>
          <w:sz w:val="20"/>
          <w:szCs w:val="20"/>
        </w:rPr>
        <w:t>TIPO D: Mampostería o block con techo de cartón o paja.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su vez cada uno de los tipos de construcciones se clasificará en cuatro clases: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Clase 1 con construcción hasta de 60.00 metros cuadrados.</w:t>
      </w:r>
    </w:p>
    <w:p>
      <w:pPr>
        <w:pStyle w:val="Normal"/>
        <w:jc w:val="both"/>
        <w:rPr>
          <w:rFonts w:ascii="Arial" w:hAnsi="Arial" w:cs="Arial"/>
          <w:sz w:val="20"/>
          <w:szCs w:val="20"/>
        </w:rPr>
      </w:pPr>
      <w:r>
        <w:rPr>
          <w:rFonts w:cs="Arial" w:ascii="Arial" w:hAnsi="Arial"/>
          <w:sz w:val="20"/>
          <w:szCs w:val="20"/>
        </w:rPr>
        <w:t>Clase 2 con construcción desde 61.00 hasta de 120.00 metros cuadrados.</w:t>
      </w:r>
    </w:p>
    <w:p>
      <w:pPr>
        <w:pStyle w:val="Normal"/>
        <w:jc w:val="both"/>
        <w:rPr>
          <w:rFonts w:ascii="Arial" w:hAnsi="Arial" w:cs="Arial"/>
          <w:sz w:val="20"/>
          <w:szCs w:val="20"/>
        </w:rPr>
      </w:pPr>
      <w:r>
        <w:rPr>
          <w:rFonts w:cs="Arial" w:ascii="Arial" w:hAnsi="Arial"/>
          <w:sz w:val="20"/>
          <w:szCs w:val="20"/>
        </w:rPr>
        <w:t>Clase 3 con construcción desde 121.00 hasta 240.00 metros cuadrados.</w:t>
      </w:r>
    </w:p>
    <w:p>
      <w:pPr>
        <w:pStyle w:val="Normal"/>
        <w:jc w:val="both"/>
        <w:rPr>
          <w:rFonts w:ascii="Arial" w:hAnsi="Arial" w:cs="Arial"/>
          <w:sz w:val="20"/>
          <w:szCs w:val="20"/>
        </w:rPr>
      </w:pPr>
      <w:r>
        <w:rPr>
          <w:rFonts w:cs="Arial" w:ascii="Arial" w:hAnsi="Arial"/>
          <w:sz w:val="20"/>
          <w:szCs w:val="20"/>
        </w:rPr>
        <w:t>Clase 4 con construcción desde 241.00 metros cuadrados en adelante.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72.-</w:t>
      </w:r>
      <w:r>
        <w:rPr>
          <w:rFonts w:cs="Arial" w:ascii="Arial" w:hAnsi="Arial"/>
          <w:sz w:val="20"/>
          <w:szCs w:val="20"/>
        </w:rPr>
        <w:t xml:space="preserve"> El pago de los derechos a que se refiere esta Sección, se calculará y pagará conforme a las tarifas establecidas en la Ley de Ingresos del Municipio de Oxkutzcab.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73</w:t>
      </w:r>
      <w:r>
        <w:rPr>
          <w:rFonts w:cs="Arial" w:ascii="Arial" w:hAnsi="Arial"/>
          <w:sz w:val="20"/>
          <w:szCs w:val="20"/>
        </w:rPr>
        <w:t>.- Quedará exenta de pago la inspección para el otorgamiento de la licencia que se requiera, por los siguientes conceptos: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sz w:val="20"/>
          <w:szCs w:val="20"/>
        </w:rPr>
        <w:t xml:space="preserve"> Las construcciones que sean edificadas físicamente por sus propietarios.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w:t>
      </w:r>
      <w:r>
        <w:rPr>
          <w:rFonts w:cs="Arial" w:ascii="Arial" w:hAnsi="Arial"/>
          <w:b/>
          <w:sz w:val="20"/>
          <w:szCs w:val="20"/>
        </w:rPr>
        <w:t>.-</w:t>
      </w:r>
      <w:r>
        <w:rPr>
          <w:rFonts w:cs="Arial" w:ascii="Arial" w:hAnsi="Arial"/>
          <w:sz w:val="20"/>
          <w:szCs w:val="20"/>
        </w:rPr>
        <w:t xml:space="preserve"> Las construcciones de Centros Asistenciales y Sociales, propiedad de la Federación, el Estado o Municipio.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III</w:t>
      </w:r>
      <w:r>
        <w:rPr>
          <w:rFonts w:cs="Arial" w:ascii="Arial" w:hAnsi="Arial"/>
          <w:b/>
          <w:sz w:val="20"/>
          <w:szCs w:val="20"/>
        </w:rPr>
        <w:t>.-</w:t>
      </w:r>
      <w:r>
        <w:rPr>
          <w:rFonts w:cs="Arial" w:ascii="Arial" w:hAnsi="Arial"/>
          <w:sz w:val="20"/>
          <w:szCs w:val="20"/>
        </w:rPr>
        <w:t xml:space="preserve"> La construcción de aceras, fosas sépticas, pozos de absorción, resanes, pintura de fachadas y obras de jardinería, destinadas al mejoramiento de la vivienda.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74</w:t>
      </w:r>
      <w:r>
        <w:rPr>
          <w:rFonts w:cs="Arial" w:ascii="Arial" w:hAnsi="Arial"/>
          <w:sz w:val="20"/>
          <w:szCs w:val="20"/>
        </w:rPr>
        <w:t>.- El Tesorero Municipal, a solicitud escrita de la Dirección de Desarrollo Urbano y Obras Públicas, podrá disminuir la tarifa a los contribuyentes de ostensible pobreza, que tengan dependientes económicos. Se considera que el contribuyente es de ostensible pobreza en los casos siguientes: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 xml:space="preserve">I.- </w:t>
      </w:r>
      <w:r>
        <w:rPr>
          <w:rFonts w:cs="Arial" w:ascii="Arial" w:hAnsi="Arial"/>
          <w:sz w:val="20"/>
          <w:szCs w:val="20"/>
        </w:rPr>
        <w:t>Cuando el ingreso familiar del contribuyente es inferior a dos salarios mínimos y el  solicitante de la disminución del monto del derecho, tenga algún dependiente económico.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 xml:space="preserve">II.- </w:t>
      </w:r>
      <w:r>
        <w:rPr>
          <w:rFonts w:cs="Arial" w:ascii="Arial" w:hAnsi="Arial"/>
          <w:sz w:val="20"/>
          <w:szCs w:val="20"/>
        </w:rPr>
        <w:t>Cuando el ingreso familiar del contribuyente no exceda de 3 veces el salario mínimo y los dependientes de él sean más de dos.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El solicitante de la disminución del monto del derecho  deberá justificar a satisfacción de la autoridad, que se encuentra en algunos de los supuestos mencionados.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dependencia competente del Ayuntamiento realizará la investigación socioeconómica de cada solicitante y remitirá un dictamen aprobando o negando la necesidad de la reducción. Se anexará un ejemplar del dictamen al comprobante de ingresos y ambos documentos formarán parte de la cuenta pública que se rendirá al Congreso del Estado.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 las oficinas recaudadoras se instalarán cartelones en lugares visibles, informando al público los requisitos y procedimiento para obtener una reducción  de los derechos.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Lo dispuesto en este Artículo, no libera a los responsables de las obras o de los actos relacionados, de la obligación de solicitar los permisos o autorizaciones correspondientes.</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Sección</w:t>
      </w:r>
      <w:r>
        <w:rPr>
          <w:rFonts w:cs="Arial" w:ascii="Arial" w:hAnsi="Arial"/>
          <w:b/>
          <w:bCs/>
          <w:sz w:val="20"/>
          <w:szCs w:val="20"/>
        </w:rPr>
        <w:t xml:space="preserve"> Cuarta</w:t>
      </w:r>
    </w:p>
    <w:p>
      <w:pPr>
        <w:pStyle w:val="Normal"/>
        <w:jc w:val="center"/>
        <w:rPr>
          <w:rFonts w:ascii="Arial" w:hAnsi="Arial" w:cs="Arial"/>
          <w:b/>
          <w:b/>
          <w:bCs/>
          <w:sz w:val="20"/>
          <w:szCs w:val="20"/>
        </w:rPr>
      </w:pPr>
      <w:r>
        <w:rPr>
          <w:rFonts w:cs="Arial" w:ascii="Arial" w:hAnsi="Arial"/>
          <w:b/>
          <w:bCs/>
          <w:sz w:val="20"/>
          <w:szCs w:val="20"/>
        </w:rPr>
        <w:t>Derechos por Servicios de Catastro</w:t>
      </w:r>
    </w:p>
    <w:p>
      <w:pPr>
        <w:pStyle w:val="Normal"/>
        <w:jc w:val="center"/>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sz w:val="20"/>
          <w:szCs w:val="20"/>
        </w:rPr>
        <w:t>Artículo 75.-</w:t>
      </w:r>
      <w:r>
        <w:rPr>
          <w:rFonts w:cs="Arial" w:ascii="Arial" w:hAnsi="Arial"/>
          <w:sz w:val="20"/>
          <w:szCs w:val="20"/>
        </w:rPr>
        <w:t xml:space="preserve"> El objeto de estos derechos está constituido por los servicios que presta el Catastro Municipal.</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76.-</w:t>
      </w:r>
      <w:r>
        <w:rPr>
          <w:rFonts w:cs="Arial" w:ascii="Arial" w:hAnsi="Arial"/>
          <w:sz w:val="20"/>
          <w:szCs w:val="20"/>
        </w:rPr>
        <w:t xml:space="preserve"> Son sujetos de estos derechos las personas físicas o morales que soliciten los servicios que presta el Catastro Municipal.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Artículo 77.-</w:t>
      </w:r>
      <w:r>
        <w:rPr>
          <w:rFonts w:cs="Arial" w:ascii="Arial" w:hAnsi="Arial"/>
          <w:sz w:val="20"/>
          <w:szCs w:val="20"/>
        </w:rPr>
        <w:t xml:space="preserve"> Son base para la determinación del presente derecho, cada uno de los trámites solicitados al catastro municipal.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Artículo 78.-</w:t>
      </w:r>
      <w:r>
        <w:rPr>
          <w:rFonts w:cs="Arial" w:ascii="Arial" w:hAnsi="Arial"/>
          <w:sz w:val="20"/>
          <w:szCs w:val="20"/>
        </w:rPr>
        <w:t xml:space="preserve"> El pago de los derechos por servicios de catastro se efectuará al momento de presentar la solicitud respectiva.</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79.-</w:t>
      </w:r>
      <w:r>
        <w:rPr>
          <w:rFonts w:cs="Arial" w:ascii="Arial" w:hAnsi="Arial"/>
          <w:sz w:val="20"/>
          <w:szCs w:val="20"/>
        </w:rPr>
        <w:t xml:space="preserve"> El pago de los derechos a que se refiere esta Sección, se calculará y efectuará conforme a las tarifas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80</w:t>
      </w:r>
      <w:r>
        <w:rPr>
          <w:rFonts w:cs="Arial" w:ascii="Arial" w:hAnsi="Arial"/>
          <w:sz w:val="20"/>
          <w:szCs w:val="20"/>
        </w:rPr>
        <w:t>.- Quedan exentas del pago de los derechos que se establecen en esta Sección las instituciones públicas.</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Sección Quinta</w:t>
      </w:r>
    </w:p>
    <w:p>
      <w:pPr>
        <w:pStyle w:val="Normal"/>
        <w:jc w:val="center"/>
        <w:rPr>
          <w:rFonts w:ascii="Arial" w:hAnsi="Arial" w:cs="Arial"/>
          <w:b/>
          <w:b/>
          <w:sz w:val="20"/>
          <w:szCs w:val="20"/>
        </w:rPr>
      </w:pPr>
      <w:r>
        <w:rPr>
          <w:rFonts w:cs="Arial" w:ascii="Arial" w:hAnsi="Arial"/>
          <w:b/>
          <w:sz w:val="20"/>
          <w:szCs w:val="20"/>
        </w:rPr>
        <w:t>Derechos por Servicios de Vigilancia</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Cuerpodetexto"/>
        <w:rPr/>
      </w:pPr>
      <w:r>
        <w:rPr>
          <w:b/>
          <w:bCs/>
          <w:sz w:val="20"/>
          <w:lang w:val="es-ES_tradnl"/>
        </w:rPr>
        <w:t>Artículo</w:t>
      </w:r>
      <w:r>
        <w:rPr>
          <w:b/>
          <w:bCs/>
          <w:sz w:val="20"/>
        </w:rPr>
        <w:t xml:space="preserve"> 81</w:t>
      </w:r>
      <w:r>
        <w:rPr>
          <w:sz w:val="20"/>
        </w:rPr>
        <w:t>.- Son objeto de estos derechos, los servicios que presta el Municipio a través de la Dirección de Policía.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pPr>
        <w:pStyle w:val="Normal"/>
        <w:rPr>
          <w:rFonts w:ascii="Arial" w:hAnsi="Arial" w:cs="Arial"/>
          <w:sz w:val="20"/>
          <w:szCs w:val="20"/>
        </w:rPr>
      </w:pPr>
      <w:r>
        <w:rPr>
          <w:rFonts w:cs="Arial" w:ascii="Arial" w:hAnsi="Arial"/>
          <w:sz w:val="20"/>
          <w:szCs w:val="20"/>
        </w:rPr>
      </w:r>
    </w:p>
    <w:p>
      <w:pPr>
        <w:pStyle w:val="Cuerpodetexto"/>
        <w:rPr/>
      </w:pPr>
      <w:r>
        <w:rPr>
          <w:b/>
          <w:bCs/>
          <w:sz w:val="20"/>
          <w:lang w:val="es-ES_tradnl"/>
        </w:rPr>
        <w:t>Artículo</w:t>
      </w:r>
      <w:r>
        <w:rPr>
          <w:b/>
          <w:bCs/>
          <w:sz w:val="20"/>
        </w:rPr>
        <w:t xml:space="preserve"> 82</w:t>
      </w:r>
      <w:r>
        <w:rPr>
          <w:sz w:val="20"/>
        </w:rPr>
        <w:t>.- Son sujetos de estos derechos las personas físicas o morales, instituciones públicas o privadas que soliciten servicio especial de vigilancia.</w:t>
      </w:r>
    </w:p>
    <w:p>
      <w:pPr>
        <w:pStyle w:val="Piedepgina"/>
        <w:tabs>
          <w:tab w:val="clear" w:pos="4419"/>
          <w:tab w:val="clear" w:pos="8838"/>
        </w:tabs>
        <w:rPr>
          <w:rFonts w:ascii="Arial" w:hAnsi="Arial" w:cs="Arial"/>
          <w:sz w:val="20"/>
        </w:rPr>
      </w:pPr>
      <w:r>
        <w:rPr>
          <w:rFonts w:cs="Arial" w:ascii="Arial" w:hAnsi="Arial"/>
          <w:sz w:val="20"/>
        </w:rPr>
      </w:r>
    </w:p>
    <w:p>
      <w:pPr>
        <w:pStyle w:val="Cuerpodetexto"/>
        <w:rPr/>
      </w:pPr>
      <w:r>
        <w:rPr>
          <w:b/>
          <w:bCs/>
          <w:sz w:val="20"/>
          <w:lang w:val="es-ES_tradnl"/>
        </w:rPr>
        <w:t>Artículo</w:t>
      </w:r>
      <w:r>
        <w:rPr>
          <w:b/>
          <w:bCs/>
          <w:sz w:val="20"/>
        </w:rPr>
        <w:t xml:space="preserve"> 83</w:t>
      </w:r>
      <w:r>
        <w:rPr>
          <w:sz w:val="20"/>
        </w:rPr>
        <w:t>.- La base para el cobro de este derecho será el número de elementos de la Dirección de Policía del Municipio solicitados para la prestación del servicio.</w:t>
      </w:r>
    </w:p>
    <w:p>
      <w:pPr>
        <w:pStyle w:val="Piedepgina"/>
        <w:tabs>
          <w:tab w:val="clear" w:pos="4419"/>
          <w:tab w:val="clear" w:pos="8838"/>
        </w:tabs>
        <w:rPr>
          <w:rFonts w:ascii="Arial" w:hAnsi="Arial" w:cs="Arial"/>
          <w:sz w:val="20"/>
          <w:lang w:val="es-ES"/>
        </w:rPr>
      </w:pPr>
      <w:r>
        <w:rPr>
          <w:rFonts w:cs="Arial" w:ascii="Arial" w:hAnsi="Arial"/>
          <w:sz w:val="20"/>
          <w:lang w:val="es-ES"/>
        </w:rPr>
      </w:r>
    </w:p>
    <w:p>
      <w:pPr>
        <w:pStyle w:val="Normal"/>
        <w:jc w:val="both"/>
        <w:rPr>
          <w:rFonts w:ascii="Arial" w:hAnsi="Arial" w:cs="Arial"/>
          <w:sz w:val="20"/>
          <w:szCs w:val="20"/>
        </w:rPr>
      </w:pPr>
      <w:r>
        <w:rPr>
          <w:rFonts w:cs="Arial" w:ascii="Arial" w:hAnsi="Arial"/>
          <w:b/>
          <w:sz w:val="20"/>
          <w:szCs w:val="20"/>
        </w:rPr>
        <w:t>Artículo 84.-</w:t>
      </w:r>
      <w:r>
        <w:rPr>
          <w:rFonts w:cs="Arial" w:ascii="Arial" w:hAnsi="Arial"/>
          <w:sz w:val="20"/>
          <w:szCs w:val="20"/>
        </w:rPr>
        <w:t xml:space="preserve"> El pago de los derechos a que se refiere esta Sección, se calculará y efectuará conforme a las tarifas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Sección Sexta</w:t>
      </w:r>
    </w:p>
    <w:p>
      <w:pPr>
        <w:pStyle w:val="Normal"/>
        <w:jc w:val="center"/>
        <w:rPr>
          <w:rFonts w:ascii="Arial" w:hAnsi="Arial" w:cs="Arial"/>
          <w:b/>
          <w:b/>
          <w:bCs/>
          <w:sz w:val="20"/>
          <w:szCs w:val="20"/>
        </w:rPr>
      </w:pPr>
      <w:r>
        <w:rPr>
          <w:rFonts w:cs="Arial" w:ascii="Arial" w:hAnsi="Arial"/>
          <w:b/>
          <w:sz w:val="20"/>
          <w:szCs w:val="20"/>
        </w:rPr>
        <w:t>Derechos por Servicios de Rastro</w:t>
      </w:r>
    </w:p>
    <w:p>
      <w:pPr>
        <w:pStyle w:val="Normal"/>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85</w:t>
      </w:r>
      <w:r>
        <w:rPr>
          <w:rFonts w:cs="Arial" w:ascii="Arial" w:hAnsi="Arial"/>
          <w:sz w:val="20"/>
          <w:szCs w:val="20"/>
        </w:rPr>
        <w:t>.- Son sujetos obligados al pago de los derechos por matanza de ganado, las personas físicas o morales que utilicen los servicios del Rastro Público del Municipio de Oxkutzcab, Yucatán para el sacrificio de animales.</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86</w:t>
      </w:r>
      <w:r>
        <w:rPr>
          <w:rFonts w:cs="Arial" w:ascii="Arial" w:hAnsi="Arial"/>
          <w:sz w:val="20"/>
          <w:szCs w:val="20"/>
        </w:rPr>
        <w:t xml:space="preserve">.- La base del presente derecho, será por cabeza de ganado vacuno,  porcino o caprino que sea sacrificado en el Rastro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87.-</w:t>
      </w:r>
      <w:r>
        <w:rPr>
          <w:rFonts w:cs="Arial" w:ascii="Arial" w:hAnsi="Arial"/>
          <w:sz w:val="20"/>
          <w:szCs w:val="20"/>
        </w:rPr>
        <w:t xml:space="preserve"> El pago de los derechos a que se refiere esta Sección, se calculará y efectuará conforme a las tarifas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88</w:t>
      </w:r>
      <w:r>
        <w:rPr>
          <w:rFonts w:cs="Arial" w:ascii="Arial" w:hAnsi="Arial"/>
          <w:sz w:val="20"/>
          <w:szCs w:val="20"/>
        </w:rPr>
        <w:t>.- El Ayuntamiento de Oxkutzcab, Yucatán, a través del Departamento de Rastro y Mercados podrá autorizar mediante la licencia respectiva la matanza de ganado fuera de los Rastros Públicos del Municipio, previo el cumplimiento de los requisitos que determinan la Ley de Salud del Estado de Yucatán y su Reglamento.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89</w:t>
      </w:r>
      <w:r>
        <w:rPr>
          <w:rFonts w:cs="Arial" w:ascii="Arial" w:hAnsi="Arial"/>
          <w:sz w:val="20"/>
          <w:szCs w:val="20"/>
        </w:rPr>
        <w:t>.- Cuando se introduzcan carnes frescas o refrigeradas al Municipio, no se pagará derecho alguno por la inspección que realice la dependencia municipal competente, pero en todo caso se requerirá pasar por dicha inspección.</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Sección Séptima</w:t>
      </w:r>
    </w:p>
    <w:p>
      <w:pPr>
        <w:pStyle w:val="Normal"/>
        <w:jc w:val="center"/>
        <w:rPr>
          <w:rFonts w:ascii="Arial" w:hAnsi="Arial" w:cs="Arial"/>
          <w:b/>
          <w:b/>
          <w:sz w:val="20"/>
          <w:szCs w:val="20"/>
        </w:rPr>
      </w:pPr>
      <w:r>
        <w:rPr>
          <w:rFonts w:cs="Arial" w:ascii="Arial" w:hAnsi="Arial"/>
          <w:b/>
          <w:sz w:val="20"/>
          <w:szCs w:val="20"/>
        </w:rPr>
        <w:t>Derechos por Servicios de Limpia y Recolección de Basura</w:t>
      </w:r>
    </w:p>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90</w:t>
      </w:r>
      <w:r>
        <w:rPr>
          <w:rFonts w:cs="Arial" w:ascii="Arial" w:hAnsi="Arial"/>
          <w:sz w:val="20"/>
          <w:szCs w:val="20"/>
        </w:rPr>
        <w:t>.-  Es objeto de este derecho la prestación del servicio de limpia por parte del personal del Ayuntamiento a los habitantes del Municipio de Oxkutzcab, Yucatán.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91</w:t>
      </w:r>
      <w:r>
        <w:rPr>
          <w:rFonts w:cs="Arial" w:ascii="Arial" w:hAnsi="Arial"/>
          <w:sz w:val="20"/>
          <w:szCs w:val="20"/>
        </w:rPr>
        <w:t>.-  Para efectos de esta ley, se entiende por servicio de limpia,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92</w:t>
      </w:r>
      <w:r>
        <w:rPr>
          <w:rFonts w:cs="Arial" w:ascii="Arial" w:hAnsi="Arial"/>
          <w:sz w:val="20"/>
          <w:szCs w:val="20"/>
        </w:rPr>
        <w:t>.- 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pPr>
        <w:pStyle w:val="Normal"/>
        <w:jc w:val="both"/>
        <w:rPr>
          <w:rFonts w:ascii="Arial" w:hAnsi="Arial" w:cs="Arial"/>
          <w:sz w:val="20"/>
          <w:szCs w:val="20"/>
        </w:rPr>
      </w:pPr>
      <w:r>
        <w:rPr>
          <w:rFonts w:cs="Arial" w:ascii="Arial" w:hAnsi="Arial"/>
          <w:sz w:val="20"/>
          <w:szCs w:val="20"/>
        </w:rPr>
      </w:r>
    </w:p>
    <w:p>
      <w:pPr>
        <w:pStyle w:val="Normal"/>
        <w:ind w:firstLine="709"/>
        <w:jc w:val="both"/>
        <w:rPr/>
      </w:pPr>
      <w:r>
        <w:rPr>
          <w:rFonts w:cs="Arial" w:ascii="Arial" w:hAnsi="Arial"/>
          <w:sz w:val="20"/>
          <w:szCs w:val="20"/>
        </w:rPr>
        <w:t>Quedan también considerados como sujetos los ciudadanos que soliciten servicios especiales de limpia, debiendo para tal fin celebrar contrato especial con el Ayuntamiento, independientemente de que el servicio se preste en forma eventual o permanente.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93</w:t>
      </w:r>
      <w:r>
        <w:rPr>
          <w:rFonts w:cs="Arial" w:ascii="Arial" w:hAnsi="Arial"/>
          <w:sz w:val="20"/>
          <w:szCs w:val="20"/>
        </w:rPr>
        <w:t>.-  Servirá de base para el cobro de este derecho: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 xml:space="preserve">I.- </w:t>
      </w:r>
      <w:r>
        <w:rPr>
          <w:rFonts w:cs="Arial" w:ascii="Arial" w:hAnsi="Arial"/>
          <w:sz w:val="20"/>
          <w:szCs w:val="20"/>
        </w:rPr>
        <w:t>Tratándose de servicio de recolección de basura ordinaria, la frecuencia de periodicidad y forma en que el servicio deba prestarse;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w:t>
      </w:r>
      <w:r>
        <w:rPr>
          <w:rFonts w:cs="Arial" w:ascii="Arial" w:hAnsi="Arial"/>
          <w:sz w:val="20"/>
          <w:szCs w:val="20"/>
        </w:rPr>
        <w:t xml:space="preserve"> La superficie total del predio que sea objeto de limpia por parte del personal de Limpia del Municipio, y</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III</w:t>
      </w:r>
      <w:r>
        <w:rPr>
          <w:rFonts w:cs="Arial" w:ascii="Arial" w:hAnsi="Arial"/>
          <w:b/>
          <w:sz w:val="20"/>
          <w:szCs w:val="20"/>
        </w:rPr>
        <w:t>.-</w:t>
      </w:r>
      <w:r>
        <w:rPr>
          <w:rFonts w:cs="Arial" w:ascii="Arial" w:hAnsi="Arial"/>
          <w:sz w:val="20"/>
          <w:szCs w:val="20"/>
        </w:rPr>
        <w:t xml:space="preserve"> Tratándose de servicio contratado, la frecuencia de periodicidad y forma en que el servicio deba prestarse de acuerdo a lo estipulado en el contrato, tomando además en consideración los volúmenes y peso de la basura y residuos sólidos que habrán de retirarse.</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sz w:val="20"/>
          <w:szCs w:val="20"/>
        </w:rPr>
        <w:t>Artículo 94.-</w:t>
      </w:r>
      <w:r>
        <w:rPr>
          <w:rFonts w:cs="Arial" w:ascii="Arial" w:hAnsi="Arial"/>
          <w:sz w:val="20"/>
          <w:szCs w:val="20"/>
        </w:rPr>
        <w:t xml:space="preserve"> El pago de los derechos a que se refiere esta Sección, se calculará y efectuará conforme a las cuotas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95</w:t>
      </w:r>
      <w:r>
        <w:rPr>
          <w:rFonts w:cs="Arial" w:ascii="Arial" w:hAnsi="Arial"/>
          <w:sz w:val="20"/>
          <w:szCs w:val="20"/>
        </w:rPr>
        <w:t>.-  El pago de este derecho por recolección periódica deberá efectuarse en forma mensual durante los primeros cinco días del mes, aplicando la cuota que establezca la Ley de Ingresos del Municipio de Oxkutzcab, Yucatán.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Para el caso de limpia de predios, dentro de los cinco días siguientes a la fecha en que concluye el Ayuntamiento la limpieza.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96</w:t>
      </w:r>
      <w:r>
        <w:rPr>
          <w:rFonts w:cs="Arial" w:ascii="Arial" w:hAnsi="Arial"/>
          <w:sz w:val="20"/>
          <w:szCs w:val="20"/>
        </w:rPr>
        <w:t>.-  Los predios relacionados con la prestación del servicio de limpia en cualquiera de las modalidades señaladas en esta Sección, responden de manera objetiva por el pago de créditos fiscales que se generen con motivo de la prestación de dichos servicios.</w:t>
      </w:r>
    </w:p>
    <w:p>
      <w:pPr>
        <w:pStyle w:val="Normal"/>
        <w:jc w:val="both"/>
        <w:rPr>
          <w:rFonts w:ascii="Arial" w:hAnsi="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Sección Octava</w:t>
      </w:r>
    </w:p>
    <w:p>
      <w:pPr>
        <w:pStyle w:val="Normal"/>
        <w:jc w:val="center"/>
        <w:rPr>
          <w:rFonts w:ascii="Arial" w:hAnsi="Arial" w:cs="Arial"/>
          <w:b/>
          <w:b/>
          <w:sz w:val="20"/>
          <w:szCs w:val="20"/>
        </w:rPr>
      </w:pPr>
      <w:r>
        <w:rPr>
          <w:rFonts w:cs="Arial" w:ascii="Arial" w:hAnsi="Arial"/>
          <w:b/>
          <w:sz w:val="20"/>
          <w:szCs w:val="20"/>
        </w:rPr>
        <w:t>Derechos por Servicios de Agua Potable</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97</w:t>
      </w:r>
      <w:r>
        <w:rPr>
          <w:rFonts w:cs="Arial" w:ascii="Arial" w:hAnsi="Arial"/>
          <w:sz w:val="20"/>
          <w:szCs w:val="20"/>
        </w:rPr>
        <w:t>.-  Es objeto de este derecho la prestación de los servicios de agua potable a los habitantes del Municipio de Oxkutzcab, Yucatán.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98</w:t>
      </w:r>
      <w:r>
        <w:rPr>
          <w:rFonts w:cs="Arial" w:ascii="Arial" w:hAnsi="Arial"/>
          <w:sz w:val="20"/>
          <w:szCs w:val="20"/>
        </w:rPr>
        <w:t>.-  Son sujetos del pago de estos derechos, las personas físicas o morales, propietarios o poseedores por cualquier título, del predio o la construcción objeto de la prestación del servicio, considerándose que el servicio se presta, con la sola existencia de éste en el frente del predio, independientemente que se hagan o no las conexiones al mismo.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99</w:t>
      </w:r>
      <w:r>
        <w:rPr>
          <w:rFonts w:cs="Arial" w:ascii="Arial" w:hAnsi="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pPr>
        <w:pStyle w:val="Normal"/>
        <w:jc w:val="both"/>
        <w:rPr>
          <w:rFonts w:ascii="Arial" w:hAnsi="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100</w:t>
      </w:r>
      <w:r>
        <w:rPr>
          <w:rFonts w:cs="Arial" w:ascii="Arial" w:hAnsi="Arial"/>
          <w:sz w:val="20"/>
          <w:szCs w:val="20"/>
        </w:rPr>
        <w:t>.- Serán las bases para el cobro de este derecho las siguientes:</w:t>
      </w:r>
    </w:p>
    <w:p>
      <w:pPr>
        <w:pStyle w:val="Normal"/>
        <w:numPr>
          <w:ilvl w:val="0"/>
          <w:numId w:val="7"/>
        </w:numPr>
        <w:jc w:val="both"/>
        <w:rPr/>
      </w:pPr>
      <w:r>
        <w:rPr>
          <w:rFonts w:eastAsia="Arial" w:cs="Arial" w:ascii="Arial" w:hAnsi="Arial"/>
          <w:sz w:val="20"/>
          <w:szCs w:val="20"/>
        </w:rPr>
        <w:t xml:space="preserve"> </w:t>
      </w:r>
      <w:r>
        <w:rPr>
          <w:rFonts w:cs="Arial" w:ascii="Arial" w:hAnsi="Arial"/>
          <w:sz w:val="20"/>
          <w:szCs w:val="20"/>
        </w:rPr>
        <w:t>Para los predios que cuentan con medidor en su toma de agua: el consumo en metros cúbicos.</w:t>
      </w:r>
    </w:p>
    <w:p>
      <w:pPr>
        <w:pStyle w:val="Normal"/>
        <w:numPr>
          <w:ilvl w:val="0"/>
          <w:numId w:val="7"/>
        </w:numPr>
        <w:jc w:val="both"/>
        <w:rPr/>
      </w:pPr>
      <w:r>
        <w:rPr>
          <w:rFonts w:eastAsia="Arial" w:cs="Arial" w:ascii="Arial" w:hAnsi="Arial"/>
          <w:sz w:val="20"/>
          <w:szCs w:val="20"/>
        </w:rPr>
        <w:t xml:space="preserve"> </w:t>
      </w:r>
      <w:r>
        <w:rPr>
          <w:rFonts w:cs="Arial" w:ascii="Arial" w:hAnsi="Arial"/>
          <w:sz w:val="20"/>
          <w:szCs w:val="20"/>
        </w:rPr>
        <w:t>Para los predios que no cuentan con medidor en su toma de agua: El consumo con cuota única.</w:t>
      </w:r>
    </w:p>
    <w:p>
      <w:pPr>
        <w:pStyle w:val="Normal"/>
        <w:numPr>
          <w:ilvl w:val="0"/>
          <w:numId w:val="7"/>
        </w:numPr>
        <w:jc w:val="both"/>
        <w:rPr/>
      </w:pPr>
      <w:r>
        <w:rPr>
          <w:rFonts w:eastAsia="Arial" w:cs="Arial" w:ascii="Arial" w:hAnsi="Arial"/>
          <w:sz w:val="20"/>
          <w:szCs w:val="20"/>
        </w:rPr>
        <w:t xml:space="preserve"> </w:t>
      </w:r>
      <w:r>
        <w:rPr>
          <w:rFonts w:cs="Arial" w:ascii="Arial" w:hAnsi="Arial"/>
          <w:sz w:val="20"/>
          <w:szCs w:val="20"/>
        </w:rPr>
        <w:t>Por la contratación para la conexión de un predio a la Red de Agua potable: Toma de agua domiciliaria o comercial.</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101.-</w:t>
      </w:r>
      <w:r>
        <w:rPr>
          <w:rFonts w:cs="Arial" w:ascii="Arial" w:hAnsi="Arial"/>
          <w:sz w:val="20"/>
          <w:szCs w:val="20"/>
        </w:rPr>
        <w:t xml:space="preserve"> El pago de los derechos a que se refiere esta Sección, se calculará y efectuará conforme a las tarifas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tab/>
      </w:r>
    </w:p>
    <w:p>
      <w:pPr>
        <w:pStyle w:val="Normal"/>
        <w:jc w:val="both"/>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102</w:t>
      </w:r>
      <w:r>
        <w:rPr>
          <w:rFonts w:cs="Arial" w:ascii="Arial" w:hAnsi="Arial"/>
          <w:sz w:val="20"/>
          <w:szCs w:val="20"/>
        </w:rPr>
        <w:t>.-  Estos derechos se causarán bimestralmente y se pagará durante los primeros quince días del período siguiente.</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103</w:t>
      </w:r>
      <w:r>
        <w:rPr>
          <w:rFonts w:cs="Arial" w:ascii="Arial" w:hAnsi="Arial"/>
          <w:sz w:val="20"/>
          <w:szCs w:val="20"/>
        </w:rPr>
        <w:t>.- Solamente quedarán exentos del pago de estos derechos los bienes de dominio público de la Federación, Estado y Municipio.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104</w:t>
      </w:r>
      <w:r>
        <w:rPr>
          <w:rFonts w:cs="Arial" w:ascii="Arial" w:hAnsi="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Sección Novena</w:t>
      </w:r>
    </w:p>
    <w:p>
      <w:pPr>
        <w:pStyle w:val="Normal"/>
        <w:jc w:val="center"/>
        <w:rPr>
          <w:rFonts w:ascii="Arial" w:hAnsi="Arial" w:cs="Arial"/>
          <w:b/>
          <w:b/>
          <w:sz w:val="20"/>
          <w:szCs w:val="20"/>
        </w:rPr>
      </w:pPr>
      <w:r>
        <w:rPr>
          <w:rFonts w:cs="Arial" w:ascii="Arial" w:hAnsi="Arial"/>
          <w:b/>
          <w:sz w:val="20"/>
          <w:szCs w:val="20"/>
        </w:rPr>
        <w:t>Derechos por Servicios de Certificaciones y Constancias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105</w:t>
      </w:r>
      <w:r>
        <w:rPr>
          <w:rFonts w:cs="Arial" w:ascii="Arial" w:hAnsi="Arial"/>
          <w:sz w:val="20"/>
          <w:szCs w:val="20"/>
        </w:rPr>
        <w:t>.- Son objeto de estos derechos los servicios prestados por las autoridades municipales, por concepto de la expedición de: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b/>
          <w:sz w:val="20"/>
          <w:szCs w:val="20"/>
        </w:rPr>
        <w:t>.-</w:t>
      </w:r>
      <w:r>
        <w:rPr>
          <w:rFonts w:cs="Arial" w:ascii="Arial" w:hAnsi="Arial"/>
          <w:sz w:val="20"/>
          <w:szCs w:val="20"/>
        </w:rPr>
        <w:t xml:space="preserve"> Certificados de residencia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bCs/>
          <w:sz w:val="20"/>
          <w:szCs w:val="20"/>
        </w:rPr>
        <w:t>II</w:t>
      </w:r>
      <w:r>
        <w:rPr>
          <w:rFonts w:cs="Arial" w:ascii="Arial" w:hAnsi="Arial"/>
          <w:b/>
          <w:sz w:val="20"/>
          <w:szCs w:val="20"/>
        </w:rPr>
        <w:t>.-</w:t>
      </w:r>
      <w:r>
        <w:rPr>
          <w:rFonts w:cs="Arial" w:ascii="Arial" w:hAnsi="Arial"/>
          <w:sz w:val="20"/>
          <w:szCs w:val="20"/>
        </w:rPr>
        <w:t xml:space="preserve"> Constancias y copias certificadas.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bCs/>
          <w:sz w:val="20"/>
          <w:szCs w:val="20"/>
        </w:rPr>
        <w:t>III.-</w:t>
      </w:r>
      <w:r>
        <w:rPr>
          <w:rFonts w:cs="Arial" w:ascii="Arial" w:hAnsi="Arial"/>
          <w:sz w:val="20"/>
          <w:szCs w:val="20"/>
        </w:rPr>
        <w:t xml:space="preserve"> Otros certificados distintos a los de la fracción i</w:t>
      </w:r>
    </w:p>
    <w:p>
      <w:pPr>
        <w:pStyle w:val="Normal"/>
        <w:jc w:val="both"/>
        <w:rPr>
          <w:rFonts w:ascii="Arial" w:hAnsi="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106</w:t>
      </w:r>
      <w:r>
        <w:rPr>
          <w:rFonts w:cs="Arial" w:ascii="Arial" w:hAnsi="Arial"/>
          <w:sz w:val="20"/>
          <w:szCs w:val="20"/>
        </w:rPr>
        <w:t>.- Son sujetos del pago de estos derechos las personas físicas o morales que soliciten los certificados y constancias a que se refiere el Artículo anterior.</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107</w:t>
      </w:r>
      <w:r>
        <w:rPr>
          <w:rFonts w:cs="Arial" w:ascii="Arial" w:hAnsi="Arial"/>
          <w:sz w:val="20"/>
          <w:szCs w:val="20"/>
        </w:rPr>
        <w:t>.- La base para el pago de estos derechos la constituirá cada uno de los documentos que se expidan.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b/>
          <w:bCs/>
          <w:sz w:val="20"/>
          <w:szCs w:val="20"/>
        </w:rPr>
        <w:t xml:space="preserve"> </w:t>
      </w:r>
      <w:r>
        <w:rPr>
          <w:rFonts w:cs="Arial" w:ascii="Arial" w:hAnsi="Arial"/>
          <w:b/>
          <w:sz w:val="20"/>
          <w:szCs w:val="20"/>
        </w:rPr>
        <w:t>Artículo 108.-</w:t>
      </w:r>
      <w:r>
        <w:rPr>
          <w:rFonts w:cs="Arial" w:ascii="Arial" w:hAnsi="Arial"/>
          <w:sz w:val="20"/>
          <w:szCs w:val="20"/>
        </w:rPr>
        <w:t xml:space="preserve"> El pago de los derechos a que se refiere esta Sección, se calculará y efectuará conforme a las tarifas establecidas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bCs/>
          <w:sz w:val="20"/>
          <w:szCs w:val="20"/>
        </w:rPr>
      </w:pPr>
      <w:r>
        <w:rPr>
          <w:rFonts w:cs="Arial" w:ascii="Arial" w:hAnsi="Arial"/>
          <w:b/>
          <w:bCs/>
          <w:sz w:val="20"/>
          <w:szCs w:val="20"/>
        </w:rPr>
        <w:t>Sección Décima</w:t>
      </w:r>
    </w:p>
    <w:p>
      <w:pPr>
        <w:pStyle w:val="Normal"/>
        <w:jc w:val="center"/>
        <w:rPr>
          <w:rFonts w:ascii="Arial" w:hAnsi="Arial" w:cs="Arial"/>
          <w:b/>
          <w:b/>
          <w:bCs/>
          <w:sz w:val="20"/>
          <w:szCs w:val="20"/>
        </w:rPr>
      </w:pPr>
      <w:r>
        <w:rPr>
          <w:rFonts w:cs="Arial" w:ascii="Arial" w:hAnsi="Arial"/>
          <w:b/>
          <w:bCs/>
          <w:sz w:val="20"/>
          <w:szCs w:val="20"/>
        </w:rPr>
        <w:t xml:space="preserve">Derechos por el Uso y Aprovechamiento de Bienes de </w:t>
      </w:r>
    </w:p>
    <w:p>
      <w:pPr>
        <w:pStyle w:val="Normal"/>
        <w:jc w:val="center"/>
        <w:rPr>
          <w:rFonts w:ascii="Arial" w:hAnsi="Arial" w:cs="Arial"/>
          <w:b/>
          <w:b/>
          <w:bCs/>
          <w:sz w:val="20"/>
          <w:szCs w:val="20"/>
        </w:rPr>
      </w:pPr>
      <w:r>
        <w:rPr>
          <w:rFonts w:cs="Arial" w:ascii="Arial" w:hAnsi="Arial"/>
          <w:b/>
          <w:bCs/>
          <w:sz w:val="20"/>
          <w:szCs w:val="20"/>
        </w:rPr>
        <w:t>Dominio Público del Patrimonio Municipal</w:t>
      </w:r>
    </w:p>
    <w:p>
      <w:pPr>
        <w:pStyle w:val="Normal"/>
        <w:jc w:val="center"/>
        <w:rPr>
          <w:rFonts w:ascii="Arial" w:hAnsi="Arial" w:cs="Arial"/>
          <w:b/>
          <w:b/>
          <w:bCs/>
          <w:sz w:val="20"/>
          <w:szCs w:val="20"/>
        </w:rPr>
      </w:pPr>
      <w:r>
        <w:rPr>
          <w:rFonts w:cs="Arial" w:ascii="Arial" w:hAnsi="Arial"/>
          <w:b/>
          <w:bCs/>
          <w:sz w:val="20"/>
          <w:szCs w:val="20"/>
        </w:rPr>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109</w:t>
      </w:r>
      <w:r>
        <w:rPr>
          <w:rFonts w:cs="Arial" w:ascii="Arial" w:hAnsi="Arial"/>
          <w:sz w:val="20"/>
          <w:szCs w:val="20"/>
        </w:rPr>
        <w:t>.- Están sujetos al pago de los derechos por el uso y aprovechamiento de bienes del dominio público del patrimonio municipal, así como por el uso y aprovechamiento de locales o piso en los mercados públicos propiedad del Municipio y en las zonas de mercado del mismo, los concesionarios, permisionarios y las demás personas que tengan la posesión o hayan obtenido la posesión por cualquier otro medio.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Textoindependiente2"/>
        <w:rPr/>
      </w:pPr>
      <w:r>
        <w:rPr>
          <w:rFonts w:cs="Arial" w:ascii="Arial" w:hAnsi="Arial"/>
          <w:b/>
          <w:bCs/>
          <w:sz w:val="20"/>
          <w:szCs w:val="20"/>
        </w:rPr>
        <w:t>Artículo 110</w:t>
      </w:r>
      <w:r>
        <w:rPr>
          <w:rFonts w:cs="Arial" w:ascii="Arial" w:hAnsi="Arial"/>
          <w:sz w:val="20"/>
          <w:szCs w:val="20"/>
        </w:rPr>
        <w:t>. La base para determinar el monto de estos derechos, será la siguiente: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sz w:val="20"/>
          <w:szCs w:val="20"/>
        </w:rPr>
        <w:t xml:space="preserve"> El número de metros cuadrados concesionados o los que tenga en posesión por cualquier otro medio, la persona obligada al pago.</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rPr>
        <w:t>II</w:t>
      </w:r>
      <w:r>
        <w:rPr>
          <w:rFonts w:cs="Arial" w:ascii="Arial" w:hAnsi="Arial"/>
          <w:b/>
          <w:sz w:val="20"/>
          <w:szCs w:val="20"/>
        </w:rPr>
        <w:t>.-</w:t>
      </w:r>
      <w:r>
        <w:rPr>
          <w:rFonts w:cs="Arial" w:ascii="Arial" w:hAnsi="Arial"/>
          <w:sz w:val="20"/>
          <w:szCs w:val="20"/>
        </w:rPr>
        <w:t xml:space="preserve"> Cuota fija para comerciantes semifijos.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Artículo 111.-</w:t>
      </w:r>
      <w:r>
        <w:rPr>
          <w:rFonts w:cs="Arial" w:ascii="Arial" w:hAnsi="Arial"/>
          <w:sz w:val="20"/>
          <w:szCs w:val="20"/>
        </w:rPr>
        <w:t xml:space="preserve"> El pago de los derechos a que se refiere esta Sección, se calculará y efectuará conforme a las tarifas establecidas en la Ley de Ingresos del Municipio de Oxkutzcab, Yucatán.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112.-</w:t>
      </w:r>
      <w:r>
        <w:rPr>
          <w:rFonts w:cs="Arial" w:ascii="Arial" w:hAnsi="Arial"/>
          <w:sz w:val="20"/>
          <w:szCs w:val="20"/>
        </w:rPr>
        <w:t xml:space="preserve"> El otorgamiento de concesiones para el uso y aprovechamiento de superficies de </w:t>
      </w:r>
    </w:p>
    <w:p>
      <w:pPr>
        <w:pStyle w:val="Normal"/>
        <w:jc w:val="both"/>
        <w:rPr>
          <w:rFonts w:ascii="Arial" w:hAnsi="Arial" w:cs="Arial"/>
          <w:sz w:val="20"/>
          <w:szCs w:val="20"/>
        </w:rPr>
      </w:pPr>
      <w:r>
        <w:rPr>
          <w:rFonts w:cs="Arial" w:ascii="Arial" w:hAnsi="Arial"/>
          <w:sz w:val="20"/>
          <w:szCs w:val="20"/>
        </w:rPr>
        <w:t xml:space="preserve">los mercados públicos municipales, causará un derecho inicial que se calculará aplicando la </w:t>
      </w:r>
    </w:p>
    <w:p>
      <w:pPr>
        <w:pStyle w:val="Normal"/>
        <w:jc w:val="both"/>
        <w:rPr>
          <w:rFonts w:ascii="Arial" w:hAnsi="Arial" w:cs="Arial"/>
          <w:sz w:val="20"/>
          <w:szCs w:val="20"/>
        </w:rPr>
      </w:pPr>
      <w:r>
        <w:rPr>
          <w:rFonts w:cs="Arial" w:ascii="Arial" w:hAnsi="Arial"/>
          <w:sz w:val="20"/>
          <w:szCs w:val="20"/>
        </w:rPr>
        <w:t>tasa del 0.10 sobre el valor comercial del área concesionada.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.15 del valor comercial del área concesionada. El Ayuntamiento podrá concesionar discrecionalmente, al presunto adquirente la superficie en cuestión mediante un nuevo acto administrativo, y el pago de los derechos y la multa a que se refiere este artículo.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eastAsia="Arial" w:cs="Arial" w:ascii="Arial" w:hAnsi="Arial"/>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113</w:t>
      </w:r>
      <w:r>
        <w:rPr>
          <w:rFonts w:cs="Arial" w:ascii="Arial" w:hAnsi="Arial"/>
          <w:sz w:val="20"/>
          <w:szCs w:val="20"/>
        </w:rPr>
        <w:t>.- Los fedatarios públicos y las personas que tengan funciones notariales, no autorizarán escrituras que se refieran a adquisición de inmuebles ubicados en el Municipio de Oxkutzcab, Yucatán, ni el personal del Registro Público de la Propiedad del Estado, hará las inscripciones respectivas, si no se comprueba, mediante certificado expedido por la Tesorería Municipal, que se han pagado los derechos a que se refiere esta Sección.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pPr>
        <w:pStyle w:val="Normal"/>
        <w:jc w:val="both"/>
        <w:rPr>
          <w:rFonts w:ascii="Arial" w:hAnsi="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r>
    </w:p>
    <w:p>
      <w:pPr>
        <w:pStyle w:val="Textoindependiente2"/>
        <w:jc w:val="center"/>
        <w:rPr/>
      </w:pPr>
      <w:r>
        <w:rPr>
          <w:rFonts w:cs="Arial" w:ascii="Arial" w:hAnsi="Arial"/>
          <w:b/>
          <w:sz w:val="20"/>
          <w:szCs w:val="20"/>
        </w:rPr>
        <w:t>Sección</w:t>
      </w:r>
      <w:r>
        <w:rPr>
          <w:rFonts w:cs="Arial" w:ascii="Arial" w:hAnsi="Arial"/>
          <w:b/>
          <w:bCs/>
          <w:sz w:val="20"/>
          <w:szCs w:val="20"/>
        </w:rPr>
        <w:t xml:space="preserve"> Décima Primera</w:t>
      </w:r>
    </w:p>
    <w:p>
      <w:pPr>
        <w:pStyle w:val="Textoindependiente2"/>
        <w:jc w:val="center"/>
        <w:rPr>
          <w:rFonts w:ascii="Arial" w:hAnsi="Arial" w:cs="Arial"/>
          <w:b/>
          <w:b/>
          <w:bCs/>
          <w:sz w:val="20"/>
          <w:szCs w:val="20"/>
        </w:rPr>
      </w:pPr>
      <w:r>
        <w:rPr>
          <w:rFonts w:cs="Arial" w:ascii="Arial" w:hAnsi="Arial"/>
          <w:b/>
          <w:bCs/>
          <w:sz w:val="20"/>
          <w:szCs w:val="20"/>
        </w:rPr>
        <w:t>Derechos por Servicios de Panteones</w:t>
      </w:r>
    </w:p>
    <w:p>
      <w:pPr>
        <w:pStyle w:val="Textoindependiente2"/>
        <w:jc w:val="center"/>
        <w:rPr>
          <w:rFonts w:ascii="Arial" w:hAnsi="Arial" w:cs="Arial"/>
          <w:b/>
          <w:b/>
          <w:bCs/>
          <w:sz w:val="20"/>
          <w:szCs w:val="20"/>
        </w:rPr>
      </w:pPr>
      <w:r>
        <w:rPr>
          <w:rFonts w:cs="Arial" w:ascii="Arial" w:hAnsi="Arial"/>
          <w:b/>
          <w:bCs/>
          <w:sz w:val="20"/>
          <w:szCs w:val="20"/>
        </w:rPr>
      </w:r>
    </w:p>
    <w:p>
      <w:pPr>
        <w:pStyle w:val="Normal"/>
        <w:jc w:val="both"/>
        <w:rPr/>
      </w:pPr>
      <w:r>
        <w:rPr>
          <w:rFonts w:eastAsia="Arial" w:cs="Arial" w:ascii="Arial" w:hAnsi="Arial"/>
          <w:sz w:val="20"/>
          <w:szCs w:val="20"/>
        </w:rPr>
        <w:t xml:space="preserve"> </w:t>
      </w:r>
      <w:r>
        <w:rPr>
          <w:rFonts w:cs="Arial" w:ascii="Arial" w:hAnsi="Arial"/>
          <w:b/>
          <w:sz w:val="20"/>
          <w:szCs w:val="20"/>
        </w:rPr>
        <w:t xml:space="preserve">Artículo 114.- </w:t>
      </w:r>
      <w:r>
        <w:rPr>
          <w:rFonts w:cs="Arial" w:ascii="Arial" w:hAnsi="Arial"/>
          <w:sz w:val="20"/>
          <w:szCs w:val="20"/>
        </w:rPr>
        <w:t>Son objeto del Derecho por servicios de Panteones, aquellos que sean solicitados y prestados por el Ayuntamiento.</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Artículo 115.- </w:t>
      </w:r>
      <w:r>
        <w:rPr>
          <w:rFonts w:cs="Arial" w:ascii="Arial" w:hAnsi="Arial"/>
          <w:sz w:val="20"/>
          <w:szCs w:val="20"/>
        </w:rPr>
        <w:t>Son sujetos del derecho a que se refiere la presente sección, las personas físicas o morales que soliciten los servicios de panteones prestados por el Ayuntamiento.</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Artículo 116.- </w:t>
      </w:r>
      <w:r>
        <w:rPr>
          <w:rFonts w:cs="Arial" w:ascii="Arial" w:hAnsi="Arial"/>
          <w:sz w:val="20"/>
          <w:szCs w:val="20"/>
        </w:rPr>
        <w:t>El pago por los servicios de panteones se realizará al momento de solicitarlos.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Artículo 117.-</w:t>
      </w:r>
      <w:r>
        <w:rPr>
          <w:rFonts w:cs="Arial" w:ascii="Arial" w:hAnsi="Arial"/>
          <w:sz w:val="20"/>
          <w:szCs w:val="20"/>
        </w:rPr>
        <w:t xml:space="preserve"> Será base para el cálculo del pago del presente derecho, las dimensiones de las fosas, osarios y criptas arrendadas y el tiempo por el que serán usadas.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eastAsia="Arial" w:cs="Arial" w:ascii="Arial" w:hAnsi="Arial"/>
          <w:b/>
          <w:bCs/>
          <w:sz w:val="20"/>
          <w:szCs w:val="20"/>
        </w:rPr>
        <w:t xml:space="preserve"> </w:t>
      </w:r>
      <w:r>
        <w:rPr>
          <w:rFonts w:cs="Arial" w:ascii="Arial" w:hAnsi="Arial"/>
          <w:b/>
          <w:sz w:val="20"/>
          <w:szCs w:val="20"/>
        </w:rPr>
        <w:t>Artículo 118.-</w:t>
      </w:r>
      <w:r>
        <w:rPr>
          <w:rFonts w:cs="Arial" w:ascii="Arial" w:hAnsi="Arial"/>
          <w:sz w:val="20"/>
          <w:szCs w:val="20"/>
        </w:rPr>
        <w:t xml:space="preserve"> El pago de los derechos a que se refiere esta Sección, se calculará y efectuará conforme a las tarifas establecidas en la Ley de Ingresos del Municipio de Oxkutzcab, Yucatán.</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Textoindependiente2"/>
        <w:jc w:val="center"/>
        <w:rPr/>
      </w:pPr>
      <w:r>
        <w:rPr>
          <w:rFonts w:cs="Arial" w:ascii="Arial" w:hAnsi="Arial"/>
          <w:b/>
          <w:sz w:val="20"/>
          <w:szCs w:val="20"/>
        </w:rPr>
        <w:t>Sección</w:t>
      </w:r>
      <w:r>
        <w:rPr>
          <w:rFonts w:cs="Arial" w:ascii="Arial" w:hAnsi="Arial"/>
          <w:b/>
          <w:bCs/>
          <w:sz w:val="20"/>
          <w:szCs w:val="20"/>
        </w:rPr>
        <w:t xml:space="preserve"> Décima Segunda</w:t>
      </w:r>
    </w:p>
    <w:p>
      <w:pPr>
        <w:pStyle w:val="Textoindependiente2"/>
        <w:jc w:val="center"/>
        <w:rPr>
          <w:rFonts w:ascii="Arial" w:hAnsi="Arial" w:cs="Arial"/>
          <w:b/>
          <w:b/>
          <w:bCs/>
          <w:sz w:val="20"/>
          <w:szCs w:val="20"/>
        </w:rPr>
      </w:pPr>
      <w:r>
        <w:rPr>
          <w:rFonts w:cs="Arial" w:ascii="Arial" w:hAnsi="Arial"/>
          <w:b/>
          <w:bCs/>
          <w:sz w:val="20"/>
          <w:szCs w:val="20"/>
        </w:rPr>
        <w:t>Derechos por Servicio  de Alumbrado Público</w:t>
      </w:r>
    </w:p>
    <w:p>
      <w:pPr>
        <w:pStyle w:val="Textoindependiente2"/>
        <w:jc w:val="center"/>
        <w:rPr>
          <w:rFonts w:ascii="Arial" w:hAnsi="Arial" w:cs="Arial"/>
          <w:b/>
          <w:b/>
          <w:bCs/>
          <w:sz w:val="20"/>
          <w:szCs w:val="20"/>
        </w:rPr>
      </w:pPr>
      <w:r>
        <w:rPr>
          <w:rFonts w:cs="Arial" w:ascii="Arial" w:hAnsi="Arial"/>
          <w:b/>
          <w:bCs/>
          <w:sz w:val="20"/>
          <w:szCs w:val="20"/>
        </w:rPr>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widowControl w:val="false"/>
        <w:ind w:right="20" w:hanging="0"/>
        <w:jc w:val="both"/>
        <w:rPr/>
      </w:pPr>
      <w:r>
        <w:rPr>
          <w:rFonts w:cs="Arial" w:ascii="Arial" w:hAnsi="Arial"/>
          <w:b/>
          <w:sz w:val="20"/>
          <w:szCs w:val="20"/>
        </w:rPr>
        <w:t>ARTICULO 119.-</w:t>
      </w:r>
      <w:r>
        <w:rPr>
          <w:rFonts w:cs="Arial" w:ascii="Arial" w:hAnsi="Arial"/>
          <w:sz w:val="20"/>
          <w:szCs w:val="20"/>
        </w:rPr>
        <w:t xml:space="preserve"> Son sujetos del Derecho de Alumbrado Público los propietarios o poseedores de predios urbanos o rústicos ubicados en el Municipio.</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ind w:right="20" w:hanging="0"/>
        <w:jc w:val="both"/>
        <w:rPr/>
      </w:pPr>
      <w:r>
        <w:rPr>
          <w:rFonts w:cs="Arial" w:ascii="Arial" w:hAnsi="Arial"/>
          <w:b/>
          <w:sz w:val="20"/>
          <w:szCs w:val="20"/>
        </w:rPr>
        <w:t xml:space="preserve">ARTICULO 120.- </w:t>
      </w:r>
      <w:r>
        <w:rPr>
          <w:rFonts w:cs="Arial" w:ascii="Arial" w:hAnsi="Arial"/>
          <w:sz w:val="20"/>
          <w:szCs w:val="20"/>
        </w:rPr>
        <w:t>Es objeto de este derecho la prestación del servicio de alumbrado público para los habitantes del Municipio. Se entiende por servicio de alumbrado público, el que el Municipio otorga a la comunidad, en calles, plazas, jardines y otros lugares de uso común.</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ind w:right="20" w:hanging="0"/>
        <w:jc w:val="both"/>
        <w:rPr/>
      </w:pPr>
      <w:r>
        <w:rPr>
          <w:rFonts w:cs="Arial" w:ascii="Arial" w:hAnsi="Arial"/>
          <w:b/>
          <w:sz w:val="20"/>
          <w:szCs w:val="20"/>
        </w:rPr>
        <w:t xml:space="preserve">ARTICULO 121.- </w:t>
      </w:r>
      <w:r>
        <w:rPr>
          <w:rFonts w:cs="Arial" w:ascii="Arial" w:hAnsi="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ind w:right="20" w:hanging="0"/>
        <w:jc w:val="both"/>
        <w:rPr>
          <w:rFonts w:ascii="Arial" w:hAnsi="Arial" w:cs="Arial"/>
          <w:sz w:val="20"/>
          <w:szCs w:val="20"/>
        </w:rPr>
      </w:pPr>
      <w:r>
        <w:rPr>
          <w:rFonts w:cs="Arial" w:ascii="Arial" w:hAnsi="Arial"/>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ind w:right="20" w:hanging="0"/>
        <w:jc w:val="both"/>
        <w:rPr/>
      </w:pPr>
      <w:r>
        <w:rPr>
          <w:rFonts w:cs="Arial" w:ascii="Arial" w:hAnsi="Arial"/>
          <w:b/>
          <w:sz w:val="20"/>
          <w:szCs w:val="20"/>
        </w:rPr>
        <w:t>ARTICULO 122.-</w:t>
      </w:r>
      <w:r>
        <w:rPr>
          <w:rFonts w:cs="Arial" w:ascii="Arial" w:hAnsi="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121 en su primer párrafo.</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ind w:right="20" w:hanging="0"/>
        <w:jc w:val="both"/>
        <w:rPr/>
      </w:pPr>
      <w:r>
        <w:rPr>
          <w:rFonts w:cs="Arial" w:ascii="Arial" w:hAnsi="Arial"/>
          <w:b/>
          <w:sz w:val="20"/>
          <w:szCs w:val="20"/>
        </w:rPr>
        <w:t>ARTÍCULO 123.-</w:t>
      </w:r>
      <w:r>
        <w:rPr>
          <w:rFonts w:cs="Arial" w:ascii="Arial" w:hAnsi="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pPr>
        <w:pStyle w:val="Normal"/>
        <w:widowControl w:val="false"/>
        <w:ind w:right="20" w:hanging="0"/>
        <w:jc w:val="both"/>
        <w:rPr>
          <w:rFonts w:ascii="Arial" w:hAnsi="Arial" w:cs="Arial"/>
          <w:sz w:val="20"/>
          <w:szCs w:val="20"/>
        </w:rPr>
      </w:pPr>
      <w:r>
        <w:rPr>
          <w:rFonts w:cs="Arial" w:ascii="Arial" w:hAnsi="Arial"/>
          <w:sz w:val="20"/>
          <w:szCs w:val="20"/>
        </w:rPr>
      </w:r>
    </w:p>
    <w:p>
      <w:pPr>
        <w:pStyle w:val="Normal"/>
        <w:widowControl w:val="false"/>
        <w:jc w:val="both"/>
        <w:rPr/>
      </w:pPr>
      <w:r>
        <w:rPr>
          <w:rFonts w:cs="Arial" w:ascii="Arial" w:hAnsi="Arial"/>
          <w:b/>
          <w:sz w:val="20"/>
          <w:szCs w:val="20"/>
        </w:rPr>
        <w:t>ARTÍCULO 123 Bis.-</w:t>
      </w:r>
      <w:r>
        <w:rPr>
          <w:rFonts w:cs="Arial" w:ascii="Arial" w:hAnsi="Arial"/>
          <w:sz w:val="20"/>
          <w:szCs w:val="20"/>
        </w:rPr>
        <w:t xml:space="preserve"> Los ingresos que se perciban por el derecho a que se refiere la presente Sección se destinarán al pago, mantenimiento y mejoramiento del servicio de alumbrado público que proporcione al Ayuntamiento.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extoindependiente2"/>
        <w:jc w:val="center"/>
        <w:rPr/>
      </w:pPr>
      <w:r>
        <w:rPr>
          <w:rFonts w:cs="Arial" w:ascii="Arial" w:hAnsi="Arial"/>
          <w:b/>
          <w:sz w:val="20"/>
          <w:szCs w:val="20"/>
        </w:rPr>
        <w:t>Sección</w:t>
      </w:r>
      <w:r>
        <w:rPr>
          <w:rFonts w:cs="Arial" w:ascii="Arial" w:hAnsi="Arial"/>
          <w:b/>
          <w:bCs/>
          <w:sz w:val="20"/>
          <w:szCs w:val="20"/>
        </w:rPr>
        <w:t xml:space="preserve"> Décima Tercera</w:t>
      </w:r>
    </w:p>
    <w:p>
      <w:pPr>
        <w:pStyle w:val="Normal"/>
        <w:jc w:val="center"/>
        <w:rPr>
          <w:rFonts w:ascii="Arial" w:hAnsi="Arial" w:cs="Arial"/>
          <w:b/>
          <w:b/>
          <w:sz w:val="20"/>
          <w:szCs w:val="20"/>
        </w:rPr>
      </w:pPr>
      <w:r>
        <w:rPr>
          <w:rFonts w:cs="Arial" w:ascii="Arial" w:hAnsi="Arial"/>
          <w:b/>
          <w:sz w:val="20"/>
          <w:szCs w:val="20"/>
        </w:rPr>
        <w:t>Derechos por Servicios de la Unidad de Acceso a la Información</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Artículo 124.-</w:t>
      </w:r>
      <w:r>
        <w:rPr>
          <w:rFonts w:cs="Arial" w:ascii="Arial" w:hAnsi="Arial"/>
          <w:sz w:val="20"/>
          <w:szCs w:val="20"/>
        </w:rPr>
        <w:t xml:space="preserve"> Es objeto del derecho por los servicios que presta la Unidad de Acceso a la Información Pública, la entrega de información a través de copias simples, copias certificadas, discos magnéticos, Discos Compactos o Discos en formato DVD.</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Artículo 125.-</w:t>
      </w:r>
      <w:r>
        <w:rPr>
          <w:rFonts w:cs="Arial" w:ascii="Arial" w:hAnsi="Arial"/>
          <w:sz w:val="20"/>
          <w:szCs w:val="20"/>
        </w:rPr>
        <w:t xml:space="preserve"> Son sujetos del derecho a que se refiere la presente Sección, las personas que soliciten los servicios señalados en el artículo anterior.</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126.- </w:t>
      </w:r>
      <w:r>
        <w:rPr>
          <w:rFonts w:cs="Arial" w:ascii="Arial" w:hAnsi="Arial"/>
          <w:sz w:val="20"/>
          <w:szCs w:val="20"/>
        </w:rPr>
        <w:t>Es base para el cálculo del derecho a que se refiere la presente Sección, el costo de cada uno de los insumos usados para la entrega de la información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127.- </w:t>
      </w:r>
      <w:r>
        <w:rPr>
          <w:rFonts w:cs="Arial" w:ascii="Arial" w:hAnsi="Arial"/>
          <w:sz w:val="20"/>
          <w:szCs w:val="20"/>
        </w:rPr>
        <w:t>El pago de los derechos a que se refiere la presente Sección, se realizará al momento de realizar la solicitud respectiva.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Artículo 128.- </w:t>
      </w:r>
      <w:r>
        <w:rPr>
          <w:rFonts w:cs="Arial" w:ascii="Arial" w:hAnsi="Arial"/>
          <w:sz w:val="20"/>
          <w:szCs w:val="20"/>
        </w:rPr>
        <w:t>La cuota a pagar por</w:t>
      </w:r>
      <w:r>
        <w:rPr>
          <w:rFonts w:cs="Arial" w:ascii="Arial" w:hAnsi="Arial"/>
          <w:b/>
          <w:sz w:val="20"/>
          <w:szCs w:val="20"/>
        </w:rPr>
        <w:t xml:space="preserve"> </w:t>
      </w:r>
      <w:r>
        <w:rPr>
          <w:rFonts w:cs="Arial" w:ascii="Arial" w:hAnsi="Arial"/>
          <w:sz w:val="20"/>
          <w:szCs w:val="20"/>
        </w:rPr>
        <w:t>los derechos a que se refiere la presente Sección, será determinada en la Ley de Ingresos del Municipio de Oxkutzcab, Yucatán.</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spacing w:lineRule="auto" w:line="360"/>
        <w:ind w:hanging="2"/>
        <w:jc w:val="center"/>
        <w:rPr>
          <w:rFonts w:ascii="Arial" w:hAnsi="Arial" w:eastAsia="Arial" w:cs="Arial"/>
          <w:b/>
          <w:b/>
          <w:sz w:val="20"/>
          <w:szCs w:val="20"/>
          <w:lang w:val="es-MX"/>
        </w:rPr>
      </w:pPr>
      <w:r>
        <w:rPr>
          <w:rFonts w:eastAsia="Arial" w:cs="Arial" w:ascii="Arial" w:hAnsi="Arial"/>
          <w:b/>
          <w:sz w:val="20"/>
          <w:szCs w:val="20"/>
          <w:lang w:val="es-MX"/>
        </w:rPr>
        <w:t>Sección Décima Cuarta</w:t>
      </w:r>
    </w:p>
    <w:p>
      <w:pPr>
        <w:pStyle w:val="Normal"/>
        <w:spacing w:lineRule="auto" w:line="360"/>
        <w:ind w:hanging="2"/>
        <w:jc w:val="center"/>
        <w:rPr>
          <w:rFonts w:ascii="Arial" w:hAnsi="Arial" w:eastAsia="Arial" w:cs="Arial"/>
          <w:b/>
          <w:b/>
          <w:sz w:val="20"/>
          <w:szCs w:val="20"/>
          <w:lang w:val="es-MX"/>
        </w:rPr>
      </w:pPr>
      <w:r>
        <w:rPr>
          <w:rFonts w:eastAsia="Arial" w:cs="Arial" w:ascii="Arial" w:hAnsi="Arial"/>
          <w:b/>
          <w:sz w:val="20"/>
          <w:szCs w:val="20"/>
          <w:lang w:val="es-MX"/>
        </w:rPr>
        <w:t>Derechos por los Servicios de Corralón y Grúa</w:t>
      </w:r>
    </w:p>
    <w:p>
      <w:pPr>
        <w:pStyle w:val="Normal"/>
        <w:ind w:hanging="2"/>
        <w:jc w:val="both"/>
        <w:rPr>
          <w:rFonts w:ascii="Arial" w:hAnsi="Arial" w:eastAsia="Arial" w:cs="Arial"/>
          <w:b/>
          <w:b/>
          <w:sz w:val="20"/>
          <w:szCs w:val="20"/>
          <w:lang w:val="es-MX"/>
        </w:rPr>
      </w:pPr>
      <w:r>
        <w:rPr>
          <w:rFonts w:eastAsia="Arial" w:cs="Arial" w:ascii="Arial" w:hAnsi="Arial"/>
          <w:b/>
          <w:sz w:val="20"/>
          <w:szCs w:val="20"/>
          <w:lang w:val="es-MX"/>
        </w:rPr>
      </w:r>
    </w:p>
    <w:p>
      <w:pPr>
        <w:pStyle w:val="Normal"/>
        <w:widowControl w:val="false"/>
        <w:pBdr/>
        <w:spacing w:lineRule="auto" w:line="276"/>
        <w:ind w:hanging="2"/>
        <w:jc w:val="both"/>
        <w:rPr>
          <w:rFonts w:ascii="Arial" w:hAnsi="Arial" w:eastAsia="Arial" w:cs="Arial"/>
          <w:bCs/>
          <w:sz w:val="20"/>
          <w:szCs w:val="20"/>
        </w:rPr>
      </w:pPr>
      <w:r>
        <w:rPr>
          <w:rFonts w:eastAsia="Arial" w:cs="Arial" w:ascii="Arial" w:hAnsi="Arial"/>
          <w:b/>
          <w:sz w:val="20"/>
          <w:szCs w:val="20"/>
        </w:rPr>
        <w:t>Artículo 128-A.-</w:t>
      </w:r>
      <w:r>
        <w:rPr>
          <w:rFonts w:eastAsia="Arial" w:cs="Arial" w:ascii="Arial" w:hAnsi="Arial"/>
          <w:bCs/>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pPr>
        <w:pStyle w:val="Normal"/>
        <w:widowControl w:val="false"/>
        <w:pBdr/>
        <w:spacing w:lineRule="auto" w:line="276"/>
        <w:ind w:hanging="2"/>
        <w:jc w:val="both"/>
        <w:rPr>
          <w:rFonts w:ascii="Arial" w:hAnsi="Arial" w:eastAsia="Arial" w:cs="Arial"/>
          <w:bCs/>
          <w:sz w:val="20"/>
          <w:szCs w:val="20"/>
        </w:rPr>
      </w:pPr>
      <w:r>
        <w:rPr>
          <w:rFonts w:eastAsia="Arial" w:cs="Arial" w:ascii="Arial" w:hAnsi="Arial"/>
          <w:bCs/>
          <w:sz w:val="20"/>
          <w:szCs w:val="20"/>
        </w:rPr>
      </w:r>
    </w:p>
    <w:p>
      <w:pPr>
        <w:pStyle w:val="Normal"/>
        <w:widowControl w:val="false"/>
        <w:pBdr/>
        <w:spacing w:lineRule="auto" w:line="276"/>
        <w:ind w:hanging="2"/>
        <w:jc w:val="both"/>
        <w:rPr>
          <w:rFonts w:ascii="Arial" w:hAnsi="Arial" w:eastAsia="Arial" w:cs="Arial"/>
          <w:bCs/>
          <w:sz w:val="20"/>
          <w:szCs w:val="20"/>
        </w:rPr>
      </w:pPr>
      <w:r>
        <w:rPr>
          <w:rFonts w:eastAsia="Arial" w:cs="Arial" w:ascii="Arial" w:hAnsi="Arial"/>
          <w:b/>
          <w:sz w:val="20"/>
          <w:szCs w:val="20"/>
        </w:rPr>
        <w:t>Artículo 128-B</w:t>
      </w:r>
      <w:r>
        <w:rPr>
          <w:rFonts w:eastAsia="Arial" w:cs="Arial" w:ascii="Arial" w:hAnsi="Arial"/>
          <w:bCs/>
          <w:sz w:val="20"/>
          <w:szCs w:val="20"/>
        </w:rPr>
        <w:t>.-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pPr>
        <w:pStyle w:val="Normal"/>
        <w:widowControl w:val="false"/>
        <w:pBdr/>
        <w:spacing w:lineRule="auto" w:line="276"/>
        <w:ind w:hanging="2"/>
        <w:jc w:val="both"/>
        <w:rPr>
          <w:rFonts w:ascii="Arial" w:hAnsi="Arial" w:eastAsia="Arial" w:cs="Arial"/>
          <w:bCs/>
          <w:sz w:val="20"/>
          <w:szCs w:val="20"/>
        </w:rPr>
      </w:pPr>
      <w:r>
        <w:rPr>
          <w:rFonts w:eastAsia="Arial" w:cs="Arial" w:ascii="Arial" w:hAnsi="Arial"/>
          <w:bCs/>
          <w:sz w:val="20"/>
          <w:szCs w:val="20"/>
        </w:rPr>
      </w:r>
    </w:p>
    <w:p>
      <w:pPr>
        <w:pStyle w:val="Normal"/>
        <w:ind w:hanging="2"/>
        <w:jc w:val="both"/>
        <w:rPr/>
      </w:pPr>
      <w:r>
        <w:rPr>
          <w:rFonts w:eastAsia="Arial" w:cs="Arial" w:ascii="Arial" w:hAnsi="Arial"/>
          <w:b/>
          <w:sz w:val="20"/>
          <w:szCs w:val="20"/>
        </w:rPr>
        <w:t xml:space="preserve">Artículo 128-C.- </w:t>
      </w:r>
      <w:r>
        <w:rPr>
          <w:rFonts w:eastAsia="Arial" w:cs="Arial" w:ascii="Arial" w:hAnsi="Arial"/>
          <w:bCs/>
          <w:sz w:val="20"/>
          <w:szCs w:val="20"/>
        </w:rPr>
        <w:t>Los derechos previstos en esta Sección se pagarán de acuerdo a las tarifas establecidas en la Ley de Ingresos del Municipio.</w:t>
      </w:r>
    </w:p>
    <w:p>
      <w:pPr>
        <w:pStyle w:val="Normal"/>
        <w:ind w:hanging="2"/>
        <w:jc w:val="both"/>
        <w:rPr>
          <w:rFonts w:ascii="Arial" w:hAnsi="Arial" w:eastAsia="Arial" w:cs="Arial"/>
          <w:bCs/>
          <w:sz w:val="20"/>
          <w:szCs w:val="20"/>
        </w:rPr>
      </w:pPr>
      <w:r>
        <w:rPr>
          <w:rFonts w:eastAsia="Arial" w:cs="Arial" w:ascii="Arial" w:hAnsi="Arial"/>
          <w:bCs/>
          <w:sz w:val="20"/>
          <w:szCs w:val="20"/>
        </w:rPr>
      </w:r>
    </w:p>
    <w:p>
      <w:pPr>
        <w:pStyle w:val="Normal"/>
        <w:ind w:hanging="2"/>
        <w:jc w:val="both"/>
        <w:rPr>
          <w:rFonts w:ascii="Arial" w:hAnsi="Arial" w:eastAsia="Arial" w:cs="Arial"/>
          <w:bCs/>
          <w:sz w:val="20"/>
          <w:szCs w:val="20"/>
        </w:rPr>
      </w:pPr>
      <w:r>
        <w:rPr>
          <w:rFonts w:eastAsia="Arial" w:cs="Arial" w:ascii="Arial" w:hAnsi="Arial"/>
          <w:bCs/>
          <w:sz w:val="20"/>
          <w:szCs w:val="20"/>
        </w:rPr>
      </w:r>
    </w:p>
    <w:p>
      <w:pPr>
        <w:pStyle w:val="Normal"/>
        <w:ind w:hanging="2"/>
        <w:jc w:val="both"/>
        <w:rPr>
          <w:rFonts w:ascii="Arial" w:hAnsi="Arial" w:eastAsia="Arial" w:cs="Arial"/>
          <w:bCs/>
          <w:sz w:val="20"/>
          <w:szCs w:val="20"/>
        </w:rPr>
      </w:pPr>
      <w:r>
        <w:rPr>
          <w:rFonts w:eastAsia="Arial" w:cs="Arial" w:ascii="Arial" w:hAnsi="Arial"/>
          <w:bCs/>
          <w:sz w:val="20"/>
          <w:szCs w:val="20"/>
        </w:rPr>
      </w:r>
    </w:p>
    <w:p>
      <w:pPr>
        <w:pStyle w:val="Normal"/>
        <w:spacing w:lineRule="auto" w:line="360"/>
        <w:ind w:hanging="2"/>
        <w:jc w:val="center"/>
        <w:rPr>
          <w:rFonts w:ascii="Arial" w:hAnsi="Arial" w:eastAsia="Arial" w:cs="Arial"/>
          <w:b/>
          <w:b/>
          <w:sz w:val="20"/>
          <w:szCs w:val="20"/>
        </w:rPr>
      </w:pPr>
      <w:r>
        <w:rPr>
          <w:rFonts w:eastAsia="Arial" w:cs="Arial" w:ascii="Arial" w:hAnsi="Arial"/>
          <w:b/>
          <w:sz w:val="20"/>
          <w:szCs w:val="20"/>
        </w:rPr>
        <w:t>Sección Décimo Quinta</w:t>
      </w:r>
    </w:p>
    <w:p>
      <w:pPr>
        <w:pStyle w:val="Normal"/>
        <w:spacing w:lineRule="auto" w:line="360"/>
        <w:ind w:hanging="2"/>
        <w:jc w:val="center"/>
        <w:rPr>
          <w:rFonts w:ascii="Arial" w:hAnsi="Arial" w:eastAsia="Arial" w:cs="Arial"/>
          <w:b/>
          <w:b/>
          <w:sz w:val="20"/>
          <w:szCs w:val="20"/>
        </w:rPr>
      </w:pPr>
      <w:r>
        <w:rPr>
          <w:rFonts w:eastAsia="Arial" w:cs="Arial" w:ascii="Arial" w:hAnsi="Arial"/>
          <w:b/>
          <w:sz w:val="20"/>
          <w:szCs w:val="20"/>
        </w:rPr>
        <w:t>De los Derechos por la prestación de servicios en materia de Protección Civil</w:t>
      </w:r>
    </w:p>
    <w:p>
      <w:pPr>
        <w:pStyle w:val="Normal"/>
        <w:spacing w:lineRule="auto" w:line="360"/>
        <w:ind w:hanging="2"/>
        <w:jc w:val="center"/>
        <w:rPr>
          <w:rFonts w:ascii="Arial" w:hAnsi="Arial" w:eastAsia="Arial" w:cs="Arial"/>
          <w:b/>
          <w:b/>
          <w:sz w:val="20"/>
          <w:szCs w:val="20"/>
        </w:rPr>
      </w:pPr>
      <w:r>
        <w:rPr>
          <w:rFonts w:eastAsia="Arial" w:cs="Arial" w:ascii="Arial" w:hAnsi="Arial"/>
          <w:b/>
          <w:sz w:val="20"/>
          <w:szCs w:val="20"/>
        </w:rPr>
      </w:r>
    </w:p>
    <w:p>
      <w:pPr>
        <w:pStyle w:val="Normal"/>
        <w:spacing w:lineRule="auto" w:line="360"/>
        <w:ind w:hanging="2"/>
        <w:rPr>
          <w:rFonts w:ascii="Arial" w:hAnsi="Arial" w:eastAsia="Arial" w:cs="Arial"/>
          <w:bCs/>
          <w:sz w:val="20"/>
          <w:szCs w:val="20"/>
        </w:rPr>
      </w:pPr>
      <w:r>
        <w:rPr>
          <w:rFonts w:eastAsia="Arial" w:cs="Arial" w:ascii="Arial" w:hAnsi="Arial"/>
          <w:b/>
          <w:sz w:val="20"/>
          <w:szCs w:val="20"/>
        </w:rPr>
        <w:t>Artículo 128-D.</w:t>
      </w:r>
      <w:r>
        <w:rPr>
          <w:rFonts w:eastAsia="Arial" w:cs="Arial" w:ascii="Arial" w:hAnsi="Arial"/>
          <w:bCs/>
          <w:sz w:val="20"/>
          <w:szCs w:val="20"/>
        </w:rPr>
        <w:t>- Son sujetos de los derechos establecidos en esta sección las personas físicas o morales que soliciten, cualquiera de los servicios a que se refiere esta sección.</w:t>
      </w:r>
    </w:p>
    <w:p>
      <w:pPr>
        <w:pStyle w:val="Normal"/>
        <w:spacing w:lineRule="auto" w:line="360"/>
        <w:ind w:hanging="2"/>
        <w:rPr>
          <w:rFonts w:ascii="Arial" w:hAnsi="Arial" w:eastAsia="Arial" w:cs="Arial"/>
          <w:bCs/>
          <w:sz w:val="20"/>
          <w:szCs w:val="20"/>
        </w:rPr>
      </w:pPr>
      <w:r>
        <w:rPr>
          <w:rFonts w:eastAsia="Arial" w:cs="Arial" w:ascii="Arial" w:hAnsi="Arial"/>
          <w:bCs/>
          <w:sz w:val="20"/>
          <w:szCs w:val="20"/>
        </w:rPr>
      </w:r>
    </w:p>
    <w:p>
      <w:pPr>
        <w:pStyle w:val="Normal"/>
        <w:spacing w:lineRule="auto" w:line="360"/>
        <w:ind w:hanging="2"/>
        <w:rPr>
          <w:rFonts w:ascii="Arial" w:hAnsi="Arial" w:eastAsia="Arial" w:cs="Arial"/>
          <w:bCs/>
          <w:sz w:val="20"/>
          <w:szCs w:val="20"/>
        </w:rPr>
      </w:pPr>
      <w:r>
        <w:rPr>
          <w:rFonts w:eastAsia="Arial" w:cs="Arial" w:ascii="Arial" w:hAnsi="Arial"/>
          <w:b/>
          <w:sz w:val="20"/>
          <w:szCs w:val="20"/>
        </w:rPr>
        <w:t>Artículo 128-E</w:t>
      </w:r>
      <w:r>
        <w:rPr>
          <w:rFonts w:eastAsia="Arial" w:cs="Arial" w:ascii="Arial" w:hAnsi="Arial"/>
          <w:bCs/>
          <w:sz w:val="20"/>
          <w:szCs w:val="20"/>
        </w:rPr>
        <w:t>.- El objeto de los derechos establecidos en esta sección son los servicios prestados por el Departamento de Protección Civil por concepto de:</w:t>
      </w:r>
    </w:p>
    <w:p>
      <w:pPr>
        <w:pStyle w:val="Normal"/>
        <w:spacing w:lineRule="auto" w:line="360"/>
        <w:ind w:hanging="2"/>
        <w:rPr>
          <w:rFonts w:ascii="Arial" w:hAnsi="Arial" w:eastAsia="Arial" w:cs="Arial"/>
          <w:bCs/>
          <w:sz w:val="20"/>
          <w:szCs w:val="20"/>
        </w:rPr>
      </w:pPr>
      <w:r>
        <w:rPr>
          <w:rFonts w:eastAsia="Arial" w:cs="Arial" w:ascii="Arial" w:hAnsi="Arial"/>
          <w:bCs/>
          <w:sz w:val="20"/>
          <w:szCs w:val="20"/>
        </w:rPr>
      </w:r>
    </w:p>
    <w:p>
      <w:pPr>
        <w:pStyle w:val="Normal"/>
        <w:spacing w:lineRule="auto" w:line="360"/>
        <w:ind w:hanging="2"/>
        <w:rPr>
          <w:rFonts w:ascii="Arial" w:hAnsi="Arial" w:eastAsia="Arial" w:cs="Arial"/>
          <w:bCs/>
          <w:sz w:val="20"/>
          <w:szCs w:val="20"/>
        </w:rPr>
      </w:pPr>
      <w:bookmarkStart w:id="0" w:name="_Hlk119171565"/>
      <w:bookmarkEnd w:id="0"/>
      <w:r>
        <w:rPr>
          <w:rFonts w:eastAsia="Arial" w:cs="Arial" w:ascii="Arial" w:hAnsi="Arial"/>
          <w:b/>
          <w:sz w:val="20"/>
          <w:szCs w:val="20"/>
        </w:rPr>
        <w:t>I.</w:t>
      </w:r>
      <w:r>
        <w:rPr>
          <w:rFonts w:eastAsia="Arial" w:cs="Cambria Math" w:ascii="Cambria Math" w:hAnsi="Cambria Math"/>
          <w:b/>
          <w:sz w:val="20"/>
          <w:szCs w:val="20"/>
        </w:rPr>
        <w:t>‐</w:t>
      </w:r>
      <w:r>
        <w:rPr>
          <w:rFonts w:eastAsia="Arial" w:cs="Arial" w:ascii="Arial" w:hAnsi="Arial"/>
          <w:bCs/>
          <w:sz w:val="20"/>
          <w:szCs w:val="20"/>
        </w:rPr>
        <w:t xml:space="preserve"> Registros de programas internos de Protección Civil</w:t>
      </w:r>
    </w:p>
    <w:p>
      <w:pPr>
        <w:pStyle w:val="Normal"/>
        <w:spacing w:lineRule="auto" w:line="360"/>
        <w:ind w:hanging="2"/>
        <w:rPr>
          <w:rFonts w:ascii="Arial" w:hAnsi="Arial" w:eastAsia="Arial" w:cs="Arial"/>
          <w:bCs/>
          <w:sz w:val="20"/>
          <w:szCs w:val="20"/>
        </w:rPr>
      </w:pPr>
      <w:r>
        <w:rPr>
          <w:rFonts w:eastAsia="Arial" w:cs="Arial" w:ascii="Arial" w:hAnsi="Arial"/>
          <w:b/>
          <w:sz w:val="20"/>
          <w:szCs w:val="20"/>
        </w:rPr>
        <w:t>II.</w:t>
      </w:r>
      <w:r>
        <w:rPr>
          <w:rFonts w:eastAsia="Arial" w:cs="Cambria Math" w:ascii="Cambria Math" w:hAnsi="Cambria Math"/>
          <w:b/>
          <w:sz w:val="20"/>
          <w:szCs w:val="20"/>
        </w:rPr>
        <w:t>‐</w:t>
      </w:r>
      <w:r>
        <w:rPr>
          <w:rFonts w:eastAsia="Arial" w:cs="Arial" w:ascii="Arial" w:hAnsi="Arial"/>
          <w:bCs/>
          <w:sz w:val="20"/>
          <w:szCs w:val="20"/>
        </w:rPr>
        <w:t xml:space="preserve"> Asignaciones de vistos buenos por simulacros.</w:t>
      </w:r>
    </w:p>
    <w:p>
      <w:pPr>
        <w:pStyle w:val="Normal"/>
        <w:spacing w:lineRule="auto" w:line="360"/>
        <w:ind w:hanging="2"/>
        <w:rPr>
          <w:rFonts w:ascii="Arial" w:hAnsi="Arial" w:eastAsia="Arial" w:cs="Arial"/>
          <w:bCs/>
          <w:sz w:val="20"/>
          <w:szCs w:val="20"/>
        </w:rPr>
      </w:pPr>
      <w:r>
        <w:rPr>
          <w:rFonts w:eastAsia="Arial" w:cs="Arial" w:ascii="Arial" w:hAnsi="Arial"/>
          <w:b/>
          <w:sz w:val="20"/>
          <w:szCs w:val="20"/>
        </w:rPr>
        <w:t>III.-</w:t>
      </w:r>
      <w:r>
        <w:rPr>
          <w:rFonts w:eastAsia="Arial" w:cs="Arial" w:ascii="Arial" w:hAnsi="Arial"/>
          <w:bCs/>
          <w:sz w:val="20"/>
          <w:szCs w:val="20"/>
        </w:rPr>
        <w:t xml:space="preserve"> Impartición de cursos a empresas privadas</w:t>
      </w:r>
    </w:p>
    <w:p>
      <w:pPr>
        <w:pStyle w:val="Normal"/>
        <w:spacing w:lineRule="auto" w:line="360"/>
        <w:ind w:hanging="2"/>
        <w:rPr/>
      </w:pPr>
      <w:r>
        <w:rPr>
          <w:rFonts w:eastAsia="Arial" w:cs="Arial" w:ascii="Arial" w:hAnsi="Arial"/>
          <w:b/>
          <w:sz w:val="20"/>
          <w:szCs w:val="20"/>
        </w:rPr>
        <w:t>IV.</w:t>
      </w:r>
      <w:r>
        <w:rPr>
          <w:rFonts w:eastAsia="Arial" w:cs="Cambria Math" w:ascii="Cambria Math" w:hAnsi="Cambria Math"/>
          <w:b/>
          <w:sz w:val="20"/>
          <w:szCs w:val="20"/>
        </w:rPr>
        <w:t>‐</w:t>
      </w:r>
      <w:r>
        <w:rPr>
          <w:rFonts w:eastAsia="Arial" w:cs="Arial" w:ascii="Arial" w:hAnsi="Arial"/>
          <w:bCs/>
          <w:sz w:val="20"/>
          <w:szCs w:val="20"/>
        </w:rPr>
        <w:t xml:space="preserve"> Emisión de Análisis de Riesgo.</w:t>
      </w:r>
    </w:p>
    <w:p>
      <w:pPr>
        <w:pStyle w:val="Normal"/>
        <w:spacing w:lineRule="auto" w:line="360"/>
        <w:ind w:hanging="2"/>
        <w:rPr/>
      </w:pPr>
      <w:r>
        <w:rPr>
          <w:rFonts w:eastAsia="Arial" w:cs="Arial" w:ascii="Arial" w:hAnsi="Arial"/>
          <w:b/>
          <w:sz w:val="20"/>
          <w:szCs w:val="20"/>
        </w:rPr>
        <w:t>V.</w:t>
      </w:r>
      <w:r>
        <w:rPr>
          <w:rFonts w:eastAsia="Arial" w:cs="Cambria Math" w:ascii="Cambria Math" w:hAnsi="Cambria Math"/>
          <w:b/>
          <w:sz w:val="20"/>
          <w:szCs w:val="20"/>
        </w:rPr>
        <w:t>‐</w:t>
      </w:r>
      <w:r>
        <w:rPr>
          <w:rFonts w:eastAsia="Arial" w:cs="Arial" w:ascii="Arial" w:hAnsi="Arial"/>
          <w:bCs/>
          <w:sz w:val="20"/>
          <w:szCs w:val="20"/>
        </w:rPr>
        <w:t xml:space="preserve"> Constancia de verificación ocular.</w:t>
      </w:r>
    </w:p>
    <w:p>
      <w:pPr>
        <w:pStyle w:val="Normal"/>
        <w:spacing w:lineRule="auto" w:line="360"/>
        <w:ind w:hanging="2"/>
        <w:rPr/>
      </w:pPr>
      <w:r>
        <w:rPr>
          <w:rFonts w:eastAsia="Arial" w:cs="Arial" w:ascii="Arial" w:hAnsi="Arial"/>
          <w:b/>
          <w:sz w:val="20"/>
          <w:szCs w:val="20"/>
        </w:rPr>
        <w:t>VI.</w:t>
      </w:r>
      <w:r>
        <w:rPr>
          <w:rFonts w:eastAsia="Arial" w:cs="Cambria Math" w:ascii="Cambria Math" w:hAnsi="Cambria Math"/>
          <w:b/>
          <w:sz w:val="20"/>
          <w:szCs w:val="20"/>
        </w:rPr>
        <w:t>‐</w:t>
      </w:r>
      <w:r>
        <w:rPr>
          <w:rFonts w:eastAsia="Arial" w:cs="Arial" w:ascii="Arial" w:hAnsi="Arial"/>
          <w:bCs/>
          <w:sz w:val="20"/>
          <w:szCs w:val="20"/>
        </w:rPr>
        <w:t xml:space="preserve"> Colocación de señales y avisos a empresas privadas de acuerdo con la NOM-003.</w:t>
      </w:r>
    </w:p>
    <w:p>
      <w:pPr>
        <w:pStyle w:val="Normal"/>
        <w:spacing w:lineRule="auto" w:line="360"/>
        <w:ind w:hanging="2"/>
        <w:jc w:val="center"/>
        <w:rPr>
          <w:rFonts w:ascii="Arial" w:hAnsi="Arial" w:eastAsia="Arial" w:cs="Arial"/>
          <w:b/>
          <w:b/>
          <w:bCs/>
          <w:sz w:val="20"/>
          <w:szCs w:val="20"/>
        </w:rPr>
      </w:pPr>
      <w:r>
        <w:rPr>
          <w:rFonts w:eastAsia="Arial" w:cs="Arial" w:ascii="Arial" w:hAnsi="Arial"/>
          <w:b/>
          <w:bCs/>
          <w:sz w:val="20"/>
          <w:szCs w:val="20"/>
        </w:rPr>
      </w:r>
      <w:bookmarkStart w:id="1" w:name="_Hlk119171565"/>
      <w:bookmarkStart w:id="2" w:name="_Hlk119171565"/>
      <w:bookmarkEnd w:id="2"/>
    </w:p>
    <w:p>
      <w:pPr>
        <w:pStyle w:val="Normal"/>
        <w:ind w:hanging="2"/>
        <w:jc w:val="both"/>
        <w:rPr/>
      </w:pPr>
      <w:r>
        <w:rPr>
          <w:rFonts w:eastAsia="Arial" w:cs="Arial" w:ascii="Arial" w:hAnsi="Arial"/>
          <w:b/>
          <w:sz w:val="20"/>
          <w:szCs w:val="20"/>
        </w:rPr>
        <w:t>Artículo 128-F</w:t>
      </w:r>
      <w:r>
        <w:rPr>
          <w:rFonts w:eastAsia="Arial" w:cs="Arial" w:ascii="Arial" w:hAnsi="Arial"/>
          <w:bCs/>
          <w:sz w:val="20"/>
          <w:szCs w:val="20"/>
        </w:rPr>
        <w:t>.- Los derechos por los servicios a que se refiere la presente sección se pagarán conforme a lo establecido en la ley de Ingresos del Municipio.</w:t>
      </w:r>
    </w:p>
    <w:p>
      <w:pPr>
        <w:pStyle w:val="Normal"/>
        <w:jc w:val="both"/>
        <w:rPr>
          <w:rFonts w:ascii="Arial" w:hAnsi="Arial" w:eastAsia="Arial" w:cs="Arial"/>
          <w:b/>
          <w:b/>
          <w:bCs/>
          <w:sz w:val="20"/>
          <w:szCs w:val="20"/>
        </w:rPr>
      </w:pPr>
      <w:r>
        <w:rPr>
          <w:rFonts w:eastAsia="Arial" w:cs="Arial" w:ascii="Arial" w:hAnsi="Arial"/>
          <w:b/>
          <w:bCs/>
          <w:sz w:val="20"/>
          <w:szCs w:val="20"/>
        </w:rPr>
      </w:r>
    </w:p>
    <w:p>
      <w:pPr>
        <w:pStyle w:val="Ttulo2"/>
        <w:spacing w:lineRule="auto" w:line="240" w:before="0" w:after="0"/>
        <w:ind w:left="0" w:right="0" w:hanging="0"/>
        <w:jc w:val="center"/>
        <w:rPr>
          <w:rFonts w:ascii="Arial" w:hAnsi="Arial" w:cs="Arial"/>
          <w:b w:val="false"/>
          <w:b w:val="false"/>
          <w:bCs/>
          <w:sz w:val="20"/>
          <w:szCs w:val="20"/>
        </w:rPr>
      </w:pPr>
      <w:r>
        <w:rPr>
          <w:rFonts w:cs="Arial"/>
          <w:b w:val="false"/>
          <w:bCs/>
          <w:sz w:val="20"/>
          <w:szCs w:val="20"/>
        </w:rPr>
      </w:r>
    </w:p>
    <w:p>
      <w:pPr>
        <w:pStyle w:val="Ttulo2"/>
        <w:spacing w:lineRule="auto" w:line="240" w:before="0" w:after="0"/>
        <w:ind w:left="0" w:right="0" w:hanging="0"/>
        <w:jc w:val="center"/>
        <w:rPr>
          <w:rFonts w:cs="Arial"/>
          <w:sz w:val="20"/>
        </w:rPr>
      </w:pPr>
      <w:r>
        <w:rPr>
          <w:rFonts w:cs="Arial"/>
          <w:sz w:val="20"/>
        </w:rPr>
        <w:t>CAPÍTULO III</w:t>
      </w:r>
    </w:p>
    <w:p>
      <w:pPr>
        <w:pStyle w:val="Ttulo2"/>
        <w:spacing w:lineRule="auto" w:line="240" w:before="0" w:after="0"/>
        <w:ind w:left="0" w:right="0" w:hanging="0"/>
        <w:jc w:val="center"/>
        <w:rPr>
          <w:rFonts w:cs="Arial"/>
          <w:sz w:val="20"/>
        </w:rPr>
      </w:pPr>
      <w:r>
        <w:rPr>
          <w:rFonts w:cs="Arial"/>
          <w:sz w:val="20"/>
        </w:rPr>
        <w:t>Contribuciones de Mejoras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129.- </w:t>
      </w:r>
      <w:r>
        <w:rPr>
          <w:rFonts w:cs="Arial" w:ascii="Arial" w:hAnsi="Arial"/>
          <w:sz w:val="20"/>
          <w:szCs w:val="20"/>
        </w:rPr>
        <w:t>Es objeto de las Contribuciones de Mejoras, el beneficio directo que obtengan los bienes inmuebles por la realización de obras y servicios de urbanización llevados a cabo por el Ayuntamiento.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130.- </w:t>
      </w:r>
      <w:r>
        <w:rPr>
          <w:rFonts w:cs="Arial" w:ascii="Arial" w:hAnsi="Arial"/>
          <w:sz w:val="20"/>
          <w:szCs w:val="20"/>
        </w:rPr>
        <w:t>Las contribuciones de mejoras se pagarán por la realización de obras públicas de urbanización consistentes en:</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I.- </w:t>
      </w:r>
      <w:r>
        <w:rPr>
          <w:rFonts w:cs="Arial" w:ascii="Arial" w:hAnsi="Arial"/>
          <w:sz w:val="20"/>
          <w:szCs w:val="20"/>
        </w:rPr>
        <w:t>Pavimentación.</w:t>
      </w:r>
    </w:p>
    <w:p>
      <w:pPr>
        <w:pStyle w:val="Normal"/>
        <w:jc w:val="both"/>
        <w:rPr/>
      </w:pPr>
      <w:r>
        <w:rPr>
          <w:rFonts w:cs="Arial" w:ascii="Arial" w:hAnsi="Arial"/>
          <w:b/>
          <w:sz w:val="20"/>
          <w:szCs w:val="20"/>
        </w:rPr>
        <w:t xml:space="preserve">II.- </w:t>
      </w:r>
      <w:r>
        <w:rPr>
          <w:rFonts w:cs="Arial" w:ascii="Arial" w:hAnsi="Arial"/>
          <w:sz w:val="20"/>
          <w:szCs w:val="20"/>
        </w:rPr>
        <w:t>Construcción de banquetas.</w:t>
      </w:r>
    </w:p>
    <w:p>
      <w:pPr>
        <w:pStyle w:val="Normal"/>
        <w:jc w:val="both"/>
        <w:rPr/>
      </w:pPr>
      <w:r>
        <w:rPr>
          <w:rFonts w:cs="Arial" w:ascii="Arial" w:hAnsi="Arial"/>
          <w:b/>
          <w:sz w:val="20"/>
          <w:szCs w:val="20"/>
        </w:rPr>
        <w:t xml:space="preserve">III.- </w:t>
      </w:r>
      <w:r>
        <w:rPr>
          <w:rFonts w:cs="Arial" w:ascii="Arial" w:hAnsi="Arial"/>
          <w:sz w:val="20"/>
          <w:szCs w:val="20"/>
        </w:rPr>
        <w:t>Instalación de alumbrado público.</w:t>
      </w:r>
    </w:p>
    <w:p>
      <w:pPr>
        <w:pStyle w:val="Normal"/>
        <w:jc w:val="both"/>
        <w:rPr/>
      </w:pPr>
      <w:r>
        <w:rPr>
          <w:rFonts w:cs="Arial" w:ascii="Arial" w:hAnsi="Arial"/>
          <w:b/>
          <w:sz w:val="20"/>
          <w:szCs w:val="20"/>
        </w:rPr>
        <w:t xml:space="preserve">IV.- </w:t>
      </w:r>
      <w:r>
        <w:rPr>
          <w:rFonts w:cs="Arial" w:ascii="Arial" w:hAnsi="Arial"/>
          <w:sz w:val="20"/>
          <w:szCs w:val="20"/>
        </w:rPr>
        <w:t>Introducción de agua potable.</w:t>
      </w:r>
    </w:p>
    <w:p>
      <w:pPr>
        <w:pStyle w:val="Normal"/>
        <w:jc w:val="both"/>
        <w:rPr/>
      </w:pPr>
      <w:r>
        <w:rPr>
          <w:rFonts w:cs="Arial" w:ascii="Arial" w:hAnsi="Arial"/>
          <w:b/>
          <w:sz w:val="20"/>
          <w:szCs w:val="20"/>
        </w:rPr>
        <w:t xml:space="preserve">V.- </w:t>
      </w:r>
      <w:r>
        <w:rPr>
          <w:rFonts w:cs="Arial" w:ascii="Arial" w:hAnsi="Arial"/>
          <w:sz w:val="20"/>
          <w:szCs w:val="20"/>
        </w:rPr>
        <w:t>Construcción de drenaje y alcantarillado públicos.</w:t>
      </w:r>
    </w:p>
    <w:p>
      <w:pPr>
        <w:pStyle w:val="Normal"/>
        <w:jc w:val="both"/>
        <w:rPr/>
      </w:pPr>
      <w:r>
        <w:rPr>
          <w:rFonts w:cs="Arial" w:ascii="Arial" w:hAnsi="Arial"/>
          <w:b/>
          <w:sz w:val="20"/>
          <w:szCs w:val="20"/>
        </w:rPr>
        <w:t xml:space="preserve">VI.- </w:t>
      </w:r>
      <w:r>
        <w:rPr>
          <w:rFonts w:cs="Arial" w:ascii="Arial" w:hAnsi="Arial"/>
          <w:sz w:val="20"/>
          <w:szCs w:val="20"/>
        </w:rPr>
        <w:t>Electrificación en baja tensión.</w:t>
      </w:r>
    </w:p>
    <w:p>
      <w:pPr>
        <w:pStyle w:val="Normal"/>
        <w:jc w:val="both"/>
        <w:rPr/>
      </w:pPr>
      <w:r>
        <w:rPr>
          <w:rFonts w:cs="Arial" w:ascii="Arial" w:hAnsi="Arial"/>
          <w:b/>
          <w:sz w:val="20"/>
          <w:szCs w:val="20"/>
        </w:rPr>
        <w:t xml:space="preserve">VII.- </w:t>
      </w:r>
      <w:r>
        <w:rPr>
          <w:rFonts w:cs="Arial" w:ascii="Arial" w:hAnsi="Arial"/>
          <w:sz w:val="20"/>
          <w:szCs w:val="20"/>
        </w:rPr>
        <w:t>Cualesquiera otras obras distintas de las anteriores que se lleven a cabo para el Fortalecimiento del Municipio o el mejoramiento de la Infraestructura Social Municipal.</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131.- </w:t>
      </w:r>
      <w:r>
        <w:rPr>
          <w:rFonts w:cs="Arial" w:ascii="Arial" w:hAnsi="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sz w:val="20"/>
          <w:szCs w:val="20"/>
        </w:rPr>
        <w:t>Para los efectos de este Artículo se consideran beneficiados con las obras que efectúe el Ayuntamiento los siguientes:</w:t>
      </w:r>
    </w:p>
    <w:p>
      <w:pPr>
        <w:pStyle w:val="Normal"/>
        <w:jc w:val="both"/>
        <w:rPr>
          <w:rFonts w:ascii="Arial" w:hAnsi="Arial" w:cs="Arial"/>
          <w:sz w:val="20"/>
          <w:szCs w:val="20"/>
        </w:rPr>
      </w:pPr>
      <w:r>
        <w:rPr>
          <w:rFonts w:cs="Arial" w:ascii="Arial" w:hAnsi="Arial"/>
          <w:sz w:val="20"/>
          <w:szCs w:val="20"/>
        </w:rPr>
      </w:r>
    </w:p>
    <w:p>
      <w:pPr>
        <w:pStyle w:val="Normal"/>
        <w:numPr>
          <w:ilvl w:val="0"/>
          <w:numId w:val="14"/>
        </w:numPr>
        <w:jc w:val="both"/>
        <w:rPr>
          <w:rFonts w:ascii="Arial" w:hAnsi="Arial" w:cs="Arial"/>
          <w:sz w:val="20"/>
          <w:szCs w:val="20"/>
        </w:rPr>
      </w:pPr>
      <w:r>
        <w:rPr>
          <w:rFonts w:cs="Arial" w:ascii="Arial" w:hAnsi="Arial"/>
          <w:sz w:val="20"/>
          <w:szCs w:val="20"/>
        </w:rPr>
        <w:t>Los predios exteriores, que colinden con la calle en la que se hubiese ejecutado las obras.</w:t>
      </w:r>
    </w:p>
    <w:p>
      <w:pPr>
        <w:pStyle w:val="Normal"/>
        <w:numPr>
          <w:ilvl w:val="0"/>
          <w:numId w:val="14"/>
        </w:numPr>
        <w:jc w:val="both"/>
        <w:rPr>
          <w:rFonts w:ascii="Arial" w:hAnsi="Arial" w:cs="Arial"/>
          <w:sz w:val="20"/>
          <w:szCs w:val="20"/>
        </w:rPr>
      </w:pPr>
      <w:r>
        <w:rPr>
          <w:rFonts w:cs="Arial" w:ascii="Arial" w:hAnsi="Arial"/>
          <w:sz w:val="20"/>
          <w:szCs w:val="20"/>
        </w:rPr>
        <w:t>Los predios interiores, cuyo acceso al exterior, fuera por la calle en donde se hubiesen ejecutado las obras.</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En el caso de edificios sujetos a régimen de propiedad en condominio, el importe de la contribución calculado en términos de este Capítulo, se dividirá a prorrata entre el número de locales.</w:t>
      </w:r>
    </w:p>
    <w:p>
      <w:pPr>
        <w:pStyle w:val="Normal"/>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jc w:val="both"/>
        <w:rPr/>
      </w:pPr>
      <w:r>
        <w:rPr>
          <w:rFonts w:cs="Arial" w:ascii="Arial" w:hAnsi="Arial"/>
          <w:b/>
          <w:sz w:val="20"/>
          <w:szCs w:val="20"/>
        </w:rPr>
        <w:t xml:space="preserve">Artículo 132.- </w:t>
      </w:r>
      <w:r>
        <w:rPr>
          <w:rFonts w:cs="Arial" w:ascii="Arial" w:hAnsi="Arial"/>
          <w:sz w:val="20"/>
          <w:szCs w:val="20"/>
        </w:rPr>
        <w:t>Será base para calcular el importe de las contribuciones de mejoras, el costo de las obras, las que comprenderán los siguientes conceptos: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I.- </w:t>
      </w:r>
      <w:r>
        <w:rPr>
          <w:rFonts w:cs="Arial" w:ascii="Arial" w:hAnsi="Arial"/>
          <w:sz w:val="20"/>
          <w:szCs w:val="20"/>
        </w:rPr>
        <w:t>El costo del proyecto de la obra.</w:t>
      </w:r>
    </w:p>
    <w:p>
      <w:pPr>
        <w:pStyle w:val="Normal"/>
        <w:jc w:val="both"/>
        <w:rPr/>
      </w:pPr>
      <w:r>
        <w:rPr>
          <w:rFonts w:cs="Arial" w:ascii="Arial" w:hAnsi="Arial"/>
          <w:b/>
          <w:sz w:val="20"/>
          <w:szCs w:val="20"/>
        </w:rPr>
        <w:t xml:space="preserve">II.- </w:t>
      </w:r>
      <w:r>
        <w:rPr>
          <w:rFonts w:cs="Arial" w:ascii="Arial" w:hAnsi="Arial"/>
          <w:sz w:val="20"/>
          <w:szCs w:val="20"/>
        </w:rPr>
        <w:t>La ejecución material de la obra.</w:t>
      </w:r>
    </w:p>
    <w:p>
      <w:pPr>
        <w:pStyle w:val="Normal"/>
        <w:jc w:val="both"/>
        <w:rPr/>
      </w:pPr>
      <w:r>
        <w:rPr>
          <w:rFonts w:cs="Arial" w:ascii="Arial" w:hAnsi="Arial"/>
          <w:b/>
          <w:sz w:val="20"/>
          <w:szCs w:val="20"/>
        </w:rPr>
        <w:t xml:space="preserve">III.- </w:t>
      </w:r>
      <w:r>
        <w:rPr>
          <w:rFonts w:cs="Arial" w:ascii="Arial" w:hAnsi="Arial"/>
          <w:sz w:val="20"/>
          <w:szCs w:val="20"/>
        </w:rPr>
        <w:t>El costo de los materiales empleados en la obra.</w:t>
      </w:r>
    </w:p>
    <w:p>
      <w:pPr>
        <w:pStyle w:val="Normal"/>
        <w:jc w:val="both"/>
        <w:rPr/>
      </w:pPr>
      <w:r>
        <w:rPr>
          <w:rFonts w:cs="Arial" w:ascii="Arial" w:hAnsi="Arial"/>
          <w:b/>
          <w:sz w:val="20"/>
          <w:szCs w:val="20"/>
        </w:rPr>
        <w:t xml:space="preserve">IV.- </w:t>
      </w:r>
      <w:r>
        <w:rPr>
          <w:rFonts w:cs="Arial" w:ascii="Arial" w:hAnsi="Arial"/>
          <w:sz w:val="20"/>
          <w:szCs w:val="20"/>
        </w:rPr>
        <w:t>Los gastos de financiamiento para la ejecución de la obra.</w:t>
      </w:r>
    </w:p>
    <w:p>
      <w:pPr>
        <w:pStyle w:val="Normal"/>
        <w:jc w:val="both"/>
        <w:rPr/>
      </w:pPr>
      <w:r>
        <w:rPr>
          <w:rFonts w:cs="Arial" w:ascii="Arial" w:hAnsi="Arial"/>
          <w:b/>
          <w:sz w:val="20"/>
          <w:szCs w:val="20"/>
        </w:rPr>
        <w:t xml:space="preserve">V.- </w:t>
      </w:r>
      <w:r>
        <w:rPr>
          <w:rFonts w:cs="Arial" w:ascii="Arial" w:hAnsi="Arial"/>
          <w:sz w:val="20"/>
          <w:szCs w:val="20"/>
        </w:rPr>
        <w:t>Los gastos de administración del financiamiento respectivo.</w:t>
      </w:r>
    </w:p>
    <w:p>
      <w:pPr>
        <w:pStyle w:val="Normal"/>
        <w:jc w:val="both"/>
        <w:rPr/>
      </w:pPr>
      <w:r>
        <w:rPr>
          <w:rFonts w:cs="Arial" w:ascii="Arial" w:hAnsi="Arial"/>
          <w:b/>
          <w:sz w:val="20"/>
          <w:szCs w:val="20"/>
        </w:rPr>
        <w:t xml:space="preserve">VI.- </w:t>
      </w:r>
      <w:r>
        <w:rPr>
          <w:rFonts w:cs="Arial" w:ascii="Arial" w:hAnsi="Arial"/>
          <w:sz w:val="20"/>
          <w:szCs w:val="20"/>
        </w:rPr>
        <w:t>Los gastos indirectos.</w:t>
      </w:r>
    </w:p>
    <w:p>
      <w:pPr>
        <w:pStyle w:val="Normal"/>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jc w:val="both"/>
        <w:rPr/>
      </w:pPr>
      <w:r>
        <w:rPr>
          <w:rFonts w:cs="Arial" w:ascii="Arial" w:hAnsi="Arial"/>
          <w:b/>
          <w:sz w:val="20"/>
          <w:szCs w:val="20"/>
        </w:rPr>
        <w:t xml:space="preserve">Artículo 133.- </w:t>
      </w:r>
      <w:r>
        <w:rPr>
          <w:rFonts w:cs="Arial" w:ascii="Arial" w:hAnsi="Arial"/>
          <w:sz w:val="20"/>
          <w:szCs w:val="20"/>
        </w:rPr>
        <w:t>La  determinación  del importe de la contribución, en caso de obras y pavimentación, o por construcción de banquetas, en los términos de este Capítulo, se estará a lo siguiente:</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I.- </w:t>
      </w:r>
      <w:r>
        <w:rPr>
          <w:rFonts w:cs="Arial" w:ascii="Arial" w:hAnsi="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El monto de la contribución se determinará, multiplicando la cuota unitaria, por el número de metros lineales de lindero de la obra, que corresponda a cada predio beneficiado.</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II.- </w:t>
      </w:r>
      <w:r>
        <w:rPr>
          <w:rFonts w:cs="Arial" w:ascii="Arial" w:hAnsi="Arial"/>
          <w:sz w:val="20"/>
          <w:szCs w:val="20"/>
        </w:rPr>
        <w:t>Cuando se trate de pavimentación, se estará a lo siguiente:</w:t>
      </w:r>
    </w:p>
    <w:p>
      <w:pPr>
        <w:pStyle w:val="Normal"/>
        <w:jc w:val="both"/>
        <w:rPr>
          <w:rFonts w:ascii="Arial" w:hAnsi="Arial" w:cs="Arial"/>
          <w:sz w:val="20"/>
          <w:szCs w:val="20"/>
        </w:rPr>
      </w:pPr>
      <w:r>
        <w:rPr>
          <w:rFonts w:cs="Arial" w:ascii="Arial" w:hAnsi="Arial"/>
          <w:sz w:val="20"/>
          <w:szCs w:val="20"/>
        </w:rPr>
        <w:t> </w:t>
      </w:r>
    </w:p>
    <w:p>
      <w:pPr>
        <w:pStyle w:val="Normal"/>
        <w:numPr>
          <w:ilvl w:val="0"/>
          <w:numId w:val="25"/>
        </w:numPr>
        <w:tabs>
          <w:tab w:val="clear" w:pos="708"/>
          <w:tab w:val="left" w:pos="1080" w:leader="none"/>
        </w:tabs>
        <w:ind w:left="1080" w:hanging="360"/>
        <w:jc w:val="both"/>
        <w:rPr>
          <w:rFonts w:ascii="Arial" w:hAnsi="Arial" w:cs="Arial"/>
          <w:sz w:val="20"/>
          <w:szCs w:val="20"/>
        </w:rPr>
      </w:pPr>
      <w:r>
        <w:rPr>
          <w:rFonts w:cs="Arial" w:ascii="Arial" w:hAnsi="Arial"/>
          <w:sz w:val="20"/>
          <w:szCs w:val="20"/>
        </w:rPr>
        <w:t>Si la pavimentación cubre la totalidad del ancho, se considerarán beneficiados los predios ubicados en ambos costados de la vía pública.</w:t>
      </w:r>
    </w:p>
    <w:p>
      <w:pPr>
        <w:pStyle w:val="Normal"/>
        <w:numPr>
          <w:ilvl w:val="0"/>
          <w:numId w:val="25"/>
        </w:numPr>
        <w:tabs>
          <w:tab w:val="clear" w:pos="708"/>
          <w:tab w:val="left" w:pos="1080" w:leader="none"/>
        </w:tabs>
        <w:ind w:left="1080" w:hanging="360"/>
        <w:jc w:val="both"/>
        <w:rPr>
          <w:rFonts w:ascii="Arial" w:hAnsi="Arial" w:cs="Arial"/>
          <w:sz w:val="20"/>
          <w:szCs w:val="20"/>
        </w:rPr>
      </w:pPr>
      <w:r>
        <w:rPr>
          <w:rFonts w:cs="Arial" w:ascii="Arial" w:hAnsi="Arial"/>
          <w:sz w:val="20"/>
          <w:szCs w:val="20"/>
        </w:rPr>
        <w:t>Si la pavimentación cubre la mitad del ancho, se considerarán beneficiados los predios ubicados en el costado, de la vía pública que se pavimente.</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En ambos casos, el monto de la contribución se determinará, multiplicando la cuota unitaria que corresponda, por el número de metros lineales, de cada predio beneficiado.</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III.- </w:t>
      </w:r>
      <w:r>
        <w:rPr>
          <w:rFonts w:cs="Arial" w:ascii="Arial" w:hAnsi="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pPr>
        <w:pStyle w:val="Normal"/>
        <w:jc w:val="both"/>
        <w:rPr>
          <w:rFonts w:ascii="Arial" w:hAnsi="Arial" w:cs="Arial"/>
          <w:sz w:val="20"/>
          <w:szCs w:val="20"/>
        </w:rPr>
      </w:pPr>
      <w:r>
        <w:rPr>
          <w:rFonts w:cs="Arial" w:ascii="Arial" w:hAnsi="Arial"/>
          <w:sz w:val="20"/>
          <w:szCs w:val="20"/>
        </w:rPr>
        <w:t> </w:t>
      </w:r>
      <w:r>
        <w:rPr>
          <w:rFonts w:cs="Arial" w:ascii="Arial" w:hAnsi="Arial"/>
          <w:b/>
          <w:sz w:val="20"/>
          <w:szCs w:val="20"/>
        </w:rPr>
        <w:t> </w:t>
      </w:r>
    </w:p>
    <w:p>
      <w:pPr>
        <w:pStyle w:val="Normal"/>
        <w:jc w:val="both"/>
        <w:rPr/>
      </w:pPr>
      <w:r>
        <w:rPr>
          <w:rFonts w:cs="Arial" w:ascii="Arial" w:hAnsi="Arial"/>
          <w:b/>
          <w:sz w:val="20"/>
          <w:szCs w:val="20"/>
        </w:rPr>
        <w:t xml:space="preserve">Artículo 134.- </w:t>
      </w:r>
      <w:r>
        <w:rPr>
          <w:rFonts w:cs="Arial" w:ascii="Arial" w:hAnsi="Arial"/>
          <w:sz w:val="20"/>
          <w:szCs w:val="20"/>
        </w:rPr>
        <w:t>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En el caso de predios interiores beneficiados el importe de la cuota unitaria será determinado en cada caso por la Dirección de Obras Públicas o la Dependencia Municipal encargada de la realización de tales obras.</w:t>
      </w:r>
    </w:p>
    <w:p>
      <w:pPr>
        <w:pStyle w:val="Normal"/>
        <w:jc w:val="both"/>
        <w:rPr/>
      </w:pPr>
      <w:r>
        <w:rPr>
          <w:rFonts w:cs="Arial" w:ascii="Arial" w:hAnsi="Arial"/>
          <w:sz w:val="20"/>
          <w:szCs w:val="20"/>
        </w:rPr>
        <w:t>  </w:t>
      </w:r>
      <w:r>
        <w:rPr>
          <w:rFonts w:cs="Arial" w:ascii="Arial" w:hAnsi="Arial"/>
          <w:b/>
          <w:sz w:val="20"/>
          <w:szCs w:val="20"/>
        </w:rPr>
        <w:t> </w:t>
      </w:r>
    </w:p>
    <w:p>
      <w:pPr>
        <w:pStyle w:val="Normal"/>
        <w:jc w:val="both"/>
        <w:rPr/>
      </w:pPr>
      <w:r>
        <w:rPr>
          <w:rFonts w:cs="Arial" w:ascii="Arial" w:hAnsi="Arial"/>
          <w:b/>
          <w:sz w:val="20"/>
          <w:szCs w:val="20"/>
        </w:rPr>
        <w:t>Artículo 135.-</w:t>
      </w:r>
      <w:r>
        <w:rPr>
          <w:rFonts w:cs="Arial" w:ascii="Arial" w:hAnsi="Arial"/>
          <w:sz w:val="20"/>
          <w:szCs w:val="20"/>
        </w:rPr>
        <w:t xml:space="preserve"> El pago de los derechos a que se refiere esta Sección, se calculará y efectuará conforme a lo establecido en este ley y en la Ley de Ingresos del Municipio de Oxkutzcab, Yucatán.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136.- </w:t>
      </w:r>
      <w:r>
        <w:rPr>
          <w:rFonts w:cs="Arial" w:ascii="Arial" w:hAnsi="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Transcurrido el plazo mencionado en el párrafo anterior, sin que se hubiere efectuado el pago, el Ayuntamiento por conducto de la Tesorería Municipal procederá a su cobro por la vía coactiva.</w:t>
      </w:r>
    </w:p>
    <w:p>
      <w:pPr>
        <w:pStyle w:val="Normal"/>
        <w:jc w:val="both"/>
        <w:rPr/>
      </w:pPr>
      <w:r>
        <w:rPr>
          <w:rFonts w:cs="Arial" w:ascii="Arial" w:hAnsi="Arial"/>
          <w:sz w:val="20"/>
          <w:szCs w:val="20"/>
        </w:rPr>
        <w:t> </w:t>
      </w:r>
      <w:r>
        <w:rPr>
          <w:rFonts w:cs="Arial" w:ascii="Arial" w:hAnsi="Arial"/>
          <w:b/>
          <w:sz w:val="20"/>
          <w:szCs w:val="20"/>
        </w:rPr>
        <w:t> </w:t>
      </w:r>
    </w:p>
    <w:p>
      <w:pPr>
        <w:pStyle w:val="Normal"/>
        <w:jc w:val="both"/>
        <w:rPr>
          <w:rFonts w:ascii="Arial" w:hAnsi="Arial" w:cs="Arial"/>
          <w:sz w:val="20"/>
          <w:szCs w:val="20"/>
        </w:rPr>
      </w:pPr>
      <w:r>
        <w:rPr>
          <w:rFonts w:cs="Arial" w:ascii="Arial" w:hAnsi="Arial"/>
          <w:b/>
          <w:sz w:val="20"/>
          <w:szCs w:val="20"/>
        </w:rPr>
        <w:t xml:space="preserve">Artículo 137.- </w:t>
      </w:r>
      <w:r>
        <w:rPr>
          <w:rFonts w:cs="Arial" w:ascii="Arial" w:hAnsi="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w:t>
      </w:r>
    </w:p>
    <w:p>
      <w:pPr>
        <w:pStyle w:val="Normal"/>
        <w:jc w:val="center"/>
        <w:rPr>
          <w:rFonts w:ascii="Arial" w:hAnsi="Arial" w:cs="Arial"/>
          <w:b/>
          <w:b/>
          <w:bCs/>
          <w:sz w:val="20"/>
          <w:szCs w:val="20"/>
        </w:rPr>
      </w:pPr>
      <w:r>
        <w:rPr>
          <w:rFonts w:cs="Arial" w:ascii="Arial" w:hAnsi="Arial"/>
          <w:b/>
          <w:bCs/>
          <w:sz w:val="20"/>
          <w:szCs w:val="20"/>
        </w:rPr>
      </w:r>
    </w:p>
    <w:p>
      <w:pPr>
        <w:pStyle w:val="Ttulo2"/>
        <w:spacing w:lineRule="auto" w:line="240" w:before="0" w:after="0"/>
        <w:ind w:left="0" w:right="0" w:hanging="0"/>
        <w:jc w:val="center"/>
        <w:rPr>
          <w:rFonts w:cs="Arial"/>
          <w:sz w:val="20"/>
        </w:rPr>
      </w:pPr>
      <w:r>
        <w:rPr>
          <w:rFonts w:cs="Arial"/>
          <w:sz w:val="20"/>
        </w:rPr>
        <w:t>CAPÍTULO IV</w:t>
      </w:r>
    </w:p>
    <w:p>
      <w:pPr>
        <w:pStyle w:val="Ttulo2"/>
        <w:spacing w:lineRule="auto" w:line="240" w:before="0" w:after="0"/>
        <w:ind w:left="0" w:right="0" w:hanging="0"/>
        <w:jc w:val="center"/>
        <w:rPr>
          <w:rFonts w:cs="Arial"/>
          <w:sz w:val="20"/>
        </w:rPr>
      </w:pPr>
      <w:r>
        <w:rPr>
          <w:rFonts w:cs="Arial"/>
          <w:sz w:val="20"/>
        </w:rPr>
        <w:t>Productos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138</w:t>
      </w:r>
      <w:r>
        <w:rPr>
          <w:rFonts w:cs="Arial" w:ascii="Arial" w:hAnsi="Arial"/>
          <w:sz w:val="20"/>
          <w:szCs w:val="20"/>
        </w:rPr>
        <w:t>.- Los productos que percibirá el Ayuntamiento de Oxkutzcab, Yucatán a través de la Tesorería Municipal, serán: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sz w:val="20"/>
          <w:szCs w:val="20"/>
        </w:rPr>
        <w:t xml:space="preserve"> </w:t>
      </w:r>
      <w:r>
        <w:rPr>
          <w:rFonts w:cs="Arial" w:ascii="Arial" w:hAnsi="Arial"/>
          <w:b/>
          <w:bCs/>
          <w:sz w:val="20"/>
          <w:szCs w:val="20"/>
        </w:rPr>
        <w:t>I</w:t>
      </w:r>
      <w:r>
        <w:rPr>
          <w:rFonts w:cs="Arial" w:ascii="Arial" w:hAnsi="Arial"/>
          <w:b/>
          <w:sz w:val="20"/>
          <w:szCs w:val="20"/>
        </w:rPr>
        <w:t>.-</w:t>
      </w:r>
      <w:r>
        <w:rPr>
          <w:rFonts w:cs="Arial" w:ascii="Arial" w:hAnsi="Arial"/>
          <w:sz w:val="20"/>
          <w:szCs w:val="20"/>
        </w:rPr>
        <w:t xml:space="preserve"> Por arrendamiento, enajenación y explotación de bienes muebles e inmuebles, del dominio privado del patrimonio municipal.</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sz w:val="20"/>
          <w:szCs w:val="20"/>
        </w:rPr>
        <w:t xml:space="preserve"> </w:t>
      </w:r>
      <w:r>
        <w:rPr>
          <w:rFonts w:cs="Arial" w:ascii="Arial" w:hAnsi="Arial"/>
          <w:b/>
          <w:bCs/>
          <w:sz w:val="20"/>
          <w:szCs w:val="20"/>
        </w:rPr>
        <w:t>II.-</w:t>
      </w:r>
      <w:r>
        <w:rPr>
          <w:rFonts w:cs="Arial" w:ascii="Arial" w:hAnsi="Arial"/>
          <w:sz w:val="20"/>
          <w:szCs w:val="20"/>
        </w:rPr>
        <w:t xml:space="preserve"> Por los remates de bienes mostrencos.</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eastAsia="Arial" w:cs="Arial" w:ascii="Arial" w:hAnsi="Arial"/>
          <w:sz w:val="20"/>
          <w:szCs w:val="20"/>
        </w:rPr>
        <w:t xml:space="preserve"> </w:t>
      </w:r>
      <w:r>
        <w:rPr>
          <w:rFonts w:cs="Arial" w:ascii="Arial" w:hAnsi="Arial"/>
          <w:b/>
          <w:bCs/>
          <w:sz w:val="20"/>
          <w:szCs w:val="20"/>
        </w:rPr>
        <w:t>III</w:t>
      </w:r>
      <w:r>
        <w:rPr>
          <w:rFonts w:cs="Arial" w:ascii="Arial" w:hAnsi="Arial"/>
          <w:b/>
          <w:sz w:val="20"/>
          <w:szCs w:val="20"/>
        </w:rPr>
        <w:t>.-</w:t>
      </w:r>
      <w:r>
        <w:rPr>
          <w:rFonts w:cs="Arial" w:ascii="Arial" w:hAnsi="Arial"/>
          <w:sz w:val="20"/>
          <w:szCs w:val="20"/>
        </w:rPr>
        <w:t xml:space="preserve"> Por los daños que sufrieren las vías públicas o los bienes del patrimonio municipal afectados a la prestación de un servicio público, causados por cualquier persona.</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139</w:t>
      </w:r>
      <w:r>
        <w:rPr>
          <w:rFonts w:cs="Arial" w:ascii="Arial" w:hAnsi="Arial"/>
          <w:sz w:val="20"/>
          <w:szCs w:val="20"/>
        </w:rPr>
        <w:t>.- Los arrendamientos y las ventas de bienes muebles e inmuebles propiedad del Municipio, se llevarán a cabo, conforme a lo dispuesto en la Ley Orgánica de los Municipios del Estado de Yucatán.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bCs/>
          <w:sz w:val="20"/>
          <w:szCs w:val="20"/>
          <w:lang w:val="es-ES_tradnl"/>
        </w:rPr>
        <w:t>Artículo</w:t>
      </w:r>
      <w:r>
        <w:rPr>
          <w:rFonts w:cs="Arial" w:ascii="Arial" w:hAnsi="Arial"/>
          <w:b/>
          <w:bCs/>
          <w:sz w:val="20"/>
          <w:szCs w:val="20"/>
        </w:rPr>
        <w:t xml:space="preserve"> 140</w:t>
      </w:r>
      <w:r>
        <w:rPr>
          <w:rFonts w:cs="Arial" w:ascii="Arial" w:hAnsi="Arial"/>
          <w:sz w:val="20"/>
          <w:szCs w:val="20"/>
        </w:rPr>
        <w:t>.- Los bienes muebles e inmuebles propiedad del Municipio, solamente podrán ser explotados, mediante concesión o contrato legalmente otorgado o celebrado, en los términos de la Ley Orgánica de los Municipios del Estado de Yucatán.</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141</w:t>
      </w:r>
      <w:r>
        <w:rPr>
          <w:rFonts w:cs="Arial" w:ascii="Arial" w:hAnsi="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142</w:t>
      </w:r>
      <w:r>
        <w:rPr>
          <w:rFonts w:cs="Arial" w:ascii="Arial" w:hAnsi="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143</w:t>
      </w:r>
      <w:r>
        <w:rPr>
          <w:rFonts w:cs="Arial" w:ascii="Arial" w:hAnsi="Arial"/>
          <w:sz w:val="20"/>
          <w:szCs w:val="20"/>
        </w:rPr>
        <w:t>.-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144</w:t>
      </w:r>
      <w:r>
        <w:rPr>
          <w:rFonts w:cs="Arial" w:ascii="Arial" w:hAnsi="Arial"/>
          <w:sz w:val="20"/>
          <w:szCs w:val="20"/>
        </w:rPr>
        <w:t xml:space="preserve">.- El Municipio percibirá productos derivados de sus funciones de derecho privado, por el ejercicio de sus derechos sobre bienes ajenos y cualquier otro tipo de productos no comprendidos en esta Sección.  </w:t>
      </w:r>
    </w:p>
    <w:p>
      <w:pPr>
        <w:pStyle w:val="Normal"/>
        <w:jc w:val="center"/>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r>
    </w:p>
    <w:p>
      <w:pPr>
        <w:pStyle w:val="Ttulo2"/>
        <w:spacing w:lineRule="auto" w:line="240" w:before="0" w:after="0"/>
        <w:ind w:left="0" w:right="0" w:hanging="0"/>
        <w:jc w:val="center"/>
        <w:rPr>
          <w:rFonts w:cs="Arial"/>
          <w:sz w:val="20"/>
        </w:rPr>
      </w:pPr>
      <w:r>
        <w:rPr>
          <w:rFonts w:cs="Arial"/>
          <w:sz w:val="20"/>
        </w:rPr>
        <w:t>CAPÍTULO V</w:t>
      </w:r>
    </w:p>
    <w:p>
      <w:pPr>
        <w:pStyle w:val="Ttulo2"/>
        <w:spacing w:lineRule="auto" w:line="240" w:before="0" w:after="0"/>
        <w:ind w:left="0" w:right="0" w:hanging="0"/>
        <w:jc w:val="center"/>
        <w:rPr>
          <w:rFonts w:cs="Arial"/>
          <w:sz w:val="20"/>
        </w:rPr>
      </w:pPr>
      <w:r>
        <w:rPr>
          <w:rFonts w:cs="Arial"/>
          <w:sz w:val="20"/>
        </w:rPr>
        <w:t>Aprovechamientos</w:t>
      </w:r>
    </w:p>
    <w:p>
      <w:pPr>
        <w:pStyle w:val="Normal"/>
        <w:jc w:val="both"/>
        <w:rPr>
          <w:rFonts w:ascii="Arial" w:hAnsi="Arial" w:eastAsia="Arial" w:cs="Arial"/>
          <w:sz w:val="20"/>
          <w:szCs w:val="20"/>
        </w:rPr>
      </w:pPr>
      <w:r>
        <w:rPr>
          <w:rFonts w:eastAsia="Arial" w:cs="Arial" w:ascii="Arial" w:hAnsi="Arial"/>
          <w:sz w:val="20"/>
          <w:szCs w:val="20"/>
        </w:rPr>
        <w:t xml:space="preserve"> </w:t>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145</w:t>
      </w:r>
      <w:r>
        <w:rPr>
          <w:rFonts w:cs="Arial" w:ascii="Arial" w:hAnsi="Arial"/>
          <w:sz w:val="20"/>
          <w:szCs w:val="20"/>
        </w:rPr>
        <w:t>.- De conformidad con lo establecido en la Ley de Coordinación Fiscal del Estado de Yucatán y en los  convenios de Colaboración Administrativa en Materia Fiscal Federal, el Municipio de Oxkutzcab, Yucatán tendrá derecho a percibir los ingresos derivados del cobro de multas administrativas, impuestas por autoridades federales no fiscales. Estas multas tendrán el carácter de aprovechamientos y se actualizarán en los términos de las disposiciones respectivas.</w:t>
      </w:r>
    </w:p>
    <w:p>
      <w:pPr>
        <w:pStyle w:val="Normal"/>
        <w:jc w:val="both"/>
        <w:rPr>
          <w:rFonts w:ascii="Arial" w:hAnsi="Arial" w:cs="Arial"/>
          <w:b/>
          <w:b/>
          <w:bCs/>
          <w:sz w:val="20"/>
          <w:szCs w:val="20"/>
        </w:rPr>
      </w:pPr>
      <w:r>
        <w:rPr>
          <w:rFonts w:eastAsia="Arial" w:cs="Arial" w:ascii="Arial" w:hAnsi="Arial"/>
          <w:sz w:val="20"/>
          <w:szCs w:val="20"/>
        </w:rPr>
        <w:t xml:space="preserve"> </w:t>
      </w:r>
    </w:p>
    <w:p>
      <w:pPr>
        <w:pStyle w:val="Normal"/>
        <w:jc w:val="both"/>
        <w:rPr/>
      </w:pPr>
      <w:r>
        <w:rPr>
          <w:rFonts w:eastAsia="Arial" w:cs="Arial" w:ascii="Arial" w:hAnsi="Arial"/>
          <w:b/>
          <w:bCs/>
          <w:sz w:val="20"/>
          <w:szCs w:val="20"/>
        </w:rPr>
        <w:t xml:space="preserve"> </w:t>
      </w:r>
      <w:r>
        <w:rPr>
          <w:rFonts w:cs="Arial" w:ascii="Arial" w:hAnsi="Arial"/>
          <w:b/>
          <w:bCs/>
          <w:sz w:val="20"/>
          <w:szCs w:val="20"/>
          <w:lang w:val="es-ES_tradnl"/>
        </w:rPr>
        <w:t>Artículo</w:t>
      </w:r>
      <w:r>
        <w:rPr>
          <w:rFonts w:cs="Arial" w:ascii="Arial" w:hAnsi="Arial"/>
          <w:b/>
          <w:bCs/>
          <w:sz w:val="20"/>
          <w:szCs w:val="20"/>
        </w:rPr>
        <w:t xml:space="preserve"> 146</w:t>
      </w:r>
      <w:r>
        <w:rPr>
          <w:rFonts w:cs="Arial" w:ascii="Arial" w:hAnsi="Arial"/>
          <w:sz w:val="20"/>
          <w:szCs w:val="20"/>
        </w:rPr>
        <w:t>.- Las multas impuestas por el Ayuntamiento por infracciones a los reglamentos, tendrán el carácter de aprovechamientos y se turnarán a la Tesorería Municipal para su cobro. Cuando estas multas no fueren cubiertas dentro del plazo señalado serán cobradas mediante el procedimiento administrativo de ejecución.</w:t>
      </w:r>
    </w:p>
    <w:p>
      <w:pPr>
        <w:pStyle w:val="Ttulo2"/>
        <w:spacing w:lineRule="auto" w:line="240" w:before="0" w:after="0"/>
        <w:ind w:left="0" w:right="0" w:hanging="0"/>
        <w:jc w:val="center"/>
        <w:rPr>
          <w:rFonts w:cs="Arial"/>
          <w:sz w:val="20"/>
        </w:rPr>
      </w:pPr>
      <w:r>
        <w:rPr>
          <w:rFonts w:cs="Arial"/>
          <w:sz w:val="20"/>
        </w:rPr>
        <w:t>CAPÍTULO VI</w:t>
      </w:r>
    </w:p>
    <w:p>
      <w:pPr>
        <w:pStyle w:val="Ttulo2"/>
        <w:spacing w:lineRule="auto" w:line="240" w:before="0" w:after="0"/>
        <w:ind w:left="0" w:right="0" w:hanging="0"/>
        <w:jc w:val="center"/>
        <w:rPr>
          <w:rFonts w:cs="Arial"/>
          <w:sz w:val="20"/>
        </w:rPr>
      </w:pPr>
      <w:r>
        <w:rPr>
          <w:rFonts w:cs="Arial"/>
          <w:sz w:val="20"/>
        </w:rPr>
        <w:t>Participaciones y Aportaciones</w:t>
      </w:r>
    </w:p>
    <w:p>
      <w:pPr>
        <w:pStyle w:val="Normal"/>
        <w:rPr>
          <w:rFonts w:cs="Arial"/>
          <w:sz w:val="20"/>
          <w:lang w:val="es-ES_tradnl"/>
        </w:rPr>
      </w:pPr>
      <w:r>
        <w:rPr>
          <w:rFonts w:cs="Arial"/>
          <w:sz w:val="20"/>
          <w:lang w:val="es-ES_tradnl"/>
        </w:rPr>
      </w:r>
    </w:p>
    <w:p>
      <w:pPr>
        <w:pStyle w:val="Normal"/>
        <w:jc w:val="both"/>
        <w:rPr>
          <w:rFonts w:ascii="Arial" w:hAnsi="Arial" w:cs="Arial"/>
          <w:sz w:val="20"/>
          <w:szCs w:val="20"/>
          <w:lang w:val="es-ES_tradnl"/>
        </w:rPr>
      </w:pPr>
      <w:r>
        <w:rPr>
          <w:rFonts w:cs="Arial" w:ascii="Arial" w:hAnsi="Arial"/>
          <w:sz w:val="20"/>
          <w:szCs w:val="20"/>
          <w:lang w:val="es-ES_tradnl"/>
        </w:rPr>
      </w:r>
    </w:p>
    <w:p>
      <w:pPr>
        <w:pStyle w:val="Normal"/>
        <w:jc w:val="both"/>
        <w:rPr/>
      </w:pPr>
      <w:r>
        <w:rPr>
          <w:rFonts w:cs="Arial" w:ascii="Arial" w:hAnsi="Arial"/>
          <w:b/>
          <w:bCs/>
          <w:sz w:val="20"/>
          <w:szCs w:val="20"/>
          <w:lang w:val="es-ES_tradnl"/>
        </w:rPr>
        <w:t>Artículo</w:t>
      </w:r>
      <w:r>
        <w:rPr>
          <w:rFonts w:cs="Arial" w:ascii="Arial" w:hAnsi="Arial"/>
          <w:b/>
          <w:bCs/>
          <w:sz w:val="20"/>
          <w:szCs w:val="20"/>
        </w:rPr>
        <w:t xml:space="preserve"> 147</w:t>
      </w:r>
      <w:r>
        <w:rPr>
          <w:rFonts w:cs="Arial" w:ascii="Arial" w:hAnsi="Arial"/>
          <w:sz w:val="20"/>
          <w:szCs w:val="20"/>
        </w:rPr>
        <w:t>.- 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pPr>
        <w:pStyle w:val="Normal"/>
        <w:jc w:val="both"/>
        <w:rPr>
          <w:rFonts w:ascii="Arial" w:hAnsi="Arial" w:cs="Arial"/>
          <w:sz w:val="20"/>
          <w:szCs w:val="20"/>
        </w:rPr>
      </w:pPr>
      <w:r>
        <w:rPr>
          <w:rFonts w:cs="Arial" w:ascii="Arial" w:hAnsi="Arial"/>
          <w:sz w:val="20"/>
          <w:szCs w:val="20"/>
        </w:rPr>
      </w:r>
    </w:p>
    <w:p>
      <w:pPr>
        <w:pStyle w:val="Normal"/>
        <w:ind w:firstLine="709"/>
        <w:jc w:val="both"/>
        <w:rPr/>
      </w:pPr>
      <w:r>
        <w:rPr>
          <w:rFonts w:cs="Arial" w:ascii="Arial" w:hAnsi="Arial"/>
          <w:sz w:val="20"/>
          <w:szCs w:val="20"/>
        </w:rPr>
        <w:t>La Hacienda Pública Municipal percibirá las participaciones estatales y federales determinadas en los convenios relativos y en la Ley de Coordinación Fiscal del Estado de Yucatán.</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Ttulo2"/>
        <w:spacing w:lineRule="auto" w:line="240" w:before="0" w:after="0"/>
        <w:ind w:left="0" w:right="0" w:hanging="0"/>
        <w:jc w:val="center"/>
        <w:rPr>
          <w:rFonts w:cs="Arial"/>
          <w:sz w:val="20"/>
        </w:rPr>
      </w:pPr>
      <w:r>
        <w:rPr>
          <w:rFonts w:cs="Arial"/>
          <w:sz w:val="20"/>
        </w:rPr>
        <w:t>CAPÍTULO VII</w:t>
      </w:r>
    </w:p>
    <w:p>
      <w:pPr>
        <w:pStyle w:val="Ttulo2"/>
        <w:spacing w:lineRule="auto" w:line="240" w:before="0" w:after="0"/>
        <w:ind w:left="0" w:right="0" w:hanging="0"/>
        <w:jc w:val="center"/>
        <w:rPr>
          <w:rFonts w:cs="Arial"/>
          <w:sz w:val="20"/>
        </w:rPr>
      </w:pPr>
      <w:r>
        <w:rPr>
          <w:rFonts w:cs="Arial"/>
          <w:sz w:val="20"/>
        </w:rPr>
        <w:t>Ingresos Extraordinarios</w:t>
      </w:r>
    </w:p>
    <w:p>
      <w:pPr>
        <w:pStyle w:val="Normal"/>
        <w:jc w:val="center"/>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pPr>
      <w:r>
        <w:rPr>
          <w:rFonts w:cs="Arial" w:ascii="Arial" w:hAnsi="Arial"/>
          <w:b/>
          <w:sz w:val="20"/>
          <w:szCs w:val="20"/>
        </w:rPr>
        <w:t xml:space="preserve">Artículo 148.- </w:t>
      </w:r>
      <w:r>
        <w:rPr>
          <w:rFonts w:cs="Arial" w:ascii="Arial" w:hAnsi="Arial"/>
          <w:sz w:val="20"/>
          <w:szCs w:val="20"/>
        </w:rPr>
        <w:t>La Hacienda Pública del Municipio de Oxkutzcab podrá percibir ingresos extraordinarios por los siguientes conceptos:</w:t>
      </w:r>
    </w:p>
    <w:p>
      <w:pPr>
        <w:pStyle w:val="Normal"/>
        <w:tabs>
          <w:tab w:val="clear" w:pos="708"/>
          <w:tab w:val="left" w:pos="425" w:leader="none"/>
        </w:tabs>
        <w:jc w:val="both"/>
        <w:rPr>
          <w:rFonts w:ascii="Arial" w:hAnsi="Arial" w:cs="Arial"/>
          <w:sz w:val="20"/>
          <w:szCs w:val="20"/>
        </w:rPr>
      </w:pPr>
      <w:r>
        <w:rPr>
          <w:rFonts w:cs="Arial" w:ascii="Arial" w:hAnsi="Arial"/>
          <w:sz w:val="20"/>
          <w:szCs w:val="20"/>
        </w:rPr>
      </w:r>
    </w:p>
    <w:p>
      <w:pPr>
        <w:pStyle w:val="Normal"/>
        <w:numPr>
          <w:ilvl w:val="0"/>
          <w:numId w:val="3"/>
        </w:numPr>
        <w:jc w:val="both"/>
        <w:rPr/>
      </w:pPr>
      <w:r>
        <w:rPr>
          <w:rFonts w:eastAsia="Arial" w:cs="Arial" w:ascii="Arial" w:hAnsi="Arial"/>
          <w:sz w:val="20"/>
          <w:szCs w:val="20"/>
        </w:rPr>
        <w:t xml:space="preserve"> </w:t>
      </w:r>
      <w:r>
        <w:rPr>
          <w:rFonts w:cs="Arial" w:ascii="Arial" w:hAnsi="Arial"/>
          <w:sz w:val="20"/>
          <w:szCs w:val="20"/>
        </w:rPr>
        <w:t>Empréstitos aprobados por el Congreso;</w:t>
      </w:r>
    </w:p>
    <w:p>
      <w:pPr>
        <w:pStyle w:val="Normal"/>
        <w:numPr>
          <w:ilvl w:val="0"/>
          <w:numId w:val="3"/>
        </w:numPr>
        <w:jc w:val="both"/>
        <w:rPr/>
      </w:pPr>
      <w:r>
        <w:rPr>
          <w:rFonts w:eastAsia="Arial" w:cs="Arial" w:ascii="Arial" w:hAnsi="Arial"/>
          <w:sz w:val="20"/>
          <w:szCs w:val="20"/>
        </w:rPr>
        <w:t xml:space="preserve"> </w:t>
      </w:r>
      <w:r>
        <w:rPr>
          <w:rFonts w:cs="Arial" w:ascii="Arial" w:hAnsi="Arial"/>
          <w:sz w:val="20"/>
          <w:szCs w:val="20"/>
        </w:rPr>
        <w:t>Empréstitos aprobados por el Cabildo;</w:t>
      </w:r>
    </w:p>
    <w:p>
      <w:pPr>
        <w:pStyle w:val="Normal"/>
        <w:numPr>
          <w:ilvl w:val="0"/>
          <w:numId w:val="3"/>
        </w:numPr>
        <w:jc w:val="both"/>
        <w:rPr/>
      </w:pPr>
      <w:r>
        <w:rPr>
          <w:rFonts w:eastAsia="Arial" w:cs="Arial" w:ascii="Arial" w:hAnsi="Arial"/>
          <w:sz w:val="20"/>
          <w:szCs w:val="20"/>
        </w:rPr>
        <w:t xml:space="preserve"> </w:t>
      </w:r>
      <w:r>
        <w:rPr>
          <w:rFonts w:cs="Arial" w:ascii="Arial" w:hAnsi="Arial"/>
          <w:sz w:val="20"/>
          <w:szCs w:val="20"/>
        </w:rPr>
        <w:t>Subsidios, y</w:t>
      </w:r>
    </w:p>
    <w:p>
      <w:pPr>
        <w:pStyle w:val="Normal"/>
        <w:numPr>
          <w:ilvl w:val="0"/>
          <w:numId w:val="3"/>
        </w:numPr>
        <w:jc w:val="both"/>
        <w:rPr/>
      </w:pPr>
      <w:r>
        <w:rPr>
          <w:rFonts w:eastAsia="Arial" w:cs="Arial" w:ascii="Arial" w:hAnsi="Arial"/>
          <w:sz w:val="20"/>
          <w:szCs w:val="20"/>
        </w:rPr>
        <w:t xml:space="preserve"> </w:t>
      </w:r>
      <w:r>
        <w:rPr>
          <w:rFonts w:cs="Arial" w:ascii="Arial" w:hAnsi="Arial"/>
          <w:sz w:val="20"/>
          <w:szCs w:val="20"/>
        </w:rPr>
        <w:t>Los que reciba de la Federación o del Estado, por conceptos diferentes a Participaciones o Aportaciones.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tulo1"/>
        <w:spacing w:before="0" w:after="0"/>
        <w:rPr>
          <w:rFonts w:cs="Arial"/>
          <w:sz w:val="20"/>
        </w:rPr>
      </w:pPr>
      <w:r>
        <w:rPr>
          <w:rFonts w:cs="Arial"/>
          <w:sz w:val="20"/>
        </w:rPr>
        <w:t>TÍTULO TERCERO</w:t>
      </w:r>
    </w:p>
    <w:p>
      <w:pPr>
        <w:pStyle w:val="Normal"/>
        <w:jc w:val="center"/>
        <w:rPr>
          <w:rFonts w:ascii="Arial" w:hAnsi="Arial" w:cs="Arial"/>
          <w:b/>
          <w:b/>
          <w:sz w:val="20"/>
          <w:szCs w:val="20"/>
        </w:rPr>
      </w:pPr>
      <w:r>
        <w:rPr>
          <w:rFonts w:cs="Arial" w:ascii="Arial" w:hAnsi="Arial"/>
          <w:b/>
          <w:sz w:val="20"/>
          <w:szCs w:val="20"/>
        </w:rPr>
        <w:t>INFRACCIONES Y MULTAS</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Generalidades</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Artículo 149.- </w:t>
      </w:r>
      <w:r>
        <w:rPr>
          <w:rFonts w:cs="Arial" w:ascii="Arial" w:hAnsi="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pPr>
        <w:pStyle w:val="Normal"/>
        <w:jc w:val="both"/>
        <w:rPr>
          <w:rFonts w:ascii="Arial" w:hAnsi="Arial" w:cs="Arial"/>
          <w:sz w:val="20"/>
          <w:szCs w:val="20"/>
        </w:rPr>
      </w:pPr>
      <w:r>
        <w:rPr>
          <w:rFonts w:cs="Arial" w:ascii="Arial" w:hAnsi="Arial"/>
          <w:sz w:val="20"/>
          <w:szCs w:val="20"/>
        </w:rPr>
      </w:r>
    </w:p>
    <w:p>
      <w:pPr>
        <w:pStyle w:val="Textoindependiente2"/>
        <w:widowControl w:val="false"/>
        <w:rPr/>
      </w:pPr>
      <w:r>
        <w:rPr>
          <w:rFonts w:cs="Arial" w:ascii="Arial" w:hAnsi="Arial"/>
          <w:b/>
          <w:sz w:val="20"/>
          <w:szCs w:val="20"/>
        </w:rPr>
        <w:t xml:space="preserve">Artículo 150.- </w:t>
      </w:r>
      <w:r>
        <w:rPr>
          <w:rFonts w:cs="Arial" w:ascii="Arial" w:hAnsi="Arial"/>
          <w:sz w:val="20"/>
          <w:szCs w:val="20"/>
        </w:rPr>
        <w:t>Las multas por infracciones a las disposiciones municipales sean éstas de carácter administrativo o fiscal, serán cobradas mediante el procedimiento administrativo de ejecución.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II</w:t>
      </w:r>
    </w:p>
    <w:p>
      <w:pPr>
        <w:pStyle w:val="Normal"/>
        <w:jc w:val="center"/>
        <w:rPr>
          <w:rFonts w:ascii="Arial" w:hAnsi="Arial" w:cs="Arial"/>
          <w:b/>
          <w:b/>
          <w:sz w:val="20"/>
          <w:szCs w:val="20"/>
        </w:rPr>
      </w:pPr>
      <w:r>
        <w:rPr>
          <w:rFonts w:cs="Arial" w:ascii="Arial" w:hAnsi="Arial"/>
          <w:b/>
          <w:sz w:val="20"/>
          <w:szCs w:val="20"/>
        </w:rPr>
        <w:t>Infracciones</w:t>
      </w:r>
    </w:p>
    <w:p>
      <w:pPr>
        <w:pStyle w:val="Normal"/>
        <w:jc w:val="center"/>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 xml:space="preserve">Artículo 151.- </w:t>
      </w:r>
      <w:r>
        <w:rPr>
          <w:rFonts w:cs="Arial" w:ascii="Arial" w:hAnsi="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152.- </w:t>
      </w:r>
      <w:r>
        <w:rPr>
          <w:rFonts w:cs="Arial" w:ascii="Arial" w:hAnsi="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153.- </w:t>
      </w:r>
      <w:r>
        <w:rPr>
          <w:rFonts w:cs="Arial" w:ascii="Arial" w:hAnsi="Arial"/>
          <w:sz w:val="20"/>
          <w:szCs w:val="20"/>
        </w:rPr>
        <w:t xml:space="preserve">Son infracciones: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bCs/>
          <w:sz w:val="20"/>
          <w:szCs w:val="20"/>
        </w:rPr>
        <w:t>I</w:t>
      </w:r>
      <w:r>
        <w:rPr>
          <w:rFonts w:cs="Arial" w:ascii="Arial" w:hAnsi="Arial"/>
          <w:b/>
          <w:sz w:val="20"/>
          <w:szCs w:val="20"/>
        </w:rPr>
        <w:t>.-</w:t>
      </w:r>
      <w:r>
        <w:rPr>
          <w:rFonts w:cs="Arial" w:ascii="Arial" w:hAnsi="Arial"/>
          <w:sz w:val="20"/>
          <w:szCs w:val="20"/>
        </w:rPr>
        <w:t xml:space="preserve"> La falta de presentación o la presentación extemporánea de los pagos, avisos o manifestaciones que exige esta ley. No cumplir con los requerimientos de las autoridades fiscales para presentar alguno de los documentos a que se refiere este inciso, o cumplir fuera de los plazos señalados en los mismos. </w:t>
      </w:r>
    </w:p>
    <w:p>
      <w:pPr>
        <w:pStyle w:val="Normal"/>
        <w:jc w:val="both"/>
        <w:rPr/>
      </w:pPr>
      <w:r>
        <w:rPr>
          <w:rFonts w:cs="Arial" w:ascii="Arial" w:hAnsi="Arial"/>
          <w:b/>
          <w:bCs/>
          <w:sz w:val="20"/>
          <w:szCs w:val="20"/>
        </w:rPr>
        <w:t>II</w:t>
      </w:r>
      <w:r>
        <w:rPr>
          <w:rFonts w:cs="Arial" w:ascii="Arial" w:hAnsi="Arial"/>
          <w:b/>
          <w:sz w:val="20"/>
          <w:szCs w:val="20"/>
        </w:rPr>
        <w:t>.-</w:t>
      </w:r>
      <w:r>
        <w:rPr>
          <w:rFonts w:cs="Arial" w:ascii="Arial" w:hAnsi="Arial"/>
          <w:sz w:val="20"/>
          <w:szCs w:val="20"/>
        </w:rPr>
        <w:t xml:space="preserve"> 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pPr>
        <w:pStyle w:val="Normal"/>
        <w:jc w:val="both"/>
        <w:rPr>
          <w:rFonts w:ascii="Arial" w:hAnsi="Arial" w:cs="Arial"/>
          <w:b/>
          <w:b/>
          <w:bCs/>
          <w:sz w:val="20"/>
          <w:szCs w:val="20"/>
        </w:rPr>
      </w:pPr>
      <w:r>
        <w:rPr>
          <w:rFonts w:eastAsia="Arial" w:cs="Arial" w:ascii="Arial" w:hAnsi="Arial"/>
          <w:sz w:val="20"/>
          <w:szCs w:val="20"/>
        </w:rPr>
        <w:t xml:space="preserve"> </w:t>
      </w:r>
      <w:r>
        <w:rPr>
          <w:rFonts w:cs="Arial" w:ascii="Arial" w:hAnsi="Arial"/>
          <w:b/>
          <w:bCs/>
          <w:sz w:val="20"/>
          <w:szCs w:val="20"/>
        </w:rPr>
        <w:t xml:space="preserve">III.- </w:t>
      </w:r>
      <w:r>
        <w:rPr>
          <w:rFonts w:cs="Arial" w:ascii="Arial" w:hAnsi="Arial"/>
          <w:sz w:val="20"/>
          <w:szCs w:val="20"/>
        </w:rPr>
        <w:t>La falta de empadronamiento de los obligados a ello, en la Tesorería Municipal dentro de los términos que señala esta ley o seguir funcionando cuando la licencia de funcionamiento le haya sido revocada por resolución de autoridad competente.</w:t>
      </w:r>
    </w:p>
    <w:p>
      <w:pPr>
        <w:pStyle w:val="Normal"/>
        <w:jc w:val="both"/>
        <w:rPr/>
      </w:pPr>
      <w:r>
        <w:rPr>
          <w:rFonts w:cs="Arial" w:ascii="Arial" w:hAnsi="Arial"/>
          <w:b/>
          <w:bCs/>
          <w:sz w:val="20"/>
          <w:szCs w:val="20"/>
        </w:rPr>
        <w:t xml:space="preserve">IV.- </w:t>
      </w:r>
      <w:r>
        <w:rPr>
          <w:rFonts w:cs="Arial" w:ascii="Arial" w:hAnsi="Arial"/>
          <w:sz w:val="20"/>
          <w:szCs w:val="20"/>
        </w:rPr>
        <w:t>No revalidar la licencia municipal de funcionamiento en los términos que dispone esta Ley.</w:t>
      </w:r>
    </w:p>
    <w:p>
      <w:pPr>
        <w:pStyle w:val="Normal"/>
        <w:jc w:val="both"/>
        <w:rPr/>
      </w:pPr>
      <w:r>
        <w:rPr>
          <w:rFonts w:cs="Arial" w:ascii="Arial" w:hAnsi="Arial"/>
          <w:b/>
          <w:bCs/>
          <w:sz w:val="20"/>
          <w:szCs w:val="20"/>
        </w:rPr>
        <w:t xml:space="preserve">V.- </w:t>
      </w:r>
      <w:r>
        <w:rPr>
          <w:rFonts w:cs="Arial" w:ascii="Arial" w:hAnsi="Arial"/>
          <w:sz w:val="20"/>
          <w:szCs w:val="20"/>
        </w:rPr>
        <w:t xml:space="preserve">La falta de presentación o presentación extemporánea de los documentos que conforme a esta Ley, se requieran para acreditar el pago de las contribuciones municipales. </w:t>
      </w:r>
    </w:p>
    <w:p>
      <w:pPr>
        <w:pStyle w:val="Normal"/>
        <w:jc w:val="both"/>
        <w:rPr/>
      </w:pPr>
      <w:r>
        <w:rPr>
          <w:rFonts w:cs="Arial" w:ascii="Arial" w:hAnsi="Arial"/>
          <w:b/>
          <w:bCs/>
          <w:sz w:val="20"/>
          <w:szCs w:val="20"/>
        </w:rPr>
        <w:t>VI</w:t>
      </w:r>
      <w:r>
        <w:rPr>
          <w:rFonts w:cs="Arial" w:ascii="Arial" w:hAnsi="Arial"/>
          <w:b/>
          <w:sz w:val="20"/>
          <w:szCs w:val="20"/>
        </w:rPr>
        <w:t>.-</w:t>
      </w:r>
      <w:r>
        <w:rPr>
          <w:rFonts w:cs="Arial" w:ascii="Arial" w:hAnsi="Arial"/>
          <w:sz w:val="20"/>
          <w:szCs w:val="20"/>
        </w:rPr>
        <w:t xml:space="preserve"> La ocupación de la vía pública, con el objeto de realizar alguna actividad comercial, si no cuentan con el permiso de las autoridades correspondientes.</w:t>
      </w:r>
    </w:p>
    <w:p>
      <w:pPr>
        <w:pStyle w:val="Normal"/>
        <w:jc w:val="both"/>
        <w:rPr/>
      </w:pPr>
      <w:r>
        <w:rPr>
          <w:rFonts w:cs="Arial" w:ascii="Arial" w:hAnsi="Arial"/>
          <w:b/>
          <w:bCs/>
          <w:sz w:val="20"/>
          <w:szCs w:val="20"/>
        </w:rPr>
        <w:t>VII</w:t>
      </w:r>
      <w:r>
        <w:rPr>
          <w:rFonts w:cs="Arial" w:ascii="Arial" w:hAnsi="Arial"/>
          <w:b/>
          <w:sz w:val="20"/>
          <w:szCs w:val="20"/>
        </w:rPr>
        <w:t>.-</w:t>
      </w:r>
      <w:r>
        <w:rPr>
          <w:rFonts w:cs="Arial" w:ascii="Arial" w:hAnsi="Arial"/>
          <w:sz w:val="20"/>
          <w:szCs w:val="20"/>
        </w:rPr>
        <w:t xml:space="preserve"> La matanza de ganado fuera de los rastros públicos municipales, sin obtener la licencia o la autorización respectiva.</w:t>
      </w:r>
    </w:p>
    <w:p>
      <w:pPr>
        <w:pStyle w:val="Normal"/>
        <w:jc w:val="both"/>
        <w:rPr>
          <w:rFonts w:ascii="Arial" w:hAnsi="Arial" w:cs="Arial"/>
          <w:sz w:val="20"/>
          <w:szCs w:val="20"/>
        </w:rPr>
      </w:pPr>
      <w:r>
        <w:rPr>
          <w:rFonts w:cs="Arial" w:ascii="Arial" w:hAnsi="Arial"/>
          <w:b/>
          <w:bCs/>
          <w:sz w:val="20"/>
          <w:szCs w:val="20"/>
        </w:rPr>
        <w:t>VIII</w:t>
      </w:r>
      <w:r>
        <w:rPr>
          <w:rFonts w:cs="Arial" w:ascii="Arial" w:hAnsi="Arial"/>
          <w:b/>
          <w:sz w:val="20"/>
          <w:szCs w:val="20"/>
        </w:rPr>
        <w:t>.-</w:t>
      </w:r>
      <w:r>
        <w:rPr>
          <w:rFonts w:cs="Arial" w:ascii="Arial" w:hAnsi="Arial"/>
          <w:sz w:val="20"/>
          <w:szCs w:val="20"/>
        </w:rPr>
        <w:t xml:space="preserve"> Mantener predios con maleza y sin cercar o con construcción, pero deshabitados y con maleza.</w:t>
      </w:r>
    </w:p>
    <w:p>
      <w:pPr>
        <w:pStyle w:val="Normal"/>
        <w:jc w:val="both"/>
        <w:rPr/>
      </w:pPr>
      <w:r>
        <w:rPr>
          <w:rFonts w:cs="Arial" w:ascii="Arial" w:hAnsi="Arial"/>
          <w:b/>
          <w:bCs/>
          <w:sz w:val="20"/>
          <w:szCs w:val="20"/>
        </w:rPr>
        <w:t>IX</w:t>
      </w:r>
      <w:r>
        <w:rPr>
          <w:rFonts w:cs="Arial" w:ascii="Arial" w:hAnsi="Arial"/>
          <w:sz w:val="20"/>
          <w:szCs w:val="20"/>
        </w:rPr>
        <w:t>.- La falta de cumplimiento o cumplimiento extemporáneo de las obligaciones previstas en el segundo párrafo del artículo 23 de esta Ley.</w:t>
      </w:r>
    </w:p>
    <w:p>
      <w:pPr>
        <w:pStyle w:val="Normal"/>
        <w:jc w:val="both"/>
        <w:rPr/>
      </w:pPr>
      <w:r>
        <w:rPr>
          <w:rFonts w:cs="Arial" w:ascii="Arial" w:hAnsi="Arial"/>
          <w:b/>
          <w:bCs/>
          <w:sz w:val="20"/>
          <w:szCs w:val="20"/>
        </w:rPr>
        <w:t>X.-</w:t>
      </w:r>
      <w:r>
        <w:rPr>
          <w:rFonts w:cs="Arial" w:ascii="Arial" w:hAnsi="Arial"/>
          <w:sz w:val="20"/>
          <w:szCs w:val="20"/>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pPr>
        <w:pStyle w:val="Normal"/>
        <w:jc w:val="both"/>
        <w:rPr/>
      </w:pPr>
      <w:r>
        <w:rPr>
          <w:rFonts w:cs="Arial" w:ascii="Arial" w:hAnsi="Arial"/>
          <w:b/>
          <w:bCs/>
          <w:sz w:val="20"/>
          <w:szCs w:val="20"/>
        </w:rPr>
        <w:t xml:space="preserve">XI.- </w:t>
      </w:r>
      <w:r>
        <w:rPr>
          <w:rFonts w:cs="Arial" w:ascii="Arial" w:hAnsi="Arial"/>
          <w:sz w:val="20"/>
          <w:szCs w:val="20"/>
        </w:rPr>
        <w:t>Proporcionar o manifestar datos falsos a la autoridad fiscal, de conformidad con lo establecido en esta Ley.</w:t>
      </w:r>
    </w:p>
    <w:p>
      <w:pPr>
        <w:pStyle w:val="Normal"/>
        <w:jc w:val="both"/>
        <w:rPr/>
      </w:pPr>
      <w:r>
        <w:rPr>
          <w:rFonts w:cs="Arial" w:ascii="Arial" w:hAnsi="Arial"/>
          <w:b/>
          <w:bCs/>
          <w:sz w:val="20"/>
          <w:szCs w:val="20"/>
        </w:rPr>
        <w:t>XII.-</w:t>
      </w:r>
      <w:r>
        <w:rPr>
          <w:rFonts w:cs="Arial" w:ascii="Arial" w:hAnsi="Arial"/>
          <w:sz w:val="20"/>
          <w:szCs w:val="20"/>
        </w:rPr>
        <w:t xml:space="preserve"> Omitir contribuciones retenidas</w:t>
      </w:r>
    </w:p>
    <w:p>
      <w:pPr>
        <w:pStyle w:val="Normal"/>
        <w:jc w:val="both"/>
        <w:rPr/>
      </w:pPr>
      <w:r>
        <w:rPr>
          <w:rFonts w:cs="Arial" w:ascii="Arial" w:hAnsi="Arial"/>
          <w:b/>
          <w:bCs/>
          <w:sz w:val="20"/>
          <w:szCs w:val="20"/>
        </w:rPr>
        <w:t>XIII.</w:t>
      </w:r>
      <w:r>
        <w:rPr>
          <w:rFonts w:cs="Arial" w:ascii="Arial" w:hAnsi="Arial"/>
          <w:sz w:val="20"/>
          <w:szCs w:val="20"/>
        </w:rPr>
        <w:t xml:space="preserve"> Instalar en forma clandestina conexiones de agua potable.</w:t>
      </w:r>
    </w:p>
    <w:p>
      <w:pPr>
        <w:pStyle w:val="Normal"/>
        <w:jc w:val="both"/>
        <w:rPr/>
      </w:pPr>
      <w:r>
        <w:rPr>
          <w:rFonts w:cs="Arial" w:ascii="Arial" w:hAnsi="Arial"/>
          <w:b/>
          <w:bCs/>
          <w:sz w:val="20"/>
          <w:szCs w:val="20"/>
        </w:rPr>
        <w:t>XIV.-</w:t>
      </w:r>
      <w:r>
        <w:rPr>
          <w:rFonts w:cs="Arial" w:ascii="Arial" w:hAnsi="Arial"/>
          <w:sz w:val="20"/>
          <w:szCs w:val="20"/>
        </w:rPr>
        <w:t xml:space="preserve"> Conectar directamente a la red de agua potable del Municipio de Oxkutzcab equipos de bombeo para succión.</w:t>
      </w:r>
    </w:p>
    <w:p>
      <w:pPr>
        <w:pStyle w:val="Normal"/>
        <w:jc w:val="both"/>
        <w:rPr/>
      </w:pPr>
      <w:r>
        <w:rPr>
          <w:rFonts w:cs="Arial" w:ascii="Arial" w:hAnsi="Arial"/>
          <w:b/>
          <w:bCs/>
          <w:sz w:val="20"/>
          <w:szCs w:val="20"/>
        </w:rPr>
        <w:t>XV.-</w:t>
      </w:r>
      <w:r>
        <w:rPr>
          <w:rFonts w:cs="Arial" w:ascii="Arial" w:hAnsi="Arial"/>
          <w:sz w:val="20"/>
          <w:szCs w:val="20"/>
        </w:rPr>
        <w:t xml:space="preserve"> Interconectar a la red de agua potable del Municipio de Oxkutzcab líneas de distribución no autorizadas.</w:t>
      </w:r>
    </w:p>
    <w:p>
      <w:pPr>
        <w:pStyle w:val="Normal"/>
        <w:jc w:val="both"/>
        <w:rPr/>
      </w:pPr>
      <w:r>
        <w:rPr>
          <w:rFonts w:cs="Arial" w:ascii="Arial" w:hAnsi="Arial"/>
          <w:b/>
          <w:bCs/>
          <w:sz w:val="20"/>
          <w:szCs w:val="20"/>
        </w:rPr>
        <w:t>XVI.-</w:t>
      </w:r>
      <w:r>
        <w:rPr>
          <w:rFonts w:cs="Arial" w:ascii="Arial" w:hAnsi="Arial"/>
          <w:sz w:val="20"/>
          <w:szCs w:val="20"/>
        </w:rPr>
        <w:t xml:space="preserve"> Desperdiciar o hacer uso indebido del agua potable, así como tirarla a la calle, incluso si es resultante de residuos de otros usos.</w:t>
      </w:r>
    </w:p>
    <w:p>
      <w:pPr>
        <w:pStyle w:val="Normal"/>
        <w:jc w:val="both"/>
        <w:rPr>
          <w:rFonts w:ascii="Arial" w:hAnsi="Arial" w:cs="Arial"/>
          <w:sz w:val="20"/>
          <w:szCs w:val="20"/>
        </w:rPr>
      </w:pPr>
      <w:r>
        <w:rPr>
          <w:rFonts w:cs="Arial" w:ascii="Arial" w:hAnsi="Arial"/>
          <w:b/>
          <w:bCs/>
          <w:sz w:val="20"/>
          <w:szCs w:val="20"/>
        </w:rPr>
        <w:t>XVII.-</w:t>
      </w:r>
      <w:r>
        <w:rPr>
          <w:rFonts w:cs="Arial" w:ascii="Arial" w:hAnsi="Arial"/>
          <w:sz w:val="20"/>
          <w:szCs w:val="20"/>
        </w:rPr>
        <w:t xml:space="preserve"> Tirar basura a la calle y en lugares no autorizados para ello.</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eastAsia="Arial" w:cs="Arial" w:ascii="Arial" w:hAnsi="Arial"/>
          <w:sz w:val="20"/>
          <w:szCs w:val="20"/>
        </w:rPr>
        <w:t xml:space="preserve"> </w:t>
      </w:r>
      <w:r>
        <w:rPr>
          <w:rFonts w:cs="Arial" w:ascii="Arial" w:hAnsi="Arial"/>
          <w:b/>
          <w:sz w:val="20"/>
          <w:szCs w:val="20"/>
        </w:rPr>
        <w:t>CAPÍTULO III</w:t>
      </w:r>
    </w:p>
    <w:p>
      <w:pPr>
        <w:pStyle w:val="Normal"/>
        <w:jc w:val="center"/>
        <w:rPr>
          <w:rFonts w:ascii="Arial" w:hAnsi="Arial" w:cs="Arial"/>
          <w:b/>
          <w:b/>
          <w:sz w:val="20"/>
          <w:szCs w:val="20"/>
        </w:rPr>
      </w:pPr>
      <w:r>
        <w:rPr>
          <w:rFonts w:cs="Arial" w:ascii="Arial" w:hAnsi="Arial"/>
          <w:b/>
          <w:sz w:val="20"/>
          <w:szCs w:val="20"/>
        </w:rPr>
        <w:t xml:space="preserve">Multas </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 xml:space="preserve">Artículo 154.- </w:t>
      </w:r>
      <w:r>
        <w:rPr>
          <w:rFonts w:cs="Arial" w:ascii="Arial" w:hAnsi="Arial"/>
          <w:sz w:val="20"/>
          <w:szCs w:val="20"/>
        </w:rPr>
        <w:t>Las personas físicas y morales que cometan las infracciones a que se refiere el artículo 153, se hará acreedor de las siguientes sanciones:</w:t>
      </w:r>
    </w:p>
    <w:p>
      <w:pPr>
        <w:pStyle w:val="Normal"/>
        <w:jc w:val="both"/>
        <w:rPr>
          <w:rFonts w:ascii="Arial" w:hAnsi="Arial" w:cs="Arial"/>
          <w:sz w:val="20"/>
          <w:szCs w:val="20"/>
        </w:rPr>
      </w:pPr>
      <w:r>
        <w:rPr>
          <w:rFonts w:cs="Arial" w:ascii="Arial" w:hAnsi="Arial"/>
          <w:b/>
          <w:bCs/>
          <w:sz w:val="20"/>
          <w:szCs w:val="20"/>
        </w:rPr>
        <w:t>I.-</w:t>
      </w:r>
      <w:r>
        <w:rPr>
          <w:rFonts w:cs="Arial" w:ascii="Arial" w:hAnsi="Arial"/>
          <w:sz w:val="20"/>
          <w:szCs w:val="20"/>
        </w:rPr>
        <w:t xml:space="preserve"> Multa de 5 a 10 veces la unidad de medida y actualización, a las comprendidas en la fracción </w:t>
      </w:r>
    </w:p>
    <w:p>
      <w:pPr>
        <w:pStyle w:val="Normal"/>
        <w:jc w:val="both"/>
        <w:rPr/>
      </w:pPr>
      <w:r>
        <w:rPr>
          <w:rFonts w:eastAsia="Arial" w:cs="Arial" w:ascii="Arial" w:hAnsi="Arial"/>
          <w:sz w:val="20"/>
          <w:szCs w:val="20"/>
        </w:rPr>
        <w:t xml:space="preserve">    </w:t>
      </w:r>
      <w:r>
        <w:rPr>
          <w:rFonts w:cs="Arial" w:ascii="Arial" w:hAnsi="Arial"/>
          <w:sz w:val="20"/>
          <w:szCs w:val="20"/>
        </w:rPr>
        <w:t>XIIl.</w:t>
      </w:r>
    </w:p>
    <w:p>
      <w:pPr>
        <w:pStyle w:val="Normal"/>
        <w:jc w:val="both"/>
        <w:rPr/>
      </w:pPr>
      <w:r>
        <w:rPr>
          <w:rFonts w:cs="Arial" w:ascii="Arial" w:hAnsi="Arial"/>
          <w:b/>
          <w:bCs/>
          <w:sz w:val="20"/>
          <w:szCs w:val="20"/>
        </w:rPr>
        <w:t>II.-</w:t>
      </w:r>
      <w:r>
        <w:rPr>
          <w:rFonts w:cs="Arial" w:ascii="Arial" w:hAnsi="Arial"/>
          <w:sz w:val="20"/>
          <w:szCs w:val="20"/>
        </w:rPr>
        <w:t xml:space="preserve"> Multa de 10 a 15 veces la unidad de medida y actualización, a las comprendidas en las fracciones I, III, IV, V, VIII y IX</w:t>
      </w:r>
    </w:p>
    <w:p>
      <w:pPr>
        <w:pStyle w:val="Normal"/>
        <w:jc w:val="both"/>
        <w:rPr/>
      </w:pPr>
      <w:r>
        <w:rPr>
          <w:rFonts w:cs="Arial" w:ascii="Arial" w:hAnsi="Arial"/>
          <w:b/>
          <w:bCs/>
          <w:sz w:val="20"/>
          <w:szCs w:val="20"/>
        </w:rPr>
        <w:t>III.-</w:t>
      </w:r>
      <w:r>
        <w:rPr>
          <w:rFonts w:cs="Arial" w:ascii="Arial" w:hAnsi="Arial"/>
          <w:sz w:val="20"/>
          <w:szCs w:val="20"/>
        </w:rPr>
        <w:t xml:space="preserve"> Multa de 25 a 30 veces la unidad de medida y actualización, a la establecida en las fracciones VI, XIV, XVI y XVII. </w:t>
      </w:r>
    </w:p>
    <w:p>
      <w:pPr>
        <w:pStyle w:val="Normal"/>
        <w:jc w:val="both"/>
        <w:rPr/>
      </w:pPr>
      <w:r>
        <w:rPr>
          <w:rFonts w:cs="Arial" w:ascii="Arial" w:hAnsi="Arial"/>
          <w:b/>
          <w:bCs/>
          <w:sz w:val="20"/>
          <w:szCs w:val="20"/>
        </w:rPr>
        <w:t>IV.-</w:t>
      </w:r>
      <w:r>
        <w:rPr>
          <w:rFonts w:cs="Arial" w:ascii="Arial" w:hAnsi="Arial"/>
          <w:sz w:val="20"/>
          <w:szCs w:val="20"/>
        </w:rPr>
        <w:t xml:space="preserve"> Multa de 50 a 60 veces la unidad de medida y actualización, a la establecida en las fracciones II y XV.</w:t>
      </w:r>
    </w:p>
    <w:p>
      <w:pPr>
        <w:pStyle w:val="Normal"/>
        <w:jc w:val="both"/>
        <w:rPr/>
      </w:pPr>
      <w:r>
        <w:rPr>
          <w:rFonts w:cs="Arial" w:ascii="Arial" w:hAnsi="Arial"/>
          <w:b/>
          <w:bCs/>
          <w:sz w:val="20"/>
          <w:szCs w:val="20"/>
        </w:rPr>
        <w:t>V.-</w:t>
      </w:r>
      <w:r>
        <w:rPr>
          <w:rFonts w:cs="Arial" w:ascii="Arial" w:hAnsi="Arial"/>
          <w:sz w:val="20"/>
          <w:szCs w:val="20"/>
        </w:rPr>
        <w:t xml:space="preserve"> Multa de 150 a 170 veces la unidad de medida y actualización, a la establecida en la fracción   </w:t>
      </w:r>
    </w:p>
    <w:p>
      <w:pPr>
        <w:pStyle w:val="Normal"/>
        <w:jc w:val="both"/>
        <w:rPr/>
      </w:pPr>
      <w:r>
        <w:rPr>
          <w:rFonts w:eastAsia="Arial" w:cs="Arial" w:ascii="Arial" w:hAnsi="Arial"/>
          <w:sz w:val="20"/>
          <w:szCs w:val="20"/>
        </w:rPr>
        <w:t xml:space="preserve">      </w:t>
      </w:r>
      <w:r>
        <w:rPr>
          <w:rFonts w:cs="Arial" w:ascii="Arial" w:hAnsi="Arial"/>
          <w:sz w:val="20"/>
          <w:szCs w:val="20"/>
        </w:rPr>
        <w:t>VII.</w:t>
      </w:r>
    </w:p>
    <w:p>
      <w:pPr>
        <w:pStyle w:val="Normal"/>
        <w:jc w:val="both"/>
        <w:rPr>
          <w:rFonts w:ascii="Arial" w:hAnsi="Arial" w:cs="Arial"/>
          <w:sz w:val="20"/>
          <w:szCs w:val="20"/>
        </w:rPr>
      </w:pPr>
      <w:r>
        <w:rPr>
          <w:rFonts w:cs="Arial" w:ascii="Arial" w:hAnsi="Arial"/>
          <w:b/>
          <w:bCs/>
          <w:sz w:val="20"/>
          <w:szCs w:val="20"/>
        </w:rPr>
        <w:t xml:space="preserve">VI.- </w:t>
      </w:r>
      <w:r>
        <w:rPr>
          <w:rFonts w:cs="Arial" w:ascii="Arial" w:hAnsi="Arial"/>
          <w:sz w:val="20"/>
          <w:szCs w:val="20"/>
        </w:rPr>
        <w:t xml:space="preserve">Multa de 50 a 60 veces la unidad de medida y actualización, a la establecida en la fracción </w:t>
      </w:r>
    </w:p>
    <w:p>
      <w:pPr>
        <w:pStyle w:val="Normal"/>
        <w:jc w:val="both"/>
        <w:rPr/>
      </w:pPr>
      <w:r>
        <w:rPr>
          <w:rFonts w:eastAsia="Arial" w:cs="Arial" w:ascii="Arial" w:hAnsi="Arial"/>
          <w:sz w:val="20"/>
          <w:szCs w:val="20"/>
        </w:rPr>
        <w:t xml:space="preserve">       </w:t>
      </w:r>
      <w:r>
        <w:rPr>
          <w:rFonts w:cs="Arial" w:ascii="Arial" w:hAnsi="Arial"/>
          <w:sz w:val="20"/>
          <w:szCs w:val="20"/>
        </w:rPr>
        <w:t xml:space="preserve">X, XI y XII. </w:t>
      </w:r>
    </w:p>
    <w:p>
      <w:pPr>
        <w:pStyle w:val="Normal"/>
        <w:jc w:val="both"/>
        <w:rPr>
          <w:rFonts w:ascii="Arial" w:hAnsi="Arial" w:cs="Arial"/>
          <w:sz w:val="20"/>
          <w:szCs w:val="20"/>
        </w:rPr>
      </w:pPr>
      <w:r>
        <w:rPr>
          <w:rFonts w:cs="Arial" w:ascii="Arial" w:hAnsi="Arial"/>
          <w:sz w:val="20"/>
          <w:szCs w:val="20"/>
        </w:rPr>
        <w:t>Para el caso de las infracciones previstas en las fracciones III, IV y IX del artículo 153 de esta Ley, sin perjuicio de la sanción que corresponda, el Director de Recaudación y Fiscalización o el Tesorero Municipal, quedarán facultados para ordenar la clausura temporal del comercio, negocio o establecimiento que corresponda, por el tiempo que subsista la infracción.</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bCs/>
          <w:sz w:val="20"/>
          <w:szCs w:val="20"/>
        </w:rPr>
      </w:pPr>
      <w:r>
        <w:rPr>
          <w:rFonts w:cs="Arial" w:ascii="Arial" w:hAnsi="Arial"/>
          <w:b/>
          <w:bCs/>
          <w:sz w:val="20"/>
          <w:szCs w:val="20"/>
        </w:rPr>
        <w:t>TÍTULO CUARTO</w:t>
      </w:r>
    </w:p>
    <w:p>
      <w:pPr>
        <w:pStyle w:val="Normal"/>
        <w:jc w:val="center"/>
        <w:rPr>
          <w:rFonts w:ascii="Arial" w:hAnsi="Arial" w:cs="Arial"/>
          <w:b/>
          <w:b/>
          <w:bCs/>
          <w:sz w:val="20"/>
          <w:szCs w:val="20"/>
        </w:rPr>
      </w:pPr>
      <w:r>
        <w:rPr>
          <w:rFonts w:cs="Arial" w:ascii="Arial" w:hAnsi="Arial"/>
          <w:b/>
          <w:bCs/>
          <w:sz w:val="20"/>
          <w:szCs w:val="20"/>
        </w:rPr>
        <w:t>DEL PROCEDIMIENTO ADMINISTRATIVO DE EJECUCIÓN</w:t>
      </w:r>
    </w:p>
    <w:p>
      <w:pPr>
        <w:pStyle w:val="Normal"/>
        <w:jc w:val="both"/>
        <w:rPr>
          <w:rFonts w:ascii="Arial" w:hAnsi="Arial" w:cs="Arial"/>
          <w:b/>
          <w:b/>
          <w:bCs/>
          <w:sz w:val="20"/>
          <w:szCs w:val="20"/>
        </w:rPr>
      </w:pPr>
      <w:r>
        <w:rPr>
          <w:rFonts w:cs="Arial" w:ascii="Arial" w:hAnsi="Arial"/>
          <w:b/>
          <w:bCs/>
          <w:sz w:val="20"/>
          <w:szCs w:val="20"/>
        </w:rPr>
      </w:r>
    </w:p>
    <w:p>
      <w:pPr>
        <w:pStyle w:val="Normal"/>
        <w:jc w:val="center"/>
        <w:rPr>
          <w:rFonts w:ascii="Arial" w:hAnsi="Arial" w:cs="Arial"/>
          <w:b/>
          <w:b/>
          <w:sz w:val="20"/>
          <w:szCs w:val="20"/>
        </w:rPr>
      </w:pPr>
      <w:r>
        <w:rPr>
          <w:rFonts w:cs="Arial" w:ascii="Arial" w:hAnsi="Arial"/>
          <w:b/>
          <w:sz w:val="20"/>
          <w:szCs w:val="20"/>
        </w:rPr>
        <w:t>CAPÍTULO I</w:t>
      </w:r>
    </w:p>
    <w:p>
      <w:pPr>
        <w:pStyle w:val="Normal"/>
        <w:jc w:val="center"/>
        <w:rPr>
          <w:rFonts w:ascii="Arial" w:hAnsi="Arial" w:cs="Arial"/>
          <w:b/>
          <w:b/>
          <w:sz w:val="20"/>
          <w:szCs w:val="20"/>
        </w:rPr>
      </w:pPr>
      <w:r>
        <w:rPr>
          <w:rFonts w:cs="Arial" w:ascii="Arial" w:hAnsi="Arial"/>
          <w:b/>
          <w:sz w:val="20"/>
          <w:szCs w:val="20"/>
        </w:rPr>
        <w:t>Generalidades</w:t>
      </w:r>
    </w:p>
    <w:p>
      <w:pPr>
        <w:pStyle w:val="Normal"/>
        <w:jc w:val="both"/>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 xml:space="preserve">Artículo 155.- </w:t>
      </w:r>
      <w:r>
        <w:rPr>
          <w:rFonts w:cs="Arial" w:ascii="Arial" w:hAnsi="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Artículo 156.- </w:t>
      </w:r>
      <w:r>
        <w:rPr>
          <w:rFonts w:cs="Arial" w:ascii="Arial" w:hAnsi="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pPr>
        <w:pStyle w:val="Normal"/>
        <w:jc w:val="both"/>
        <w:rPr>
          <w:rFonts w:ascii="Arial" w:hAnsi="Arial" w:cs="Arial"/>
          <w:sz w:val="20"/>
          <w:szCs w:val="20"/>
        </w:rPr>
      </w:pPr>
      <w:r>
        <w:rPr>
          <w:rFonts w:cs="Arial" w:ascii="Arial" w:hAnsi="Arial"/>
          <w:sz w:val="20"/>
          <w:szCs w:val="20"/>
        </w:rPr>
      </w:r>
    </w:p>
    <w:p>
      <w:pPr>
        <w:pStyle w:val="Normal"/>
        <w:numPr>
          <w:ilvl w:val="0"/>
          <w:numId w:val="8"/>
        </w:numPr>
        <w:jc w:val="both"/>
        <w:rPr>
          <w:rFonts w:ascii="Arial" w:hAnsi="Arial" w:cs="Arial"/>
          <w:sz w:val="20"/>
          <w:szCs w:val="20"/>
        </w:rPr>
      </w:pPr>
      <w:r>
        <w:rPr>
          <w:rFonts w:cs="Arial" w:ascii="Arial" w:hAnsi="Arial"/>
          <w:sz w:val="20"/>
          <w:szCs w:val="20"/>
        </w:rPr>
        <w:t>Requerimiento;</w:t>
      </w:r>
    </w:p>
    <w:p>
      <w:pPr>
        <w:pStyle w:val="Normal"/>
        <w:numPr>
          <w:ilvl w:val="0"/>
          <w:numId w:val="8"/>
        </w:numPr>
        <w:jc w:val="both"/>
        <w:rPr>
          <w:rFonts w:ascii="Arial" w:hAnsi="Arial" w:cs="Arial"/>
          <w:sz w:val="20"/>
          <w:szCs w:val="20"/>
        </w:rPr>
      </w:pPr>
      <w:r>
        <w:rPr>
          <w:rFonts w:cs="Arial" w:ascii="Arial" w:hAnsi="Arial"/>
          <w:sz w:val="20"/>
          <w:szCs w:val="20"/>
        </w:rPr>
        <w:t>Embargo, y</w:t>
      </w:r>
    </w:p>
    <w:p>
      <w:pPr>
        <w:pStyle w:val="Normal"/>
        <w:numPr>
          <w:ilvl w:val="0"/>
          <w:numId w:val="8"/>
        </w:numPr>
        <w:jc w:val="both"/>
        <w:rPr>
          <w:rFonts w:ascii="Arial" w:hAnsi="Arial" w:cs="Arial"/>
          <w:sz w:val="20"/>
          <w:szCs w:val="20"/>
        </w:rPr>
      </w:pPr>
      <w:r>
        <w:rPr>
          <w:rFonts w:cs="Arial" w:ascii="Arial" w:hAnsi="Arial"/>
          <w:sz w:val="20"/>
          <w:szCs w:val="20"/>
        </w:rPr>
        <w:t>Honorarios o enajenación fuera de remate.</w:t>
      </w:r>
    </w:p>
    <w:p>
      <w:pPr>
        <w:pStyle w:val="Normal"/>
        <w:ind w:firstLine="6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Cuando el 3% del importe del crédito omitido, fuere inferior al importe de un salario mínimo, se cobrará el monto de un salario en lugar del mencionado 3% del crédito omitido.</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II</w:t>
      </w:r>
    </w:p>
    <w:p>
      <w:pPr>
        <w:pStyle w:val="Ttulo3"/>
        <w:numPr>
          <w:ilvl w:val="0"/>
          <w:numId w:val="0"/>
        </w:numPr>
        <w:spacing w:lineRule="auto" w:line="240" w:before="0" w:after="0"/>
        <w:ind w:left="0" w:right="0" w:hanging="0"/>
        <w:rPr>
          <w:spacing w:val="0"/>
          <w:sz w:val="20"/>
          <w:szCs w:val="20"/>
        </w:rPr>
      </w:pPr>
      <w:r>
        <w:rPr>
          <w:spacing w:val="0"/>
          <w:sz w:val="20"/>
          <w:szCs w:val="20"/>
        </w:rPr>
        <w:t>De los Gastos Extraordinarios de Ejecución</w:t>
      </w:r>
    </w:p>
    <w:p>
      <w:pPr>
        <w:pStyle w:val="Normal"/>
        <w:rPr>
          <w:rFonts w:ascii="Arial" w:hAnsi="Arial" w:cs="Arial"/>
          <w:spacing w:val="0"/>
          <w:sz w:val="20"/>
          <w:szCs w:val="20"/>
          <w:lang w:val="es-ES_tradnl"/>
        </w:rPr>
      </w:pPr>
      <w:r>
        <w:rPr>
          <w:rFonts w:cs="Arial" w:ascii="Arial" w:hAnsi="Arial"/>
          <w:spacing w:val="0"/>
          <w:sz w:val="20"/>
          <w:szCs w:val="20"/>
          <w:lang w:val="es-ES_tradnl"/>
        </w:rPr>
      </w:r>
    </w:p>
    <w:p>
      <w:pPr>
        <w:pStyle w:val="Normal"/>
        <w:jc w:val="both"/>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 xml:space="preserve">Artículo 157.- </w:t>
      </w:r>
      <w:r>
        <w:rPr>
          <w:rFonts w:cs="Arial" w:ascii="Arial" w:hAnsi="Arial"/>
          <w:sz w:val="20"/>
          <w:szCs w:val="20"/>
        </w:rPr>
        <w:t>Además de los gastos mencionados en el Artículo anterior, el contribuyente, queda obligado a pagar los gastos extraordinarios que se hubiesen erogado, por los siguientes conceptos:</w:t>
      </w:r>
    </w:p>
    <w:p>
      <w:pPr>
        <w:pStyle w:val="Normal"/>
        <w:jc w:val="both"/>
        <w:rPr>
          <w:rFonts w:ascii="Arial" w:hAnsi="Arial" w:cs="Arial"/>
          <w:sz w:val="20"/>
          <w:szCs w:val="20"/>
        </w:rPr>
      </w:pPr>
      <w:r>
        <w:rPr>
          <w:rFonts w:cs="Arial" w:ascii="Arial" w:hAnsi="Arial"/>
          <w:sz w:val="20"/>
          <w:szCs w:val="20"/>
        </w:rPr>
        <w:t>  </w:t>
      </w:r>
    </w:p>
    <w:p>
      <w:pPr>
        <w:pStyle w:val="Normal"/>
        <w:numPr>
          <w:ilvl w:val="0"/>
          <w:numId w:val="19"/>
        </w:numPr>
        <w:jc w:val="both"/>
        <w:rPr>
          <w:rFonts w:ascii="Arial" w:hAnsi="Arial" w:cs="Arial"/>
          <w:sz w:val="20"/>
          <w:szCs w:val="20"/>
        </w:rPr>
      </w:pPr>
      <w:r>
        <w:rPr>
          <w:rFonts w:cs="Arial" w:ascii="Arial" w:hAnsi="Arial"/>
          <w:sz w:val="20"/>
          <w:szCs w:val="20"/>
        </w:rPr>
        <w:t>Gastos de transporte de los bienes embargados.</w:t>
      </w:r>
    </w:p>
    <w:p>
      <w:pPr>
        <w:pStyle w:val="Normal"/>
        <w:numPr>
          <w:ilvl w:val="0"/>
          <w:numId w:val="19"/>
        </w:numPr>
        <w:jc w:val="both"/>
        <w:rPr>
          <w:rFonts w:ascii="Arial" w:hAnsi="Arial" w:cs="Arial"/>
          <w:sz w:val="20"/>
          <w:szCs w:val="20"/>
        </w:rPr>
      </w:pPr>
      <w:r>
        <w:rPr>
          <w:rFonts w:cs="Arial" w:ascii="Arial" w:hAnsi="Arial"/>
          <w:sz w:val="20"/>
          <w:szCs w:val="20"/>
        </w:rPr>
        <w:t>Gastos de impresión y publicación de convocatorias.</w:t>
      </w:r>
    </w:p>
    <w:p>
      <w:pPr>
        <w:pStyle w:val="Normal"/>
        <w:numPr>
          <w:ilvl w:val="0"/>
          <w:numId w:val="19"/>
        </w:numPr>
        <w:jc w:val="both"/>
        <w:rPr>
          <w:rFonts w:ascii="Arial" w:hAnsi="Arial" w:cs="Arial"/>
          <w:sz w:val="20"/>
          <w:szCs w:val="20"/>
        </w:rPr>
      </w:pPr>
      <w:r>
        <w:rPr>
          <w:rFonts w:cs="Arial" w:ascii="Arial" w:hAnsi="Arial"/>
          <w:sz w:val="20"/>
          <w:szCs w:val="20"/>
        </w:rPr>
        <w:t>Gastos de inscripción o de cancelación de gravámenes, en el Registro Público de la Propiedad y de Comercio del Estado.</w:t>
      </w:r>
    </w:p>
    <w:p>
      <w:pPr>
        <w:pStyle w:val="Normal"/>
        <w:numPr>
          <w:ilvl w:val="0"/>
          <w:numId w:val="19"/>
        </w:numPr>
        <w:jc w:val="both"/>
        <w:rPr>
          <w:rFonts w:ascii="Arial" w:hAnsi="Arial" w:cs="Arial"/>
          <w:sz w:val="20"/>
          <w:szCs w:val="20"/>
        </w:rPr>
      </w:pPr>
      <w:r>
        <w:rPr>
          <w:rFonts w:cs="Arial" w:ascii="Arial" w:hAnsi="Arial"/>
          <w:sz w:val="20"/>
          <w:szCs w:val="20"/>
        </w:rPr>
        <w:t>Gastos del certificado de libertad de gravamen.</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158.- </w:t>
      </w:r>
      <w:r>
        <w:rPr>
          <w:rFonts w:cs="Arial" w:ascii="Arial" w:hAnsi="Arial"/>
          <w:sz w:val="20"/>
          <w:szCs w:val="20"/>
        </w:rPr>
        <w:t>Los gastos de ejecución mencionados, no serán objeto de exención, disminución, condonación o convenio.</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CAPÍTULO III</w:t>
      </w:r>
    </w:p>
    <w:p>
      <w:pPr>
        <w:pStyle w:val="Ttulo2"/>
        <w:spacing w:lineRule="auto" w:line="240" w:before="0" w:after="0"/>
        <w:ind w:left="0" w:right="0" w:hanging="0"/>
        <w:jc w:val="center"/>
        <w:rPr>
          <w:rFonts w:cs="Arial"/>
          <w:sz w:val="20"/>
        </w:rPr>
      </w:pPr>
      <w:r>
        <w:rPr>
          <w:rFonts w:cs="Arial"/>
          <w:sz w:val="20"/>
        </w:rPr>
        <w:t>Del Remate en Subasta Pública</w:t>
      </w:r>
    </w:p>
    <w:p>
      <w:pPr>
        <w:pStyle w:val="Normal"/>
        <w:rPr>
          <w:rFonts w:ascii="Arial" w:hAnsi="Arial" w:cs="Arial"/>
          <w:sz w:val="20"/>
          <w:szCs w:val="20"/>
          <w:lang w:val="es-ES_tradnl"/>
        </w:rPr>
      </w:pPr>
      <w:r>
        <w:rPr>
          <w:rFonts w:cs="Arial" w:ascii="Arial" w:hAnsi="Arial"/>
          <w:sz w:val="20"/>
          <w:szCs w:val="20"/>
          <w:lang w:val="es-ES_tradnl"/>
        </w:rPr>
      </w:r>
    </w:p>
    <w:p>
      <w:pPr>
        <w:pStyle w:val="Normal"/>
        <w:jc w:val="both"/>
        <w:rPr/>
      </w:pPr>
      <w:r>
        <w:rPr>
          <w:rFonts w:cs="Arial" w:ascii="Arial" w:hAnsi="Arial"/>
          <w:b/>
          <w:sz w:val="20"/>
          <w:szCs w:val="20"/>
        </w:rPr>
        <w:t>Artículo 159.-</w:t>
      </w:r>
      <w:r>
        <w:rPr>
          <w:rFonts w:cs="Arial" w:ascii="Arial" w:hAnsi="Arial"/>
          <w:sz w:val="20"/>
          <w:szCs w:val="20"/>
        </w:rPr>
        <w:t xml:space="preserve"> Todos los bienes que con motivo de un procedimiento de ejecución sean embargados por la autoridad municipal, serán rematados en subasta pública y el producto de la misma, aplicado al pago del crédito fiscal de que se trate.</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sz w:val="20"/>
          <w:szCs w:val="20"/>
        </w:rPr>
        <w:t>En caso de que habiéndose publicado la tercera convocatoria para la almoneda, no se presentaren postores, los bienes embargados, se adjudicarán al Municipio de Oxkutzcab,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pPr>
        <w:pStyle w:val="Normal"/>
        <w:jc w:val="both"/>
        <w:rPr>
          <w:rFonts w:ascii="Arial" w:hAnsi="Arial" w:cs="Arial"/>
          <w:sz w:val="20"/>
          <w:szCs w:val="20"/>
        </w:rPr>
      </w:pP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t>En todo caso, se aplicarán a los remates las reglas que para tal efecto fije el Código Fiscal del Estado de Yucatán y en su defecto las del Código Fiscal de la Federación y su reglamento.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Ttulo1"/>
        <w:spacing w:before="0" w:after="0"/>
        <w:rPr>
          <w:rFonts w:cs="Arial"/>
          <w:sz w:val="20"/>
        </w:rPr>
      </w:pPr>
      <w:r>
        <w:rPr>
          <w:rFonts w:cs="Arial"/>
          <w:sz w:val="20"/>
        </w:rPr>
        <w:t>TÍTULO QUINTO</w:t>
      </w:r>
    </w:p>
    <w:p>
      <w:pPr>
        <w:pStyle w:val="Normal"/>
        <w:jc w:val="center"/>
        <w:rPr>
          <w:rFonts w:ascii="Arial" w:hAnsi="Arial" w:cs="Arial"/>
          <w:b/>
          <w:b/>
          <w:sz w:val="20"/>
          <w:szCs w:val="20"/>
        </w:rPr>
      </w:pPr>
      <w:r>
        <w:rPr>
          <w:rFonts w:cs="Arial" w:ascii="Arial" w:hAnsi="Arial"/>
          <w:b/>
          <w:sz w:val="20"/>
          <w:szCs w:val="20"/>
        </w:rPr>
        <w:t>DE LOS RECURSOS</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CAPÍTULO ÚNICO</w:t>
      </w:r>
    </w:p>
    <w:p>
      <w:pPr>
        <w:pStyle w:val="Normal"/>
        <w:jc w:val="center"/>
        <w:rPr>
          <w:rFonts w:ascii="Arial" w:hAnsi="Arial" w:cs="Arial"/>
          <w:b/>
          <w:b/>
          <w:sz w:val="20"/>
          <w:szCs w:val="20"/>
        </w:rPr>
      </w:pPr>
      <w:r>
        <w:rPr>
          <w:rFonts w:cs="Arial" w:ascii="Arial" w:hAnsi="Arial"/>
          <w:b/>
          <w:sz w:val="20"/>
          <w:szCs w:val="20"/>
        </w:rPr>
        <w:t>Disposiciones Generales</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Artículo 160.-</w:t>
      </w:r>
      <w:r>
        <w:rPr>
          <w:rFonts w:cs="Arial" w:ascii="Arial" w:hAnsi="Arial"/>
          <w:sz w:val="20"/>
          <w:szCs w:val="20"/>
        </w:rPr>
        <w:t xml:space="preserve"> Contra las resoluciones que dicten autoridades fiscales municipales, serán admisibles los recursos establecidos en la Ley Orgánica de los Municipios del Estado de Yucatán y el Código Fiscal del Estado de Yucatán.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w:t>
      </w:r>
      <w:r>
        <w:rPr>
          <w:rFonts w:cs="Arial" w:ascii="Arial" w:hAnsi="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pPr>
        <w:pStyle w:val="Normal"/>
        <w:jc w:val="both"/>
        <w:rPr>
          <w:rFonts w:ascii="Arial" w:hAnsi="Arial" w:cs="Arial"/>
          <w:b/>
          <w:b/>
          <w:sz w:val="20"/>
          <w:szCs w:val="20"/>
        </w:rPr>
      </w:pPr>
      <w:r>
        <w:rPr>
          <w:rFonts w:cs="Arial" w:ascii="Arial" w:hAnsi="Arial"/>
          <w:b/>
          <w:sz w:val="20"/>
          <w:szCs w:val="20"/>
        </w:rPr>
        <w:t> </w:t>
      </w:r>
    </w:p>
    <w:p>
      <w:pPr>
        <w:pStyle w:val="Normal"/>
        <w:jc w:val="both"/>
        <w:rPr/>
      </w:pPr>
      <w:r>
        <w:rPr>
          <w:rFonts w:cs="Arial" w:ascii="Arial" w:hAnsi="Arial"/>
          <w:b/>
          <w:sz w:val="20"/>
          <w:szCs w:val="20"/>
        </w:rPr>
        <w:t>Artículo 161.-</w:t>
      </w:r>
      <w:r>
        <w:rPr>
          <w:rFonts w:cs="Arial" w:ascii="Arial" w:hAnsi="Arial"/>
          <w:sz w:val="20"/>
          <w:szCs w:val="20"/>
        </w:rPr>
        <w:t xml:space="preserve"> Interpuesto en tiempo un recurso, a solicitud de la parte interesada, se suspenderá la ejecución de la resolución recurrida cuando el contribuyente otorgue garantía suficiente a juicio de la autoridad.</w:t>
      </w:r>
    </w:p>
    <w:p>
      <w:pPr>
        <w:pStyle w:val="Normal"/>
        <w:jc w:val="both"/>
        <w:rPr>
          <w:rFonts w:ascii="Arial" w:hAnsi="Arial" w:cs="Arial"/>
          <w:b/>
          <w:b/>
          <w:sz w:val="20"/>
          <w:szCs w:val="20"/>
        </w:rPr>
      </w:pPr>
      <w:r>
        <w:rPr>
          <w:rFonts w:cs="Arial" w:ascii="Arial" w:hAnsi="Arial"/>
          <w:b/>
          <w:sz w:val="20"/>
          <w:szCs w:val="20"/>
        </w:rPr>
        <w:t> </w:t>
      </w:r>
    </w:p>
    <w:p>
      <w:pPr>
        <w:pStyle w:val="Textoindependiente2"/>
        <w:rPr>
          <w:rFonts w:ascii="Arial" w:hAnsi="Arial" w:cs="Arial"/>
          <w:sz w:val="20"/>
          <w:szCs w:val="20"/>
        </w:rPr>
      </w:pPr>
      <w:r>
        <w:rPr>
          <w:rFonts w:cs="Arial" w:ascii="Arial" w:hAnsi="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pPr>
        <w:pStyle w:val="Normal"/>
        <w:jc w:val="both"/>
        <w:rPr>
          <w:rFonts w:ascii="Arial" w:hAnsi="Arial" w:cs="Arial"/>
          <w:sz w:val="20"/>
          <w:szCs w:val="20"/>
        </w:rPr>
      </w:pPr>
      <w:r>
        <w:rPr>
          <w:rFonts w:cs="Arial" w:ascii="Arial" w:hAnsi="Arial"/>
          <w:sz w:val="20"/>
          <w:szCs w:val="20"/>
        </w:rPr>
        <w:t>Dichas garantías serán:</w:t>
      </w:r>
    </w:p>
    <w:p>
      <w:pPr>
        <w:pStyle w:val="Normal"/>
        <w:jc w:val="both"/>
        <w:rPr>
          <w:rFonts w:ascii="Arial" w:hAnsi="Arial" w:cs="Arial"/>
          <w:sz w:val="20"/>
          <w:szCs w:val="20"/>
        </w:rPr>
      </w:pPr>
      <w:r>
        <w:rPr>
          <w:rFonts w:cs="Arial" w:ascii="Arial" w:hAnsi="Arial"/>
          <w:sz w:val="20"/>
          <w:szCs w:val="20"/>
        </w:rPr>
        <w:t> </w:t>
      </w:r>
    </w:p>
    <w:p>
      <w:pPr>
        <w:pStyle w:val="Normal"/>
        <w:jc w:val="both"/>
        <w:rPr/>
      </w:pPr>
      <w:r>
        <w:rPr>
          <w:rFonts w:cs="Arial" w:ascii="Arial" w:hAnsi="Arial"/>
          <w:b/>
          <w:sz w:val="20"/>
          <w:szCs w:val="20"/>
        </w:rPr>
        <w:t xml:space="preserve">a) </w:t>
      </w:r>
      <w:r>
        <w:rPr>
          <w:rFonts w:cs="Arial" w:ascii="Arial" w:hAnsi="Arial"/>
          <w:sz w:val="20"/>
          <w:szCs w:val="20"/>
        </w:rPr>
        <w:t>Depósito de dinero, en efectivo o en cheque certificado ante la propia autoridad o en una Institución Bancaria autorizada, entregando el correspondiente recibo o billete de depósito.</w:t>
      </w:r>
    </w:p>
    <w:p>
      <w:pPr>
        <w:pStyle w:val="Normal"/>
        <w:jc w:val="both"/>
        <w:rPr/>
      </w:pPr>
      <w:r>
        <w:rPr>
          <w:rFonts w:cs="Arial" w:ascii="Arial" w:hAnsi="Arial"/>
          <w:b/>
          <w:sz w:val="20"/>
          <w:szCs w:val="20"/>
        </w:rPr>
        <w:t xml:space="preserve">b) </w:t>
      </w:r>
      <w:r>
        <w:rPr>
          <w:rFonts w:cs="Arial" w:ascii="Arial" w:hAnsi="Arial"/>
          <w:sz w:val="20"/>
          <w:szCs w:val="20"/>
        </w:rPr>
        <w:t>Fianza, expedida por compañía debidamente autorizada para ello.</w:t>
      </w:r>
    </w:p>
    <w:p>
      <w:pPr>
        <w:pStyle w:val="Normal"/>
        <w:jc w:val="both"/>
        <w:rPr/>
      </w:pPr>
      <w:r>
        <w:rPr>
          <w:rFonts w:cs="Arial" w:ascii="Arial" w:hAnsi="Arial"/>
          <w:b/>
          <w:sz w:val="20"/>
          <w:szCs w:val="20"/>
        </w:rPr>
        <w:t xml:space="preserve">c) </w:t>
      </w:r>
      <w:r>
        <w:rPr>
          <w:rFonts w:cs="Arial" w:ascii="Arial" w:hAnsi="Arial"/>
          <w:sz w:val="20"/>
          <w:szCs w:val="20"/>
        </w:rPr>
        <w:t>Hipoteca.</w:t>
      </w:r>
    </w:p>
    <w:p>
      <w:pPr>
        <w:pStyle w:val="Normal"/>
        <w:jc w:val="both"/>
        <w:rPr/>
      </w:pPr>
      <w:r>
        <w:rPr>
          <w:rFonts w:cs="Arial" w:ascii="Arial" w:hAnsi="Arial"/>
          <w:b/>
          <w:sz w:val="20"/>
          <w:szCs w:val="20"/>
        </w:rPr>
        <w:t xml:space="preserve">d) </w:t>
      </w:r>
      <w:r>
        <w:rPr>
          <w:rFonts w:cs="Arial" w:ascii="Arial" w:hAnsi="Arial"/>
          <w:sz w:val="20"/>
          <w:szCs w:val="20"/>
        </w:rPr>
        <w:t>Prenda.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Respecto de la garantía prendaria, solamente será aceptada por la autoridad como tal, cuando el monto del crédito fiscal y sus accesorios sea menor o igual a 50 salarios mínimos vigentes en el Estado, al momento de la determinación del crédito.</w:t>
      </w:r>
    </w:p>
    <w:p>
      <w:pPr>
        <w:pStyle w:val="Normal"/>
        <w:jc w:val="both"/>
        <w:rPr>
          <w:rFonts w:ascii="Arial" w:hAnsi="Arial" w:cs="Arial"/>
          <w:sz w:val="20"/>
          <w:szCs w:val="20"/>
        </w:rPr>
      </w:pPr>
      <w:r>
        <w:rPr>
          <w:rFonts w:cs="Arial" w:ascii="Arial" w:hAnsi="Arial"/>
          <w:sz w:val="20"/>
          <w:szCs w:val="20"/>
        </w:rPr>
        <w:t> </w:t>
      </w:r>
    </w:p>
    <w:p>
      <w:pPr>
        <w:pStyle w:val="Textoindependiente3"/>
        <w:jc w:val="both"/>
        <w:rPr/>
      </w:pPr>
      <w:r>
        <w:rPr>
          <w:rFonts w:cs="Arial" w:ascii="Arial" w:hAnsi="Arial"/>
          <w:szCs w:val="20"/>
        </w:rPr>
        <w:t>En el procedimiento de constitución de estas garantías se observarán en cuanto fueren aplicables, las reglas que fije el Código Fiscal de la Federación y su reglamento.</w:t>
      </w:r>
    </w:p>
    <w:p>
      <w:pPr>
        <w:pStyle w:val="Normal"/>
        <w:jc w:val="both"/>
        <w:rPr>
          <w:rFonts w:ascii="Arial" w:hAnsi="Arial" w:cs="Arial"/>
          <w:sz w:val="20"/>
          <w:szCs w:val="20"/>
        </w:rPr>
      </w:pPr>
      <w:r>
        <w:rPr>
          <w:rFonts w:cs="Arial" w:ascii="Arial" w:hAnsi="Arial"/>
          <w:sz w:val="20"/>
          <w:szCs w:val="20"/>
        </w:rPr>
      </w:r>
    </w:p>
    <w:p>
      <w:pPr>
        <w:pStyle w:val="Ttulo3"/>
        <w:numPr>
          <w:ilvl w:val="0"/>
          <w:numId w:val="0"/>
        </w:numPr>
        <w:spacing w:lineRule="auto" w:line="240"/>
        <w:ind w:left="0" w:right="-49" w:hanging="0"/>
        <w:rPr>
          <w:sz w:val="20"/>
          <w:szCs w:val="20"/>
        </w:rPr>
      </w:pPr>
      <w:r>
        <w:rPr>
          <w:sz w:val="20"/>
          <w:szCs w:val="20"/>
        </w:rPr>
        <w:t>TRANSITORIOS:</w:t>
      </w:r>
    </w:p>
    <w:p>
      <w:pPr>
        <w:pStyle w:val="Textoindependiente3"/>
        <w:jc w:val="both"/>
        <w:rPr/>
      </w:pPr>
      <w:r>
        <w:rPr>
          <w:rFonts w:cs="Arial" w:ascii="Arial" w:hAnsi="Arial"/>
          <w:b/>
        </w:rPr>
        <w:t>Artículo</w:t>
      </w:r>
      <w:r>
        <w:rPr>
          <w:rFonts w:cs="Arial" w:ascii="Arial" w:hAnsi="Arial"/>
          <w:b/>
          <w:bCs/>
        </w:rPr>
        <w:t xml:space="preserve"> Primero.- </w:t>
      </w:r>
      <w:r>
        <w:rPr>
          <w:rFonts w:cs="Arial" w:ascii="Arial" w:hAnsi="Arial"/>
        </w:rPr>
        <w:t>Esta Ley entrará en vigor el día siguiente al de su publicación en el Diario Oficial del Gobierno del Estado de Yucatán.</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Artículo Segundo.- </w:t>
      </w:r>
      <w:r>
        <w:rPr>
          <w:rFonts w:cs="Arial" w:ascii="Arial" w:hAnsi="Arial"/>
          <w:sz w:val="20"/>
          <w:szCs w:val="20"/>
        </w:rPr>
        <w:t>En lo no previsto por esta Ley, se aplicará supletoriamente lo establecido por el Código Fiscal y la Ley General de Hacienda para los Municipios, ambas del Estado de Yucatán.</w:t>
      </w:r>
    </w:p>
    <w:p>
      <w:pPr>
        <w:pStyle w:val="Normal"/>
        <w:jc w:val="both"/>
        <w:rPr>
          <w:rFonts w:ascii="Arial" w:hAnsi="Arial" w:cs="Arial"/>
          <w:sz w:val="20"/>
          <w:szCs w:val="20"/>
        </w:rPr>
      </w:pPr>
      <w:r>
        <w:rPr>
          <w:rFonts w:cs="Arial" w:ascii="Arial" w:hAnsi="Arial"/>
          <w:sz w:val="20"/>
          <w:szCs w:val="20"/>
        </w:rPr>
      </w:r>
    </w:p>
    <w:p>
      <w:pPr>
        <w:pStyle w:val="Ttulo3"/>
        <w:numPr>
          <w:ilvl w:val="0"/>
          <w:numId w:val="0"/>
        </w:numPr>
        <w:spacing w:lineRule="auto" w:line="240"/>
        <w:ind w:left="0" w:right="-49" w:hanging="0"/>
        <w:rPr/>
      </w:pPr>
      <w:r>
        <w:rPr>
          <w:sz w:val="20"/>
          <w:szCs w:val="20"/>
        </w:rPr>
        <w:t>TRANSITORIOS:</w:t>
      </w:r>
    </w:p>
    <w:p>
      <w:pPr>
        <w:pStyle w:val="Normal"/>
        <w:tabs>
          <w:tab w:val="clear" w:pos="708"/>
          <w:tab w:val="left" w:pos="425" w:leader="none"/>
        </w:tabs>
        <w:jc w:val="both"/>
        <w:rPr/>
      </w:pPr>
      <w:r>
        <w:rPr>
          <w:rFonts w:cs="Arial" w:ascii="Arial" w:hAnsi="Arial"/>
          <w:b/>
          <w:sz w:val="20"/>
          <w:szCs w:val="20"/>
        </w:rPr>
        <w:t xml:space="preserve">Artículo Único.- </w:t>
      </w:r>
      <w:r>
        <w:rPr>
          <w:rFonts w:cs="Arial" w:ascii="Arial" w:hAnsi="Arial"/>
          <w:sz w:val="20"/>
          <w:szCs w:val="20"/>
        </w:rPr>
        <w:t>El presente Decreto entrará en vigor el día siguiente al de su publicación en el Diario Oficial del Gobierno del Estado de Yucatán.</w:t>
      </w:r>
    </w:p>
    <w:p>
      <w:pPr>
        <w:pStyle w:val="Normal"/>
        <w:tabs>
          <w:tab w:val="clear" w:pos="708"/>
          <w:tab w:val="left" w:pos="425" w:leader="none"/>
        </w:tabs>
        <w:jc w:val="both"/>
        <w:rPr>
          <w:rFonts w:ascii="Arial" w:hAnsi="Arial" w:cs="Arial"/>
          <w:sz w:val="20"/>
          <w:szCs w:val="20"/>
        </w:rPr>
      </w:pPr>
      <w:r>
        <w:rPr>
          <w:rFonts w:cs="Arial" w:ascii="Arial" w:hAnsi="Arial"/>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t>DADO EN LA SEDE DEL RECINTO DEL PODER LEGISLATIVO EN LA CIUDAD DE MÉRIDA, YUCATÁN, ESTADOS UNIDOS MEXICANOS, A LOS VINTINUEVE DÍAS DEL MES DE DICIEMBRE DEL AÑO DOS MILCINCO.- PRESIDENTE DIPUTADO JORGE MANUEL PUGA RUBIO.- SECRETARIA DIPUTADA ALICIA MAGALLY DEL SOCORRO CRUZ NUCAMENDI.- SECRETARIO DIPUTADO JORGE ESMA BAZÁN.- RÚBRICAS.</w:t>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t>Y POR TANTO, MANDAMOS SE IMPRIMA, PUBLIQUE Y CIRCULE PARA SU CONOCIMIENTO Y DEBIDO CUMPLIMIENTO.</w:t>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t>DADO EN LA SEDE DEL PODER EJECUTIVO, EN LA CIDUAD DE MÉRIDA, YUCATÁN, ESTADOS UNIDOS MEXICANOS, A LOS TRES DÍAS DEL MES DE ENERO DEL AÑO DOS MIL SEIS.</w:t>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p>
      <w:pPr>
        <w:pStyle w:val="Normal"/>
        <w:tabs>
          <w:tab w:val="clear" w:pos="708"/>
          <w:tab w:val="left" w:pos="425" w:leader="none"/>
        </w:tabs>
        <w:jc w:val="both"/>
        <w:rPr>
          <w:rFonts w:ascii="Arial" w:hAnsi="Arial" w:cs="Arial"/>
          <w:b/>
          <w:b/>
          <w:sz w:val="20"/>
          <w:szCs w:val="20"/>
        </w:rPr>
      </w:pPr>
      <w:r>
        <w:rPr>
          <w:rFonts w:cs="Arial" w:ascii="Arial" w:hAnsi="Arial"/>
          <w:b/>
          <w:sz w:val="20"/>
          <w:szCs w:val="20"/>
        </w:rPr>
      </w:r>
    </w:p>
    <w:tbl>
      <w:tblPr>
        <w:tblW w:w="8731" w:type="dxa"/>
        <w:jc w:val="center"/>
        <w:tblInd w:w="0" w:type="dxa"/>
        <w:tblCellMar>
          <w:top w:w="0" w:type="dxa"/>
          <w:left w:w="108" w:type="dxa"/>
          <w:bottom w:w="0" w:type="dxa"/>
          <w:right w:w="108" w:type="dxa"/>
        </w:tblCellMar>
      </w:tblPr>
      <w:tblGrid>
        <w:gridCol w:w="4365"/>
        <w:gridCol w:w="4366"/>
      </w:tblGrid>
      <w:tr>
        <w:trPr/>
        <w:tc>
          <w:tcPr>
            <w:tcW w:w="4365" w:type="dxa"/>
            <w:tcBorders/>
          </w:tcPr>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EL SECRETARIO GENERAL DE GOBIERNO</w:t>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(RÚBRICA)</w:t>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ABOG. PEDRO FRANCISCO RIVAS GUTIÉRREZ.</w:t>
            </w:r>
          </w:p>
        </w:tc>
        <w:tc>
          <w:tcPr>
            <w:tcW w:w="4366" w:type="dxa"/>
            <w:tcBorders/>
          </w:tcPr>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OFICIAL MAYOR</w:t>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(RÚBRICA)</w:t>
            </w:r>
          </w:p>
          <w:p>
            <w:pPr>
              <w:pStyle w:val="Normal"/>
              <w:widowControl w:val="false"/>
              <w:tabs>
                <w:tab w:val="clear" w:pos="708"/>
                <w:tab w:val="left" w:pos="425" w:leader="none"/>
              </w:tabs>
              <w:autoSpaceDE w:val="false"/>
              <w:jc w:val="center"/>
              <w:rPr>
                <w:rFonts w:ascii="Arial" w:hAnsi="Arial" w:cs="Arial"/>
                <w:b/>
                <w:b/>
                <w:sz w:val="20"/>
                <w:szCs w:val="20"/>
              </w:rPr>
            </w:pPr>
            <w:r>
              <w:rPr>
                <w:rFonts w:cs="Arial" w:ascii="Arial" w:hAnsi="Arial"/>
                <w:b/>
                <w:sz w:val="20"/>
                <w:szCs w:val="20"/>
              </w:rPr>
              <w:t>Q.I. RAÚL ARCEO ALONZO</w:t>
            </w:r>
          </w:p>
        </w:tc>
      </w:tr>
    </w:tbl>
    <w:p>
      <w:pPr>
        <w:pStyle w:val="Normal"/>
        <w:tabs>
          <w:tab w:val="clear" w:pos="708"/>
          <w:tab w:val="left" w:pos="425" w:leader="none"/>
        </w:tabs>
        <w:jc w:val="both"/>
        <w:rPr>
          <w:rFonts w:ascii="Arial" w:hAnsi="Arial" w:cs="Arial"/>
          <w:b/>
          <w:b/>
        </w:rPr>
      </w:pPr>
      <w:r>
        <w:rPr>
          <w:rFonts w:cs="Arial" w:ascii="Arial" w:hAnsi="Arial"/>
          <w:b/>
        </w:rPr>
      </w:r>
    </w:p>
    <w:p>
      <w:pPr>
        <w:pStyle w:val="Normal"/>
        <w:tabs>
          <w:tab w:val="clear" w:pos="708"/>
          <w:tab w:val="left" w:pos="425" w:leader="none"/>
        </w:tabs>
        <w:jc w:val="both"/>
        <w:rPr>
          <w:rFonts w:ascii="Arial" w:hAnsi="Arial" w:cs="Arial"/>
          <w:b/>
          <w:b/>
        </w:rPr>
      </w:pPr>
      <w:r>
        <w:rPr>
          <w:rFonts w:cs="Arial" w:ascii="Arial" w:hAnsi="Arial"/>
          <w:b/>
        </w:rPr>
      </w:r>
    </w:p>
    <w:p>
      <w:pPr>
        <w:pStyle w:val="Normal"/>
        <w:tabs>
          <w:tab w:val="clear" w:pos="708"/>
          <w:tab w:val="left" w:pos="425" w:leader="none"/>
        </w:tabs>
        <w:jc w:val="both"/>
        <w:rPr>
          <w:rFonts w:ascii="Arial" w:hAnsi="Arial" w:cs="Arial"/>
          <w:b/>
          <w:b/>
        </w:rPr>
      </w:pPr>
      <w:r>
        <w:rPr>
          <w:rFonts w:cs="Arial" w:ascii="Arial" w:hAnsi="Arial"/>
          <w:b/>
        </w:rPr>
      </w:r>
      <w:r>
        <w:br w:type="page"/>
      </w:r>
    </w:p>
    <w:p>
      <w:pPr>
        <w:pStyle w:val="Normal"/>
        <w:jc w:val="center"/>
        <w:rPr>
          <w:rFonts w:ascii="Arial" w:hAnsi="Arial" w:cs="Arial"/>
          <w:b/>
          <w:b/>
          <w:caps/>
          <w:sz w:val="20"/>
          <w:szCs w:val="20"/>
        </w:rPr>
      </w:pPr>
      <w:r>
        <w:rPr>
          <w:rFonts w:cs="Arial" w:ascii="Arial" w:hAnsi="Arial"/>
          <w:b/>
          <w:caps/>
          <w:sz w:val="20"/>
          <w:szCs w:val="20"/>
        </w:rPr>
        <w:t>D E C R E T O 154</w:t>
      </w:r>
    </w:p>
    <w:p>
      <w:pPr>
        <w:pStyle w:val="Normal"/>
        <w:jc w:val="center"/>
        <w:rPr>
          <w:rFonts w:ascii="Arial" w:hAnsi="Arial" w:cs="Arial"/>
          <w:b/>
          <w:b/>
          <w:caps/>
          <w:sz w:val="20"/>
          <w:szCs w:val="20"/>
        </w:rPr>
      </w:pPr>
      <w:r>
        <w:rPr>
          <w:rFonts w:cs="Arial" w:ascii="Arial" w:hAnsi="Arial"/>
          <w:b/>
          <w:caps/>
          <w:sz w:val="20"/>
          <w:szCs w:val="20"/>
        </w:rPr>
      </w:r>
    </w:p>
    <w:p>
      <w:pPr>
        <w:pStyle w:val="Normal"/>
        <w:jc w:val="center"/>
        <w:rPr>
          <w:rFonts w:ascii="Arial" w:hAnsi="Arial" w:cs="Arial"/>
          <w:b/>
          <w:b/>
          <w:sz w:val="20"/>
          <w:szCs w:val="20"/>
        </w:rPr>
      </w:pPr>
      <w:r>
        <w:rPr>
          <w:rFonts w:cs="Arial" w:ascii="Arial" w:hAnsi="Arial"/>
          <w:b/>
          <w:sz w:val="20"/>
          <w:szCs w:val="20"/>
        </w:rPr>
        <w:t>Publicado en el Diario Oficial del Estado el 27 de Diciembre de 2008</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widowControl w:val="false"/>
        <w:autoSpaceDE w:val="false"/>
        <w:jc w:val="both"/>
        <w:rPr>
          <w:rFonts w:ascii="Arial" w:hAnsi="Arial" w:cs="Arial"/>
          <w:b/>
          <w:b/>
          <w:bCs/>
          <w:sz w:val="22"/>
          <w:szCs w:val="22"/>
        </w:rPr>
      </w:pPr>
      <w:r>
        <w:rPr>
          <w:rFonts w:cs="Arial" w:ascii="Arial" w:hAnsi="Arial"/>
          <w:b/>
          <w:bCs/>
          <w:sz w:val="22"/>
          <w:szCs w:val="22"/>
        </w:rPr>
        <w:t>XIII.- Se reforman los artículos 119, 120, 121, 122, 123 y se adiciona el 123 Bis, todos de la Ley de Hacienda del Municipio de Oxkutzcab, Yucatán, para quedar como siguen:</w:t>
      </w:r>
    </w:p>
    <w:p>
      <w:pPr>
        <w:pStyle w:val="Normal"/>
        <w:jc w:val="center"/>
        <w:rPr>
          <w:rFonts w:ascii="Arial" w:hAnsi="Arial" w:cs="Arial"/>
          <w:b/>
          <w:b/>
          <w:bCs/>
          <w:caps/>
          <w:sz w:val="20"/>
          <w:szCs w:val="20"/>
        </w:rPr>
      </w:pPr>
      <w:r>
        <w:rPr>
          <w:rFonts w:cs="Arial" w:ascii="Arial" w:hAnsi="Arial"/>
          <w:b/>
          <w:bCs/>
          <w:caps/>
          <w:sz w:val="20"/>
          <w:szCs w:val="20"/>
        </w:rPr>
      </w:r>
    </w:p>
    <w:p>
      <w:pPr>
        <w:pStyle w:val="Normal"/>
        <w:jc w:val="center"/>
        <w:rPr>
          <w:rFonts w:ascii="Arial" w:hAnsi="Arial" w:cs="Arial"/>
          <w:b/>
          <w:b/>
          <w:lang w:val="pt-BR"/>
        </w:rPr>
      </w:pPr>
      <w:r>
        <w:rPr>
          <w:rFonts w:cs="Arial" w:ascii="Arial" w:hAnsi="Arial"/>
          <w:b/>
          <w:lang w:val="pt-BR"/>
        </w:rPr>
        <w:t>T R A N S I T O R I O:</w:t>
      </w:r>
    </w:p>
    <w:p>
      <w:pPr>
        <w:pStyle w:val="Normal"/>
        <w:rPr>
          <w:rFonts w:ascii="Arial" w:hAnsi="Arial" w:cs="Arial"/>
          <w:b/>
          <w:b/>
          <w:lang w:val="pt-BR"/>
        </w:rPr>
      </w:pPr>
      <w:r>
        <w:rPr>
          <w:rFonts w:cs="Arial" w:ascii="Arial" w:hAnsi="Arial"/>
          <w:b/>
          <w:lang w:val="pt-BR"/>
        </w:rPr>
      </w:r>
    </w:p>
    <w:p>
      <w:pPr>
        <w:pStyle w:val="Normal"/>
        <w:jc w:val="both"/>
        <w:rPr/>
      </w:pPr>
      <w:r>
        <w:rPr>
          <w:rFonts w:cs="Arial" w:ascii="Arial" w:hAnsi="Arial"/>
          <w:b/>
        </w:rPr>
        <w:t xml:space="preserve">ARTÍCULO ÚNICO.- </w:t>
      </w:r>
      <w:r>
        <w:rPr>
          <w:rFonts w:cs="Arial" w:ascii="Arial" w:hAnsi="Arial"/>
        </w:rPr>
        <w:t>Este Decreto entrará en vigor al día siguiente a su publicación en el Diario Oficial del Gobierno del Estado de Yucatán.</w:t>
      </w:r>
    </w:p>
    <w:p>
      <w:pPr>
        <w:pStyle w:val="Sangra2detindependiente"/>
        <w:spacing w:lineRule="auto" w:line="240"/>
        <w:rPr>
          <w:rFonts w:ascii="Arial" w:hAnsi="Arial" w:cs="Arial"/>
          <w:sz w:val="20"/>
        </w:rPr>
      </w:pPr>
      <w:r>
        <w:rPr>
          <w:rFonts w:cs="Arial"/>
          <w:sz w:val="20"/>
        </w:rPr>
      </w:r>
    </w:p>
    <w:p>
      <w:pPr>
        <w:pStyle w:val="Normal"/>
        <w:jc w:val="both"/>
        <w:rPr>
          <w:rFonts w:ascii="Arial" w:hAnsi="Arial" w:cs="Arial"/>
          <w:b/>
          <w:b/>
          <w:sz w:val="22"/>
          <w:szCs w:val="22"/>
        </w:rPr>
      </w:pPr>
      <w:r>
        <w:rPr>
          <w:rFonts w:cs="Arial" w:ascii="Arial" w:hAnsi="Arial"/>
          <w:b/>
          <w:sz w:val="22"/>
          <w:szCs w:val="22"/>
        </w:rPr>
        <w:t>DADO EN LA SEDE DEL RECINTO DEL PODER LEGISLATIVO, EN LA CIUDAD DE MÉRIDA, YUCATÁN, ESTADOS UNIDOS MEXICANOS A LOS NUEVE DÍAS DEL MES DE DICIEMBRE DEL AÑO DOS MIL OCHO.- PRESIDENTE DIPUTADO MARTÍN ENRIQUE CASTILLO RUZ.- SECRETARIO DIPUTADO JOSÉ ANTONIO ARAGÓN UICAB.- SECRETARIO DIPUTADO CORNELIO AGUILAR PUC.- RÚBRICAS.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rPr>
      </w:pPr>
      <w:r>
        <w:rPr>
          <w:rFonts w:cs="Arial" w:ascii="Arial" w:hAnsi="Arial"/>
          <w:b/>
        </w:rPr>
        <w:t>Y, POR TANTO, MANDO SE IMPRIA, PUBLIQUE Y CIRCULE PAA SU CONOCIMIENTO Y DEBIDO CUMPLIMIENTO.</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EXPEDIDO EN LA SEDE DEL PODER EJECUTIVO, EN LA CIUDAD DE MÉRIDA, YUCATÁN, ESTADOS UNIDOS MEXICANOS, A LOS VEINTIDÓS DÍAS DEL MES DE DICIEMBRE DEL AÑO DOS MIL OCHO.</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(RÚBRICA)</w:t>
      </w:r>
    </w:p>
    <w:p>
      <w:pPr>
        <w:pStyle w:val="Normal"/>
        <w:jc w:val="center"/>
        <w:rPr>
          <w:rFonts w:ascii="Arial" w:hAnsi="Arial" w:cs="Arial"/>
          <w:b/>
          <w:b/>
        </w:rPr>
      </w:pPr>
      <w:r>
        <w:rPr>
          <w:rFonts w:cs="Arial" w:ascii="Arial" w:hAnsi="Arial"/>
          <w:b/>
        </w:rPr>
        <w:t>C. IVONNE ARACELLY ORTEGA PACHECO</w:t>
      </w:r>
    </w:p>
    <w:p>
      <w:pPr>
        <w:pStyle w:val="Normal"/>
        <w:jc w:val="center"/>
        <w:rPr>
          <w:rFonts w:ascii="Arial" w:hAnsi="Arial" w:cs="Arial"/>
          <w:b/>
          <w:b/>
        </w:rPr>
      </w:pPr>
      <w:r>
        <w:rPr>
          <w:rFonts w:cs="Arial" w:ascii="Arial" w:hAnsi="Arial"/>
          <w:b/>
        </w:rPr>
        <w:t>GOBERNADORA DEL ESTADO DE YUCATÁN</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eastAsia="Arial" w:cs="Arial" w:ascii="Arial" w:hAnsi="Arial"/>
          <w:b/>
        </w:rPr>
        <w:t xml:space="preserve">                    </w:t>
      </w:r>
      <w:r>
        <w:rPr>
          <w:rFonts w:cs="Arial" w:ascii="Arial" w:hAnsi="Arial"/>
          <w:b/>
        </w:rPr>
        <w:t>(RÜBRICA)</w:t>
      </w:r>
    </w:p>
    <w:p>
      <w:pPr>
        <w:pStyle w:val="Normal"/>
        <w:rPr>
          <w:rFonts w:ascii="Arial" w:hAnsi="Arial" w:cs="Arial"/>
          <w:b/>
          <w:b/>
        </w:rPr>
      </w:pPr>
      <w:r>
        <w:rPr>
          <w:rFonts w:cs="Arial" w:ascii="Arial" w:hAnsi="Arial"/>
          <w:b/>
        </w:rPr>
        <w:t>C. ROLANDO RODRIGO ZAPATA BELLO</w:t>
      </w:r>
    </w:p>
    <w:p>
      <w:pPr>
        <w:pStyle w:val="Normal"/>
        <w:rPr>
          <w:rFonts w:ascii="Arial" w:hAnsi="Arial" w:cs="Arial"/>
          <w:b/>
          <w:b/>
        </w:rPr>
      </w:pPr>
      <w:r>
        <w:rPr>
          <w:rFonts w:cs="Arial" w:ascii="Arial" w:hAnsi="Arial"/>
          <w:b/>
        </w:rPr>
        <w:t>SECRETARIO GENERAL DE GOBIERNO</w:t>
      </w:r>
    </w:p>
    <w:p>
      <w:pPr>
        <w:pStyle w:val="Normal"/>
        <w:jc w:val="center"/>
        <w:rPr>
          <w:rFonts w:ascii="Arial" w:hAnsi="Arial" w:cs="Arial"/>
          <w:b/>
          <w:b/>
          <w:caps/>
          <w:sz w:val="20"/>
          <w:szCs w:val="20"/>
        </w:rPr>
      </w:pPr>
      <w:r>
        <w:rPr>
          <w:rFonts w:cs="Arial" w:ascii="Arial" w:hAnsi="Arial"/>
          <w:b/>
          <w:caps/>
          <w:sz w:val="20"/>
          <w:szCs w:val="20"/>
        </w:rPr>
      </w:r>
      <w:r>
        <w:br w:type="page"/>
      </w:r>
    </w:p>
    <w:p>
      <w:pPr>
        <w:pStyle w:val="Normal"/>
        <w:spacing w:lineRule="auto" w:line="360"/>
        <w:jc w:val="center"/>
        <w:rPr>
          <w:rFonts w:ascii="Arial" w:hAnsi="Arial" w:cs="Arial"/>
          <w:b/>
          <w:b/>
          <w:caps/>
          <w:sz w:val="20"/>
          <w:szCs w:val="20"/>
        </w:rPr>
      </w:pPr>
      <w:r>
        <w:rPr>
          <w:rFonts w:cs="Arial" w:ascii="Arial" w:hAnsi="Arial"/>
          <w:b/>
          <w:caps/>
          <w:sz w:val="20"/>
          <w:szCs w:val="20"/>
        </w:rPr>
        <w:t>D E C R E T O 136</w:t>
      </w:r>
    </w:p>
    <w:p>
      <w:pPr>
        <w:pStyle w:val="Normal"/>
        <w:spacing w:lineRule="auto" w:line="360"/>
        <w:jc w:val="center"/>
        <w:rPr>
          <w:rFonts w:ascii="Arial" w:hAnsi="Arial" w:cs="Arial"/>
          <w:b/>
          <w:b/>
          <w:sz w:val="20"/>
          <w:szCs w:val="20"/>
        </w:rPr>
      </w:pPr>
      <w:r>
        <w:rPr>
          <w:rFonts w:cs="Arial" w:ascii="Arial" w:hAnsi="Arial"/>
          <w:b/>
          <w:sz w:val="20"/>
          <w:szCs w:val="20"/>
        </w:rPr>
        <w:t>Publicado en el Diario Oficial del Estado el 27 de Diciembre de 2013</w:t>
      </w:r>
    </w:p>
    <w:p>
      <w:pPr>
        <w:pStyle w:val="Normal"/>
        <w:jc w:val="center"/>
        <w:rPr>
          <w:rFonts w:ascii="Arial" w:hAnsi="Arial" w:cs="Arial"/>
          <w:b/>
          <w:b/>
          <w:sz w:val="20"/>
          <w:szCs w:val="20"/>
        </w:rPr>
      </w:pPr>
      <w:r>
        <w:rPr>
          <w:rFonts w:cs="Arial" w:ascii="Arial" w:hAnsi="Arial"/>
          <w:b/>
          <w:sz w:val="20"/>
          <w:szCs w:val="20"/>
        </w:rPr>
      </w:r>
    </w:p>
    <w:p>
      <w:pPr>
        <w:pStyle w:val="Normal"/>
        <w:jc w:val="both"/>
        <w:rPr/>
      </w:pPr>
      <w:r>
        <w:rPr>
          <w:rFonts w:cs="Arial" w:ascii="Arial" w:hAnsi="Arial"/>
          <w:b/>
          <w:sz w:val="20"/>
          <w:szCs w:val="20"/>
        </w:rPr>
        <w:tab/>
        <w:t xml:space="preserve">ARTÍCULO PRIMERO.- </w:t>
      </w:r>
      <w:r>
        <w:rPr>
          <w:rFonts w:cs="Arial" w:ascii="Arial" w:hAnsi="Arial"/>
          <w:sz w:val="20"/>
          <w:szCs w:val="20"/>
        </w:rPr>
        <w:t>Se reforman la fracción I inciso a), la fracción II incisos del a) al e)  y del g) al i), la  fracción V incisos del b) al d) y fracción VI del artículo 74; se reforman los artículos 84 y 93; se reforman los incisos a) y b) de la fracción del artículo 95; se reforma el segundo párrafo  y las fracciones de la I a la V del artículo 99; se reforman  las fracciones de la I a la VI del artículo 100; se reforman las fracciones de la I a la X del artículo 101; se reforman las fracciones de la I a la III del artículo 106; se reforma el artículo 107; se reforma el segundo párrafo del artículo 109, y se reforma el artículo 113, todos de la Ley de Hacienda del Municipio de Hocabá, Yucatán, para quedar en los términos siguientes: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b/>
        <w:t xml:space="preserve">ARTÍCULO SEGUNDO.- </w:t>
      </w:r>
      <w:r>
        <w:rPr>
          <w:rFonts w:cs="Arial" w:ascii="Arial" w:hAnsi="Arial"/>
          <w:sz w:val="20"/>
          <w:szCs w:val="20"/>
        </w:rPr>
        <w:t>Se reforma la Tabla de Valores Catastrales de Terreno y Construcción del artículo 47, y se reforman las fracciones de la I a la XLVII del artículo 90- A, ambas de la Ley de Hacienda del Municipio de Muna, Yucatán, para quedar en los términos siguientes: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b/>
        <w:t xml:space="preserve">ARTÍCULO TERCERO.- </w:t>
      </w:r>
      <w:r>
        <w:rPr>
          <w:rFonts w:cs="Arial" w:ascii="Arial" w:hAnsi="Arial"/>
          <w:sz w:val="20"/>
          <w:szCs w:val="20"/>
        </w:rPr>
        <w:t>Se adiciona un párrafo segundo al artículo 62, y se adiciona un párrafo segundo con incisos del a) al c) del artículo 65, ambos de la Ley de Hacienda del Municipio de Oxkutzcab, Yucatán, para quedar en los términos siguientes:</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ab/>
        <w:t xml:space="preserve">ARTÍCULO CUARTO.- </w:t>
      </w:r>
      <w:r>
        <w:rPr>
          <w:rFonts w:cs="Arial" w:ascii="Arial" w:hAnsi="Arial"/>
          <w:sz w:val="20"/>
          <w:szCs w:val="20"/>
        </w:rPr>
        <w:t>Se reforma el quinto párrafo del artículo 47; se reforman los artículos 90, 96 y 101, y se reforman las fracciones de la I a la III del artículo 106, todos de la Ley de Hacienda del Municipio de Sacalum, Yucatán, para quedar en los términos siguientes:</w:t>
      </w:r>
    </w:p>
    <w:p>
      <w:pPr>
        <w:pStyle w:val="Normal"/>
        <w:jc w:val="both"/>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T R A N S I T O R I O:</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ARTÍCULO ÚNICO.- Este decreto entrará en vigor el día primero de enero del año dos mil catorce, previa su publicación en el Diario Oficial del Gobierno del Estado de Yucatán.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 xml:space="preserve">DADO EN LA SEDE DEL RECINTO DEL PODER LEGISLATIVO EN LA CIUDAD DE MÉRIDA, YUCATÁN, ESTADOS UNIDOS MEXICANOS A LOS DOCE DÍAS DEL MES DE DICIEMBRE DEL AÑO DOS MIL TRECE.- PRESIDENTE DIPUTADO FRANCISCO ALBERTO TORRES RIVAS.- SECRETARIO DIPUTADO RAFAEL CHAN MAGAÑA.- SECRETARIO DIPUTADO FRANCISCO JAVIER CHIMAL KUK.”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Y, POR TANTO, MANDO SE IMPRIMA, PUBLIQUE Y CIRCULE PARA SU CONOCIMIENTO Y DEBIDO CUMPLIMIENTO.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EXPEDIDO EN LA SEDE DEL PODER EJECUTIVO, EN LA CIUDAD DE MÉRIDA, CAPITAL DEL ESTADO DE YUCATÁN, ESTADOS UNIDOS MEXICANOS, A LOS VEINTE DÍAS DEL MES DE DICIEMBRE DEL AÑO DOS MIL TRECE. </w:t>
      </w:r>
    </w:p>
    <w:p>
      <w:pPr>
        <w:pStyle w:val="Normal"/>
        <w:jc w:val="both"/>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 RÚBRICA )</w:t>
      </w:r>
    </w:p>
    <w:p>
      <w:pPr>
        <w:pStyle w:val="Normal"/>
        <w:jc w:val="center"/>
        <w:rPr>
          <w:rFonts w:ascii="Arial" w:hAnsi="Arial" w:cs="Arial"/>
          <w:b/>
          <w:b/>
          <w:sz w:val="20"/>
          <w:szCs w:val="20"/>
        </w:rPr>
      </w:pPr>
      <w:r>
        <w:rPr>
          <w:rFonts w:cs="Arial" w:ascii="Arial" w:hAnsi="Arial"/>
          <w:b/>
          <w:sz w:val="20"/>
          <w:szCs w:val="20"/>
        </w:rPr>
        <w:t>C. ROLANDO RODRIGO ZAPATA BELLO</w:t>
      </w:r>
    </w:p>
    <w:p>
      <w:pPr>
        <w:pStyle w:val="Normal"/>
        <w:jc w:val="center"/>
        <w:rPr>
          <w:rFonts w:ascii="Arial" w:hAnsi="Arial" w:cs="Arial"/>
          <w:b/>
          <w:b/>
          <w:sz w:val="20"/>
          <w:szCs w:val="20"/>
        </w:rPr>
      </w:pPr>
      <w:r>
        <w:rPr>
          <w:rFonts w:cs="Arial" w:ascii="Arial" w:hAnsi="Arial"/>
          <w:b/>
          <w:sz w:val="20"/>
          <w:szCs w:val="20"/>
        </w:rPr>
        <w:t>GOBERNADOR DEL ESTADO DE YUCATÁN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 RÚBRICA ) </w:t>
      </w:r>
    </w:p>
    <w:p>
      <w:pPr>
        <w:pStyle w:val="Normal"/>
        <w:jc w:val="both"/>
        <w:rPr>
          <w:rFonts w:ascii="Arial" w:hAnsi="Arial" w:cs="Arial"/>
          <w:b/>
          <w:b/>
          <w:sz w:val="20"/>
          <w:szCs w:val="20"/>
        </w:rPr>
      </w:pPr>
      <w:r>
        <w:rPr>
          <w:rFonts w:cs="Arial" w:ascii="Arial" w:hAnsi="Arial"/>
          <w:b/>
          <w:sz w:val="20"/>
          <w:szCs w:val="20"/>
        </w:rPr>
        <w:t xml:space="preserve">C. VÍCTOR EDMUNDO CABALLERO DURÁN </w:t>
      </w:r>
    </w:p>
    <w:p>
      <w:pPr>
        <w:pStyle w:val="Normal"/>
        <w:jc w:val="both"/>
        <w:rPr>
          <w:rFonts w:ascii="Arial" w:hAnsi="Arial" w:cs="Arial"/>
          <w:b/>
          <w:b/>
          <w:sz w:val="20"/>
          <w:szCs w:val="20"/>
        </w:rPr>
      </w:pPr>
      <w:r>
        <w:rPr>
          <w:rFonts w:cs="Arial" w:ascii="Arial" w:hAnsi="Arial"/>
          <w:b/>
          <w:sz w:val="20"/>
          <w:szCs w:val="20"/>
        </w:rPr>
        <w:t>SECRETARIO GENERAL DE GOBIERNO</w:t>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rPr>
        <w:t>Listado de los decretos que derogaron, adicionaron o reformaron diversos artículos de la Ley de Hacienda del Municipio de Oxkutzcab.</w:t>
      </w:r>
    </w:p>
    <w:p>
      <w:pPr>
        <w:pStyle w:val="Normal"/>
        <w:jc w:val="both"/>
        <w:rPr>
          <w:rFonts w:ascii="Arial" w:hAnsi="Arial" w:cs="Arial"/>
          <w:b/>
          <w:b/>
        </w:rPr>
      </w:pPr>
      <w:r>
        <w:rPr>
          <w:rFonts w:cs="Arial" w:ascii="Arial" w:hAnsi="Arial"/>
          <w:b/>
        </w:rPr>
      </w:r>
    </w:p>
    <w:p>
      <w:pPr>
        <w:pStyle w:val="Normal"/>
        <w:tabs>
          <w:tab w:val="clear" w:pos="708"/>
          <w:tab w:val="left" w:pos="2385" w:leader="none"/>
        </w:tabs>
        <w:jc w:val="both"/>
        <w:rPr>
          <w:rFonts w:ascii="Arial" w:hAnsi="Arial" w:cs="Arial"/>
          <w:b/>
          <w:b/>
        </w:rPr>
      </w:pPr>
      <w:r>
        <w:rPr>
          <w:rFonts w:cs="Arial" w:ascii="Arial" w:hAnsi="Arial"/>
          <w:b/>
        </w:rPr>
        <w:tab/>
      </w:r>
    </w:p>
    <w:tbl>
      <w:tblPr>
        <w:tblW w:w="4750" w:type="pct"/>
        <w:jc w:val="center"/>
        <w:tblInd w:w="0" w:type="dxa"/>
        <w:tblCellMar>
          <w:top w:w="0" w:type="dxa"/>
          <w:left w:w="70" w:type="dxa"/>
          <w:bottom w:w="0" w:type="dxa"/>
          <w:right w:w="70" w:type="dxa"/>
        </w:tblCellMar>
      </w:tblPr>
      <w:tblGrid>
        <w:gridCol w:w="2754"/>
        <w:gridCol w:w="1881"/>
        <w:gridCol w:w="3524"/>
      </w:tblGrid>
      <w:tr>
        <w:trPr>
          <w:tblHeader w:val="true"/>
        </w:trPr>
        <w:tc>
          <w:tcPr>
            <w:tcW w:w="2754" w:type="dxa"/>
            <w:tcBorders>
              <w:top w:val="single" w:sz="6" w:space="0" w:color="000000"/>
              <w:left w:val="single" w:sz="6" w:space="0" w:color="000000"/>
              <w:bottom w:val="single" w:sz="6" w:space="0" w:color="000000"/>
            </w:tcBorders>
            <w:shd w:fill="DFDFDF" w:val="clear"/>
          </w:tcPr>
          <w:p>
            <w:pPr>
              <w:pStyle w:val="Normal"/>
              <w:snapToGrid w:val="false"/>
              <w:jc w:val="center"/>
              <w:rPr>
                <w:rFonts w:ascii="Arial" w:hAnsi="Arial" w:cs="Arial"/>
                <w:b/>
                <w:b/>
              </w:rPr>
            </w:pPr>
            <w:r>
              <w:rPr>
                <w:rFonts w:cs="Arial" w:ascii="Arial" w:hAnsi="Arial"/>
                <w:b/>
              </w:rPr>
            </w:r>
          </w:p>
        </w:tc>
        <w:tc>
          <w:tcPr>
            <w:tcW w:w="1881" w:type="dxa"/>
            <w:tcBorders>
              <w:top w:val="single" w:sz="6" w:space="0" w:color="000000"/>
              <w:left w:val="single" w:sz="6" w:space="0" w:color="000000"/>
              <w:bottom w:val="single" w:sz="6" w:space="0" w:color="000000"/>
            </w:tcBorders>
            <w:shd w:fill="DFDFDF" w:val="clear"/>
          </w:tcPr>
          <w:p>
            <w:pPr>
              <w:pStyle w:val="Normal"/>
              <w:jc w:val="center"/>
              <w:rPr>
                <w:rFonts w:ascii="Arial" w:hAnsi="Arial" w:cs="Arial"/>
                <w:b/>
                <w:b/>
              </w:rPr>
            </w:pPr>
            <w:r>
              <w:rPr>
                <w:rFonts w:cs="Arial" w:ascii="Arial" w:hAnsi="Arial"/>
                <w:b/>
              </w:rPr>
              <w:t>DECRETO No.</w:t>
            </w:r>
          </w:p>
        </w:tc>
        <w:tc>
          <w:tcPr>
            <w:tcW w:w="3524" w:type="dxa"/>
            <w:tcBorders>
              <w:top w:val="single" w:sz="6" w:space="0" w:color="000000"/>
              <w:left w:val="single" w:sz="6" w:space="0" w:color="000000"/>
              <w:bottom w:val="single" w:sz="6" w:space="0" w:color="000000"/>
              <w:right w:val="single" w:sz="6" w:space="0" w:color="000000"/>
            </w:tcBorders>
            <w:shd w:fill="DFDFDF" w:val="clear"/>
          </w:tcPr>
          <w:p>
            <w:pPr>
              <w:pStyle w:val="Normal"/>
              <w:jc w:val="center"/>
              <w:rPr>
                <w:rFonts w:ascii="Arial" w:hAnsi="Arial" w:cs="Arial"/>
                <w:b/>
                <w:b/>
              </w:rPr>
            </w:pPr>
            <w:r>
              <w:rPr>
                <w:rFonts w:cs="Arial" w:ascii="Arial" w:hAnsi="Arial"/>
                <w:b/>
              </w:rPr>
              <w:t>FECHA DE PUBLICACIÓN EN EL DIARIO OFICIAL DEL GOBIERNO DEL ESTADO.</w:t>
            </w:r>
          </w:p>
        </w:tc>
      </w:tr>
      <w:tr>
        <w:trPr/>
        <w:tc>
          <w:tcPr>
            <w:tcW w:w="2754" w:type="dxa"/>
            <w:tcBorders>
              <w:top w:val="single" w:sz="6" w:space="0" w:color="000000"/>
              <w:left w:val="single" w:sz="6" w:space="0" w:color="000000"/>
              <w:bottom w:val="single" w:sz="6" w:space="0" w:color="000000"/>
            </w:tcBorders>
          </w:tcPr>
          <w:p>
            <w:pPr>
              <w:pStyle w:val="Normal"/>
              <w:tabs>
                <w:tab w:val="clear" w:pos="708"/>
                <w:tab w:val="left" w:pos="4320" w:leader="none"/>
              </w:tabs>
              <w:jc w:val="both"/>
              <w:rPr>
                <w:rFonts w:ascii="Arial" w:hAnsi="Arial" w:cs="Arial"/>
                <w:sz w:val="18"/>
                <w:szCs w:val="18"/>
              </w:rPr>
            </w:pPr>
            <w:r>
              <w:rPr>
                <w:rFonts w:cs="Arial" w:ascii="Arial" w:hAnsi="Arial"/>
                <w:sz w:val="18"/>
                <w:szCs w:val="18"/>
              </w:rPr>
              <w:t>Ley de Hacienda del Municipio de Oxkutzcab.</w:t>
            </w:r>
          </w:p>
        </w:tc>
        <w:tc>
          <w:tcPr>
            <w:tcW w:w="1881" w:type="dxa"/>
            <w:tcBorders>
              <w:top w:val="single" w:sz="6" w:space="0" w:color="000000"/>
              <w:left w:val="single" w:sz="6" w:space="0" w:color="000000"/>
              <w:bottom w:val="single" w:sz="6" w:space="0" w:color="000000"/>
            </w:tcBorders>
          </w:tcPr>
          <w:p>
            <w:pPr>
              <w:pStyle w:val="Normal"/>
              <w:snapToGrid w:val="false"/>
              <w:jc w:val="center"/>
              <w:rPr>
                <w:rFonts w:ascii="Arial" w:hAnsi="Arial" w:cs="Arial"/>
                <w:b/>
                <w:b/>
                <w:sz w:val="18"/>
                <w:szCs w:val="18"/>
              </w:rPr>
            </w:pPr>
            <w:r>
              <w:rPr>
                <w:rFonts w:cs="Arial" w:ascii="Arial" w:hAnsi="Arial"/>
                <w:b/>
                <w:sz w:val="18"/>
                <w:szCs w:val="18"/>
              </w:rPr>
            </w:r>
          </w:p>
          <w:p>
            <w:pPr>
              <w:pStyle w:val="Normal"/>
              <w:jc w:val="center"/>
              <w:rPr>
                <w:rFonts w:ascii="Arial" w:hAnsi="Arial" w:cs="Arial"/>
                <w:b/>
                <w:b/>
              </w:rPr>
            </w:pPr>
            <w:r>
              <w:rPr>
                <w:rFonts w:cs="Arial" w:ascii="Arial" w:hAnsi="Arial"/>
                <w:b/>
              </w:rPr>
              <w:t>645</w:t>
            </w:r>
          </w:p>
        </w:tc>
        <w:tc>
          <w:tcPr>
            <w:tcW w:w="3524"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03/01/2006</w:t>
            </w:r>
          </w:p>
        </w:tc>
      </w:tr>
      <w:tr>
        <w:trPr/>
        <w:tc>
          <w:tcPr>
            <w:tcW w:w="2754" w:type="dxa"/>
            <w:tcBorders>
              <w:top w:val="single" w:sz="6" w:space="0" w:color="000000"/>
              <w:left w:val="single" w:sz="6" w:space="0" w:color="000000"/>
              <w:bottom w:val="single" w:sz="6" w:space="0" w:color="000000"/>
            </w:tcBorders>
          </w:tcPr>
          <w:p>
            <w:pPr>
              <w:pStyle w:val="Normal"/>
              <w:widowControl w:val="false"/>
              <w:autoSpaceDE w:val="false"/>
              <w:jc w:val="both"/>
              <w:rPr>
                <w:rFonts w:ascii="Arial" w:hAnsi="Arial" w:cs="Arial"/>
                <w:bCs/>
                <w:sz w:val="18"/>
                <w:szCs w:val="18"/>
              </w:rPr>
            </w:pPr>
            <w:r>
              <w:rPr>
                <w:rFonts w:cs="Arial" w:ascii="Arial" w:hAnsi="Arial"/>
                <w:bCs/>
                <w:sz w:val="18"/>
                <w:szCs w:val="18"/>
              </w:rPr>
              <w:t>Se reforman los artículos 119, 120, 121, 122, 123 y se adiciona el 123 Bis, todos de la Ley de Hacienda del Municipio de Oxkutzcab, Yucatán.</w:t>
            </w:r>
          </w:p>
        </w:tc>
        <w:tc>
          <w:tcPr>
            <w:tcW w:w="1881" w:type="dxa"/>
            <w:tcBorders>
              <w:top w:val="single" w:sz="6" w:space="0" w:color="000000"/>
              <w:left w:val="single" w:sz="6" w:space="0" w:color="000000"/>
              <w:bottom w:val="single" w:sz="6" w:space="0" w:color="000000"/>
            </w:tcBorders>
          </w:tcPr>
          <w:p>
            <w:pPr>
              <w:pStyle w:val="Normal"/>
              <w:snapToGrid w:val="false"/>
              <w:jc w:val="center"/>
              <w:rPr>
                <w:rFonts w:ascii="Arial" w:hAnsi="Arial" w:cs="Arial"/>
                <w:b/>
                <w:b/>
                <w:bCs/>
                <w:sz w:val="18"/>
                <w:szCs w:val="18"/>
              </w:rPr>
            </w:pPr>
            <w:r>
              <w:rPr>
                <w:rFonts w:cs="Arial" w:ascii="Arial" w:hAnsi="Arial"/>
                <w:b/>
                <w:bCs/>
                <w:sz w:val="18"/>
                <w:szCs w:val="18"/>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154</w:t>
            </w:r>
          </w:p>
        </w:tc>
        <w:tc>
          <w:tcPr>
            <w:tcW w:w="3524"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27/12/2008</w:t>
            </w:r>
          </w:p>
        </w:tc>
      </w:tr>
      <w:tr>
        <w:trPr/>
        <w:tc>
          <w:tcPr>
            <w:tcW w:w="2754" w:type="dxa"/>
            <w:tcBorders>
              <w:top w:val="single" w:sz="6" w:space="0" w:color="000000"/>
              <w:left w:val="single" w:sz="6" w:space="0" w:color="000000"/>
              <w:bottom w:val="single" w:sz="6" w:space="0" w:color="000000"/>
            </w:tcBorders>
          </w:tcPr>
          <w:p>
            <w:pPr>
              <w:pStyle w:val="Normal"/>
              <w:jc w:val="both"/>
              <w:rPr>
                <w:rFonts w:ascii="Arial" w:hAnsi="Arial" w:cs="Arial"/>
                <w:sz w:val="20"/>
                <w:szCs w:val="20"/>
              </w:rPr>
            </w:pPr>
            <w:r>
              <w:rPr>
                <w:rFonts w:cs="Arial" w:ascii="Arial" w:hAnsi="Arial"/>
                <w:sz w:val="20"/>
                <w:szCs w:val="20"/>
              </w:rPr>
              <w:t>Se adiciona un párrafo segundo al artículo 62, y se adiciona un párrafo segundo con incisos del a) al c) del artículo 65, ambos de la Ley de Hacienda del Municipio de Oxkutzcab, Yucatán.</w:t>
            </w:r>
          </w:p>
          <w:p>
            <w:pPr>
              <w:pStyle w:val="Normal"/>
              <w:widowControl w:val="false"/>
              <w:autoSpaceDE w:val="false"/>
              <w:jc w:val="both"/>
              <w:rPr>
                <w:rFonts w:ascii="Arial" w:hAnsi="Arial" w:cs="Arial"/>
                <w:bCs/>
                <w:sz w:val="18"/>
                <w:szCs w:val="18"/>
              </w:rPr>
            </w:pPr>
            <w:r>
              <w:rPr>
                <w:rFonts w:cs="Arial" w:ascii="Arial" w:hAnsi="Arial"/>
                <w:bCs/>
                <w:sz w:val="18"/>
                <w:szCs w:val="18"/>
              </w:rPr>
            </w:r>
          </w:p>
        </w:tc>
        <w:tc>
          <w:tcPr>
            <w:tcW w:w="1881" w:type="dxa"/>
            <w:tcBorders>
              <w:top w:val="single" w:sz="6" w:space="0" w:color="000000"/>
              <w:left w:val="single" w:sz="6" w:space="0" w:color="000000"/>
              <w:bottom w:val="single" w:sz="6" w:space="0" w:color="000000"/>
            </w:tcBorders>
          </w:tcPr>
          <w:p>
            <w:pPr>
              <w:pStyle w:val="Normal"/>
              <w:snapToGrid w:val="false"/>
              <w:jc w:val="center"/>
              <w:rPr>
                <w:rFonts w:ascii="Arial" w:hAnsi="Arial" w:cs="Arial"/>
                <w:b/>
                <w:b/>
                <w:bCs/>
                <w:sz w:val="18"/>
                <w:szCs w:val="18"/>
              </w:rPr>
            </w:pPr>
            <w:r>
              <w:rPr>
                <w:rFonts w:cs="Arial" w:ascii="Arial" w:hAnsi="Arial"/>
                <w:b/>
                <w:bCs/>
                <w:sz w:val="18"/>
                <w:szCs w:val="18"/>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136</w:t>
            </w:r>
          </w:p>
        </w:tc>
        <w:tc>
          <w:tcPr>
            <w:tcW w:w="3524" w:type="dxa"/>
            <w:tcBorders>
              <w:top w:val="single" w:sz="6" w:space="0" w:color="000000"/>
              <w:left w:val="single" w:sz="6" w:space="0" w:color="000000"/>
              <w:bottom w:val="single" w:sz="6" w:space="0" w:color="000000"/>
              <w:right w:val="single" w:sz="6" w:space="0" w:color="000000"/>
            </w:tcBorders>
          </w:tcPr>
          <w:p>
            <w:pPr>
              <w:pStyle w:val="Normal"/>
              <w:snapToGrid w:val="false"/>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27/12/2013</w:t>
            </w:r>
          </w:p>
        </w:tc>
      </w:tr>
    </w:tbl>
    <w:p>
      <w:pPr>
        <w:pStyle w:val="Normal"/>
        <w:jc w:val="both"/>
        <w:rPr/>
      </w:pPr>
      <w:r>
        <w:rPr/>
      </w:r>
    </w:p>
    <w:sectPr>
      <w:headerReference w:type="default" r:id="rId2"/>
      <w:footerReference w:type="default" r:id="rId3"/>
      <w:type w:val="nextPage"/>
      <w:pgSz w:w="12240" w:h="15840"/>
      <w:pgMar w:left="2517" w:right="1134" w:header="709" w:top="2233" w:footer="7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0"/>
    <w:family w:val="roman"/>
    <w:pitch w:val="variable"/>
  </w:font>
  <w:font w:name="Tahoma">
    <w:charset w:val="00"/>
    <w:family w:val="swiss"/>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r>
      <mc:AlternateContent>
        <mc:Choice Requires="wps">
          <w:drawing>
            <wp:anchor behindDoc="0" distT="0" distB="0" distL="0" distR="0" simplePos="0" locked="0" layoutInCell="1" allowOverlap="1" relativeHeight="36">
              <wp:simplePos x="0" y="0"/>
              <wp:positionH relativeFrom="margin">
                <wp:align>center</wp:align>
              </wp:positionH>
              <wp:positionV relativeFrom="paragraph">
                <wp:posOffset>635</wp:posOffset>
              </wp:positionV>
              <wp:extent cx="127635" cy="146685"/>
              <wp:effectExtent l="0" t="0" r="0" b="0"/>
              <wp:wrapSquare wrapText="largest"/>
              <wp:docPr id="2" name="Marco2"/>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edepgina"/>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35</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09.7pt;mso-position-horizontal:center;mso-position-horizontal-relative:margin">
              <v:fill opacity="0f"/>
              <v:textbox inset="0in,0in,0in,0in">
                <w:txbxContent>
                  <w:p>
                    <w:pPr>
                      <w:pStyle w:val="Piedepgina"/>
                      <w:rPr>
                        <w:rStyle w:val="Nmerodepgina"/>
                      </w:rPr>
                    </w:pPr>
                    <w:r>
                      <w:rPr>
                        <w:rStyle w:val="Nmerodepgina"/>
                      </w:rPr>
                      <w:fldChar w:fldCharType="begin"/>
                    </w:r>
                    <w:r>
                      <w:rPr>
                        <w:rStyle w:val="Nmerodepgina"/>
                      </w:rPr>
                      <w:instrText> PAGE </w:instrText>
                    </w:r>
                    <w:r>
                      <w:rPr>
                        <w:rStyle w:val="Nmerodepgina"/>
                      </w:rPr>
                      <w:fldChar w:fldCharType="separate"/>
                    </w:r>
                    <w:r>
                      <w:rPr>
                        <w:rStyle w:val="Nmerodepgina"/>
                      </w:rPr>
                      <w:t>35</w:t>
                    </w:r>
                    <w:r>
                      <w:rPr>
                        <w:rStyle w:val="Nmerodepgin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3">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4">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5">
    <w:lvl w:ilvl="0">
      <w:start w:val="1"/>
      <w:numFmt w:val="upperRoman"/>
      <w:lvlText w:val="%1.-"/>
      <w:lvlJc w:val="right"/>
      <w:pPr>
        <w:tabs>
          <w:tab w:val="num" w:pos="1080"/>
        </w:tabs>
        <w:ind w:left="1080" w:hanging="180"/>
      </w:pPr>
      <w:rPr>
        <w:i w:val="false"/>
        <w:b/>
      </w:rPr>
    </w:lvl>
  </w:abstractNum>
  <w:abstractNum w:abstractNumId="6">
    <w:lvl w:ilvl="0">
      <w:start w:val="1"/>
      <w:numFmt w:val="lowerLetter"/>
      <w:lvlText w:val="%1)"/>
      <w:lvlJc w:val="left"/>
      <w:pPr>
        <w:tabs>
          <w:tab w:val="num" w:pos="720"/>
        </w:tabs>
        <w:ind w:left="720" w:hanging="360"/>
      </w:pPr>
      <w:rPr>
        <w:i w:val="false"/>
        <w:b/>
      </w:rPr>
    </w:lvl>
  </w:abstractNum>
  <w:abstractNum w:abstractNumId="7">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8">
    <w:lvl w:ilvl="0">
      <w:start w:val="1"/>
      <w:numFmt w:val="upperRoman"/>
      <w:lvlText w:val="%1.-"/>
      <w:lvlJc w:val="right"/>
      <w:pPr>
        <w:tabs>
          <w:tab w:val="num" w:pos="1080"/>
        </w:tabs>
        <w:ind w:left="1080" w:hanging="180"/>
      </w:pPr>
      <w:rPr>
        <w:i w:val="false"/>
        <w:b/>
      </w:rPr>
    </w:lvl>
  </w:abstractNum>
  <w:abstractNum w:abstractNumId="9">
    <w:lvl w:ilvl="0">
      <w:start w:val="1"/>
      <w:numFmt w:val="upperRoman"/>
      <w:lvlText w:val="%1."/>
      <w:lvlJc w:val="left"/>
      <w:pPr>
        <w:tabs>
          <w:tab w:val="num" w:pos="720"/>
        </w:tabs>
        <w:ind w:left="720" w:hanging="720"/>
      </w:pPr>
      <w:rPr/>
    </w:lvl>
  </w:abstractNum>
  <w:abstractNum w:abstractNumId="10">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11">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12">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13">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14">
    <w:lvl w:ilvl="0">
      <w:start w:val="1"/>
      <w:numFmt w:val="upperRoman"/>
      <w:lvlText w:val="%1.-"/>
      <w:lvlJc w:val="right"/>
      <w:pPr>
        <w:tabs>
          <w:tab w:val="num" w:pos="567"/>
        </w:tabs>
        <w:ind w:left="0" w:firstLine="567"/>
      </w:pPr>
      <w:rPr>
        <w:i w:val="false"/>
        <w:b/>
      </w:rPr>
    </w:lvl>
  </w:abstractNum>
  <w:abstractNum w:abstractNumId="15">
    <w:lvl w:ilvl="0">
      <w:start w:val="1"/>
      <w:numFmt w:val="upperRoman"/>
      <w:lvlText w:val="%1.-"/>
      <w:lvlJc w:val="right"/>
      <w:pPr>
        <w:tabs>
          <w:tab w:val="num" w:pos="1080"/>
        </w:tabs>
        <w:ind w:left="1080" w:hanging="180"/>
      </w:pPr>
      <w:rPr>
        <w:sz w:val="20"/>
        <w:i w:val="false"/>
        <w:b/>
        <w:szCs w:val="20"/>
        <w:rFonts w:ascii="Arial" w:hAnsi="Arial" w:cs="Arial"/>
      </w:rPr>
    </w:lvl>
  </w:abstractNum>
  <w:abstractNum w:abstractNumId="16">
    <w:lvl w:ilvl="0">
      <w:start w:val="1"/>
      <w:numFmt w:val="upperRoman"/>
      <w:lvlText w:val="%1.-"/>
      <w:lvlJc w:val="right"/>
      <w:pPr>
        <w:tabs>
          <w:tab w:val="num" w:pos="1080"/>
        </w:tabs>
        <w:ind w:left="1080" w:hanging="180"/>
      </w:pPr>
      <w:rPr>
        <w:i w:val="false"/>
        <w:b/>
      </w:rPr>
    </w:lvl>
  </w:abstractNum>
  <w:abstractNum w:abstractNumId="17">
    <w:lvl w:ilvl="0">
      <w:start w:val="1"/>
      <w:numFmt w:val="upperRoman"/>
      <w:lvlText w:val="%1.-"/>
      <w:lvlJc w:val="right"/>
      <w:pPr>
        <w:tabs>
          <w:tab w:val="num" w:pos="1080"/>
        </w:tabs>
        <w:ind w:left="1080" w:hanging="180"/>
      </w:pPr>
      <w:rPr>
        <w:sz w:val="20"/>
        <w:i w:val="false"/>
        <w:b/>
        <w:szCs w:val="20"/>
        <w:rFonts w:ascii="Arial" w:hAnsi="Arial" w:cs="Arial"/>
      </w:rPr>
    </w:lvl>
  </w:abstractNum>
  <w:abstractNum w:abstractNumId="18">
    <w:lvl w:ilvl="0">
      <w:start w:val="1"/>
      <w:numFmt w:val="upperRoman"/>
      <w:lvlText w:val="%1.-"/>
      <w:lvlJc w:val="right"/>
      <w:pPr>
        <w:tabs>
          <w:tab w:val="num" w:pos="1080"/>
        </w:tabs>
        <w:ind w:left="1080" w:hanging="180"/>
      </w:pPr>
      <w:rPr>
        <w:sz w:val="20"/>
        <w:i w:val="false"/>
        <w:b/>
        <w:szCs w:val="20"/>
        <w:rFonts w:ascii="Arial" w:hAnsi="Arial" w:cs="Arial"/>
      </w:rPr>
    </w:lvl>
  </w:abstractNum>
  <w:abstractNum w:abstractNumId="19">
    <w:lvl w:ilvl="0">
      <w:start w:val="1"/>
      <w:numFmt w:val="upperRoman"/>
      <w:lvlText w:val="%1.-"/>
      <w:lvlJc w:val="right"/>
      <w:pPr>
        <w:tabs>
          <w:tab w:val="num" w:pos="1080"/>
        </w:tabs>
        <w:ind w:left="1080" w:hanging="180"/>
      </w:pPr>
      <w:rPr>
        <w:i w:val="false"/>
        <w:b/>
      </w:rPr>
    </w:lvl>
  </w:abstractNum>
  <w:abstractNum w:abstractNumId="20">
    <w:lvl w:ilvl="0">
      <w:start w:val="1"/>
      <w:numFmt w:val="upperRoman"/>
      <w:lvlText w:val="%1.-"/>
      <w:lvlJc w:val="right"/>
      <w:pPr>
        <w:tabs>
          <w:tab w:val="num" w:pos="567"/>
        </w:tabs>
        <w:ind w:left="0" w:firstLine="567"/>
      </w:pPr>
      <w:rPr>
        <w:sz w:val="20"/>
        <w:i w:val="false"/>
        <w:b/>
      </w:rPr>
    </w:lvl>
  </w:abstractNum>
  <w:abstractNum w:abstractNumId="21">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22">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23">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24">
    <w:lvl w:ilvl="0">
      <w:start w:val="1"/>
      <w:numFmt w:val="upperRoman"/>
      <w:lvlText w:val="%1.-"/>
      <w:lvlJc w:val="right"/>
      <w:pPr>
        <w:tabs>
          <w:tab w:val="num" w:pos="567"/>
        </w:tabs>
        <w:ind w:left="0" w:firstLine="567"/>
      </w:pPr>
      <w:rPr>
        <w:sz w:val="20"/>
        <w:i w:val="false"/>
        <w:b/>
        <w:szCs w:val="20"/>
        <w:rFonts w:ascii="Arial" w:hAnsi="Arial" w:cs="Arial"/>
      </w:rPr>
    </w:lvl>
  </w:abstractNum>
  <w:abstractNum w:abstractNumId="25">
    <w:lvl w:ilvl="0">
      <w:start w:val="1"/>
      <w:numFmt w:val="lowerLetter"/>
      <w:lvlText w:val="%1)"/>
      <w:lvlJc w:val="left"/>
      <w:pPr>
        <w:tabs>
          <w:tab w:val="num" w:pos="1440"/>
        </w:tabs>
        <w:ind w:left="1440" w:hanging="360"/>
      </w:pPr>
      <w:rPr>
        <w:i w:val="false"/>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MX"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Ttulo1">
    <w:name w:val="Heading 1"/>
    <w:basedOn w:val="Normal"/>
    <w:next w:val="Normal"/>
    <w:qFormat/>
    <w:pPr>
      <w:keepNext w:val="true"/>
      <w:overflowPunct w:val="false"/>
      <w:autoSpaceDE w:val="false"/>
      <w:spacing w:before="0" w:after="120"/>
      <w:jc w:val="center"/>
      <w:textAlignment w:val="baseline"/>
      <w:outlineLvl w:val="0"/>
    </w:pPr>
    <w:rPr>
      <w:rFonts w:ascii="Arial" w:hAnsi="Arial" w:cs="Arial"/>
      <w:b/>
      <w:sz w:val="28"/>
      <w:szCs w:val="20"/>
      <w:lang w:val="es-ES_tradnl"/>
    </w:rPr>
  </w:style>
  <w:style w:type="paragraph" w:styleId="Ttulo2">
    <w:name w:val="Heading 2"/>
    <w:basedOn w:val="Normal"/>
    <w:next w:val="Normal"/>
    <w:qFormat/>
    <w:pPr>
      <w:keepNext w:val="true"/>
      <w:overflowPunct w:val="false"/>
      <w:autoSpaceDE w:val="false"/>
      <w:spacing w:lineRule="atLeast" w:line="360" w:before="240" w:after="0"/>
      <w:ind w:left="567" w:right="618" w:hanging="0"/>
      <w:textAlignment w:val="baseline"/>
      <w:outlineLvl w:val="1"/>
    </w:pPr>
    <w:rPr>
      <w:rFonts w:ascii="Arial" w:hAnsi="Arial" w:cs="Arial"/>
      <w:b/>
      <w:szCs w:val="20"/>
      <w:lang w:val="es-ES_tradnl"/>
    </w:rPr>
  </w:style>
  <w:style w:type="paragraph" w:styleId="Ttulo3">
    <w:name w:val="Heading 3"/>
    <w:basedOn w:val="Normal"/>
    <w:next w:val="Normal"/>
    <w:qFormat/>
    <w:pPr>
      <w:keepNext w:val="true"/>
      <w:numPr>
        <w:ilvl w:val="0"/>
        <w:numId w:val="9"/>
      </w:numPr>
      <w:tabs>
        <w:tab w:val="clear" w:pos="708"/>
        <w:tab w:val="left" w:pos="567" w:leader="none"/>
      </w:tabs>
      <w:autoSpaceDE w:val="false"/>
      <w:spacing w:lineRule="atLeast" w:line="360" w:before="120" w:after="240"/>
      <w:ind w:left="567" w:right="618" w:hanging="0"/>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val="true"/>
      <w:spacing w:before="240" w:after="60"/>
      <w:outlineLvl w:val="3"/>
    </w:pPr>
    <w:rPr>
      <w:b/>
      <w:bCs/>
      <w:sz w:val="28"/>
      <w:szCs w:val="28"/>
    </w:rPr>
  </w:style>
  <w:style w:type="paragraph" w:styleId="Ttulo5">
    <w:name w:val="Heading 5"/>
    <w:basedOn w:val="Normal"/>
    <w:next w:val="Normal"/>
    <w:qFormat/>
    <w:pPr>
      <w:keepNext w:val="true"/>
      <w:widowControl w:val="false"/>
      <w:autoSpaceDE w:val="false"/>
      <w:spacing w:before="0" w:after="120"/>
      <w:ind w:right="51" w:hanging="0"/>
      <w:jc w:val="center"/>
      <w:outlineLvl w:val="4"/>
    </w:pPr>
    <w:rPr>
      <w:rFonts w:ascii="Arial" w:hAnsi="Arial" w:cs="Arial"/>
      <w:b/>
      <w:szCs w:val="20"/>
      <w:lang w:val="es-ES_tradnl"/>
    </w:rPr>
  </w:style>
  <w:style w:type="paragraph" w:styleId="Ttulo6">
    <w:name w:val="Heading 6"/>
    <w:basedOn w:val="Normal"/>
    <w:next w:val="Normal"/>
    <w:qFormat/>
    <w:pPr>
      <w:keepNext w:val="true"/>
      <w:overflowPunct w:val="false"/>
      <w:autoSpaceDE w:val="false"/>
      <w:spacing w:before="0" w:after="120"/>
      <w:ind w:left="426" w:right="389" w:hanging="0"/>
      <w:jc w:val="center"/>
      <w:textAlignment w:val="baseline"/>
      <w:outlineLvl w:val="5"/>
    </w:pPr>
    <w:rPr>
      <w:rFonts w:ascii="Arial" w:hAnsi="Arial" w:cs="Arial"/>
      <w:b/>
      <w:sz w:val="32"/>
      <w:szCs w:val="20"/>
      <w:lang w:val="es-MX"/>
    </w:rPr>
  </w:style>
  <w:style w:type="paragraph" w:styleId="Ttulo7">
    <w:name w:val="Heading 7"/>
    <w:basedOn w:val="Normal"/>
    <w:next w:val="Normal"/>
    <w:qFormat/>
    <w:pPr>
      <w:keepNext w:val="true"/>
      <w:spacing w:before="0" w:after="120"/>
      <w:ind w:right="51" w:hanging="0"/>
      <w:jc w:val="center"/>
      <w:outlineLvl w:val="6"/>
    </w:pPr>
    <w:rPr>
      <w:rFonts w:ascii="Arial" w:hAnsi="Arial" w:cs="Arial"/>
      <w:b/>
      <w:sz w:val="28"/>
      <w:szCs w:val="20"/>
    </w:rPr>
  </w:style>
  <w:style w:type="paragraph" w:styleId="Ttulo8">
    <w:name w:val="Heading 8"/>
    <w:basedOn w:val="Normal"/>
    <w:next w:val="Normal"/>
    <w:qFormat/>
    <w:pPr>
      <w:keepNext w:val="true"/>
      <w:overflowPunct w:val="false"/>
      <w:autoSpaceDE w:val="false"/>
      <w:spacing w:before="0" w:after="120"/>
      <w:textAlignment w:val="baseline"/>
      <w:outlineLvl w:val="7"/>
    </w:pPr>
    <w:rPr>
      <w:rFonts w:ascii="Arial" w:hAnsi="Arial" w:cs="Arial"/>
      <w:b/>
      <w:szCs w:val="20"/>
      <w:lang w:val="es-ES_tradnl"/>
    </w:rPr>
  </w:style>
  <w:style w:type="paragraph" w:styleId="Ttulo9">
    <w:name w:val="Heading 9"/>
    <w:basedOn w:val="Normal"/>
    <w:next w:val="Normal"/>
    <w:qFormat/>
    <w:pPr>
      <w:keepNext w:val="true"/>
      <w:autoSpaceDE w:val="false"/>
      <w:spacing w:before="0" w:after="240"/>
      <w:jc w:val="center"/>
      <w:outlineLvl w:val="8"/>
    </w:pPr>
    <w:rPr>
      <w:rFonts w:ascii="Palatino Linotype" w:hAnsi="Palatino Linotype" w:cs="Arial"/>
      <w:b/>
      <w:bCs/>
    </w:rPr>
  </w:style>
  <w:style w:type="character" w:styleId="WW8Num1z0">
    <w:name w:val="WW8Num1z0"/>
    <w:qFormat/>
    <w:rPr>
      <w:rFonts w:ascii="Arial" w:hAnsi="Arial" w:cs="Arial"/>
      <w:b/>
      <w:i w:val="false"/>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i w:val="false"/>
      <w:sz w:val="20"/>
      <w:szCs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i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i w:val="false"/>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Arial" w:hAnsi="Arial" w:cs="Arial"/>
      <w:b/>
      <w:i w:val="false"/>
      <w:sz w:val="20"/>
      <w:szCs w:val="2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b/>
      <w:i w:val="false"/>
      <w:sz w:val="20"/>
      <w:szCs w:val="20"/>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cs="Arial"/>
      <w:b/>
      <w:i w:val="false"/>
      <w:sz w:val="20"/>
      <w:szCs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i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b/>
      <w:i w:val="false"/>
      <w:sz w:val="20"/>
      <w:szCs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i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b/>
      <w:i w:val="false"/>
      <w:sz w:val="20"/>
      <w:szCs w:val="20"/>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i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Arial" w:hAnsi="Arial" w:cs="Arial"/>
      <w:b/>
      <w:i w:val="false"/>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b/>
      <w:i w:val="false"/>
      <w:sz w:val="20"/>
      <w:szCs w:val="20"/>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i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i w:val="false"/>
      <w:sz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cs="Arial"/>
      <w:b/>
      <w:i w:val="false"/>
      <w:sz w:val="20"/>
      <w:szCs w:val="20"/>
    </w:rPr>
  </w:style>
  <w:style w:type="character" w:styleId="WW8Num21z1">
    <w:name w:val="WW8Num21z1"/>
    <w:qFormat/>
    <w:rPr>
      <w:b/>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cs="Arial"/>
      <w:b/>
      <w:i w:val="false"/>
      <w:sz w:val="20"/>
      <w:szCs w:val="2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Arial" w:hAnsi="Arial" w:cs="Arial"/>
      <w:b/>
      <w:i w:val="false"/>
      <w:sz w:val="20"/>
      <w:szCs w:val="20"/>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cs="Arial"/>
      <w:b/>
      <w:i w:val="false"/>
      <w:sz w:val="20"/>
      <w:szCs w:val="2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i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Fuentedeprrafopredeter">
    <w:name w:val="Fuente de párrafo predeter."/>
    <w:qFormat/>
    <w:rPr/>
  </w:style>
  <w:style w:type="character" w:styleId="Nmerodepgina">
    <w:name w:val="Número de página"/>
    <w:basedOn w:val="Fuentedeprrafopredeter"/>
    <w:rPr/>
  </w:style>
  <w:style w:type="character" w:styleId="EnlacedeInternet">
    <w:name w:val="Enlace de Internet"/>
    <w:rPr>
      <w:color w:val="0000FF"/>
      <w:u w:val="single"/>
    </w:rPr>
  </w:style>
  <w:style w:type="character" w:styleId="EncabezadoCar">
    <w:name w:val="Encabezado Car"/>
    <w:qFormat/>
    <w:rPr>
      <w:sz w:val="24"/>
      <w:szCs w:val="24"/>
    </w:rPr>
  </w:style>
  <w:style w:type="character" w:styleId="NormalWebCar">
    <w:name w:val="Normal (Web) Car"/>
    <w:qFormat/>
    <w:rPr>
      <w:rFonts w:ascii="Arial" w:hAnsi="Arial" w:cs="Arial"/>
      <w:sz w:val="24"/>
      <w:szCs w:val="24"/>
    </w:rPr>
  </w:style>
  <w:style w:type="paragraph" w:styleId="Ttulo">
    <w:name w:val="Título"/>
    <w:basedOn w:val="Normal"/>
    <w:next w:val="Cuerpodetexto"/>
    <w:qFormat/>
    <w:pPr>
      <w:overflowPunct w:val="false"/>
      <w:autoSpaceDE w:val="false"/>
      <w:jc w:val="center"/>
      <w:textAlignment w:val="baseline"/>
    </w:pPr>
    <w:rPr>
      <w:rFonts w:ascii="Arial" w:hAnsi="Arial" w:cs="Arial"/>
      <w:b/>
      <w:szCs w:val="20"/>
      <w:lang w:val="es-ES_tradnl"/>
    </w:rPr>
  </w:style>
  <w:style w:type="paragraph" w:styleId="Cuerpodetexto">
    <w:name w:val="Body Text"/>
    <w:basedOn w:val="Normal"/>
    <w:pPr>
      <w:spacing w:before="0" w:after="120"/>
      <w:ind w:right="51" w:hanging="0"/>
      <w:jc w:val="both"/>
    </w:pPr>
    <w:rPr>
      <w:rFonts w:ascii="Arial" w:hAnsi="Arial" w:cs="Arial"/>
      <w:szCs w:val="20"/>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419" w:leader="none"/>
        <w:tab w:val="right" w:pos="8838" w:leader="none"/>
      </w:tabs>
    </w:pPr>
    <w:rPr>
      <w:lang w:val="es-MX"/>
    </w:rPr>
  </w:style>
  <w:style w:type="paragraph" w:styleId="Sangra3detindependiente">
    <w:name w:val="Sangría 3 de t. independiente"/>
    <w:basedOn w:val="Normal"/>
    <w:qFormat/>
    <w:pPr>
      <w:spacing w:lineRule="auto" w:line="360"/>
      <w:ind w:firstLine="709"/>
      <w:jc w:val="both"/>
    </w:pPr>
    <w:rPr>
      <w:rFonts w:ascii="Arial" w:hAnsi="Arial" w:cs="Arial"/>
      <w:szCs w:val="20"/>
    </w:rPr>
  </w:style>
  <w:style w:type="paragraph" w:styleId="Textoindependiente2">
    <w:name w:val="Texto independiente 2"/>
    <w:basedOn w:val="Normal"/>
    <w:qFormat/>
    <w:pPr>
      <w:jc w:val="both"/>
    </w:pPr>
    <w:rPr>
      <w:lang w:val="es-ES_tradnl"/>
    </w:rPr>
  </w:style>
  <w:style w:type="paragraph" w:styleId="Sangra2detindependiente">
    <w:name w:val="Sangría 2 de t. independiente"/>
    <w:basedOn w:val="Normal"/>
    <w:qFormat/>
    <w:pPr>
      <w:spacing w:lineRule="auto" w:line="360"/>
      <w:ind w:firstLine="708"/>
      <w:jc w:val="both"/>
    </w:pPr>
    <w:rPr>
      <w:rFonts w:ascii="Arial" w:hAnsi="Arial" w:cs="Arial"/>
      <w:szCs w:val="20"/>
    </w:rPr>
  </w:style>
  <w:style w:type="paragraph" w:styleId="BodyText2">
    <w:name w:val="Body Text 2"/>
    <w:basedOn w:val="Normal"/>
    <w:qFormat/>
    <w:pPr>
      <w:overflowPunct w:val="false"/>
      <w:autoSpaceDE w:val="false"/>
      <w:spacing w:before="0" w:after="120"/>
      <w:ind w:right="-568" w:hanging="0"/>
      <w:jc w:val="both"/>
      <w:textAlignment w:val="baseline"/>
    </w:pPr>
    <w:rPr>
      <w:rFonts w:ascii="Arial" w:hAnsi="Arial" w:cs="Arial"/>
      <w:szCs w:val="20"/>
      <w:lang w:val="es-ES_tradnl"/>
    </w:rPr>
  </w:style>
  <w:style w:type="paragraph" w:styleId="Piedepgina">
    <w:name w:val="Footer"/>
    <w:basedOn w:val="Normal"/>
    <w:pPr>
      <w:widowControl w:val="false"/>
      <w:tabs>
        <w:tab w:val="clear" w:pos="708"/>
        <w:tab w:val="center" w:pos="4419" w:leader="none"/>
        <w:tab w:val="right" w:pos="8838" w:leader="none"/>
      </w:tabs>
      <w:autoSpaceDE w:val="false"/>
    </w:pPr>
    <w:rPr>
      <w:sz w:val="20"/>
      <w:szCs w:val="20"/>
      <w:lang w:val="es-ES_tradnl"/>
    </w:rPr>
  </w:style>
  <w:style w:type="paragraph" w:styleId="Textoindependiente3">
    <w:name w:val="Texto independiente 3"/>
    <w:basedOn w:val="Normal"/>
    <w:qFormat/>
    <w:pPr/>
    <w:rPr>
      <w:sz w:val="20"/>
    </w:rPr>
  </w:style>
  <w:style w:type="paragraph" w:styleId="BlockText">
    <w:name w:val="Block Text"/>
    <w:basedOn w:val="Normal"/>
    <w:qFormat/>
    <w:pPr>
      <w:overflowPunct w:val="false"/>
      <w:autoSpaceDE w:val="false"/>
      <w:spacing w:lineRule="atLeast" w:line="360" w:before="240" w:after="240"/>
      <w:ind w:left="567" w:right="618" w:hanging="0"/>
      <w:jc w:val="both"/>
      <w:textAlignment w:val="baseline"/>
    </w:pPr>
    <w:rPr>
      <w:rFonts w:ascii="Arial" w:hAnsi="Arial" w:cs="Arial"/>
      <w:szCs w:val="20"/>
      <w:lang w:val="es-ES_tradnl"/>
    </w:rPr>
  </w:style>
  <w:style w:type="paragraph" w:styleId="Cuerpodetextoconsangra">
    <w:name w:val="Body Text Indent"/>
    <w:basedOn w:val="Normal"/>
    <w:pPr>
      <w:spacing w:before="0" w:after="120"/>
      <w:ind w:left="283" w:hanging="0"/>
    </w:pPr>
    <w:rPr/>
  </w:style>
  <w:style w:type="paragraph" w:styleId="Textodebloque">
    <w:name w:val="Texto de bloque"/>
    <w:basedOn w:val="Normal"/>
    <w:qFormat/>
    <w:pPr>
      <w:autoSpaceDE w:val="false"/>
      <w:spacing w:lineRule="atLeast" w:line="360" w:before="240" w:after="240"/>
      <w:ind w:left="567" w:right="618" w:hanging="0"/>
      <w:jc w:val="both"/>
    </w:pPr>
    <w:rPr>
      <w:rFonts w:ascii="Arial" w:hAnsi="Arial" w:cs="Arial"/>
      <w:sz w:val="20"/>
      <w:lang w:val="es-ES_tradnl"/>
    </w:rPr>
  </w:style>
  <w:style w:type="paragraph" w:styleId="Subttulo">
    <w:name w:val="Subtitle"/>
    <w:basedOn w:val="Normal"/>
    <w:next w:val="Cuerpodetexto"/>
    <w:qFormat/>
    <w:pPr>
      <w:spacing w:lineRule="auto" w:line="360" w:before="0" w:after="120"/>
      <w:jc w:val="center"/>
    </w:pPr>
    <w:rPr>
      <w:rFonts w:ascii="Arial" w:hAnsi="Arial" w:cs="Arial"/>
      <w:b/>
    </w:rPr>
  </w:style>
  <w:style w:type="paragraph" w:styleId="Estilo1">
    <w:name w:val="Estilo1"/>
    <w:basedOn w:val="Ttulo3"/>
    <w:qFormat/>
    <w:pPr>
      <w:numPr>
        <w:ilvl w:val="0"/>
        <w:numId w:val="0"/>
      </w:numPr>
      <w:spacing w:lineRule="auto" w:line="240"/>
      <w:ind w:hanging="0"/>
      <w:jc w:val="both"/>
    </w:pPr>
    <w:rPr>
      <w:rFonts w:ascii="Palatino Linotype" w:hAnsi="Palatino Linotype" w:cs="Palatino Linotype"/>
      <w:sz w:val="22"/>
      <w:szCs w:val="22"/>
    </w:rPr>
  </w:style>
  <w:style w:type="paragraph" w:styleId="CharCharCarCarCarCarCarCarCarCar3CarCarCarCarCarCarCarCarCarCarCarCarCar">
    <w:name w:val=" Char Char Car Car Car Car Car Car Car Car3 Car Car Car Car Car Car Car Car Car Car Car Car Car"/>
    <w:basedOn w:val="Normal"/>
    <w:qFormat/>
    <w:pPr>
      <w:spacing w:lineRule="exact" w:line="240" w:before="0" w:after="160"/>
    </w:pPr>
    <w:rPr>
      <w:rFonts w:ascii="Tahoma" w:hAnsi="Tahoma" w:cs="Tahoma"/>
      <w:sz w:val="20"/>
      <w:szCs w:val="20"/>
    </w:rPr>
  </w:style>
  <w:style w:type="paragraph" w:styleId="NormalWeb">
    <w:name w:val="Normal (Web)"/>
    <w:basedOn w:val="Normal"/>
    <w:qFormat/>
    <w:pPr>
      <w:suppressAutoHyphens w:val="true"/>
      <w:spacing w:before="100" w:after="100"/>
    </w:pPr>
    <w:rPr>
      <w:rFonts w:ascii="Arial" w:hAnsi="Arial" w:cs="Arial"/>
      <w:lang w:val="es-MX"/>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37</Pages>
  <Words>14410</Words>
  <Characters>76767</Characters>
  <CharactersWithSpaces>90931</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2022-11-25T15:22:00Z</dcterms:created>
  <dc:creator>jorge.rodriguez</dc:creator>
  <dc:description/>
  <cp:keywords/>
  <dc:language>es-MX</dc:language>
  <cp:lastModifiedBy>Delmy Cruz</cp:lastModifiedBy>
  <cp:lastPrinted>2010-11-19T13:11:00Z</cp:lastPrinted>
  <dcterms:modified xsi:type="dcterms:W3CDTF">2022-11-25T15:22:00Z</dcterms:modified>
  <cp:revision>2</cp:revision>
  <dc:subject/>
  <dc:title>LEY DE HACIENDA DEL MUNICIPIO DE IZAMAL</dc:title>
</cp:coreProperties>
</file>