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F41" w:rsidRPr="00B40AC7" w:rsidRDefault="0042389F" w:rsidP="00B40AC7">
      <w:pPr>
        <w:spacing w:after="120" w:line="360" w:lineRule="auto"/>
        <w:jc w:val="center"/>
        <w:rPr>
          <w:rFonts w:ascii="Arial" w:eastAsia="Calibri" w:hAnsi="Arial" w:cs="Arial"/>
          <w:lang w:val="es-MX" w:eastAsia="en-US"/>
        </w:rPr>
      </w:pPr>
      <w:r w:rsidRPr="00B40AC7">
        <w:rPr>
          <w:rFonts w:ascii="Arial" w:eastAsia="Arial" w:hAnsi="Arial" w:cs="Arial"/>
          <w:b/>
          <w:color w:val="221F1F"/>
          <w:lang w:eastAsia="en-US"/>
        </w:rPr>
        <w:t>INICIA</w:t>
      </w:r>
      <w:r w:rsidR="00B40AC7" w:rsidRPr="00B40AC7">
        <w:rPr>
          <w:rFonts w:ascii="Arial" w:eastAsia="Arial" w:hAnsi="Arial" w:cs="Arial"/>
          <w:b/>
          <w:color w:val="221F1F"/>
          <w:lang w:eastAsia="en-US"/>
        </w:rPr>
        <w:t xml:space="preserve">TIVA DE </w:t>
      </w:r>
      <w:r w:rsidR="000B2F41" w:rsidRPr="00B40AC7">
        <w:rPr>
          <w:rFonts w:ascii="Arial" w:eastAsia="Arial" w:hAnsi="Arial" w:cs="Arial"/>
          <w:b/>
          <w:color w:val="221F1F"/>
          <w:lang w:val="es-MX" w:eastAsia="en-US"/>
        </w:rPr>
        <w:t>LEY DE INGRESOS DEL MUNICIPIO DE TEKAL DE VENEGAS, YUCAT</w:t>
      </w:r>
      <w:r w:rsidRPr="00B40AC7">
        <w:rPr>
          <w:rFonts w:ascii="Arial" w:eastAsia="Arial" w:hAnsi="Arial" w:cs="Arial"/>
          <w:b/>
          <w:color w:val="221F1F"/>
          <w:lang w:val="es-MX" w:eastAsia="en-US"/>
        </w:rPr>
        <w:t>ÁN PARA EL EJERCICIO FISCAL 2026</w:t>
      </w:r>
      <w:r w:rsidR="000B2F41" w:rsidRPr="00B40AC7">
        <w:rPr>
          <w:rFonts w:ascii="Arial" w:eastAsia="Arial" w:hAnsi="Arial" w:cs="Arial"/>
          <w:b/>
          <w:color w:val="221F1F"/>
          <w:lang w:val="es-MX" w:eastAsia="en-US"/>
        </w:rPr>
        <w:t>:</w:t>
      </w:r>
    </w:p>
    <w:p w:rsidR="000B2F41" w:rsidRPr="0090015E" w:rsidRDefault="000B2F41" w:rsidP="00B40AC7">
      <w:pPr>
        <w:spacing w:after="120" w:line="360" w:lineRule="auto"/>
        <w:jc w:val="center"/>
        <w:rPr>
          <w:rFonts w:ascii="Arial" w:eastAsia="Arial" w:hAnsi="Arial" w:cs="Arial"/>
          <w:b/>
          <w:color w:val="221F1F"/>
          <w:sz w:val="20"/>
          <w:szCs w:val="20"/>
          <w:lang w:val="es-CR" w:eastAsia="en-US"/>
        </w:rPr>
      </w:pPr>
      <w:r w:rsidRPr="0090015E">
        <w:rPr>
          <w:rFonts w:ascii="Arial" w:eastAsia="Arial" w:hAnsi="Arial" w:cs="Arial"/>
          <w:b/>
          <w:color w:val="221F1F"/>
          <w:sz w:val="20"/>
          <w:szCs w:val="20"/>
          <w:lang w:val="es-CR" w:eastAsia="en-US"/>
        </w:rPr>
        <w:t xml:space="preserve">TÍTULO PRIMERO </w:t>
      </w:r>
    </w:p>
    <w:p w:rsidR="000B2F41" w:rsidRPr="00B40AC7" w:rsidRDefault="000B2F41" w:rsidP="00B40AC7">
      <w:pPr>
        <w:spacing w:after="120" w:line="360" w:lineRule="auto"/>
        <w:jc w:val="center"/>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DISPOSICIONES GENERALES</w:t>
      </w:r>
    </w:p>
    <w:p w:rsidR="000B2F41" w:rsidRPr="0090015E" w:rsidRDefault="000B2F41" w:rsidP="00B40AC7">
      <w:pPr>
        <w:spacing w:after="120" w:line="360" w:lineRule="auto"/>
        <w:jc w:val="center"/>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CAPÍTULO I</w:t>
      </w:r>
    </w:p>
    <w:p w:rsidR="000B2F41" w:rsidRPr="00B40AC7" w:rsidRDefault="000B2F41" w:rsidP="00B40AC7">
      <w:pPr>
        <w:spacing w:after="120" w:line="360" w:lineRule="auto"/>
        <w:jc w:val="center"/>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De la Naturaleza y Objeto de la Ley</w:t>
      </w:r>
    </w:p>
    <w:p w:rsidR="000B2F41" w:rsidRPr="00B40AC7" w:rsidRDefault="000B2F41" w:rsidP="00B40AC7">
      <w:pPr>
        <w:spacing w:after="120" w:line="360" w:lineRule="auto"/>
        <w:jc w:val="both"/>
        <w:rPr>
          <w:rFonts w:ascii="Arial" w:eastAsia="Arial" w:hAnsi="Arial" w:cs="Arial"/>
          <w:color w:val="221F1F"/>
          <w:sz w:val="20"/>
          <w:szCs w:val="20"/>
          <w:lang w:val="es-CR" w:eastAsia="en-US"/>
        </w:rPr>
      </w:pPr>
      <w:r w:rsidRPr="0090015E">
        <w:rPr>
          <w:rFonts w:ascii="Arial" w:eastAsia="Arial" w:hAnsi="Arial" w:cs="Arial"/>
          <w:b/>
          <w:color w:val="221F1F"/>
          <w:sz w:val="20"/>
          <w:szCs w:val="20"/>
          <w:lang w:val="es-CR" w:eastAsia="en-US"/>
        </w:rPr>
        <w:t>Artículo 1</w:t>
      </w:r>
      <w:r w:rsidRPr="000B2F41">
        <w:rPr>
          <w:rFonts w:ascii="Arial" w:hAnsi="Arial" w:cs="Arial"/>
          <w:sz w:val="20"/>
          <w:szCs w:val="20"/>
          <w:lang w:eastAsia="en-US"/>
        </w:rPr>
        <w:t>.-</w:t>
      </w:r>
      <w:r w:rsidRPr="0090015E">
        <w:rPr>
          <w:rFonts w:ascii="Arial" w:eastAsia="Arial" w:hAnsi="Arial" w:cs="Arial"/>
          <w:b/>
          <w:color w:val="221F1F"/>
          <w:sz w:val="20"/>
          <w:szCs w:val="20"/>
          <w:lang w:val="es-CR" w:eastAsia="en-US"/>
        </w:rPr>
        <w:t xml:space="preserve"> </w:t>
      </w:r>
      <w:r w:rsidRPr="0090015E">
        <w:rPr>
          <w:rFonts w:ascii="Arial" w:eastAsia="Arial" w:hAnsi="Arial" w:cs="Arial"/>
          <w:color w:val="221F1F"/>
          <w:sz w:val="20"/>
          <w:szCs w:val="20"/>
          <w:lang w:val="es-CR" w:eastAsia="en-US"/>
        </w:rPr>
        <w:t xml:space="preserve">La presente Ley es de orden público y de interés social, y tiene por objeto establecer los ingresos que percibirá la Hacienda Pública del Municipio de Tekal de Venegas, Yucatán a través de su Tesorería Municipal, durante </w:t>
      </w:r>
      <w:r w:rsidR="000A18AC">
        <w:rPr>
          <w:rFonts w:ascii="Arial" w:eastAsia="Arial" w:hAnsi="Arial" w:cs="Arial"/>
          <w:color w:val="221F1F"/>
          <w:sz w:val="20"/>
          <w:szCs w:val="20"/>
          <w:lang w:val="es-CR" w:eastAsia="en-US"/>
        </w:rPr>
        <w:t>el ejercicio fiscal del año 2026</w:t>
      </w:r>
      <w:r w:rsidRPr="0090015E">
        <w:rPr>
          <w:rFonts w:ascii="Arial" w:eastAsia="Arial" w:hAnsi="Arial" w:cs="Arial"/>
          <w:color w:val="221F1F"/>
          <w:sz w:val="20"/>
          <w:szCs w:val="20"/>
          <w:lang w:val="es-CR" w:eastAsia="en-US"/>
        </w:rPr>
        <w:t>.</w:t>
      </w:r>
    </w:p>
    <w:p w:rsidR="000B2F41" w:rsidRPr="00B40AC7" w:rsidRDefault="000B2F41" w:rsidP="00B40AC7">
      <w:pPr>
        <w:spacing w:after="120" w:line="360" w:lineRule="auto"/>
        <w:jc w:val="both"/>
        <w:rPr>
          <w:rFonts w:ascii="Arial" w:eastAsia="Arial" w:hAnsi="Arial" w:cs="Arial"/>
          <w:color w:val="221F1F"/>
          <w:sz w:val="20"/>
          <w:szCs w:val="20"/>
          <w:lang w:val="es-CR" w:eastAsia="en-US"/>
        </w:rPr>
      </w:pPr>
      <w:r w:rsidRPr="0090015E">
        <w:rPr>
          <w:rFonts w:ascii="Arial" w:eastAsia="Arial" w:hAnsi="Arial" w:cs="Arial"/>
          <w:b/>
          <w:color w:val="221F1F"/>
          <w:sz w:val="20"/>
          <w:szCs w:val="20"/>
          <w:lang w:val="es-CR" w:eastAsia="en-US"/>
        </w:rPr>
        <w:t xml:space="preserve">Artículo 2.- </w:t>
      </w:r>
      <w:r w:rsidRPr="0090015E">
        <w:rPr>
          <w:rFonts w:ascii="Arial" w:eastAsia="Arial" w:hAnsi="Arial" w:cs="Arial"/>
          <w:color w:val="221F1F"/>
          <w:sz w:val="20"/>
          <w:szCs w:val="20"/>
          <w:lang w:val="es-CR" w:eastAsia="en-US"/>
        </w:rPr>
        <w:t>Las personas domiciliadas dentro del Municipio de Tekal de Venegas, Yucatán que tuvieren bienes en su territorio o celebren actos que surtan efectos en el mismo, están obligados a contribuir para los gastos públicos de la manera que disponga la presente Ley, así como la Ley de Hacienda para el Municipio de Tekal de Venegas, Yucatán, el Código Fiscal del Estado de Yucatán y los demás ordenamientos fiscales de carácter local y federal.</w:t>
      </w:r>
    </w:p>
    <w:p w:rsidR="000B2F41" w:rsidRPr="00B40AC7" w:rsidRDefault="000B2F41" w:rsidP="00B40AC7">
      <w:pPr>
        <w:spacing w:after="120" w:line="360" w:lineRule="auto"/>
        <w:jc w:val="both"/>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 xml:space="preserve">Artículo 3.- </w:t>
      </w:r>
      <w:r w:rsidRPr="0090015E">
        <w:rPr>
          <w:rFonts w:ascii="Arial" w:eastAsia="Arial" w:hAnsi="Arial" w:cs="Arial"/>
          <w:color w:val="221F1F"/>
          <w:sz w:val="20"/>
          <w:szCs w:val="20"/>
          <w:lang w:val="es-CR" w:eastAsia="en-US"/>
        </w:rPr>
        <w:t>Los ingresos que se recauden por los conceptos señalados en la presente Ley, se destinarán a sufragar los gastos públicos establecidos y autorizados en el Presupuesto de Egresos del Municipio de Tekal de Vengas, Yucatán, así como en lo dispuesto en los convenios de coordinación y en las Leyes en que se fundamenten.</w:t>
      </w:r>
    </w:p>
    <w:p w:rsidR="000B2F41" w:rsidRPr="0090015E" w:rsidRDefault="000B2F41" w:rsidP="00B40AC7">
      <w:pPr>
        <w:spacing w:after="120" w:line="360" w:lineRule="auto"/>
        <w:jc w:val="center"/>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CAPÍTULO II</w:t>
      </w:r>
    </w:p>
    <w:p w:rsidR="000B2F41" w:rsidRPr="00B40AC7" w:rsidRDefault="000B2F41" w:rsidP="00B40AC7">
      <w:pPr>
        <w:spacing w:after="120" w:line="360" w:lineRule="auto"/>
        <w:jc w:val="center"/>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Del Pronóstico</w:t>
      </w:r>
    </w:p>
    <w:p w:rsidR="000B2F41" w:rsidRPr="0090015E" w:rsidRDefault="000B2F41" w:rsidP="00B40AC7">
      <w:pPr>
        <w:spacing w:after="120" w:line="360" w:lineRule="auto"/>
        <w:jc w:val="both"/>
        <w:rPr>
          <w:rFonts w:ascii="Arial" w:eastAsia="Arial" w:hAnsi="Arial" w:cs="Arial"/>
          <w:color w:val="221F1F"/>
          <w:sz w:val="20"/>
          <w:szCs w:val="20"/>
          <w:lang w:val="es-CR" w:eastAsia="en-US"/>
        </w:rPr>
      </w:pPr>
      <w:r w:rsidRPr="0090015E">
        <w:rPr>
          <w:rFonts w:ascii="Arial" w:eastAsia="Arial" w:hAnsi="Arial" w:cs="Arial"/>
          <w:b/>
          <w:color w:val="221F1F"/>
          <w:sz w:val="20"/>
          <w:szCs w:val="20"/>
          <w:lang w:val="es-CR" w:eastAsia="en-US"/>
        </w:rPr>
        <w:t xml:space="preserve">Artículo 4.- </w:t>
      </w:r>
      <w:r w:rsidRPr="0090015E">
        <w:rPr>
          <w:rFonts w:ascii="Arial" w:eastAsia="Arial" w:hAnsi="Arial" w:cs="Arial"/>
          <w:color w:val="221F1F"/>
          <w:sz w:val="20"/>
          <w:szCs w:val="20"/>
          <w:lang w:val="es-CR" w:eastAsia="en-US"/>
        </w:rPr>
        <w:t>Los ingresos que la Tesorería Municipal de Tekal de Venegas; Yucatán, calcula recaudar</w:t>
      </w:r>
    </w:p>
    <w:p w:rsidR="000B2F41" w:rsidRPr="00B40AC7" w:rsidRDefault="000B2F41" w:rsidP="00B40AC7">
      <w:pPr>
        <w:spacing w:after="120" w:line="360" w:lineRule="auto"/>
        <w:jc w:val="both"/>
        <w:rPr>
          <w:rFonts w:ascii="Arial" w:eastAsia="Arial" w:hAnsi="Arial" w:cs="Arial"/>
          <w:sz w:val="20"/>
          <w:szCs w:val="20"/>
          <w:lang w:val="es-CR" w:eastAsia="en-US"/>
        </w:rPr>
      </w:pPr>
      <w:r w:rsidRPr="0090015E">
        <w:rPr>
          <w:rFonts w:ascii="Arial" w:eastAsia="Arial" w:hAnsi="Arial" w:cs="Arial"/>
          <w:color w:val="221F1F"/>
          <w:sz w:val="20"/>
          <w:szCs w:val="20"/>
          <w:lang w:val="es-CR" w:eastAsia="en-US"/>
        </w:rPr>
        <w:t xml:space="preserve">durante </w:t>
      </w:r>
      <w:r w:rsidR="000A18AC">
        <w:rPr>
          <w:rFonts w:ascii="Arial" w:eastAsia="Arial" w:hAnsi="Arial" w:cs="Arial"/>
          <w:color w:val="221F1F"/>
          <w:sz w:val="20"/>
          <w:szCs w:val="20"/>
          <w:lang w:val="es-CR" w:eastAsia="en-US"/>
        </w:rPr>
        <w:t>el Ejercicio Fiscal del año 2026</w:t>
      </w:r>
      <w:r w:rsidRPr="0090015E">
        <w:rPr>
          <w:rFonts w:ascii="Arial" w:eastAsia="Arial" w:hAnsi="Arial" w:cs="Arial"/>
          <w:color w:val="221F1F"/>
          <w:sz w:val="20"/>
          <w:szCs w:val="20"/>
          <w:lang w:val="es-CR" w:eastAsia="en-US"/>
        </w:rPr>
        <w:t>, en concepto de Impuestos, son los siguientes:</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66"/>
        <w:gridCol w:w="277"/>
        <w:gridCol w:w="1378"/>
      </w:tblGrid>
      <w:tr w:rsidR="000B2F41" w:rsidRPr="0090015E" w:rsidTr="00BD7101">
        <w:trPr>
          <w:jc w:val="center"/>
        </w:trPr>
        <w:tc>
          <w:tcPr>
            <w:tcW w:w="4062" w:type="pct"/>
            <w:shd w:val="clear" w:color="auto" w:fill="DBE5F1"/>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Impuestos</w:t>
            </w:r>
          </w:p>
        </w:tc>
        <w:tc>
          <w:tcPr>
            <w:tcW w:w="157" w:type="pct"/>
            <w:tcBorders>
              <w:right w:val="nil"/>
            </w:tcBorders>
            <w:shd w:val="clear" w:color="auto" w:fill="DBE5F1"/>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DBE5F1"/>
            <w:vAlign w:val="bottom"/>
            <w:hideMark/>
          </w:tcPr>
          <w:p w:rsidR="000B2F41" w:rsidRPr="0090015E" w:rsidRDefault="000B2F41" w:rsidP="00B40AC7">
            <w:pPr>
              <w:spacing w:after="120" w:line="360" w:lineRule="auto"/>
              <w:jc w:val="right"/>
              <w:rPr>
                <w:rFonts w:ascii="Arial" w:hAnsi="Arial" w:cs="Arial"/>
                <w:b/>
                <w:bCs/>
                <w:sz w:val="20"/>
                <w:szCs w:val="20"/>
                <w:lang w:val="es-MX" w:eastAsia="es-MX"/>
              </w:rPr>
            </w:pPr>
            <w:r w:rsidRPr="0090015E">
              <w:rPr>
                <w:rFonts w:ascii="Arial" w:hAnsi="Arial" w:cs="Arial"/>
                <w:b/>
                <w:bCs/>
                <w:sz w:val="20"/>
                <w:szCs w:val="20"/>
                <w:lang w:val="es-MX" w:eastAsia="es-MX"/>
              </w:rPr>
              <w:t>53,923.00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Impuestos sobre los ingresos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7,438.00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Impuesto sobre Espectáculos y Diversiones Públicas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7,438.00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Impuestos sobre el patrimonio</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28,511.00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Impuesto Predial</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28,511.00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Impuestos sobre la producción, el consumo y las transacciones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16,115.00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Impuesto sobre Adquisición de Inmuebles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16,115.00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lastRenderedPageBreak/>
              <w:t>Accesorios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1,859.00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Actualizaciones y Recargos de Impuestos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1,859.00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Multas de Impuestos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 xml:space="preserve"> 0.00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Gastos de Ejecución de Impuestos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 xml:space="preserve">   0.00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Otros Impuestos</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 xml:space="preserve">   0.00</w:t>
            </w:r>
          </w:p>
        </w:tc>
      </w:tr>
      <w:tr w:rsidR="000B2F41" w:rsidRPr="0090015E" w:rsidTr="00BD7101">
        <w:trPr>
          <w:jc w:val="center"/>
        </w:trPr>
        <w:tc>
          <w:tcPr>
            <w:tcW w:w="4062"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Impuestos no comprendidos en las fracciones de la Ley de Ingresos causadas en ejercicios fiscales anteriores pendientes de liquidación o pago</w:t>
            </w:r>
          </w:p>
        </w:tc>
        <w:tc>
          <w:tcPr>
            <w:tcW w:w="157"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81" w:type="pct"/>
            <w:tcBorders>
              <w:left w:val="nil"/>
            </w:tcBorders>
            <w:shd w:val="clear" w:color="auto" w:fill="auto"/>
            <w:hideMark/>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 xml:space="preserve">   0.00</w:t>
            </w:r>
          </w:p>
        </w:tc>
      </w:tr>
    </w:tbl>
    <w:p w:rsidR="000B2F41" w:rsidRPr="00B40AC7" w:rsidRDefault="000B2F41" w:rsidP="00B40AC7">
      <w:pPr>
        <w:spacing w:before="120" w:after="120" w:line="360" w:lineRule="auto"/>
        <w:jc w:val="both"/>
        <w:rPr>
          <w:rFonts w:ascii="Arial" w:eastAsia="Arial" w:hAnsi="Arial" w:cs="Arial"/>
          <w:bCs/>
          <w:color w:val="221F1F"/>
          <w:sz w:val="20"/>
          <w:szCs w:val="20"/>
          <w:lang w:val="es-CR" w:eastAsia="en-US"/>
        </w:rPr>
      </w:pPr>
      <w:r w:rsidRPr="0090015E">
        <w:rPr>
          <w:rFonts w:ascii="Arial" w:eastAsia="Arial" w:hAnsi="Arial" w:cs="Arial"/>
          <w:b/>
          <w:color w:val="221F1F"/>
          <w:sz w:val="20"/>
          <w:szCs w:val="20"/>
          <w:lang w:val="es-CR" w:eastAsia="en-US"/>
        </w:rPr>
        <w:t xml:space="preserve">Artículo 5.- </w:t>
      </w:r>
      <w:r w:rsidRPr="0090015E">
        <w:rPr>
          <w:rFonts w:ascii="Arial" w:eastAsia="Arial" w:hAnsi="Arial" w:cs="Arial"/>
          <w:bCs/>
          <w:color w:val="221F1F"/>
          <w:sz w:val="20"/>
          <w:szCs w:val="20"/>
          <w:lang w:val="es-CR" w:eastAsia="en-US"/>
        </w:rPr>
        <w:t xml:space="preserve">Los ingresos que la Tesorería Municipal de Tekal de Venegas, Yucatán, calcula recaudar durante </w:t>
      </w:r>
      <w:r w:rsidR="000A18AC">
        <w:rPr>
          <w:rFonts w:ascii="Arial" w:eastAsia="Arial" w:hAnsi="Arial" w:cs="Arial"/>
          <w:bCs/>
          <w:color w:val="221F1F"/>
          <w:sz w:val="20"/>
          <w:szCs w:val="20"/>
          <w:lang w:val="es-CR" w:eastAsia="en-US"/>
        </w:rPr>
        <w:t>el Ejercicio Fiscal del año 2026</w:t>
      </w:r>
      <w:r w:rsidRPr="0090015E">
        <w:rPr>
          <w:rFonts w:ascii="Arial" w:eastAsia="Arial" w:hAnsi="Arial" w:cs="Arial"/>
          <w:bCs/>
          <w:color w:val="221F1F"/>
          <w:sz w:val="20"/>
          <w:szCs w:val="20"/>
          <w:lang w:val="es-CR" w:eastAsia="en-US"/>
        </w:rPr>
        <w:t>, en concepto de Derechos, son los siguientes:</w:t>
      </w:r>
    </w:p>
    <w:tbl>
      <w:tblPr>
        <w:tblpPr w:leftFromText="141" w:rightFromText="141"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8"/>
        <w:gridCol w:w="277"/>
        <w:gridCol w:w="1306"/>
      </w:tblGrid>
      <w:tr w:rsidR="000B2F41" w:rsidRPr="0090015E" w:rsidTr="00BD7101">
        <w:tc>
          <w:tcPr>
            <w:tcW w:w="4096" w:type="pct"/>
            <w:shd w:val="clear" w:color="auto" w:fill="DBE5F1"/>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Derechos</w:t>
            </w:r>
          </w:p>
        </w:tc>
        <w:tc>
          <w:tcPr>
            <w:tcW w:w="158" w:type="pct"/>
            <w:tcBorders>
              <w:right w:val="nil"/>
            </w:tcBorders>
            <w:shd w:val="clear" w:color="auto" w:fill="DBE5F1"/>
          </w:tcPr>
          <w:p w:rsidR="000B2F41" w:rsidRPr="0090015E" w:rsidRDefault="000B2F41" w:rsidP="00B40AC7">
            <w:pPr>
              <w:spacing w:after="120" w:line="360" w:lineRule="auto"/>
              <w:rPr>
                <w:rFonts w:ascii="Arial" w:hAnsi="Arial" w:cs="Arial"/>
                <w:b/>
                <w:bCs/>
                <w:color w:val="221F1F"/>
                <w:sz w:val="20"/>
                <w:szCs w:val="20"/>
                <w:lang w:val="es-MX" w:eastAsia="es-MX"/>
              </w:rPr>
            </w:pPr>
          </w:p>
        </w:tc>
        <w:tc>
          <w:tcPr>
            <w:tcW w:w="746" w:type="pct"/>
            <w:tcBorders>
              <w:left w:val="nil"/>
            </w:tcBorders>
            <w:shd w:val="clear" w:color="auto" w:fill="DBE5F1"/>
            <w:hideMark/>
          </w:tcPr>
          <w:p w:rsidR="000B2F41" w:rsidRPr="0090015E" w:rsidRDefault="000B2F41" w:rsidP="00B40AC7">
            <w:pPr>
              <w:spacing w:after="120" w:line="360" w:lineRule="auto"/>
              <w:jc w:val="right"/>
              <w:rPr>
                <w:rFonts w:ascii="Arial" w:hAnsi="Arial" w:cs="Arial"/>
                <w:b/>
                <w:bCs/>
                <w:sz w:val="20"/>
                <w:szCs w:val="20"/>
                <w:lang w:val="es-MX" w:eastAsia="es-MX"/>
              </w:rPr>
            </w:pPr>
            <w:r w:rsidRPr="0090015E">
              <w:rPr>
                <w:rFonts w:ascii="Arial" w:hAnsi="Arial" w:cs="Arial"/>
                <w:b/>
                <w:bCs/>
                <w:sz w:val="20"/>
                <w:szCs w:val="20"/>
                <w:lang w:val="es-MX" w:eastAsia="es-MX"/>
              </w:rPr>
              <w:t>138,835.00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Derechos por el uso, goce, aprovechamiento o explotación de bienes de dominio público</w:t>
            </w:r>
          </w:p>
        </w:tc>
        <w:tc>
          <w:tcPr>
            <w:tcW w:w="158" w:type="pct"/>
            <w:tcBorders>
              <w:right w:val="nil"/>
            </w:tcBorders>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sz w:val="20"/>
                <w:szCs w:val="20"/>
                <w:lang w:val="es-MX" w:eastAsia="es-MX"/>
              </w:rPr>
            </w:pPr>
            <w:r w:rsidRPr="0090015E">
              <w:rPr>
                <w:rFonts w:ascii="Arial" w:hAnsi="Arial" w:cs="Arial"/>
                <w:b/>
                <w:bCs/>
                <w:sz w:val="20"/>
                <w:szCs w:val="20"/>
                <w:lang w:val="es-MX" w:eastAsia="es-MX"/>
              </w:rPr>
              <w:t>12,396.00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Por el uso de locales o pisos de mercados, espacios en la vía o parques Públicos</w:t>
            </w:r>
          </w:p>
        </w:tc>
        <w:tc>
          <w:tcPr>
            <w:tcW w:w="158" w:type="pct"/>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12,396.00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Por el uso y aprovechamiento de los bienes de dominio público del patrimonio municipal</w:t>
            </w:r>
          </w:p>
        </w:tc>
        <w:tc>
          <w:tcPr>
            <w:tcW w:w="158" w:type="pct"/>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Derechos por prestación de servicios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sz w:val="20"/>
                <w:szCs w:val="20"/>
                <w:lang w:val="es-MX" w:eastAsia="es-MX"/>
              </w:rPr>
            </w:pPr>
            <w:r w:rsidRPr="0090015E">
              <w:rPr>
                <w:rFonts w:ascii="Arial" w:hAnsi="Arial" w:cs="Arial"/>
                <w:b/>
                <w:bCs/>
                <w:sz w:val="20"/>
                <w:szCs w:val="20"/>
                <w:lang w:val="es-MX" w:eastAsia="es-MX"/>
              </w:rPr>
              <w:t>58,262.00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Servicios de Agua potable, drenaje y alcantarillado</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1,240.00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Alumbrado público</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55,782.00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Limpia, Recolección, Traslado y disposición final de Residuos</w:t>
            </w:r>
          </w:p>
        </w:tc>
        <w:tc>
          <w:tcPr>
            <w:tcW w:w="158" w:type="pct"/>
            <w:tcBorders>
              <w:right w:val="nil"/>
            </w:tcBorders>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1,240.00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Mercados y centrales de abasto</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Panteones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000000"/>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Rastro</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Seguridad pública (Policía Preventiva y Tránsito Municipal)</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Catastro</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Otros Derechos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sz w:val="20"/>
                <w:szCs w:val="20"/>
                <w:lang w:val="es-MX" w:eastAsia="es-MX"/>
              </w:rPr>
            </w:pPr>
            <w:r w:rsidRPr="0090015E">
              <w:rPr>
                <w:rFonts w:ascii="Arial" w:hAnsi="Arial" w:cs="Arial"/>
                <w:b/>
                <w:bCs/>
                <w:sz w:val="20"/>
                <w:szCs w:val="20"/>
                <w:lang w:val="es-MX" w:eastAsia="es-MX"/>
              </w:rPr>
              <w:t>66,318.00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Licencias de funcionamiento y Permisos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55,782.00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lastRenderedPageBreak/>
              <w:t>&gt; Servicios que presta la Dirección de Obras Públicas y Desarrollo Urbano</w:t>
            </w:r>
          </w:p>
        </w:tc>
        <w:tc>
          <w:tcPr>
            <w:tcW w:w="158" w:type="pct"/>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000000"/>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Expedición de certificados, constancias, copias, fotografías y formas Oficiales</w:t>
            </w:r>
          </w:p>
        </w:tc>
        <w:tc>
          <w:tcPr>
            <w:tcW w:w="158" w:type="pct"/>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8,677.00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Servicios que presta la Unidad de Acceso a la Información Pública</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Servicio de Supervisión Sanitaria de Matanza de Ganado</w:t>
            </w:r>
          </w:p>
        </w:tc>
        <w:tc>
          <w:tcPr>
            <w:tcW w:w="158" w:type="pct"/>
            <w:tcBorders>
              <w:right w:val="nil"/>
            </w:tcBorders>
            <w:shd w:val="clear" w:color="auto" w:fill="auto"/>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1,859.00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Accesorios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sz w:val="20"/>
                <w:szCs w:val="20"/>
                <w:lang w:val="es-MX" w:eastAsia="es-MX"/>
              </w:rPr>
            </w:pPr>
            <w:r w:rsidRPr="0090015E">
              <w:rPr>
                <w:rFonts w:ascii="Arial" w:hAnsi="Arial" w:cs="Arial"/>
                <w:b/>
                <w:bCs/>
                <w:sz w:val="20"/>
                <w:szCs w:val="20"/>
                <w:lang w:val="es-MX" w:eastAsia="es-MX"/>
              </w:rPr>
              <w:t>1,859.00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Actualizaciones y Recargos de Derechos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1,859.00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Multas de Derechos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Gastos de Ejecución de Derechos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Derechos no comprendidos en las fracciones de la Ley de Ingresos causadas en ejercicios fiscales anteriores pendientes de liquidación o pago</w:t>
            </w:r>
          </w:p>
        </w:tc>
        <w:tc>
          <w:tcPr>
            <w:tcW w:w="158" w:type="pct"/>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746"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bl>
    <w:p w:rsidR="000B2F41" w:rsidRPr="00B40AC7" w:rsidRDefault="000B2F41" w:rsidP="00B40AC7">
      <w:pPr>
        <w:spacing w:before="120" w:after="120" w:line="360" w:lineRule="auto"/>
        <w:jc w:val="both"/>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 xml:space="preserve">Artículo 6.- </w:t>
      </w:r>
      <w:r w:rsidRPr="0090015E">
        <w:rPr>
          <w:rFonts w:ascii="Arial" w:eastAsia="Arial" w:hAnsi="Arial" w:cs="Arial"/>
          <w:color w:val="221F1F"/>
          <w:sz w:val="20"/>
          <w:szCs w:val="20"/>
          <w:lang w:val="es-CR" w:eastAsia="en-US"/>
        </w:rPr>
        <w:t xml:space="preserve">Los ingresos que la Tesorería Municipal de Tekal de Venegas; Yucatán, calcula recaudar durante </w:t>
      </w:r>
      <w:r w:rsidR="000A18AC">
        <w:rPr>
          <w:rFonts w:ascii="Arial" w:eastAsia="Arial" w:hAnsi="Arial" w:cs="Arial"/>
          <w:color w:val="221F1F"/>
          <w:sz w:val="20"/>
          <w:szCs w:val="20"/>
          <w:lang w:val="es-CR" w:eastAsia="en-US"/>
        </w:rPr>
        <w:t>el Ejercicio Fiscal del año 2026</w:t>
      </w:r>
      <w:r w:rsidRPr="0090015E">
        <w:rPr>
          <w:rFonts w:ascii="Arial" w:eastAsia="Arial" w:hAnsi="Arial" w:cs="Arial"/>
          <w:color w:val="221F1F"/>
          <w:sz w:val="20"/>
          <w:szCs w:val="20"/>
          <w:lang w:val="es-CR" w:eastAsia="en-US"/>
        </w:rPr>
        <w:t>, en concepto de Contribuciones de Mejoras, son los siguientes:</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8"/>
        <w:gridCol w:w="277"/>
        <w:gridCol w:w="1306"/>
      </w:tblGrid>
      <w:tr w:rsidR="000B2F41" w:rsidRPr="0090015E" w:rsidTr="00BD7101">
        <w:trPr>
          <w:trHeight w:val="20"/>
          <w:jc w:val="center"/>
        </w:trPr>
        <w:tc>
          <w:tcPr>
            <w:tcW w:w="4096" w:type="pct"/>
            <w:shd w:val="clear" w:color="auto" w:fill="DBE5F1"/>
            <w:hideMark/>
          </w:tcPr>
          <w:p w:rsidR="000B2F41" w:rsidRPr="0090015E" w:rsidRDefault="000B2F41" w:rsidP="00B40AC7">
            <w:pPr>
              <w:spacing w:after="120" w:line="360" w:lineRule="auto"/>
              <w:rPr>
                <w:rFonts w:ascii="Arial" w:hAnsi="Arial" w:cs="Arial"/>
                <w:b/>
                <w:bCs/>
                <w:sz w:val="20"/>
                <w:szCs w:val="20"/>
                <w:lang w:val="es-MX" w:eastAsia="es-MX"/>
              </w:rPr>
            </w:pPr>
            <w:proofErr w:type="spellStart"/>
            <w:r w:rsidRPr="0090015E">
              <w:rPr>
                <w:rFonts w:ascii="Arial" w:eastAsia="Arial" w:hAnsi="Arial" w:cs="Arial"/>
                <w:b/>
                <w:bCs/>
                <w:sz w:val="20"/>
                <w:szCs w:val="20"/>
                <w:lang w:val="en-US" w:eastAsia="es-MX"/>
              </w:rPr>
              <w:t>Contribuciones</w:t>
            </w:r>
            <w:proofErr w:type="spellEnd"/>
            <w:r w:rsidRPr="0090015E">
              <w:rPr>
                <w:rFonts w:ascii="Arial" w:eastAsia="Arial" w:hAnsi="Arial" w:cs="Arial"/>
                <w:b/>
                <w:bCs/>
                <w:sz w:val="20"/>
                <w:szCs w:val="20"/>
                <w:lang w:val="en-US" w:eastAsia="es-MX"/>
              </w:rPr>
              <w:t xml:space="preserve"> de </w:t>
            </w:r>
            <w:proofErr w:type="spellStart"/>
            <w:r w:rsidRPr="0090015E">
              <w:rPr>
                <w:rFonts w:ascii="Arial" w:eastAsia="Arial" w:hAnsi="Arial" w:cs="Arial"/>
                <w:b/>
                <w:bCs/>
                <w:sz w:val="20"/>
                <w:szCs w:val="20"/>
                <w:lang w:val="en-US" w:eastAsia="es-MX"/>
              </w:rPr>
              <w:t>mejoras</w:t>
            </w:r>
            <w:proofErr w:type="spellEnd"/>
          </w:p>
        </w:tc>
        <w:tc>
          <w:tcPr>
            <w:tcW w:w="158" w:type="pct"/>
            <w:tcBorders>
              <w:right w:val="nil"/>
            </w:tcBorders>
            <w:shd w:val="clear" w:color="auto" w:fill="DBE5F1"/>
          </w:tcPr>
          <w:p w:rsidR="000B2F41" w:rsidRPr="0090015E" w:rsidRDefault="000B2F41" w:rsidP="00B40AC7">
            <w:pPr>
              <w:spacing w:after="120" w:line="360" w:lineRule="auto"/>
              <w:jc w:val="center"/>
              <w:rPr>
                <w:rFonts w:ascii="Arial" w:hAnsi="Arial" w:cs="Arial"/>
                <w:b/>
                <w:bCs/>
                <w:color w:val="221F1F"/>
                <w:sz w:val="20"/>
                <w:szCs w:val="20"/>
                <w:lang w:val="en-US" w:eastAsia="en-US"/>
              </w:rPr>
            </w:pPr>
            <w:r w:rsidRPr="0090015E">
              <w:rPr>
                <w:rFonts w:ascii="Arial" w:hAnsi="Arial" w:cs="Arial"/>
                <w:b/>
                <w:bCs/>
                <w:color w:val="221F1F"/>
                <w:sz w:val="20"/>
                <w:szCs w:val="20"/>
                <w:lang w:val="en-US" w:eastAsia="en-US"/>
              </w:rPr>
              <w:t>$</w:t>
            </w:r>
          </w:p>
        </w:tc>
        <w:tc>
          <w:tcPr>
            <w:tcW w:w="746" w:type="pct"/>
            <w:tcBorders>
              <w:left w:val="nil"/>
            </w:tcBorders>
            <w:shd w:val="clear" w:color="auto" w:fill="DBE5F1"/>
            <w:hideMark/>
          </w:tcPr>
          <w:p w:rsidR="000B2F41" w:rsidRPr="0090015E" w:rsidRDefault="000B2F41" w:rsidP="00B40AC7">
            <w:pPr>
              <w:spacing w:after="120" w:line="360" w:lineRule="auto"/>
              <w:jc w:val="right"/>
              <w:rPr>
                <w:rFonts w:ascii="Arial" w:hAnsi="Arial" w:cs="Arial"/>
                <w:b/>
                <w:bCs/>
                <w:color w:val="221F1F"/>
                <w:sz w:val="20"/>
                <w:szCs w:val="20"/>
                <w:lang w:val="en-US" w:eastAsia="en-US"/>
              </w:rPr>
            </w:pPr>
            <w:r w:rsidRPr="0090015E">
              <w:rPr>
                <w:rFonts w:ascii="Arial" w:hAnsi="Arial" w:cs="Arial"/>
                <w:b/>
                <w:bCs/>
                <w:color w:val="221F1F"/>
                <w:sz w:val="20"/>
                <w:szCs w:val="20"/>
                <w:lang w:val="en-US" w:eastAsia="en-US"/>
              </w:rPr>
              <w:t>0.00</w:t>
            </w:r>
          </w:p>
        </w:tc>
      </w:tr>
      <w:tr w:rsidR="000B2F41" w:rsidRPr="0090015E" w:rsidTr="00BD7101">
        <w:trPr>
          <w:trHeight w:val="20"/>
          <w:jc w:val="center"/>
        </w:trPr>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eastAsia="Arial" w:hAnsi="Arial" w:cs="Arial"/>
                <w:b/>
                <w:bCs/>
                <w:color w:val="221F1F"/>
                <w:sz w:val="20"/>
                <w:szCs w:val="20"/>
                <w:lang w:val="es-CR" w:eastAsia="es-MX"/>
              </w:rPr>
              <w:t>Contribución de mejoras por obras públicas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n-US" w:eastAsia="en-US"/>
              </w:rPr>
            </w:pPr>
            <w:r w:rsidRPr="0090015E">
              <w:rPr>
                <w:rFonts w:ascii="Arial" w:hAnsi="Arial" w:cs="Arial"/>
                <w:b/>
                <w:bCs/>
                <w:color w:val="221F1F"/>
                <w:sz w:val="20"/>
                <w:szCs w:val="20"/>
                <w:lang w:val="en-US" w:eastAsia="en-US"/>
              </w:rPr>
              <w:t>$</w:t>
            </w:r>
          </w:p>
        </w:tc>
        <w:tc>
          <w:tcPr>
            <w:tcW w:w="746" w:type="pct"/>
            <w:tcBorders>
              <w:left w:val="nil"/>
            </w:tcBorders>
            <w:shd w:val="clear" w:color="auto" w:fill="auto"/>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n-US" w:eastAsia="en-US"/>
              </w:rPr>
              <w:t>0.00</w:t>
            </w:r>
          </w:p>
        </w:tc>
      </w:tr>
      <w:tr w:rsidR="000B2F41" w:rsidRPr="0090015E" w:rsidTr="00BD7101">
        <w:trPr>
          <w:trHeight w:val="20"/>
          <w:jc w:val="center"/>
        </w:trPr>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eastAsia="Arial" w:hAnsi="Arial" w:cs="Arial"/>
                <w:b/>
                <w:bCs/>
                <w:color w:val="221F1F"/>
                <w:sz w:val="20"/>
                <w:szCs w:val="20"/>
                <w:lang w:val="es-CR" w:eastAsia="es-MX"/>
              </w:rPr>
              <w:t>&gt; Contribuciones de mejoras por obras públicas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n-US" w:eastAsia="en-US"/>
              </w:rPr>
            </w:pPr>
            <w:r w:rsidRPr="0090015E">
              <w:rPr>
                <w:rFonts w:ascii="Arial" w:hAnsi="Arial" w:cs="Arial"/>
                <w:b/>
                <w:bCs/>
                <w:color w:val="221F1F"/>
                <w:sz w:val="20"/>
                <w:szCs w:val="20"/>
                <w:lang w:val="en-US" w:eastAsia="en-US"/>
              </w:rPr>
              <w:t>$</w:t>
            </w:r>
          </w:p>
        </w:tc>
        <w:tc>
          <w:tcPr>
            <w:tcW w:w="746" w:type="pct"/>
            <w:tcBorders>
              <w:left w:val="nil"/>
            </w:tcBorders>
            <w:shd w:val="clear" w:color="auto" w:fill="auto"/>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n-US" w:eastAsia="en-US"/>
              </w:rPr>
              <w:t>0.00</w:t>
            </w:r>
          </w:p>
        </w:tc>
      </w:tr>
      <w:tr w:rsidR="000B2F41" w:rsidRPr="0090015E" w:rsidTr="00BD7101">
        <w:trPr>
          <w:trHeight w:val="20"/>
          <w:jc w:val="center"/>
        </w:trPr>
        <w:tc>
          <w:tcPr>
            <w:tcW w:w="409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eastAsia="Arial" w:hAnsi="Arial" w:cs="Arial"/>
                <w:b/>
                <w:bCs/>
                <w:color w:val="221F1F"/>
                <w:sz w:val="20"/>
                <w:szCs w:val="20"/>
                <w:lang w:val="es-CR" w:eastAsia="es-MX"/>
              </w:rPr>
              <w:t>&gt; Contribuciones de mejoras por servicios públicos</w:t>
            </w:r>
          </w:p>
        </w:tc>
        <w:tc>
          <w:tcPr>
            <w:tcW w:w="158" w:type="pct"/>
            <w:tcBorders>
              <w:right w:val="nil"/>
            </w:tcBorders>
          </w:tcPr>
          <w:p w:rsidR="000B2F41" w:rsidRPr="0090015E" w:rsidRDefault="000B2F41" w:rsidP="00B40AC7">
            <w:pPr>
              <w:spacing w:after="120" w:line="360" w:lineRule="auto"/>
              <w:rPr>
                <w:rFonts w:ascii="Arial" w:hAnsi="Arial" w:cs="Arial"/>
                <w:b/>
                <w:bCs/>
                <w:color w:val="221F1F"/>
                <w:sz w:val="20"/>
                <w:szCs w:val="20"/>
                <w:lang w:val="en-US" w:eastAsia="en-US"/>
              </w:rPr>
            </w:pPr>
            <w:r w:rsidRPr="0090015E">
              <w:rPr>
                <w:rFonts w:ascii="Arial" w:hAnsi="Arial" w:cs="Arial"/>
                <w:b/>
                <w:bCs/>
                <w:color w:val="221F1F"/>
                <w:sz w:val="20"/>
                <w:szCs w:val="20"/>
                <w:lang w:val="en-US" w:eastAsia="en-US"/>
              </w:rPr>
              <w:t>$</w:t>
            </w:r>
          </w:p>
        </w:tc>
        <w:tc>
          <w:tcPr>
            <w:tcW w:w="746" w:type="pct"/>
            <w:tcBorders>
              <w:left w:val="nil"/>
            </w:tcBorders>
            <w:shd w:val="clear" w:color="auto" w:fill="auto"/>
          </w:tcPr>
          <w:p w:rsidR="000B2F41" w:rsidRPr="0090015E" w:rsidRDefault="000B2F41" w:rsidP="00B40AC7">
            <w:pPr>
              <w:spacing w:after="120" w:line="360" w:lineRule="auto"/>
              <w:jc w:val="right"/>
              <w:rPr>
                <w:rFonts w:ascii="Arial" w:hAnsi="Arial" w:cs="Arial"/>
                <w:b/>
                <w:bCs/>
                <w:color w:val="221F1F"/>
                <w:sz w:val="20"/>
                <w:szCs w:val="20"/>
                <w:lang w:val="en-US" w:eastAsia="en-US"/>
              </w:rPr>
            </w:pPr>
            <w:r w:rsidRPr="0090015E">
              <w:rPr>
                <w:rFonts w:ascii="Arial" w:hAnsi="Arial" w:cs="Arial"/>
                <w:b/>
                <w:bCs/>
                <w:color w:val="221F1F"/>
                <w:sz w:val="20"/>
                <w:szCs w:val="20"/>
                <w:lang w:val="en-US" w:eastAsia="en-US"/>
              </w:rPr>
              <w:t>0.00</w:t>
            </w:r>
          </w:p>
        </w:tc>
      </w:tr>
      <w:tr w:rsidR="000B2F41" w:rsidRPr="0090015E" w:rsidTr="00BD7101">
        <w:trPr>
          <w:trHeight w:val="20"/>
          <w:jc w:val="center"/>
        </w:trPr>
        <w:tc>
          <w:tcPr>
            <w:tcW w:w="409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eastAsia="Arial" w:hAnsi="Arial" w:cs="Arial"/>
                <w:b/>
                <w:bCs/>
                <w:color w:val="221F1F"/>
                <w:sz w:val="20"/>
                <w:szCs w:val="20"/>
                <w:lang w:val="es-CR" w:eastAsia="es-MX"/>
              </w:rPr>
              <w:t xml:space="preserve">Contribuciones de Mejoras no comprendidas en las fracciones de la Ley </w:t>
            </w:r>
            <w:r w:rsidRPr="0090015E">
              <w:rPr>
                <w:rFonts w:ascii="Arial" w:hAnsi="Arial" w:cs="Arial"/>
                <w:b/>
                <w:bCs/>
                <w:color w:val="221F1F"/>
                <w:sz w:val="20"/>
                <w:szCs w:val="20"/>
                <w:lang w:val="es-CR" w:eastAsia="es-MX"/>
              </w:rPr>
              <w:t>de Ingresos causadas en ejercicios fiscales anteriores pendientes de liquidación o pago</w:t>
            </w:r>
          </w:p>
        </w:tc>
        <w:tc>
          <w:tcPr>
            <w:tcW w:w="158" w:type="pct"/>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n-US" w:eastAsia="en-US"/>
              </w:rPr>
              <w:t>$</w:t>
            </w:r>
          </w:p>
        </w:tc>
        <w:tc>
          <w:tcPr>
            <w:tcW w:w="746" w:type="pct"/>
            <w:tcBorders>
              <w:left w:val="nil"/>
            </w:tcBorders>
            <w:shd w:val="clear" w:color="auto" w:fill="auto"/>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bl>
    <w:p w:rsidR="000B2F41" w:rsidRPr="00B40AC7" w:rsidRDefault="000B2F41" w:rsidP="00B40AC7">
      <w:pPr>
        <w:spacing w:before="120" w:after="120" w:line="360" w:lineRule="auto"/>
        <w:jc w:val="both"/>
        <w:rPr>
          <w:rFonts w:ascii="Arial" w:eastAsia="Arial" w:hAnsi="Arial" w:cs="Arial"/>
          <w:color w:val="221F1F"/>
          <w:sz w:val="20"/>
          <w:szCs w:val="20"/>
          <w:lang w:val="es-CR" w:eastAsia="en-US"/>
        </w:rPr>
      </w:pPr>
      <w:r w:rsidRPr="0090015E">
        <w:rPr>
          <w:rFonts w:ascii="Arial" w:eastAsia="Arial" w:hAnsi="Arial" w:cs="Arial"/>
          <w:b/>
          <w:color w:val="221F1F"/>
          <w:sz w:val="20"/>
          <w:szCs w:val="20"/>
          <w:lang w:val="es-CR" w:eastAsia="en-US"/>
        </w:rPr>
        <w:t xml:space="preserve">Artículo 7.- </w:t>
      </w:r>
      <w:r w:rsidRPr="0090015E">
        <w:rPr>
          <w:rFonts w:ascii="Arial" w:eastAsia="Arial" w:hAnsi="Arial" w:cs="Arial"/>
          <w:color w:val="221F1F"/>
          <w:sz w:val="20"/>
          <w:szCs w:val="20"/>
          <w:lang w:val="es-CR" w:eastAsia="en-US"/>
        </w:rPr>
        <w:t xml:space="preserve">Los ingresos que la Tesorería Municipal de Tekal de Venegas, Yucatán calcula recaudar durante </w:t>
      </w:r>
      <w:r w:rsidR="000A18AC">
        <w:rPr>
          <w:rFonts w:ascii="Arial" w:eastAsia="Arial" w:hAnsi="Arial" w:cs="Arial"/>
          <w:color w:val="221F1F"/>
          <w:sz w:val="20"/>
          <w:szCs w:val="20"/>
          <w:lang w:val="es-CR" w:eastAsia="en-US"/>
        </w:rPr>
        <w:t>el Ejercicio Fiscal del año 2026</w:t>
      </w:r>
      <w:r w:rsidRPr="0090015E">
        <w:rPr>
          <w:rFonts w:ascii="Arial" w:eastAsia="Arial" w:hAnsi="Arial" w:cs="Arial"/>
          <w:color w:val="221F1F"/>
          <w:sz w:val="20"/>
          <w:szCs w:val="20"/>
          <w:lang w:val="es-CR" w:eastAsia="en-US"/>
        </w:rPr>
        <w:t>, en concepto de Productos, son los siguientes: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1"/>
        <w:gridCol w:w="284"/>
        <w:gridCol w:w="1350"/>
      </w:tblGrid>
      <w:tr w:rsidR="000B2F41" w:rsidRPr="0090015E" w:rsidTr="00BD7101">
        <w:trPr>
          <w:jc w:val="center"/>
        </w:trPr>
        <w:tc>
          <w:tcPr>
            <w:tcW w:w="7361" w:type="dxa"/>
            <w:shd w:val="clear" w:color="auto" w:fill="DBE5F1"/>
            <w:hideMark/>
          </w:tcPr>
          <w:p w:rsidR="000B2F41" w:rsidRPr="0090015E" w:rsidRDefault="000B2F41" w:rsidP="00B40AC7">
            <w:pPr>
              <w:spacing w:after="120" w:line="360" w:lineRule="auto"/>
              <w:rPr>
                <w:rFonts w:ascii="Arial" w:hAnsi="Arial" w:cs="Arial"/>
                <w:b/>
                <w:bCs/>
                <w:sz w:val="20"/>
                <w:szCs w:val="20"/>
                <w:lang w:val="es-MX" w:eastAsia="es-MX"/>
              </w:rPr>
            </w:pPr>
            <w:r w:rsidRPr="0090015E">
              <w:rPr>
                <w:rFonts w:ascii="Arial" w:hAnsi="Arial" w:cs="Arial"/>
                <w:b/>
                <w:bCs/>
                <w:sz w:val="20"/>
                <w:szCs w:val="20"/>
                <w:lang w:val="es-MX" w:eastAsia="es-MX"/>
              </w:rPr>
              <w:t>Productos</w:t>
            </w:r>
          </w:p>
        </w:tc>
        <w:tc>
          <w:tcPr>
            <w:tcW w:w="284" w:type="dxa"/>
            <w:tcBorders>
              <w:right w:val="nil"/>
            </w:tcBorders>
            <w:shd w:val="clear" w:color="auto" w:fill="DBE5F1"/>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DBE5F1"/>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3,099.00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Productos de tipo corriente</w:t>
            </w:r>
          </w:p>
        </w:tc>
        <w:tc>
          <w:tcPr>
            <w:tcW w:w="284" w:type="dxa"/>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3,099.00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&gt;Derivados de Productos Financieros</w:t>
            </w:r>
          </w:p>
        </w:tc>
        <w:tc>
          <w:tcPr>
            <w:tcW w:w="284" w:type="dxa"/>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3,099.00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Productos de capital</w:t>
            </w:r>
          </w:p>
        </w:tc>
        <w:tc>
          <w:tcPr>
            <w:tcW w:w="284" w:type="dxa"/>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lastRenderedPageBreak/>
              <w:t>&gt; Arrendamiento, enajenación, uso y explotación de bienes muebles del dominio privado del Municipio.</w:t>
            </w:r>
          </w:p>
        </w:tc>
        <w:tc>
          <w:tcPr>
            <w:tcW w:w="284" w:type="dxa"/>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Arrendamiento, enajenación, uso y explotación de bienes Inmuebles del dominio privado del Municipio.</w:t>
            </w:r>
          </w:p>
        </w:tc>
        <w:tc>
          <w:tcPr>
            <w:tcW w:w="284" w:type="dxa"/>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Productos no comprendidos en las fracciones de la Ley de Ingresos causadas en ejercicios fiscales anteriores pendientes de liquidación o pago</w:t>
            </w:r>
          </w:p>
        </w:tc>
        <w:tc>
          <w:tcPr>
            <w:tcW w:w="284" w:type="dxa"/>
            <w:tcBorders>
              <w:right w:val="nil"/>
            </w:tcBorders>
          </w:tcPr>
          <w:p w:rsidR="000B2F41" w:rsidRPr="0090015E" w:rsidRDefault="000B2F41" w:rsidP="00B40AC7">
            <w:pPr>
              <w:spacing w:after="120" w:line="360" w:lineRule="auto"/>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r w:rsidR="000B2F41" w:rsidRPr="0090015E" w:rsidTr="00BD7101">
        <w:trPr>
          <w:jc w:val="center"/>
        </w:trPr>
        <w:tc>
          <w:tcPr>
            <w:tcW w:w="7361" w:type="dxa"/>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Otros Productos</w:t>
            </w:r>
          </w:p>
        </w:tc>
        <w:tc>
          <w:tcPr>
            <w:tcW w:w="284" w:type="dxa"/>
            <w:tcBorders>
              <w:right w:val="nil"/>
            </w:tcBorders>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1350" w:type="dxa"/>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bl>
    <w:p w:rsidR="000B2F41" w:rsidRPr="00B40AC7" w:rsidRDefault="000B2F41" w:rsidP="00B40AC7">
      <w:pPr>
        <w:spacing w:before="120" w:after="120" w:line="360" w:lineRule="auto"/>
        <w:jc w:val="both"/>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 xml:space="preserve">Artículo 8.- </w:t>
      </w:r>
      <w:r w:rsidRPr="0090015E">
        <w:rPr>
          <w:rFonts w:ascii="Arial" w:eastAsia="Arial" w:hAnsi="Arial" w:cs="Arial"/>
          <w:color w:val="221F1F"/>
          <w:sz w:val="20"/>
          <w:szCs w:val="20"/>
          <w:lang w:val="es-CR" w:eastAsia="en-US"/>
        </w:rPr>
        <w:t xml:space="preserve">Los ingresos que la Tesorería Municipal de Tekal de Venegas, Yucatán calcula recaudar durante </w:t>
      </w:r>
      <w:r w:rsidR="000A18AC">
        <w:rPr>
          <w:rFonts w:ascii="Arial" w:eastAsia="Arial" w:hAnsi="Arial" w:cs="Arial"/>
          <w:color w:val="221F1F"/>
          <w:sz w:val="20"/>
          <w:szCs w:val="20"/>
          <w:lang w:val="es-CR" w:eastAsia="en-US"/>
        </w:rPr>
        <w:t>el Ejercicio Fiscal del año 2026</w:t>
      </w:r>
      <w:r w:rsidRPr="0090015E">
        <w:rPr>
          <w:rFonts w:ascii="Arial" w:eastAsia="Arial" w:hAnsi="Arial" w:cs="Arial"/>
          <w:color w:val="221F1F"/>
          <w:sz w:val="20"/>
          <w:szCs w:val="20"/>
          <w:lang w:val="es-CR" w:eastAsia="en-US"/>
        </w:rPr>
        <w:t>, en concepto de Aprovechamientos, son los siguientes:</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9"/>
        <w:gridCol w:w="302"/>
        <w:gridCol w:w="1240"/>
      </w:tblGrid>
      <w:tr w:rsidR="000B2F41" w:rsidRPr="0090015E" w:rsidTr="00BD7101">
        <w:trPr>
          <w:jc w:val="center"/>
        </w:trPr>
        <w:tc>
          <w:tcPr>
            <w:tcW w:w="4126" w:type="pct"/>
            <w:shd w:val="clear" w:color="auto" w:fill="DBE5F1"/>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Aprovechamientos</w:t>
            </w:r>
          </w:p>
        </w:tc>
        <w:tc>
          <w:tcPr>
            <w:tcW w:w="171" w:type="pct"/>
            <w:tcBorders>
              <w:right w:val="nil"/>
            </w:tcBorders>
            <w:shd w:val="clear" w:color="auto" w:fill="DBE5F1"/>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DBE5F1"/>
            <w:hideMark/>
          </w:tcPr>
          <w:p w:rsidR="000B2F41" w:rsidRPr="0090015E" w:rsidRDefault="000B2F41" w:rsidP="00B40AC7">
            <w:pPr>
              <w:spacing w:after="120" w:line="360" w:lineRule="auto"/>
              <w:jc w:val="right"/>
              <w:rPr>
                <w:rFonts w:ascii="Arial" w:hAnsi="Arial" w:cs="Arial"/>
                <w:b/>
                <w:bCs/>
                <w:sz w:val="20"/>
                <w:szCs w:val="20"/>
                <w:lang w:val="es-MX" w:eastAsia="es-MX"/>
              </w:rPr>
            </w:pPr>
            <w:r w:rsidRPr="0090015E">
              <w:rPr>
                <w:rFonts w:ascii="Arial" w:hAnsi="Arial" w:cs="Arial"/>
                <w:b/>
                <w:bCs/>
                <w:sz w:val="20"/>
                <w:szCs w:val="20"/>
                <w:lang w:val="es-MX" w:eastAsia="es-MX"/>
              </w:rPr>
              <w:t>19,834.00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Aprovechamientos de tipo corriente</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19,834.00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Infracciones por faltas administrativas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9,917.00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Sanciones por faltas al reglamento de tránsito</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9,917.00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Cesiones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Herencias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Legados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Donaciones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Adjudicaciones Judiciales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Adjudicaciones administrativas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Subsidios de otro nivel de gobierno</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Subsidios de organismos públicos y privados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Multas impuestas por autoridades federales, no fiscales</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Convenidos con la Federación y el Estado (Capufe, entre otros)</w:t>
            </w:r>
          </w:p>
        </w:tc>
        <w:tc>
          <w:tcPr>
            <w:tcW w:w="171" w:type="pct"/>
            <w:tcBorders>
              <w:right w:val="nil"/>
            </w:tcBorders>
          </w:tcPr>
          <w:p w:rsidR="000B2F41" w:rsidRPr="0090015E" w:rsidRDefault="000B2F41" w:rsidP="00B40AC7">
            <w:pPr>
              <w:spacing w:after="120" w:line="360" w:lineRule="auto"/>
              <w:jc w:val="center"/>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Aprovechamientos diversos de tipo corriente</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Aprovechamientos de capital</w:t>
            </w:r>
          </w:p>
        </w:tc>
        <w:tc>
          <w:tcPr>
            <w:tcW w:w="171" w:type="pct"/>
            <w:tcBorders>
              <w:right w:val="nil"/>
            </w:tcBorders>
          </w:tcPr>
          <w:p w:rsidR="000B2F41" w:rsidRPr="0090015E" w:rsidRDefault="000B2F41" w:rsidP="00B40AC7">
            <w:pPr>
              <w:spacing w:after="120" w:line="360" w:lineRule="auto"/>
              <w:jc w:val="center"/>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0.00</w:t>
            </w:r>
          </w:p>
        </w:tc>
      </w:tr>
      <w:tr w:rsidR="000B2F41" w:rsidRPr="0090015E" w:rsidTr="00BD7101">
        <w:trPr>
          <w:jc w:val="center"/>
        </w:trPr>
        <w:tc>
          <w:tcPr>
            <w:tcW w:w="4126" w:type="pct"/>
            <w:shd w:val="clear" w:color="auto" w:fill="auto"/>
            <w:hideMark/>
          </w:tcPr>
          <w:p w:rsidR="000B2F41" w:rsidRPr="0090015E" w:rsidRDefault="000B2F41" w:rsidP="00B40AC7">
            <w:pPr>
              <w:spacing w:after="120" w:line="360" w:lineRule="auto"/>
              <w:jc w:val="both"/>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Aprovechamientos no comprendidos en las fracciones de la Ley de Ingresos causadas en ejercicios fiscales anteriores pendientes de liquidación o pago</w:t>
            </w:r>
          </w:p>
        </w:tc>
        <w:tc>
          <w:tcPr>
            <w:tcW w:w="171" w:type="pct"/>
            <w:tcBorders>
              <w:right w:val="nil"/>
            </w:tcBorders>
          </w:tcPr>
          <w:p w:rsidR="000B2F41" w:rsidRPr="0090015E" w:rsidRDefault="000B2F41" w:rsidP="00B40AC7">
            <w:pPr>
              <w:spacing w:after="120" w:line="360" w:lineRule="auto"/>
              <w:jc w:val="center"/>
              <w:rPr>
                <w:rFonts w:ascii="Arial" w:hAnsi="Arial" w:cs="Arial"/>
                <w:color w:val="000000"/>
                <w:sz w:val="20"/>
                <w:szCs w:val="20"/>
                <w:lang w:val="es-MX" w:eastAsia="es-MX"/>
              </w:rPr>
            </w:pPr>
            <w:r w:rsidRPr="0090015E">
              <w:rPr>
                <w:rFonts w:ascii="Arial" w:hAnsi="Arial" w:cs="Arial"/>
                <w:b/>
                <w:bCs/>
                <w:color w:val="221F1F"/>
                <w:sz w:val="20"/>
                <w:szCs w:val="20"/>
                <w:lang w:val="es-MX" w:eastAsia="es-MX"/>
              </w:rPr>
              <w:t>$</w:t>
            </w:r>
          </w:p>
        </w:tc>
        <w:tc>
          <w:tcPr>
            <w:tcW w:w="703" w:type="pct"/>
            <w:tcBorders>
              <w:left w:val="nil"/>
            </w:tcBorders>
            <w:shd w:val="clear" w:color="auto" w:fill="auto"/>
            <w:hideMark/>
          </w:tcPr>
          <w:p w:rsidR="000B2F41" w:rsidRPr="0090015E" w:rsidRDefault="000B2F41" w:rsidP="00B40AC7">
            <w:pPr>
              <w:spacing w:after="120"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0.00</w:t>
            </w:r>
          </w:p>
        </w:tc>
      </w:tr>
    </w:tbl>
    <w:p w:rsidR="000B2F41" w:rsidRPr="0090015E" w:rsidRDefault="000B2F41" w:rsidP="00B40AC7">
      <w:pPr>
        <w:spacing w:after="120" w:line="360" w:lineRule="auto"/>
        <w:rPr>
          <w:rFonts w:ascii="Arial" w:hAnsi="Arial" w:cs="Arial"/>
          <w:sz w:val="20"/>
          <w:szCs w:val="20"/>
          <w:lang w:val="en-US" w:eastAsia="en-US"/>
        </w:rPr>
      </w:pPr>
    </w:p>
    <w:p w:rsidR="000B2F41" w:rsidRPr="00B40AC7" w:rsidRDefault="000B2F41" w:rsidP="00B40AC7">
      <w:pPr>
        <w:spacing w:after="120" w:line="360" w:lineRule="auto"/>
        <w:jc w:val="both"/>
        <w:rPr>
          <w:rFonts w:ascii="Arial" w:eastAsia="Arial" w:hAnsi="Arial" w:cs="Arial"/>
          <w:color w:val="221F1F"/>
          <w:sz w:val="20"/>
          <w:szCs w:val="20"/>
          <w:lang w:val="es-CR" w:eastAsia="en-US"/>
        </w:rPr>
      </w:pPr>
      <w:r w:rsidRPr="0090015E">
        <w:rPr>
          <w:rFonts w:ascii="Arial" w:eastAsia="Arial" w:hAnsi="Arial" w:cs="Arial"/>
          <w:b/>
          <w:color w:val="221F1F"/>
          <w:sz w:val="20"/>
          <w:szCs w:val="20"/>
          <w:lang w:val="es-CR" w:eastAsia="en-US"/>
        </w:rPr>
        <w:t xml:space="preserve">Artículo 9.- </w:t>
      </w:r>
      <w:r w:rsidRPr="0090015E">
        <w:rPr>
          <w:rFonts w:ascii="Arial" w:eastAsia="Arial" w:hAnsi="Arial" w:cs="Arial"/>
          <w:color w:val="221F1F"/>
          <w:sz w:val="20"/>
          <w:szCs w:val="20"/>
          <w:lang w:val="es-CR" w:eastAsia="en-US"/>
        </w:rPr>
        <w:t>Los ingresos que la Tesorería Municipal de Tekal de Venegas, Yucatán, calcula recaudar durante el Ejercicio Fiscal del año 202</w:t>
      </w:r>
      <w:r w:rsidR="000A18AC">
        <w:rPr>
          <w:rFonts w:ascii="Arial" w:eastAsia="Arial" w:hAnsi="Arial" w:cs="Arial"/>
          <w:color w:val="221F1F"/>
          <w:sz w:val="20"/>
          <w:szCs w:val="20"/>
          <w:lang w:val="es-CR" w:eastAsia="en-US"/>
        </w:rPr>
        <w:t>6</w:t>
      </w:r>
      <w:r w:rsidRPr="0090015E">
        <w:rPr>
          <w:rFonts w:ascii="Arial" w:eastAsia="Arial" w:hAnsi="Arial" w:cs="Arial"/>
          <w:color w:val="221F1F"/>
          <w:sz w:val="20"/>
          <w:szCs w:val="20"/>
          <w:lang w:val="es-CR" w:eastAsia="en-US"/>
        </w:rPr>
        <w:t>, en concepto de Participaciones,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4"/>
        <w:gridCol w:w="2340"/>
      </w:tblGrid>
      <w:tr w:rsidR="000B2F41" w:rsidRPr="0090015E" w:rsidTr="00BD7101">
        <w:trPr>
          <w:jc w:val="center"/>
        </w:trPr>
        <w:tc>
          <w:tcPr>
            <w:tcW w:w="3680" w:type="pct"/>
            <w:shd w:val="clear" w:color="auto" w:fill="DBE5F1"/>
            <w:hideMark/>
          </w:tcPr>
          <w:p w:rsidR="000B2F41" w:rsidRPr="0090015E" w:rsidRDefault="000B2F41" w:rsidP="00B40AC7">
            <w:pPr>
              <w:spacing w:after="120" w:line="360" w:lineRule="auto"/>
              <w:ind w:firstLineChars="100" w:firstLine="201"/>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 xml:space="preserve">   Participaciones</w:t>
            </w:r>
          </w:p>
        </w:tc>
        <w:tc>
          <w:tcPr>
            <w:tcW w:w="1320" w:type="pct"/>
            <w:shd w:val="clear" w:color="auto" w:fill="DBE5F1"/>
            <w:hideMark/>
          </w:tcPr>
          <w:p w:rsidR="000B2F41" w:rsidRPr="0090015E" w:rsidRDefault="000F1167" w:rsidP="00B40AC7">
            <w:pPr>
              <w:spacing w:after="120" w:line="360" w:lineRule="auto"/>
              <w:ind w:firstLineChars="300" w:firstLine="602"/>
              <w:rPr>
                <w:rFonts w:ascii="Arial" w:hAnsi="Arial" w:cs="Arial"/>
                <w:b/>
                <w:bCs/>
                <w:sz w:val="20"/>
                <w:szCs w:val="20"/>
                <w:lang w:val="es-MX" w:eastAsia="es-MX"/>
              </w:rPr>
            </w:pPr>
            <w:r>
              <w:rPr>
                <w:rFonts w:ascii="Arial" w:hAnsi="Arial" w:cs="Arial"/>
                <w:b/>
                <w:bCs/>
                <w:sz w:val="20"/>
                <w:szCs w:val="20"/>
                <w:lang w:val="es-MX" w:eastAsia="es-MX"/>
              </w:rPr>
              <w:t>$15</w:t>
            </w:r>
            <w:r w:rsidR="000B2F41" w:rsidRPr="0090015E">
              <w:rPr>
                <w:rFonts w:ascii="Arial" w:hAnsi="Arial" w:cs="Arial"/>
                <w:b/>
                <w:bCs/>
                <w:sz w:val="20"/>
                <w:szCs w:val="20"/>
                <w:lang w:val="es-MX" w:eastAsia="es-MX"/>
              </w:rPr>
              <w:t>,</w:t>
            </w:r>
            <w:r>
              <w:rPr>
                <w:rFonts w:ascii="Arial" w:hAnsi="Arial" w:cs="Arial"/>
                <w:b/>
                <w:bCs/>
                <w:sz w:val="20"/>
                <w:szCs w:val="20"/>
                <w:lang w:val="es-MX" w:eastAsia="es-MX"/>
              </w:rPr>
              <w:t>862,581.00</w:t>
            </w:r>
          </w:p>
        </w:tc>
      </w:tr>
      <w:tr w:rsidR="000B2F41" w:rsidRPr="0090015E" w:rsidTr="00BD7101">
        <w:trPr>
          <w:jc w:val="center"/>
        </w:trPr>
        <w:tc>
          <w:tcPr>
            <w:tcW w:w="3680" w:type="pct"/>
            <w:shd w:val="clear" w:color="auto" w:fill="auto"/>
            <w:hideMark/>
          </w:tcPr>
          <w:p w:rsidR="000B2F41" w:rsidRPr="0090015E" w:rsidRDefault="000B2F41" w:rsidP="00B40AC7">
            <w:pPr>
              <w:spacing w:after="120" w:line="360" w:lineRule="auto"/>
              <w:ind w:firstLineChars="100" w:firstLine="201"/>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 Participaciones</w:t>
            </w:r>
          </w:p>
        </w:tc>
        <w:tc>
          <w:tcPr>
            <w:tcW w:w="1320" w:type="pct"/>
            <w:shd w:val="clear" w:color="auto" w:fill="auto"/>
            <w:hideMark/>
          </w:tcPr>
          <w:p w:rsidR="000B2F41" w:rsidRPr="0090015E" w:rsidRDefault="000B2F41" w:rsidP="00B40AC7">
            <w:pPr>
              <w:spacing w:after="120" w:line="360" w:lineRule="auto"/>
              <w:ind w:firstLineChars="300" w:firstLine="602"/>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$1</w:t>
            </w:r>
            <w:r w:rsidR="000F1167">
              <w:rPr>
                <w:rFonts w:ascii="Arial" w:hAnsi="Arial" w:cs="Arial"/>
                <w:b/>
                <w:bCs/>
                <w:color w:val="221F1F"/>
                <w:sz w:val="20"/>
                <w:szCs w:val="20"/>
                <w:lang w:val="es-MX" w:eastAsia="es-MX"/>
              </w:rPr>
              <w:t>5</w:t>
            </w:r>
            <w:r w:rsidRPr="0090015E">
              <w:rPr>
                <w:rFonts w:ascii="Arial" w:hAnsi="Arial" w:cs="Arial"/>
                <w:b/>
                <w:bCs/>
                <w:color w:val="221F1F"/>
                <w:sz w:val="20"/>
                <w:szCs w:val="20"/>
                <w:lang w:val="es-MX" w:eastAsia="es-MX"/>
              </w:rPr>
              <w:t>,</w:t>
            </w:r>
            <w:r w:rsidR="000F1167">
              <w:rPr>
                <w:rFonts w:ascii="Arial" w:hAnsi="Arial" w:cs="Arial"/>
                <w:b/>
                <w:bCs/>
                <w:color w:val="221F1F"/>
                <w:sz w:val="20"/>
                <w:szCs w:val="20"/>
                <w:lang w:val="es-MX" w:eastAsia="es-MX"/>
              </w:rPr>
              <w:t>862,581.00</w:t>
            </w:r>
          </w:p>
        </w:tc>
      </w:tr>
    </w:tbl>
    <w:p w:rsidR="000B2F41" w:rsidRPr="0090015E" w:rsidRDefault="000B2F41" w:rsidP="00B40AC7">
      <w:pPr>
        <w:spacing w:before="120" w:after="120" w:line="360" w:lineRule="auto"/>
        <w:jc w:val="both"/>
        <w:rPr>
          <w:rFonts w:ascii="Arial" w:hAnsi="Arial" w:cs="Arial"/>
          <w:sz w:val="20"/>
          <w:szCs w:val="20"/>
          <w:lang w:val="es-CR" w:eastAsia="en-US"/>
        </w:rPr>
      </w:pPr>
      <w:r w:rsidRPr="0090015E">
        <w:rPr>
          <w:rFonts w:ascii="Arial" w:eastAsia="Arial" w:hAnsi="Arial" w:cs="Arial"/>
          <w:b/>
          <w:color w:val="221F1F"/>
          <w:sz w:val="20"/>
          <w:szCs w:val="20"/>
          <w:lang w:val="es-CR" w:eastAsia="en-US"/>
        </w:rPr>
        <w:t xml:space="preserve">Artículo 10.- </w:t>
      </w:r>
      <w:r w:rsidRPr="0090015E">
        <w:rPr>
          <w:rFonts w:ascii="Arial" w:eastAsia="Arial" w:hAnsi="Arial" w:cs="Arial"/>
          <w:color w:val="221F1F"/>
          <w:sz w:val="20"/>
          <w:szCs w:val="20"/>
          <w:lang w:val="es-CR" w:eastAsia="en-US"/>
        </w:rPr>
        <w:t>Los ingresos que la Tesorería Municipal de Tekal de Venegas, Yucatán, calcula recaudar durante el Ejercicio Fiscal del año 2025, en concepto de Aportaciones,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4"/>
        <w:gridCol w:w="2340"/>
      </w:tblGrid>
      <w:tr w:rsidR="000B2F41" w:rsidRPr="0090015E" w:rsidTr="00BD7101">
        <w:trPr>
          <w:jc w:val="center"/>
        </w:trPr>
        <w:tc>
          <w:tcPr>
            <w:tcW w:w="3680" w:type="pct"/>
            <w:shd w:val="clear" w:color="auto" w:fill="DBE5F1"/>
            <w:hideMark/>
          </w:tcPr>
          <w:p w:rsidR="000B2F41" w:rsidRPr="0090015E" w:rsidRDefault="000B2F41" w:rsidP="00B40AC7">
            <w:pPr>
              <w:spacing w:after="120" w:line="360" w:lineRule="auto"/>
              <w:ind w:firstLineChars="100" w:firstLine="201"/>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 xml:space="preserve">  </w:t>
            </w:r>
            <w:r w:rsidRPr="0090015E">
              <w:rPr>
                <w:rFonts w:ascii="Arial" w:eastAsia="Arial" w:hAnsi="Arial" w:cs="Arial"/>
                <w:b/>
                <w:color w:val="221F1F"/>
                <w:sz w:val="20"/>
                <w:szCs w:val="20"/>
                <w:lang w:val="es-CR" w:eastAsia="en-US"/>
              </w:rPr>
              <w:t>Aportaciones</w:t>
            </w:r>
          </w:p>
        </w:tc>
        <w:tc>
          <w:tcPr>
            <w:tcW w:w="1320" w:type="pct"/>
            <w:shd w:val="clear" w:color="auto" w:fill="DBE5F1"/>
            <w:hideMark/>
          </w:tcPr>
          <w:p w:rsidR="000B2F41" w:rsidRPr="0090015E" w:rsidRDefault="000B2F41" w:rsidP="00B40AC7">
            <w:pPr>
              <w:spacing w:after="120" w:line="360" w:lineRule="auto"/>
              <w:ind w:firstLineChars="300" w:firstLine="602"/>
              <w:jc w:val="right"/>
              <w:rPr>
                <w:rFonts w:ascii="Arial" w:hAnsi="Arial" w:cs="Arial"/>
                <w:b/>
                <w:bCs/>
                <w:sz w:val="20"/>
                <w:szCs w:val="20"/>
                <w:lang w:val="es-MX" w:eastAsia="es-MX"/>
              </w:rPr>
            </w:pPr>
            <w:r w:rsidRPr="0090015E">
              <w:rPr>
                <w:rFonts w:ascii="Arial" w:eastAsia="Arial" w:hAnsi="Arial" w:cs="Arial"/>
                <w:b/>
                <w:sz w:val="20"/>
                <w:szCs w:val="20"/>
                <w:lang w:val="es-CR" w:eastAsia="en-US"/>
              </w:rPr>
              <w:t>$  1</w:t>
            </w:r>
            <w:r w:rsidR="0013424E">
              <w:rPr>
                <w:rFonts w:ascii="Arial" w:eastAsia="Arial" w:hAnsi="Arial" w:cs="Arial"/>
                <w:b/>
                <w:sz w:val="20"/>
                <w:szCs w:val="20"/>
                <w:lang w:val="es-CR" w:eastAsia="en-US"/>
              </w:rPr>
              <w:t>0</w:t>
            </w:r>
            <w:r w:rsidRPr="0090015E">
              <w:rPr>
                <w:rFonts w:ascii="Arial" w:eastAsia="Arial" w:hAnsi="Arial" w:cs="Arial"/>
                <w:b/>
                <w:sz w:val="20"/>
                <w:szCs w:val="20"/>
                <w:lang w:val="es-CR" w:eastAsia="en-US"/>
              </w:rPr>
              <w:t>,8</w:t>
            </w:r>
            <w:r w:rsidR="0013424E">
              <w:rPr>
                <w:rFonts w:ascii="Arial" w:eastAsia="Arial" w:hAnsi="Arial" w:cs="Arial"/>
                <w:b/>
                <w:sz w:val="20"/>
                <w:szCs w:val="20"/>
                <w:lang w:val="es-CR" w:eastAsia="en-US"/>
              </w:rPr>
              <w:t>23</w:t>
            </w:r>
            <w:r w:rsidRPr="0090015E">
              <w:rPr>
                <w:rFonts w:ascii="Arial" w:eastAsia="Arial" w:hAnsi="Arial" w:cs="Arial"/>
                <w:b/>
                <w:sz w:val="20"/>
                <w:szCs w:val="20"/>
                <w:lang w:val="es-CR" w:eastAsia="en-US"/>
              </w:rPr>
              <w:t>,</w:t>
            </w:r>
            <w:r w:rsidR="0013424E">
              <w:rPr>
                <w:rFonts w:ascii="Arial" w:eastAsia="Arial" w:hAnsi="Arial" w:cs="Arial"/>
                <w:b/>
                <w:sz w:val="20"/>
                <w:szCs w:val="20"/>
                <w:lang w:val="es-CR" w:eastAsia="en-US"/>
              </w:rPr>
              <w:t>914.00</w:t>
            </w:r>
          </w:p>
        </w:tc>
      </w:tr>
      <w:tr w:rsidR="000B2F41" w:rsidRPr="0090015E" w:rsidTr="00BD7101">
        <w:trPr>
          <w:jc w:val="center"/>
        </w:trPr>
        <w:tc>
          <w:tcPr>
            <w:tcW w:w="3680" w:type="pct"/>
            <w:shd w:val="clear" w:color="auto" w:fill="auto"/>
            <w:hideMark/>
          </w:tcPr>
          <w:p w:rsidR="000B2F41" w:rsidRPr="0090015E" w:rsidRDefault="000B2F41" w:rsidP="00B40AC7">
            <w:pPr>
              <w:spacing w:after="120" w:line="360" w:lineRule="auto"/>
              <w:ind w:firstLineChars="100" w:firstLine="201"/>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 xml:space="preserve">&gt; </w:t>
            </w:r>
            <w:r w:rsidRPr="0090015E">
              <w:rPr>
                <w:rFonts w:ascii="Arial" w:eastAsia="Arial" w:hAnsi="Arial" w:cs="Arial"/>
                <w:b/>
                <w:color w:val="221F1F"/>
                <w:sz w:val="20"/>
                <w:szCs w:val="20"/>
                <w:lang w:val="es-CR" w:eastAsia="en-US"/>
              </w:rPr>
              <w:t>Aportaciones</w:t>
            </w:r>
          </w:p>
        </w:tc>
        <w:tc>
          <w:tcPr>
            <w:tcW w:w="1320" w:type="pct"/>
            <w:shd w:val="clear" w:color="auto" w:fill="auto"/>
            <w:hideMark/>
          </w:tcPr>
          <w:p w:rsidR="000B2F41" w:rsidRPr="0090015E" w:rsidRDefault="0013424E" w:rsidP="00B40AC7">
            <w:pPr>
              <w:spacing w:after="120" w:line="360" w:lineRule="auto"/>
              <w:ind w:firstLineChars="300" w:firstLine="602"/>
              <w:jc w:val="right"/>
              <w:rPr>
                <w:rFonts w:ascii="Arial" w:hAnsi="Arial" w:cs="Arial"/>
                <w:b/>
                <w:bCs/>
                <w:color w:val="221F1F"/>
                <w:sz w:val="20"/>
                <w:szCs w:val="20"/>
                <w:lang w:val="es-MX" w:eastAsia="es-MX"/>
              </w:rPr>
            </w:pPr>
            <w:r>
              <w:rPr>
                <w:rFonts w:ascii="Arial" w:eastAsia="Arial" w:hAnsi="Arial" w:cs="Arial"/>
                <w:b/>
                <w:color w:val="221F1F"/>
                <w:sz w:val="20"/>
                <w:szCs w:val="20"/>
                <w:lang w:val="es-CR" w:eastAsia="en-US"/>
              </w:rPr>
              <w:t>$  7</w:t>
            </w:r>
            <w:r w:rsidR="000B2F41" w:rsidRPr="0090015E">
              <w:rPr>
                <w:rFonts w:ascii="Arial" w:eastAsia="Arial" w:hAnsi="Arial" w:cs="Arial"/>
                <w:b/>
                <w:color w:val="221F1F"/>
                <w:sz w:val="20"/>
                <w:szCs w:val="20"/>
                <w:lang w:val="es-CR" w:eastAsia="en-US"/>
              </w:rPr>
              <w:t>,</w:t>
            </w:r>
            <w:r>
              <w:rPr>
                <w:rFonts w:ascii="Arial" w:eastAsia="Arial" w:hAnsi="Arial" w:cs="Arial"/>
                <w:b/>
                <w:color w:val="221F1F"/>
                <w:sz w:val="20"/>
                <w:szCs w:val="20"/>
                <w:lang w:val="es-CR" w:eastAsia="en-US"/>
              </w:rPr>
              <w:t>990,000.00</w:t>
            </w:r>
          </w:p>
        </w:tc>
      </w:tr>
      <w:tr w:rsidR="000B2F41" w:rsidRPr="0090015E" w:rsidTr="00BD7101">
        <w:trPr>
          <w:jc w:val="center"/>
        </w:trPr>
        <w:tc>
          <w:tcPr>
            <w:tcW w:w="3680" w:type="pct"/>
            <w:shd w:val="clear" w:color="auto" w:fill="auto"/>
          </w:tcPr>
          <w:p w:rsidR="000B2F41" w:rsidRPr="0090015E" w:rsidRDefault="000B2F41" w:rsidP="00B40AC7">
            <w:pPr>
              <w:spacing w:after="120" w:line="360" w:lineRule="auto"/>
              <w:ind w:firstLineChars="100" w:firstLine="201"/>
              <w:rPr>
                <w:rFonts w:ascii="Arial" w:hAnsi="Arial" w:cs="Arial"/>
                <w:b/>
                <w:bCs/>
                <w:color w:val="221F1F"/>
                <w:sz w:val="20"/>
                <w:szCs w:val="20"/>
                <w:lang w:val="es-MX" w:eastAsia="es-MX"/>
              </w:rPr>
            </w:pPr>
            <w:r w:rsidRPr="0090015E">
              <w:rPr>
                <w:rFonts w:ascii="Arial" w:hAnsi="Arial" w:cs="Arial"/>
                <w:b/>
                <w:bCs/>
                <w:color w:val="221F1F"/>
                <w:sz w:val="20"/>
                <w:szCs w:val="20"/>
                <w:lang w:val="es-MX" w:eastAsia="es-MX"/>
              </w:rPr>
              <w:t>&gt;</w:t>
            </w:r>
            <w:r w:rsidRPr="0090015E">
              <w:rPr>
                <w:rFonts w:ascii="Arial" w:eastAsia="Arial" w:hAnsi="Arial" w:cs="Arial"/>
                <w:b/>
                <w:color w:val="221F1F"/>
                <w:sz w:val="20"/>
                <w:szCs w:val="20"/>
                <w:lang w:val="es-CR" w:eastAsia="en-US"/>
              </w:rPr>
              <w:t xml:space="preserve"> Aportaciones</w:t>
            </w:r>
          </w:p>
        </w:tc>
        <w:tc>
          <w:tcPr>
            <w:tcW w:w="1320" w:type="pct"/>
            <w:shd w:val="clear" w:color="auto" w:fill="auto"/>
          </w:tcPr>
          <w:p w:rsidR="000B2F41" w:rsidRPr="0090015E" w:rsidRDefault="000F1167" w:rsidP="00B40AC7">
            <w:pPr>
              <w:spacing w:after="120" w:line="360" w:lineRule="auto"/>
              <w:ind w:firstLineChars="300" w:firstLine="602"/>
              <w:jc w:val="right"/>
              <w:rPr>
                <w:rFonts w:ascii="Arial" w:hAnsi="Arial" w:cs="Arial"/>
                <w:b/>
                <w:bCs/>
                <w:color w:val="221F1F"/>
                <w:sz w:val="20"/>
                <w:szCs w:val="20"/>
                <w:lang w:val="es-MX" w:eastAsia="es-MX"/>
              </w:rPr>
            </w:pPr>
            <w:r>
              <w:rPr>
                <w:rFonts w:ascii="Arial" w:eastAsia="Arial" w:hAnsi="Arial" w:cs="Arial"/>
                <w:b/>
                <w:color w:val="221F1F"/>
                <w:sz w:val="20"/>
                <w:szCs w:val="20"/>
                <w:lang w:val="es-CR" w:eastAsia="en-US"/>
              </w:rPr>
              <w:t>$    2,883,914.00</w:t>
            </w:r>
          </w:p>
        </w:tc>
      </w:tr>
    </w:tbl>
    <w:p w:rsidR="000B2F41" w:rsidRPr="00B40AC7" w:rsidRDefault="000B2F41" w:rsidP="00B40AC7">
      <w:pPr>
        <w:spacing w:before="120" w:after="120" w:line="360" w:lineRule="auto"/>
        <w:jc w:val="both"/>
        <w:rPr>
          <w:rFonts w:ascii="Arial" w:eastAsia="Arial" w:hAnsi="Arial" w:cs="Arial"/>
          <w:color w:val="221F1F"/>
          <w:sz w:val="20"/>
          <w:szCs w:val="20"/>
          <w:lang w:val="es-CR" w:eastAsia="en-US"/>
        </w:rPr>
      </w:pPr>
      <w:r w:rsidRPr="0090015E">
        <w:rPr>
          <w:rFonts w:ascii="Arial" w:eastAsia="Arial" w:hAnsi="Arial" w:cs="Arial"/>
          <w:b/>
          <w:color w:val="221F1F"/>
          <w:sz w:val="20"/>
          <w:szCs w:val="20"/>
          <w:lang w:val="es-CR" w:eastAsia="en-US"/>
        </w:rPr>
        <w:t xml:space="preserve">Artículo 11- </w:t>
      </w:r>
      <w:r w:rsidRPr="0090015E">
        <w:rPr>
          <w:rFonts w:ascii="Arial" w:eastAsia="Arial" w:hAnsi="Arial" w:cs="Arial"/>
          <w:color w:val="221F1F"/>
          <w:sz w:val="20"/>
          <w:szCs w:val="20"/>
          <w:lang w:val="es-CR" w:eastAsia="en-US"/>
        </w:rPr>
        <w:t xml:space="preserve">Los ingresos que la Tesorería Municipal de Tekal de Venegas, Yucatán calcula recaudar durante </w:t>
      </w:r>
      <w:r w:rsidR="000A18AC">
        <w:rPr>
          <w:rFonts w:ascii="Arial" w:eastAsia="Arial" w:hAnsi="Arial" w:cs="Arial"/>
          <w:color w:val="221F1F"/>
          <w:sz w:val="20"/>
          <w:szCs w:val="20"/>
          <w:lang w:val="es-CR" w:eastAsia="en-US"/>
        </w:rPr>
        <w:t xml:space="preserve">el Ejercicio Fiscal del año 2026 </w:t>
      </w:r>
      <w:r w:rsidRPr="0090015E">
        <w:rPr>
          <w:rFonts w:ascii="Arial" w:eastAsia="Arial" w:hAnsi="Arial" w:cs="Arial"/>
          <w:color w:val="221F1F"/>
          <w:sz w:val="20"/>
          <w:szCs w:val="20"/>
          <w:lang w:val="es-CR" w:eastAsia="en-US"/>
        </w:rPr>
        <w:t xml:space="preserve"> en concepto de Ingresos Extraordinarios, son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96"/>
        <w:gridCol w:w="273"/>
        <w:gridCol w:w="1265"/>
      </w:tblGrid>
      <w:tr w:rsidR="000B2F41" w:rsidRPr="0090015E" w:rsidTr="00BD7101">
        <w:tc>
          <w:tcPr>
            <w:tcW w:w="4120" w:type="pct"/>
            <w:shd w:val="clear" w:color="auto" w:fill="DBE5F1"/>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Ingresos por ventas de bienes y servicios</w:t>
            </w:r>
          </w:p>
        </w:tc>
        <w:tc>
          <w:tcPr>
            <w:tcW w:w="156" w:type="pct"/>
            <w:tcBorders>
              <w:right w:val="nil"/>
            </w:tcBorders>
            <w:shd w:val="clear" w:color="auto" w:fill="DBE5F1"/>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shd w:val="clear" w:color="auto" w:fill="DBE5F1"/>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Ingresos por ventas de bienes y servicios de organismos descentralizados</w:t>
            </w:r>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0B2F41" w:rsidRDefault="000B2F41" w:rsidP="00B40AC7">
            <w:pPr>
              <w:spacing w:after="120" w:line="360" w:lineRule="auto"/>
              <w:jc w:val="both"/>
              <w:rPr>
                <w:rFonts w:ascii="Arial" w:eastAsia="Arial" w:hAnsi="Arial" w:cs="Arial"/>
                <w:sz w:val="20"/>
                <w:szCs w:val="20"/>
                <w:lang w:eastAsia="en-US"/>
              </w:rPr>
            </w:pPr>
            <w:r w:rsidRPr="0090015E">
              <w:rPr>
                <w:rFonts w:ascii="Arial" w:eastAsia="Arial" w:hAnsi="Arial" w:cs="Arial"/>
                <w:b/>
                <w:color w:val="221F1F"/>
                <w:sz w:val="20"/>
                <w:szCs w:val="20"/>
                <w:lang w:val="es-CR" w:eastAsia="en-US"/>
              </w:rPr>
              <w:t xml:space="preserve">Ingresos por ventas de bienes y servicios producidos en </w:t>
            </w:r>
            <w:r w:rsidRPr="000B2F41">
              <w:rPr>
                <w:rFonts w:ascii="Arial" w:eastAsia="Arial" w:hAnsi="Arial" w:cs="Arial"/>
                <w:b/>
                <w:color w:val="221F1F"/>
                <w:sz w:val="20"/>
                <w:szCs w:val="20"/>
                <w:lang w:eastAsia="en-US"/>
              </w:rPr>
              <w:t>establecimientos del Gobierno Central</w:t>
            </w:r>
          </w:p>
        </w:tc>
        <w:tc>
          <w:tcPr>
            <w:tcW w:w="156" w:type="pct"/>
            <w:tcBorders>
              <w:right w:val="nil"/>
            </w:tcBorders>
          </w:tcPr>
          <w:p w:rsidR="000B2F41" w:rsidRPr="0090015E" w:rsidRDefault="000B2F41" w:rsidP="00B40AC7">
            <w:pPr>
              <w:spacing w:after="120" w:line="360" w:lineRule="auto"/>
              <w:jc w:val="center"/>
              <w:rPr>
                <w:rFonts w:ascii="Arial" w:hAnsi="Arial" w:cs="Arial"/>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hAnsi="Arial" w:cs="Arial"/>
                <w:sz w:val="20"/>
                <w:szCs w:val="20"/>
                <w:lang w:val="en-US" w:eastAsia="en-US"/>
              </w:rPr>
            </w:pPr>
          </w:p>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shd w:val="clear" w:color="auto" w:fill="DBE5F1"/>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Transferencias, Asignaciones, Subsidios y Otras Ayudas del Estado</w:t>
            </w:r>
          </w:p>
        </w:tc>
        <w:tc>
          <w:tcPr>
            <w:tcW w:w="156" w:type="pct"/>
            <w:tcBorders>
              <w:right w:val="nil"/>
            </w:tcBorders>
            <w:shd w:val="clear" w:color="auto" w:fill="DBE5F1"/>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shd w:val="clear" w:color="auto" w:fill="DBE5F1"/>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Transferencias Internas y Asignaciones del Sector Público</w:t>
            </w:r>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0B2F41" w:rsidRDefault="000B2F41" w:rsidP="00B40AC7">
            <w:pPr>
              <w:spacing w:after="120" w:line="360" w:lineRule="auto"/>
              <w:jc w:val="both"/>
              <w:rPr>
                <w:rFonts w:ascii="Arial" w:eastAsia="Arial" w:hAnsi="Arial" w:cs="Arial"/>
                <w:sz w:val="20"/>
                <w:szCs w:val="20"/>
                <w:lang w:eastAsia="en-US"/>
              </w:rPr>
            </w:pPr>
            <w:r w:rsidRPr="0090015E">
              <w:rPr>
                <w:rFonts w:ascii="Arial" w:eastAsia="Arial" w:hAnsi="Arial" w:cs="Arial"/>
                <w:b/>
                <w:color w:val="221F1F"/>
                <w:sz w:val="20"/>
                <w:szCs w:val="20"/>
                <w:lang w:val="es-CR" w:eastAsia="en-US"/>
              </w:rPr>
              <w:t xml:space="preserve">&gt; Las recibidas por conceptos diversos a participaciones, aportaciones o </w:t>
            </w:r>
            <w:r w:rsidRPr="000B2F41">
              <w:rPr>
                <w:rFonts w:ascii="Arial" w:eastAsia="Arial" w:hAnsi="Arial" w:cs="Arial"/>
                <w:b/>
                <w:color w:val="221F1F"/>
                <w:sz w:val="20"/>
                <w:szCs w:val="20"/>
                <w:lang w:eastAsia="en-US"/>
              </w:rPr>
              <w:t>aprovechamientos</w:t>
            </w:r>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n-US" w:eastAsia="en-US"/>
              </w:rPr>
            </w:pPr>
            <w:proofErr w:type="spellStart"/>
            <w:r w:rsidRPr="0090015E">
              <w:rPr>
                <w:rFonts w:ascii="Arial" w:eastAsia="Arial" w:hAnsi="Arial" w:cs="Arial"/>
                <w:b/>
                <w:color w:val="221F1F"/>
                <w:sz w:val="20"/>
                <w:szCs w:val="20"/>
                <w:lang w:val="en-US" w:eastAsia="en-US"/>
              </w:rPr>
              <w:t>Transferencias</w:t>
            </w:r>
            <w:proofErr w:type="spellEnd"/>
            <w:r w:rsidRPr="0090015E">
              <w:rPr>
                <w:rFonts w:ascii="Arial" w:eastAsia="Arial" w:hAnsi="Arial" w:cs="Arial"/>
                <w:b/>
                <w:color w:val="221F1F"/>
                <w:sz w:val="20"/>
                <w:szCs w:val="20"/>
                <w:lang w:val="en-US" w:eastAsia="en-US"/>
              </w:rPr>
              <w:t xml:space="preserve"> del Sector </w:t>
            </w:r>
            <w:proofErr w:type="spellStart"/>
            <w:r w:rsidRPr="0090015E">
              <w:rPr>
                <w:rFonts w:ascii="Arial" w:eastAsia="Arial" w:hAnsi="Arial" w:cs="Arial"/>
                <w:b/>
                <w:color w:val="221F1F"/>
                <w:sz w:val="20"/>
                <w:szCs w:val="20"/>
                <w:lang w:val="en-US" w:eastAsia="en-US"/>
              </w:rPr>
              <w:t>Público</w:t>
            </w:r>
            <w:proofErr w:type="spellEnd"/>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n-US" w:eastAsia="en-US"/>
              </w:rPr>
            </w:pPr>
            <w:proofErr w:type="spellStart"/>
            <w:r w:rsidRPr="0090015E">
              <w:rPr>
                <w:rFonts w:ascii="Arial" w:eastAsia="Arial" w:hAnsi="Arial" w:cs="Arial"/>
                <w:b/>
                <w:color w:val="221F1F"/>
                <w:sz w:val="20"/>
                <w:szCs w:val="20"/>
                <w:lang w:val="en-US" w:eastAsia="en-US"/>
              </w:rPr>
              <w:t>Subsidios</w:t>
            </w:r>
            <w:proofErr w:type="spellEnd"/>
            <w:r w:rsidRPr="0090015E">
              <w:rPr>
                <w:rFonts w:ascii="Arial" w:eastAsia="Arial" w:hAnsi="Arial" w:cs="Arial"/>
                <w:b/>
                <w:color w:val="221F1F"/>
                <w:sz w:val="20"/>
                <w:szCs w:val="20"/>
                <w:lang w:val="en-US" w:eastAsia="en-US"/>
              </w:rPr>
              <w:t xml:space="preserve"> y </w:t>
            </w:r>
            <w:proofErr w:type="spellStart"/>
            <w:r w:rsidRPr="0090015E">
              <w:rPr>
                <w:rFonts w:ascii="Arial" w:eastAsia="Arial" w:hAnsi="Arial" w:cs="Arial"/>
                <w:b/>
                <w:color w:val="221F1F"/>
                <w:sz w:val="20"/>
                <w:szCs w:val="20"/>
                <w:lang w:val="en-US" w:eastAsia="en-US"/>
              </w:rPr>
              <w:t>Subvenciones</w:t>
            </w:r>
            <w:proofErr w:type="spellEnd"/>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n-US" w:eastAsia="en-US"/>
              </w:rPr>
            </w:pPr>
            <w:proofErr w:type="spellStart"/>
            <w:r w:rsidRPr="0090015E">
              <w:rPr>
                <w:rFonts w:ascii="Arial" w:eastAsia="Arial" w:hAnsi="Arial" w:cs="Arial"/>
                <w:b/>
                <w:color w:val="221F1F"/>
                <w:sz w:val="20"/>
                <w:szCs w:val="20"/>
                <w:lang w:val="en-US" w:eastAsia="en-US"/>
              </w:rPr>
              <w:t>Ayudas</w:t>
            </w:r>
            <w:proofErr w:type="spellEnd"/>
            <w:r w:rsidRPr="0090015E">
              <w:rPr>
                <w:rFonts w:ascii="Arial" w:eastAsia="Arial" w:hAnsi="Arial" w:cs="Arial"/>
                <w:b/>
                <w:color w:val="221F1F"/>
                <w:sz w:val="20"/>
                <w:szCs w:val="20"/>
                <w:lang w:val="en-US" w:eastAsia="en-US"/>
              </w:rPr>
              <w:t xml:space="preserve"> </w:t>
            </w:r>
            <w:proofErr w:type="spellStart"/>
            <w:r w:rsidRPr="0090015E">
              <w:rPr>
                <w:rFonts w:ascii="Arial" w:eastAsia="Arial" w:hAnsi="Arial" w:cs="Arial"/>
                <w:b/>
                <w:color w:val="221F1F"/>
                <w:sz w:val="20"/>
                <w:szCs w:val="20"/>
                <w:lang w:val="en-US" w:eastAsia="en-US"/>
              </w:rPr>
              <w:t>sociales</w:t>
            </w:r>
            <w:proofErr w:type="spellEnd"/>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Transferencias de Fideicomisos, mandatos y análogos</w:t>
            </w:r>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rPr>
                <w:rFonts w:ascii="Arial" w:eastAsia="Arial" w:hAnsi="Arial" w:cs="Arial"/>
                <w:sz w:val="20"/>
                <w:szCs w:val="20"/>
                <w:lang w:val="en-US" w:eastAsia="en-US"/>
              </w:rPr>
            </w:pPr>
            <w:proofErr w:type="spellStart"/>
            <w:r w:rsidRPr="0090015E">
              <w:rPr>
                <w:rFonts w:ascii="Arial" w:eastAsia="Arial" w:hAnsi="Arial" w:cs="Arial"/>
                <w:b/>
                <w:color w:val="221F1F"/>
                <w:sz w:val="20"/>
                <w:szCs w:val="20"/>
                <w:lang w:val="en-US" w:eastAsia="en-US"/>
              </w:rPr>
              <w:t>Convenios</w:t>
            </w:r>
            <w:proofErr w:type="spellEnd"/>
          </w:p>
        </w:tc>
        <w:tc>
          <w:tcPr>
            <w:tcW w:w="156" w:type="pct"/>
            <w:tcBorders>
              <w:right w:val="nil"/>
            </w:tcBorders>
          </w:tcPr>
          <w:p w:rsidR="000B2F41" w:rsidRPr="0090015E" w:rsidRDefault="000B2F41" w:rsidP="00B40AC7">
            <w:pPr>
              <w:spacing w:after="120" w:line="360" w:lineRule="auto"/>
              <w:jc w:val="center"/>
              <w:rPr>
                <w:rFonts w:ascii="Arial" w:eastAsia="Arial" w:hAnsi="Arial" w:cs="Arial"/>
                <w:b/>
                <w:color w:val="221F1F"/>
                <w:sz w:val="20"/>
                <w:szCs w:val="20"/>
                <w:lang w:val="en-US"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r w:rsidR="000B2F41" w:rsidRPr="0090015E" w:rsidTr="00BD7101">
        <w:tc>
          <w:tcPr>
            <w:tcW w:w="4120" w:type="pct"/>
          </w:tcPr>
          <w:p w:rsidR="000B2F41" w:rsidRPr="0090015E" w:rsidRDefault="000B2F41" w:rsidP="00B40AC7">
            <w:pPr>
              <w:spacing w:after="120" w:line="360" w:lineRule="auto"/>
              <w:jc w:val="both"/>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lastRenderedPageBreak/>
              <w:t>&gt; Con la Federación o el Estado: Hábitat, Tu Casa, 3x1 migrantes Rescate de Espacios Públicos, Subsemun, entre otros.</w:t>
            </w:r>
          </w:p>
        </w:tc>
        <w:tc>
          <w:tcPr>
            <w:tcW w:w="156" w:type="pct"/>
            <w:tcBorders>
              <w:right w:val="nil"/>
            </w:tcBorders>
          </w:tcPr>
          <w:p w:rsidR="000B2F41" w:rsidRPr="0090015E" w:rsidRDefault="000B2F41" w:rsidP="00B40AC7">
            <w:pPr>
              <w:spacing w:after="120" w:line="360" w:lineRule="auto"/>
              <w:jc w:val="center"/>
              <w:rPr>
                <w:rFonts w:ascii="Arial" w:hAnsi="Arial" w:cs="Arial"/>
                <w:sz w:val="20"/>
                <w:szCs w:val="20"/>
                <w:lang w:val="es-CR" w:eastAsia="en-US"/>
              </w:rPr>
            </w:pPr>
            <w:r w:rsidRPr="0090015E">
              <w:rPr>
                <w:rFonts w:ascii="Arial" w:eastAsia="Arial" w:hAnsi="Arial" w:cs="Arial"/>
                <w:b/>
                <w:color w:val="221F1F"/>
                <w:sz w:val="20"/>
                <w:szCs w:val="20"/>
                <w:lang w:val="en-US" w:eastAsia="en-US"/>
              </w:rPr>
              <w:t>$</w:t>
            </w:r>
          </w:p>
        </w:tc>
        <w:tc>
          <w:tcPr>
            <w:tcW w:w="724" w:type="pct"/>
            <w:tcBorders>
              <w:left w:val="nil"/>
            </w:tcBorders>
          </w:tcPr>
          <w:p w:rsidR="000B2F41" w:rsidRPr="0090015E" w:rsidRDefault="000B2F41" w:rsidP="00B40AC7">
            <w:pPr>
              <w:spacing w:after="120" w:line="360" w:lineRule="auto"/>
              <w:jc w:val="right"/>
              <w:rPr>
                <w:rFonts w:ascii="Arial" w:hAnsi="Arial" w:cs="Arial"/>
                <w:sz w:val="20"/>
                <w:szCs w:val="20"/>
                <w:lang w:val="es-CR" w:eastAsia="en-US"/>
              </w:rPr>
            </w:pPr>
          </w:p>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0.00</w:t>
            </w:r>
          </w:p>
        </w:tc>
      </w:tr>
    </w:tbl>
    <w:p w:rsidR="000B2F41" w:rsidRPr="0090015E" w:rsidRDefault="000B2F41" w:rsidP="00B40AC7">
      <w:pPr>
        <w:spacing w:after="120" w:line="360" w:lineRule="auto"/>
        <w:rPr>
          <w:rFonts w:ascii="Arial" w:hAnsi="Arial" w:cs="Arial"/>
          <w:sz w:val="20"/>
          <w:szCs w:val="20"/>
          <w:lang w:val="en-US" w:eastAsia="en-US"/>
        </w:rPr>
      </w:pPr>
    </w:p>
    <w:tbl>
      <w:tblPr>
        <w:tblW w:w="5000" w:type="pct"/>
        <w:tblCellMar>
          <w:left w:w="0" w:type="dxa"/>
          <w:right w:w="0" w:type="dxa"/>
        </w:tblCellMar>
        <w:tblLook w:val="01E0" w:firstRow="1" w:lastRow="1" w:firstColumn="1" w:lastColumn="1" w:noHBand="0" w:noVBand="0"/>
      </w:tblPr>
      <w:tblGrid>
        <w:gridCol w:w="7198"/>
        <w:gridCol w:w="1537"/>
      </w:tblGrid>
      <w:tr w:rsidR="000B2F41" w:rsidRPr="0090015E" w:rsidTr="00BD7101">
        <w:tc>
          <w:tcPr>
            <w:tcW w:w="4120" w:type="pct"/>
            <w:tcBorders>
              <w:top w:val="single" w:sz="5" w:space="0" w:color="221F1F"/>
              <w:left w:val="single" w:sz="5" w:space="0" w:color="221F1F"/>
              <w:bottom w:val="single" w:sz="5" w:space="0" w:color="221F1F"/>
              <w:right w:val="single" w:sz="4" w:space="0" w:color="221F1F"/>
            </w:tcBorders>
            <w:shd w:val="clear" w:color="auto" w:fill="DBE5F1"/>
          </w:tcPr>
          <w:p w:rsidR="000B2F41" w:rsidRPr="0090015E" w:rsidRDefault="000B2F41" w:rsidP="00B40AC7">
            <w:pPr>
              <w:spacing w:after="120" w:line="360" w:lineRule="auto"/>
              <w:rPr>
                <w:rFonts w:ascii="Arial" w:eastAsia="Arial" w:hAnsi="Arial" w:cs="Arial"/>
                <w:sz w:val="20"/>
                <w:szCs w:val="20"/>
                <w:lang w:val="en-US" w:eastAsia="en-US"/>
              </w:rPr>
            </w:pPr>
            <w:proofErr w:type="spellStart"/>
            <w:r w:rsidRPr="0090015E">
              <w:rPr>
                <w:rFonts w:ascii="Arial" w:eastAsia="Arial" w:hAnsi="Arial" w:cs="Arial"/>
                <w:b/>
                <w:color w:val="221F1F"/>
                <w:sz w:val="20"/>
                <w:szCs w:val="20"/>
                <w:lang w:val="en-US" w:eastAsia="en-US"/>
              </w:rPr>
              <w:t>Ingresos</w:t>
            </w:r>
            <w:proofErr w:type="spellEnd"/>
            <w:r w:rsidRPr="0090015E">
              <w:rPr>
                <w:rFonts w:ascii="Arial" w:eastAsia="Arial" w:hAnsi="Arial" w:cs="Arial"/>
                <w:b/>
                <w:color w:val="221F1F"/>
                <w:sz w:val="20"/>
                <w:szCs w:val="20"/>
                <w:lang w:val="en-US" w:eastAsia="en-US"/>
              </w:rPr>
              <w:t xml:space="preserve"> </w:t>
            </w:r>
            <w:proofErr w:type="spellStart"/>
            <w:r w:rsidRPr="0090015E">
              <w:rPr>
                <w:rFonts w:ascii="Arial" w:eastAsia="Arial" w:hAnsi="Arial" w:cs="Arial"/>
                <w:b/>
                <w:color w:val="221F1F"/>
                <w:sz w:val="20"/>
                <w:szCs w:val="20"/>
                <w:lang w:val="en-US" w:eastAsia="en-US"/>
              </w:rPr>
              <w:t>derivados</w:t>
            </w:r>
            <w:proofErr w:type="spellEnd"/>
            <w:r w:rsidRPr="0090015E">
              <w:rPr>
                <w:rFonts w:ascii="Arial" w:eastAsia="Arial" w:hAnsi="Arial" w:cs="Arial"/>
                <w:b/>
                <w:color w:val="221F1F"/>
                <w:sz w:val="20"/>
                <w:szCs w:val="20"/>
                <w:lang w:val="en-US" w:eastAsia="en-US"/>
              </w:rPr>
              <w:t xml:space="preserve"> de </w:t>
            </w:r>
            <w:proofErr w:type="spellStart"/>
            <w:r w:rsidRPr="0090015E">
              <w:rPr>
                <w:rFonts w:ascii="Arial" w:eastAsia="Arial" w:hAnsi="Arial" w:cs="Arial"/>
                <w:b/>
                <w:color w:val="221F1F"/>
                <w:sz w:val="20"/>
                <w:szCs w:val="20"/>
                <w:lang w:val="en-US" w:eastAsia="en-US"/>
              </w:rPr>
              <w:t>Financiamientos</w:t>
            </w:r>
            <w:proofErr w:type="spellEnd"/>
          </w:p>
        </w:tc>
        <w:tc>
          <w:tcPr>
            <w:tcW w:w="880" w:type="pct"/>
            <w:tcBorders>
              <w:top w:val="single" w:sz="5" w:space="0" w:color="221F1F"/>
              <w:left w:val="single" w:sz="4" w:space="0" w:color="221F1F"/>
              <w:bottom w:val="single" w:sz="5" w:space="0" w:color="221F1F"/>
              <w:right w:val="single" w:sz="4" w:space="0" w:color="221F1F"/>
            </w:tcBorders>
            <w:shd w:val="clear" w:color="auto" w:fill="DBE5F1"/>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              0.00</w:t>
            </w:r>
          </w:p>
        </w:tc>
      </w:tr>
      <w:tr w:rsidR="000B2F41" w:rsidRPr="0090015E" w:rsidTr="00BD7101">
        <w:tc>
          <w:tcPr>
            <w:tcW w:w="4120" w:type="pct"/>
            <w:tcBorders>
              <w:top w:val="single" w:sz="5" w:space="0" w:color="221F1F"/>
              <w:left w:val="single" w:sz="5" w:space="0" w:color="221F1F"/>
              <w:bottom w:val="single" w:sz="4" w:space="0" w:color="221F1F"/>
              <w:right w:val="single" w:sz="4" w:space="0" w:color="221F1F"/>
            </w:tcBorders>
          </w:tcPr>
          <w:p w:rsidR="000B2F41" w:rsidRPr="0090015E" w:rsidRDefault="000B2F41" w:rsidP="00B40AC7">
            <w:pPr>
              <w:spacing w:after="120" w:line="360" w:lineRule="auto"/>
              <w:rPr>
                <w:rFonts w:ascii="Arial" w:eastAsia="Arial" w:hAnsi="Arial" w:cs="Arial"/>
                <w:sz w:val="20"/>
                <w:szCs w:val="20"/>
                <w:lang w:val="en-US" w:eastAsia="en-US"/>
              </w:rPr>
            </w:pPr>
            <w:proofErr w:type="spellStart"/>
            <w:r w:rsidRPr="0090015E">
              <w:rPr>
                <w:rFonts w:ascii="Arial" w:eastAsia="Arial" w:hAnsi="Arial" w:cs="Arial"/>
                <w:b/>
                <w:color w:val="221F1F"/>
                <w:sz w:val="20"/>
                <w:szCs w:val="20"/>
                <w:lang w:val="en-US" w:eastAsia="en-US"/>
              </w:rPr>
              <w:t>Endeudamiento</w:t>
            </w:r>
            <w:proofErr w:type="spellEnd"/>
            <w:r w:rsidRPr="0090015E">
              <w:rPr>
                <w:rFonts w:ascii="Arial" w:eastAsia="Arial" w:hAnsi="Arial" w:cs="Arial"/>
                <w:b/>
                <w:color w:val="221F1F"/>
                <w:sz w:val="20"/>
                <w:szCs w:val="20"/>
                <w:lang w:val="en-US" w:eastAsia="en-US"/>
              </w:rPr>
              <w:t xml:space="preserve"> </w:t>
            </w:r>
            <w:proofErr w:type="spellStart"/>
            <w:r w:rsidRPr="0090015E">
              <w:rPr>
                <w:rFonts w:ascii="Arial" w:eastAsia="Arial" w:hAnsi="Arial" w:cs="Arial"/>
                <w:b/>
                <w:color w:val="221F1F"/>
                <w:sz w:val="20"/>
                <w:szCs w:val="20"/>
                <w:lang w:val="en-US" w:eastAsia="en-US"/>
              </w:rPr>
              <w:t>interno</w:t>
            </w:r>
            <w:proofErr w:type="spellEnd"/>
          </w:p>
        </w:tc>
        <w:tc>
          <w:tcPr>
            <w:tcW w:w="880" w:type="pct"/>
            <w:tcBorders>
              <w:top w:val="single" w:sz="5" w:space="0" w:color="221F1F"/>
              <w:left w:val="single" w:sz="4" w:space="0" w:color="221F1F"/>
              <w:bottom w:val="single" w:sz="4" w:space="0" w:color="221F1F"/>
              <w:right w:val="single" w:sz="4" w:space="0" w:color="221F1F"/>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              0.00</w:t>
            </w:r>
          </w:p>
        </w:tc>
      </w:tr>
      <w:tr w:rsidR="000B2F41" w:rsidRPr="0090015E" w:rsidTr="00BD7101">
        <w:tc>
          <w:tcPr>
            <w:tcW w:w="4120" w:type="pct"/>
            <w:tcBorders>
              <w:top w:val="single" w:sz="4" w:space="0" w:color="221F1F"/>
              <w:left w:val="single" w:sz="5" w:space="0" w:color="221F1F"/>
              <w:bottom w:val="single" w:sz="4" w:space="0" w:color="221F1F"/>
              <w:right w:val="single" w:sz="4" w:space="0" w:color="221F1F"/>
            </w:tcBorders>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&gt; Empréstitos o financiamientos de Banca de Desarrollo</w:t>
            </w:r>
          </w:p>
        </w:tc>
        <w:tc>
          <w:tcPr>
            <w:tcW w:w="880" w:type="pct"/>
            <w:tcBorders>
              <w:top w:val="single" w:sz="4" w:space="0" w:color="221F1F"/>
              <w:left w:val="single" w:sz="4" w:space="0" w:color="221F1F"/>
              <w:bottom w:val="single" w:sz="4" w:space="0" w:color="221F1F"/>
              <w:right w:val="single" w:sz="4" w:space="0" w:color="221F1F"/>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              0.00</w:t>
            </w:r>
          </w:p>
        </w:tc>
      </w:tr>
      <w:tr w:rsidR="000B2F41" w:rsidRPr="0090015E" w:rsidTr="00BD7101">
        <w:tc>
          <w:tcPr>
            <w:tcW w:w="4120" w:type="pct"/>
            <w:tcBorders>
              <w:top w:val="single" w:sz="4" w:space="0" w:color="221F1F"/>
              <w:left w:val="single" w:sz="5" w:space="0" w:color="221F1F"/>
              <w:bottom w:val="single" w:sz="4" w:space="0" w:color="221F1F"/>
              <w:right w:val="single" w:sz="4" w:space="0" w:color="221F1F"/>
            </w:tcBorders>
          </w:tcPr>
          <w:p w:rsidR="000B2F41" w:rsidRPr="0090015E" w:rsidRDefault="000B2F41" w:rsidP="00B40AC7">
            <w:pPr>
              <w:spacing w:after="120" w:line="360" w:lineRule="auto"/>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&gt; Empréstitos o financiamientos de Banca Comercial</w:t>
            </w:r>
          </w:p>
        </w:tc>
        <w:tc>
          <w:tcPr>
            <w:tcW w:w="880" w:type="pct"/>
            <w:tcBorders>
              <w:top w:val="single" w:sz="4" w:space="0" w:color="221F1F"/>
              <w:left w:val="single" w:sz="4" w:space="0" w:color="221F1F"/>
              <w:bottom w:val="single" w:sz="4" w:space="0" w:color="221F1F"/>
              <w:right w:val="single" w:sz="4" w:space="0" w:color="221F1F"/>
            </w:tcBorders>
          </w:tcPr>
          <w:p w:rsidR="000B2F41" w:rsidRPr="0090015E" w:rsidRDefault="000B2F41" w:rsidP="00B40AC7">
            <w:pPr>
              <w:spacing w:after="120" w:line="360" w:lineRule="auto"/>
              <w:jc w:val="right"/>
              <w:rPr>
                <w:rFonts w:ascii="Arial" w:eastAsia="Arial" w:hAnsi="Arial" w:cs="Arial"/>
                <w:sz w:val="20"/>
                <w:szCs w:val="20"/>
                <w:lang w:val="en-US" w:eastAsia="en-US"/>
              </w:rPr>
            </w:pPr>
            <w:r w:rsidRPr="0090015E">
              <w:rPr>
                <w:rFonts w:ascii="Arial" w:eastAsia="Arial" w:hAnsi="Arial" w:cs="Arial"/>
                <w:b/>
                <w:color w:val="221F1F"/>
                <w:sz w:val="20"/>
                <w:szCs w:val="20"/>
                <w:lang w:val="en-US" w:eastAsia="en-US"/>
              </w:rPr>
              <w:t>$              0.00</w:t>
            </w:r>
          </w:p>
        </w:tc>
      </w:tr>
    </w:tbl>
    <w:p w:rsidR="000B2F41" w:rsidRPr="0090015E" w:rsidRDefault="000B2F41" w:rsidP="00B40AC7">
      <w:pPr>
        <w:spacing w:before="120" w:after="120" w:line="360" w:lineRule="auto"/>
        <w:jc w:val="both"/>
        <w:rPr>
          <w:rFonts w:ascii="Arial" w:eastAsia="Arial" w:hAnsi="Arial" w:cs="Arial"/>
          <w:bCs/>
          <w:color w:val="221F1F"/>
          <w:sz w:val="20"/>
          <w:szCs w:val="20"/>
          <w:lang w:val="es-CR" w:eastAsia="en-US"/>
        </w:rPr>
      </w:pPr>
      <w:r w:rsidRPr="0090015E">
        <w:rPr>
          <w:rFonts w:ascii="Arial" w:eastAsia="Arial" w:hAnsi="Arial" w:cs="Arial"/>
          <w:b/>
          <w:color w:val="221F1F"/>
          <w:sz w:val="20"/>
          <w:szCs w:val="20"/>
          <w:lang w:val="es-CR" w:eastAsia="en-US"/>
        </w:rPr>
        <w:t>El Total de Ingresos que el Ayuntamiento de Tekal de Venegas, Yucatán, percibirá en el ejercicio fiscal del año 202</w:t>
      </w:r>
      <w:r w:rsidR="000A18AC">
        <w:rPr>
          <w:rFonts w:ascii="Arial" w:eastAsia="Arial" w:hAnsi="Arial" w:cs="Arial"/>
          <w:b/>
          <w:color w:val="221F1F"/>
          <w:sz w:val="20"/>
          <w:szCs w:val="20"/>
          <w:lang w:val="es-CR" w:eastAsia="en-US"/>
        </w:rPr>
        <w:t>6</w:t>
      </w:r>
      <w:r w:rsidRPr="0090015E">
        <w:rPr>
          <w:rFonts w:ascii="Arial" w:eastAsia="Arial" w:hAnsi="Arial" w:cs="Arial"/>
          <w:b/>
          <w:color w:val="221F1F"/>
          <w:sz w:val="20"/>
          <w:szCs w:val="20"/>
          <w:lang w:val="es-CR" w:eastAsia="en-US"/>
        </w:rPr>
        <w:t xml:space="preserve">, ascenderá a: </w:t>
      </w:r>
      <w:r w:rsidRPr="0090015E">
        <w:rPr>
          <w:rFonts w:ascii="Arial" w:eastAsia="Arial" w:hAnsi="Arial" w:cs="Arial"/>
          <w:b/>
          <w:sz w:val="20"/>
          <w:szCs w:val="20"/>
          <w:lang w:val="es-CR" w:eastAsia="en-US"/>
        </w:rPr>
        <w:t>$ 2</w:t>
      </w:r>
      <w:r w:rsidR="0013424E">
        <w:rPr>
          <w:rFonts w:ascii="Arial" w:eastAsia="Arial" w:hAnsi="Arial" w:cs="Arial"/>
          <w:b/>
          <w:sz w:val="20"/>
          <w:szCs w:val="20"/>
          <w:lang w:val="es-CR" w:eastAsia="en-US"/>
        </w:rPr>
        <w:t xml:space="preserve">9,786,100.00 </w:t>
      </w:r>
      <w:r w:rsidRPr="0090015E">
        <w:rPr>
          <w:rFonts w:ascii="Arial" w:eastAsia="Arial" w:hAnsi="Arial" w:cs="Arial"/>
          <w:b/>
          <w:color w:val="221F1F"/>
          <w:sz w:val="20"/>
          <w:szCs w:val="20"/>
          <w:lang w:val="es-CR" w:eastAsia="en-US"/>
        </w:rPr>
        <w:t xml:space="preserve">Artículo 12.- </w:t>
      </w:r>
      <w:r w:rsidRPr="0090015E">
        <w:rPr>
          <w:rFonts w:ascii="Arial" w:eastAsia="Arial" w:hAnsi="Arial" w:cs="Arial"/>
          <w:bCs/>
          <w:color w:val="221F1F"/>
          <w:sz w:val="20"/>
          <w:szCs w:val="20"/>
          <w:lang w:val="es-CR" w:eastAsia="en-US"/>
        </w:rPr>
        <w:t>Las contribuciones causadas en ejercicios fiscales anteriores, pendientes de o pago se cubrirán de conformidad con las disposiciones legales que rigieron en la época en que se causaron.</w:t>
      </w:r>
    </w:p>
    <w:p w:rsidR="000B2F41" w:rsidRPr="0090015E" w:rsidRDefault="000B2F41" w:rsidP="00B40AC7">
      <w:pPr>
        <w:spacing w:after="120" w:line="360" w:lineRule="auto"/>
        <w:jc w:val="both"/>
        <w:rPr>
          <w:rFonts w:ascii="Arial" w:eastAsia="Arial" w:hAnsi="Arial" w:cs="Arial"/>
          <w:bCs/>
          <w:color w:val="221F1F"/>
          <w:sz w:val="20"/>
          <w:szCs w:val="20"/>
          <w:lang w:val="es-CR" w:eastAsia="en-US"/>
        </w:rPr>
      </w:pPr>
      <w:r w:rsidRPr="0090015E">
        <w:rPr>
          <w:rFonts w:ascii="Arial" w:eastAsia="Arial" w:hAnsi="Arial" w:cs="Arial"/>
          <w:b/>
          <w:color w:val="221F1F"/>
          <w:sz w:val="20"/>
          <w:szCs w:val="20"/>
          <w:lang w:val="es-CR" w:eastAsia="en-US"/>
        </w:rPr>
        <w:t xml:space="preserve">Artículo 13.- </w:t>
      </w:r>
      <w:r w:rsidRPr="0090015E">
        <w:rPr>
          <w:rFonts w:ascii="Arial" w:eastAsia="Arial" w:hAnsi="Arial" w:cs="Arial"/>
          <w:bCs/>
          <w:color w:val="221F1F"/>
          <w:sz w:val="20"/>
          <w:szCs w:val="20"/>
          <w:lang w:val="es-CR" w:eastAsia="en-US"/>
        </w:rPr>
        <w:t>El pago de las contribuciones se acreditará con el recibo oficial expedido por la Tesorería del Municipio de Tekal de Venegas o con los formatos de declaración sellados y tarjados por la misma Tesorería o por las instituciones bancarias autorizadas para tal efecto.</w:t>
      </w:r>
    </w:p>
    <w:p w:rsidR="000B2F41" w:rsidRPr="0090015E" w:rsidRDefault="000B2F41" w:rsidP="00B40AC7">
      <w:pPr>
        <w:spacing w:after="120" w:line="360" w:lineRule="auto"/>
        <w:jc w:val="both"/>
        <w:rPr>
          <w:rFonts w:ascii="Arial" w:eastAsia="Arial" w:hAnsi="Arial" w:cs="Arial"/>
          <w:bCs/>
          <w:color w:val="221F1F"/>
          <w:sz w:val="20"/>
          <w:szCs w:val="20"/>
          <w:lang w:val="es-CR" w:eastAsia="en-US"/>
        </w:rPr>
      </w:pPr>
      <w:r w:rsidRPr="0090015E">
        <w:rPr>
          <w:rFonts w:ascii="Arial" w:eastAsia="Arial" w:hAnsi="Arial" w:cs="Arial"/>
          <w:b/>
          <w:color w:val="221F1F"/>
          <w:sz w:val="20"/>
          <w:szCs w:val="20"/>
          <w:lang w:val="es-CR" w:eastAsia="en-US"/>
        </w:rPr>
        <w:t>Artículo 14</w:t>
      </w:r>
      <w:r w:rsidRPr="0090015E">
        <w:rPr>
          <w:rFonts w:ascii="Arial" w:eastAsia="Arial" w:hAnsi="Arial" w:cs="Arial"/>
          <w:bCs/>
          <w:color w:val="221F1F"/>
          <w:sz w:val="20"/>
          <w:szCs w:val="20"/>
          <w:lang w:val="es-CR" w:eastAsia="en-US"/>
        </w:rPr>
        <w:t>.- Las contribuciones se causarán, liquidarán y recaudarán en los términos de la Ley de Hacienda para el Municipio de Tekal de Venegas, Yucatán, y a falta de disposición procedimental expresa, se aplicarán supletoriamente el Código Fiscal del Estado de Yucatán y el Código Fiscal de la Federación, respectivamente.</w:t>
      </w:r>
    </w:p>
    <w:p w:rsidR="000B2F41" w:rsidRPr="0090015E" w:rsidRDefault="000B2F41" w:rsidP="00B40AC7">
      <w:pPr>
        <w:spacing w:after="120" w:line="360" w:lineRule="auto"/>
        <w:jc w:val="both"/>
        <w:rPr>
          <w:rFonts w:ascii="Arial" w:eastAsia="Arial" w:hAnsi="Arial" w:cs="Arial"/>
          <w:bCs/>
          <w:color w:val="221F1F"/>
          <w:sz w:val="20"/>
          <w:szCs w:val="20"/>
          <w:lang w:val="es-CR" w:eastAsia="en-US"/>
        </w:rPr>
      </w:pPr>
      <w:r w:rsidRPr="0090015E">
        <w:rPr>
          <w:rFonts w:ascii="Arial" w:eastAsia="Arial" w:hAnsi="Arial" w:cs="Arial"/>
          <w:b/>
          <w:color w:val="221F1F"/>
          <w:sz w:val="20"/>
          <w:szCs w:val="20"/>
          <w:lang w:val="es-CR" w:eastAsia="en-US"/>
        </w:rPr>
        <w:t xml:space="preserve">Artículo 15.- </w:t>
      </w:r>
      <w:r w:rsidRPr="0090015E">
        <w:rPr>
          <w:rFonts w:ascii="Arial" w:eastAsia="Arial" w:hAnsi="Arial" w:cs="Arial"/>
          <w:bCs/>
          <w:color w:val="221F1F"/>
          <w:sz w:val="20"/>
          <w:szCs w:val="20"/>
          <w:lang w:val="es-CR" w:eastAsia="en-US"/>
        </w:rPr>
        <w:t>El Ayuntamiento de Tekal de Venegas podrá celebrar con el Gobierno Estatal los convenios necesarios para coordinarse administrativamente en las funciones de recaudación, comprobación, determinación y cobranza de las contribuciones y créditos fiscales estatales y federales.</w:t>
      </w:r>
    </w:p>
    <w:p w:rsidR="000B2F41" w:rsidRPr="0090015E" w:rsidRDefault="000B2F41" w:rsidP="00B40AC7">
      <w:pPr>
        <w:spacing w:after="120" w:line="360" w:lineRule="auto"/>
        <w:jc w:val="both"/>
        <w:rPr>
          <w:rFonts w:ascii="Arial" w:eastAsia="Arial" w:hAnsi="Arial" w:cs="Arial"/>
          <w:bCs/>
          <w:color w:val="221F1F"/>
          <w:sz w:val="20"/>
          <w:szCs w:val="20"/>
          <w:lang w:val="es-CR" w:eastAsia="en-US"/>
        </w:rPr>
      </w:pPr>
      <w:r w:rsidRPr="0090015E">
        <w:rPr>
          <w:rFonts w:ascii="Arial" w:eastAsia="Arial" w:hAnsi="Arial" w:cs="Arial"/>
          <w:bCs/>
          <w:color w:val="221F1F"/>
          <w:sz w:val="20"/>
          <w:szCs w:val="20"/>
          <w:lang w:val="es-CR" w:eastAsia="en-US"/>
        </w:rPr>
        <w:t>De igual manera, el Ayuntamiento de Tekal de Venegas podrá establecer programas de apoyo a los deudores de la Tesorería, mediante acuerdos autorizados por el H. Cabildo.</w:t>
      </w:r>
    </w:p>
    <w:p w:rsidR="000B2F41" w:rsidRPr="00B40AC7" w:rsidRDefault="000B2F41" w:rsidP="00B40AC7">
      <w:pPr>
        <w:spacing w:after="120" w:line="360" w:lineRule="auto"/>
        <w:jc w:val="center"/>
        <w:rPr>
          <w:rFonts w:ascii="Arial" w:eastAsia="Arial" w:hAnsi="Arial" w:cs="Arial"/>
          <w:spacing w:val="140"/>
          <w:sz w:val="20"/>
          <w:szCs w:val="20"/>
          <w:lang w:val="es-MX" w:eastAsia="en-US"/>
        </w:rPr>
      </w:pPr>
      <w:r w:rsidRPr="00B40AC7">
        <w:rPr>
          <w:rFonts w:ascii="Arial" w:eastAsia="Arial" w:hAnsi="Arial" w:cs="Arial"/>
          <w:b/>
          <w:color w:val="221F1F"/>
          <w:spacing w:val="140"/>
          <w:sz w:val="20"/>
          <w:szCs w:val="20"/>
          <w:lang w:val="es-MX" w:eastAsia="en-US"/>
        </w:rPr>
        <w:t>Transitorio</w:t>
      </w:r>
    </w:p>
    <w:p w:rsidR="000B2F41" w:rsidRPr="0090015E" w:rsidRDefault="000B2F41" w:rsidP="00B40AC7">
      <w:pPr>
        <w:spacing w:after="120" w:line="360" w:lineRule="auto"/>
        <w:jc w:val="both"/>
        <w:rPr>
          <w:rFonts w:ascii="Arial" w:eastAsia="Arial" w:hAnsi="Arial" w:cs="Arial"/>
          <w:sz w:val="20"/>
          <w:szCs w:val="20"/>
          <w:lang w:val="es-CR" w:eastAsia="en-US"/>
        </w:rPr>
      </w:pPr>
      <w:r w:rsidRPr="0090015E">
        <w:rPr>
          <w:rFonts w:ascii="Arial" w:eastAsia="Arial" w:hAnsi="Arial" w:cs="Arial"/>
          <w:b/>
          <w:color w:val="221F1F"/>
          <w:sz w:val="20"/>
          <w:szCs w:val="20"/>
          <w:lang w:val="es-CR" w:eastAsia="en-US"/>
        </w:rPr>
        <w:t xml:space="preserve">Artículo único.- </w:t>
      </w:r>
      <w:r w:rsidRPr="0090015E">
        <w:rPr>
          <w:rFonts w:ascii="Arial" w:eastAsia="Arial" w:hAnsi="Arial" w:cs="Arial"/>
          <w:color w:val="221F1F"/>
          <w:sz w:val="20"/>
          <w:szCs w:val="20"/>
          <w:lang w:val="es-CR" w:eastAsia="en-US"/>
        </w:rPr>
        <w:t>Para poder percibir aprovechamientos vía infracciones por faltas administrativas, el Ayuntamiento deberá contar con los reglamentos municipales respectivos, los que establecerán los montos de las sanciones correspondientes.</w:t>
      </w:r>
      <w:bookmarkStart w:id="0" w:name="_GoBack"/>
      <w:bookmarkEnd w:id="0"/>
    </w:p>
    <w:sectPr w:rsidR="000B2F41" w:rsidRPr="0090015E" w:rsidSect="007C7E68">
      <w:pgSz w:w="12240" w:h="15840"/>
      <w:pgMar w:top="1418" w:right="1418" w:bottom="1418" w:left="1418"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2"/>
  <w:mirrorMargin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F41"/>
    <w:rsid w:val="000A18AC"/>
    <w:rsid w:val="000B2F41"/>
    <w:rsid w:val="000F1167"/>
    <w:rsid w:val="0013424E"/>
    <w:rsid w:val="00211918"/>
    <w:rsid w:val="002C24FB"/>
    <w:rsid w:val="0042389F"/>
    <w:rsid w:val="006C29C9"/>
    <w:rsid w:val="00714A66"/>
    <w:rsid w:val="007C7E68"/>
    <w:rsid w:val="00B40AC7"/>
    <w:rsid w:val="00C41ACA"/>
    <w:rsid w:val="00E968C9"/>
    <w:rsid w:val="00EB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4E06"/>
  <w15:docId w15:val="{DD175B5B-B212-9A49-9988-8FA28947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F4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0B2F41"/>
    <w:pPr>
      <w:spacing w:after="120" w:line="480" w:lineRule="auto"/>
      <w:ind w:left="283"/>
    </w:pPr>
  </w:style>
  <w:style w:type="character" w:customStyle="1" w:styleId="Sangra2detindependienteCar">
    <w:name w:val="Sangría 2 de t. independiente Car"/>
    <w:basedOn w:val="Fuentedeprrafopredeter"/>
    <w:link w:val="Sangra2detindependiente"/>
    <w:rsid w:val="000B2F4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1471</Words>
  <Characters>8095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Valladolid</dc:creator>
  <cp:lastModifiedBy>Microsoft Office User</cp:lastModifiedBy>
  <cp:revision>4</cp:revision>
  <cp:lastPrinted>2025-11-21T22:29:00Z</cp:lastPrinted>
  <dcterms:created xsi:type="dcterms:W3CDTF">2025-11-21T23:09:00Z</dcterms:created>
  <dcterms:modified xsi:type="dcterms:W3CDTF">2025-11-25T22:36:00Z</dcterms:modified>
</cp:coreProperties>
</file>