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9E9" w:rsidRDefault="009C1791">
      <w:pPr>
        <w:pStyle w:val="Ttulo1"/>
      </w:pPr>
      <w:bookmarkStart w:id="0" w:name="anexos"/>
      <w:bookmarkStart w:id="1" w:name="_GoBack"/>
      <w:bookmarkEnd w:id="1"/>
      <w:r>
        <w:t>ANEXOS</w:t>
      </w:r>
    </w:p>
    <w:p w:rsidR="00FA49E9" w:rsidRDefault="00FA49E9"/>
    <w:p w:rsidR="00FA49E9" w:rsidRDefault="009C1791">
      <w:pPr>
        <w:pStyle w:val="Ttulo2"/>
      </w:pPr>
      <w:bookmarkStart w:id="2" w:name="X58ce3e0adaa4c7001a506f69bb6427b395086ef"/>
      <w:r>
        <w:t>ANEXO 1. GASTO TOTAL, CLASIFICADO POR RAMOS AUTÓNOMOS, ADMINISTRATIVOS Y GENERALES</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RAMOS AUTÓNOMOS</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2022</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PODER LEGISLATIVO</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225,583,450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AUDITORÍA SUPERIOR DEL ESTADO DE YUCATÁN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85,459,538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CONGRESO DEL ESTADO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PODER JUDICIAL</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633,836,980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CONSEJO DE LA JUDICATURA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453,785,596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DE LOS TRABAJADORES AL SERVICIO DEL ESTADO Y</w:t>
            </w:r>
            <w:r w:rsidR="00E94EA5">
              <w:rPr>
                <w:rFonts w:eastAsia="Arial" w:cs="Arial"/>
                <w:color w:val="000000"/>
              </w:rPr>
              <w:t xml:space="preserve"> DE LOS MUNICI</w:t>
            </w:r>
            <w:r>
              <w:rPr>
                <w:rFonts w:eastAsia="Arial" w:cs="Arial"/>
                <w:color w:val="000000"/>
              </w:rPr>
              <w:t>PIOS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11,945,592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SUPERIOR DE JUSTICIA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168,105,792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ORGANISMOS AUTÓNOMOS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2,818,732,226</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COMISIÓN DE LOS DERECHOS HUMANOS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36,796,032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FISCALIA ESPECIALIZADA EN COMBATE A LA CORRUPCIÓN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19,777,095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lastRenderedPageBreak/>
              <w:t>INSTITUTO ELECTORAL Y DE PARTICIPACION CIUDADANA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ESTATAL DE TRANSPARENCIA, ACCESO A LA INFORMACIÓN PÚBLICA Y PROTECCIÓN DE DATOS PERSONALES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24,874,222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DE JUSTICIA ADMINISTRATIVA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35,086,127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ELECTORAL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28,525,758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AUTÓNOMA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2,455,789,890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 RAMOS AUTÓNOMOS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3,678,152,656</w:t>
            </w:r>
          </w:p>
        </w:tc>
      </w:tr>
      <w:tr w:rsidR="00FA49E9" w:rsidRPr="00EE6AF7">
        <w:trPr>
          <w:cantSplit/>
          <w:jc w:val="center"/>
        </w:trPr>
        <w:tc>
          <w:tcPr>
            <w:tcW w:w="11232" w:type="dxa"/>
            <w:gridSpan w:val="2"/>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RAMOS ADMINISTRATIVOS</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CONSEJERÍA JURÍDICA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191,278,525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DESPACHO DEL GOBERNADOR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28,767,200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FISCALÍA GENERAL DEL ESTADO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460,721,055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ADMINISTRACIÓN Y FINANZAS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3,614,675,717</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RURAL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401,038,367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1,128,956,593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SUSTENTABLE</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653,046,296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lastRenderedPageBreak/>
              <w:t>SECRETARÍA DE EDUCACIÓN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12,442,863,699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ECONÓMICO Y TRABAJO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627,020,347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TURÍSTICO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422,483,804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560,543,961</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CONTRALORÍA GENERAL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113,386,551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CULTURA Y LAS ARTES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452,572,839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LAS MUJERES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82,531,406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OBRAS PÚBLICAS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1,854,716,525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PESCA Y ACUACULTURA SUSTENTABLES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105,548,096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SALUD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5,502,816,793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SEGURIDAD PÚBLICA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3,250,124,321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EJECUTIVA DEL SISTEMA ESTATAL ANTICORRUPCIÓN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14,988,486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GENERAL DE GOBIERNO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541,326,813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 RAMOS ADMINISTRATIVOS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32,449,407,394</w:t>
            </w:r>
          </w:p>
        </w:tc>
      </w:tr>
      <w:tr w:rsidR="00FA49E9" w:rsidRPr="00EE6AF7">
        <w:trPr>
          <w:cantSplit/>
          <w:jc w:val="center"/>
        </w:trPr>
        <w:tc>
          <w:tcPr>
            <w:tcW w:w="11232" w:type="dxa"/>
            <w:gridSpan w:val="2"/>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RAMOS GENERALES</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lastRenderedPageBreak/>
              <w:t>DEUDA PÚBLICA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1,520,291,378</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 Y PENSIONES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803,870,620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APORTACIONES Y TRANSFERENCIAS A MUNICIPIOS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7,586,328,273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TOTAL RAMOS GENERALES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9,910,490,271</w:t>
            </w:r>
          </w:p>
        </w:tc>
      </w:tr>
      <w:tr w:rsidR="00FA49E9" w:rsidRPr="00EE6AF7">
        <w:trPr>
          <w:cantSplit/>
          <w:jc w:val="center"/>
        </w:trPr>
        <w:tc>
          <w:tcPr>
            <w:tcW w:w="7862" w:type="dxa"/>
            <w:tcBorders>
              <w:top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tcBorders>
              <w:top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2"/>
      </w:pPr>
      <w:bookmarkStart w:id="3" w:name="anexo-2.-clasificaciones-del-gasto"/>
      <w:bookmarkEnd w:id="2"/>
      <w:r>
        <w:t>ANEXO 2. CLASIFICACIONES DEL GASTO</w:t>
      </w:r>
    </w:p>
    <w:p w:rsidR="00FA49E9" w:rsidRDefault="00FA49E9"/>
    <w:p w:rsidR="00FA49E9" w:rsidRDefault="009C1791">
      <w:pPr>
        <w:pStyle w:val="Ttulo3"/>
      </w:pPr>
      <w:bookmarkStart w:id="4" w:name="anexo-2.1.-clasificación-administrativa"/>
      <w:r>
        <w:t>ANEXO 2.1. CLASIFICACIÓN ADMINISTRATIVA</w:t>
      </w:r>
    </w:p>
    <w:p w:rsidR="00FA49E9" w:rsidRDefault="00FA49E9"/>
    <w:p w:rsidR="00FA49E9" w:rsidRDefault="009C1791">
      <w:pPr>
        <w:pStyle w:val="Ttulo4"/>
      </w:pPr>
      <w:bookmarkStart w:id="5" w:name="anexo-2.1.1.-poder-ejecutivo"/>
      <w:r>
        <w:t>ANEXO 2.1.1. PODER EJECUTIVO</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PODER EJECUTIVO</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CONSEJERÍA JURÍDICA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119,499,553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DESPACHO DEL GOBERNADOR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28,767,200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1,520,291,378</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FISCALÍA GENERAL DEL ESTADO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460,721,055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 Y PENSIONES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803,870,620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APORTACIONES Y TRANSFERENCIAS A MUNICIPIOS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7,586,328,273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SAF - AGENCIA DE ADMINISTRACIÓN FISCAL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280,657,880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ADMINISTRACIÓN Y FINANZAS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826,377,632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RURAL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401,038,367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496,838,529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SUSTENTABLE</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152,159,912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11,349,238,775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ECONÓMICO Y TRABAJO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483,675,016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TURÍSTICO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79,640,459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140,149,133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CONTRALORÍA GENERAL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113,386,551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CULTURA Y LAS ARTES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409,529,213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LAS MUJERES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82,531,406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OBRAS PÚBLICAS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13,960,172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PESCA Y ACUACULTURA SUSTENTABLES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105,548,096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SALUD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79,110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SEGURIDAD PÚBLICA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3,250,124,321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GENERAL DE GOBIERNO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472,815,187</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29,177,227,838</w:t>
            </w:r>
          </w:p>
        </w:tc>
      </w:tr>
    </w:tbl>
    <w:p w:rsidR="00FA49E9" w:rsidRDefault="009C1791">
      <w:r>
        <w:br w:type="page"/>
      </w:r>
    </w:p>
    <w:p w:rsidR="00FA49E9" w:rsidRDefault="009C1791">
      <w:pPr>
        <w:pStyle w:val="Ttulo4"/>
      </w:pPr>
      <w:bookmarkStart w:id="6" w:name="X01d6c48cf5ccc75cdc6c9c58087048fa8f9e69b"/>
      <w:bookmarkEnd w:id="5"/>
      <w:r>
        <w:t>ANEXO 2.1.2. ENTIDADES PARAESTATALES Y FIDEICOMISOS NO EMPRESARIALES Y NO FINANCIEROS</w:t>
      </w:r>
    </w:p>
    <w:p w:rsidR="00FA49E9" w:rsidRDefault="00FA49E9"/>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 / ENTIDAD</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CONSEJERÍA JURÍDICA</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71,778,972</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SEGURIDAD JURÍDICA PATRIMONIAL DE YUCATÁN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71,778,972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ADMINISTRACIÓN Y FINANZAS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368,202,870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FIDEICOMISO PÚBLICO PARA LA ADMINISTRACIÓN DE LA RESERVA TERRITORIAL DE UCÚ</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344,282,753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TÉCNICA DE PLANEACIÓN Y EVALUACIÓN.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23,920,117</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DESARROLLO SOCIAL</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632,118,064</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PARA LA INCLUSIÓN DE LAS PERSONAS CON DISCAPACIDAD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5,106,984</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JUNTA DE ASISTENCIA PRIVADA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3,539,471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SISTEMA PARA EL DESARROLLO INTEGRAL DE LA FAMILIA EN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623,471,609</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DESARROLLO SUSTENTABLE</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500,886,384</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MOVILIDAD Y DESARROLLO URBANO TERRITORIAL</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500,886,384</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EDUCACIÓN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1,093,624,924</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BACHILLERES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519,032,520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EDUCACIÓN PROFESIONAL TÉCNICA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141,080,139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ESTUDIOS CIENTÍFICOS Y TECNOLÓGICOS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100,361,069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EDUCACIÓN PARA ADULTOS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101,103,238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DEL DEPORTE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232,047,958</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FOMENTO ECONÓMICO Y TRABAJO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142,195,331</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CASA DE LAS ARTESANÍAS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12,070,139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PROMOTOR DE FERIAS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100,367,509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YUCATECO DE EMPRENDEDORES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29,757,683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FOMENTO TURÍSTICO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342,843,345</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 xml:space="preserve">FIDEICOMISO </w:t>
            </w:r>
            <w:r w:rsidR="00E94EA5">
              <w:rPr>
                <w:rFonts w:eastAsia="Arial" w:cs="Arial"/>
                <w:color w:val="000000"/>
              </w:rPr>
              <w:t xml:space="preserve">PÚBLICO </w:t>
            </w:r>
            <w:r>
              <w:rPr>
                <w:rFonts w:eastAsia="Arial" w:cs="Arial"/>
                <w:color w:val="000000"/>
              </w:rPr>
              <w:t>PARA EL DESARROLLO DEL TURISMO DE REUNIONES EN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49,484,746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FIDEICOMISO PARA LA PROMOCIÓN TURÍSTICA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30,874,997</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PATRONATO DE LAS UNIDADES DE SERVICIOS CULTURALES Y TURÍSTICOS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262,483,602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SECRETARIA DE INVESTIGACIÓN, INNOVACIÓN Y EDUCACIÓN SUPERIOR</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420,394,828</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AGENCIA PARA EL DESARROLLO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ESCUELA SUPERIOR DE ARTES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32,156,336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CAPACITACIÓN PARA EL TRABAJO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10,416,250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 MOTUL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22,809,560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 VALLADOLID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16,450,284</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DEL SUR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17,093,767</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PROGRESO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23,633,763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DE ORIENTE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31,163,350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POLITÉCNICA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18,270,599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CENTRO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25,723,053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MAYAB</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28,226,596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PONIENTE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18,255,012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METROPOLITANA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140,221,815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REGIONAL DEL SUR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33,474,443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LA CULTURA Y LAS ARTES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43,043,626</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FIDEICOMISO GARANTE DE LA ORQUESTA SINFÓNICA DE YUCATÁN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31,075,863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FIDEICOMISO PÚBLICO PARA LA ADMINISTRACIÓN DEL PALACIO DE LA MÚSICA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11,967,763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OBRAS PÚBLICAS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1,840,756,353</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INFRAESTRUCTURA CARRETERA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275,092,350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VIVIENDA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591,430,763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PARA EL DESARROLLO Y CERTIFICACIÓN DE LA INFRAESTRUCTURA FÍSICA EDUCATIVA Y ELECTRICA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91,957,727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PARA LA CONSTRUCCIÓN Y CONSERVACIÓN DE OBRA PÚBLICA EN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334,948,106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JUNTA DE AGUA POTABLE Y ALCANTARILLADO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547,327,407</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SALUD</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5,502,737,683</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DEL PATRIMONIO DE LA BENEFICENCIA PÚBLICA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2,202,501</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CENTRO ESTATAL DE TRASPLANTES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2,579,954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HOSPITAL COMUNITARIO DE PETO YUCATAN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42,958,695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HOSPITAL COMUNITARIO DE TICUL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50,783,898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HOSPITAL DE LA AMISTAD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73,495,795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OPD SERVICIOS DE SALUD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5,330,716,840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EJECUTIVA DEL SISTEMA ESTATAL ANTICORRUPCIÓN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14,988,486</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EJECUTIVA DEL SISTEMA ESTATAL ANTICORRUPCIÓN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14,988,486</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GENERAL DE GOBIERNO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35,533,603</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COMISIÓN EJECUTIVA ESTATAL DE ATENCIÓN A VÍCTIMAS</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21,373,985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PARA EL DESARROLLO DE LA CULTURA MAYA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14,159,618</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11,009,104,469</w:t>
            </w:r>
          </w:p>
        </w:tc>
      </w:tr>
    </w:tbl>
    <w:p w:rsidR="00FA49E9" w:rsidRDefault="009C1791">
      <w:r>
        <w:br w:type="page"/>
      </w:r>
    </w:p>
    <w:p w:rsidR="00FA49E9" w:rsidRDefault="009C1791">
      <w:pPr>
        <w:pStyle w:val="Ttulo4"/>
      </w:pPr>
      <w:bookmarkStart w:id="7" w:name="X69646d02903467b16c0dd2856de57095c9a55c5"/>
      <w:bookmarkEnd w:id="6"/>
      <w:r>
        <w:t>ANEXO 2.1.3. ENTIDADES PARAESTATALES EMPRESARIALES NO FINANCIERAS CON PARTICIPACIÓN ESTATAL MAYORITARIA</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 / ENTIDAD</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FOMENTO ECONÓMICO Y TRABAJO</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1,150,000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AEROPUERTO DE CHICHÉN ITZÁ DEL ESTADO DE YUCATÁN SA DE CV</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GENERAL DE GOBIERNO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32,978,023</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SISTEMA TELE YUCATÁN SA DE CV</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32,978,023</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34,128,023</w:t>
            </w:r>
          </w:p>
        </w:tc>
      </w:tr>
    </w:tbl>
    <w:p w:rsidR="00FA49E9" w:rsidRDefault="00FA49E9"/>
    <w:p w:rsidR="00FA49E9" w:rsidRDefault="00FA49E9"/>
    <w:p w:rsidR="00FA49E9" w:rsidRDefault="009C1791">
      <w:pPr>
        <w:pStyle w:val="Ttulo4"/>
      </w:pPr>
      <w:bookmarkStart w:id="8" w:name="Xaaedb87211e8f2ab65232a6eff3730b6e4a8ac5"/>
      <w:bookmarkEnd w:id="7"/>
      <w:r>
        <w:t>ANEXO 2.1.4. INSTITUCIONES PÚBLICAS DE SEGURIDAD SOCIAL</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 / ENTIDAD</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ADMINISTRACIÓN Y FINANZAS</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2,139,437,335</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SEGURIDAD SOCIAL DE LOS TRABAJADORES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2,139,437,335</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2,139,437,335</w:t>
            </w:r>
          </w:p>
        </w:tc>
      </w:tr>
    </w:tbl>
    <w:p w:rsidR="00FA49E9" w:rsidRDefault="009C1791">
      <w:r>
        <w:br w:type="page"/>
      </w:r>
    </w:p>
    <w:p w:rsidR="00FA49E9" w:rsidRDefault="009C1791">
      <w:pPr>
        <w:pStyle w:val="Ttulo3"/>
      </w:pPr>
      <w:bookmarkStart w:id="9" w:name="X7c22b021d35fe1bf50cc721f3c5cc4bb2e093e5"/>
      <w:bookmarkEnd w:id="4"/>
      <w:bookmarkEnd w:id="8"/>
      <w:r>
        <w:t>ANEXO 2.2. CLASIFICACIÓN POR FUENTE DE FINANCIAMIENTO</w:t>
      </w:r>
    </w:p>
    <w:p w:rsidR="00FA49E9" w:rsidRDefault="00FA49E9"/>
    <w:tbl>
      <w:tblPr>
        <w:tblW w:w="0" w:type="auto"/>
        <w:jc w:val="center"/>
        <w:tblLayout w:type="fixed"/>
        <w:tblLook w:val="0420" w:firstRow="1" w:lastRow="0" w:firstColumn="0" w:lastColumn="0" w:noHBand="0" w:noVBand="1"/>
      </w:tblPr>
      <w:tblGrid>
        <w:gridCol w:w="3931"/>
        <w:gridCol w:w="3931"/>
        <w:gridCol w:w="3370"/>
      </w:tblGrid>
      <w:tr w:rsidR="00FA49E9" w:rsidRPr="00EE6AF7">
        <w:trPr>
          <w:cantSplit/>
          <w:jc w:val="center"/>
        </w:trPr>
        <w:tc>
          <w:tcPr>
            <w:tcW w:w="393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TIPO</w:t>
            </w:r>
          </w:p>
        </w:tc>
        <w:tc>
          <w:tcPr>
            <w:tcW w:w="393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FUENTE DE FINANCIAMIENTO</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3931"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 GASTO NO ETIQUETADO</w:t>
            </w:r>
          </w:p>
        </w:tc>
        <w:tc>
          <w:tcPr>
            <w:tcW w:w="3931"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25,800,670,066</w:t>
            </w:r>
          </w:p>
        </w:tc>
      </w:tr>
      <w:tr w:rsidR="00FA49E9" w:rsidRPr="00EE6AF7">
        <w:trPr>
          <w:cantSplit/>
          <w:jc w:val="center"/>
        </w:trPr>
        <w:tc>
          <w:tcPr>
            <w:tcW w:w="3931" w:type="dxa"/>
            <w:tcBorders>
              <w:top w:val="single" w:sz="16" w:space="0" w:color="FFFFFF"/>
            </w:tcBorders>
            <w:shd w:val="clear" w:color="auto" w:fill="F3F3F3"/>
            <w:tcMar>
              <w:top w:w="0" w:type="dxa"/>
              <w:left w:w="0" w:type="dxa"/>
              <w:bottom w:w="0" w:type="dxa"/>
              <w:right w:w="0" w:type="dxa"/>
            </w:tcMar>
          </w:tcPr>
          <w:p w:rsidR="00FA49E9" w:rsidRPr="00EE6AF7" w:rsidRDefault="00FA49E9">
            <w:pPr>
              <w:spacing w:before="120" w:after="120"/>
              <w:ind w:left="120" w:right="120"/>
              <w:jc w:val="left"/>
            </w:pPr>
          </w:p>
        </w:tc>
        <w:tc>
          <w:tcPr>
            <w:tcW w:w="3931"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RECURSOS FEDERALES</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17,287,599,131</w:t>
            </w:r>
          </w:p>
        </w:tc>
      </w:tr>
      <w:tr w:rsidR="00FA49E9" w:rsidRPr="00EE6AF7">
        <w:trPr>
          <w:cantSplit/>
          <w:jc w:val="center"/>
        </w:trPr>
        <w:tc>
          <w:tcPr>
            <w:tcW w:w="3931" w:type="dxa"/>
            <w:shd w:val="clear" w:color="auto" w:fill="FFFFFF"/>
            <w:tcMar>
              <w:top w:w="0" w:type="dxa"/>
              <w:left w:w="0" w:type="dxa"/>
              <w:bottom w:w="0" w:type="dxa"/>
              <w:right w:w="0" w:type="dxa"/>
            </w:tcMar>
          </w:tcPr>
          <w:p w:rsidR="00FA49E9" w:rsidRPr="00EE6AF7" w:rsidRDefault="00FA49E9">
            <w:pPr>
              <w:spacing w:before="120" w:after="120"/>
              <w:ind w:left="120" w:right="120"/>
              <w:jc w:val="left"/>
            </w:pPr>
          </w:p>
        </w:tc>
        <w:tc>
          <w:tcPr>
            <w:tcW w:w="3931"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RECURSOS FISCALES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5,110,756,673</w:t>
            </w:r>
          </w:p>
        </w:tc>
      </w:tr>
      <w:tr w:rsidR="00FA49E9" w:rsidRPr="00EE6AF7">
        <w:trPr>
          <w:cantSplit/>
          <w:jc w:val="center"/>
        </w:trPr>
        <w:tc>
          <w:tcPr>
            <w:tcW w:w="3931" w:type="dxa"/>
            <w:shd w:val="clear" w:color="auto" w:fill="F3F3F3"/>
            <w:tcMar>
              <w:top w:w="0" w:type="dxa"/>
              <w:left w:w="0" w:type="dxa"/>
              <w:bottom w:w="0" w:type="dxa"/>
              <w:right w:w="0" w:type="dxa"/>
            </w:tcMar>
          </w:tcPr>
          <w:p w:rsidR="00FA49E9" w:rsidRPr="00EE6AF7" w:rsidRDefault="00FA49E9">
            <w:pPr>
              <w:spacing w:before="120" w:after="120"/>
              <w:ind w:left="120" w:right="120"/>
              <w:jc w:val="left"/>
            </w:pPr>
          </w:p>
        </w:tc>
        <w:tc>
          <w:tcPr>
            <w:tcW w:w="3931"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INGRESOS PROPIOS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3,402,314,262</w:t>
            </w:r>
          </w:p>
        </w:tc>
      </w:tr>
      <w:tr w:rsidR="00FA49E9" w:rsidRPr="00EE6AF7">
        <w:trPr>
          <w:cantSplit/>
          <w:jc w:val="center"/>
        </w:trPr>
        <w:tc>
          <w:tcPr>
            <w:tcW w:w="3931"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II. GASTO ETIQUETADO</w:t>
            </w:r>
          </w:p>
        </w:tc>
        <w:tc>
          <w:tcPr>
            <w:tcW w:w="3931"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20,237,380,255</w:t>
            </w:r>
          </w:p>
        </w:tc>
      </w:tr>
      <w:tr w:rsidR="00FA49E9" w:rsidRPr="00EE6AF7">
        <w:trPr>
          <w:cantSplit/>
          <w:jc w:val="center"/>
        </w:trPr>
        <w:tc>
          <w:tcPr>
            <w:tcW w:w="3931" w:type="dxa"/>
            <w:tcBorders>
              <w:top w:val="single" w:sz="16" w:space="0" w:color="FFFFFF"/>
            </w:tcBorders>
            <w:shd w:val="clear" w:color="auto" w:fill="F3F3F3"/>
            <w:tcMar>
              <w:top w:w="0" w:type="dxa"/>
              <w:left w:w="0" w:type="dxa"/>
              <w:bottom w:w="0" w:type="dxa"/>
              <w:right w:w="0" w:type="dxa"/>
            </w:tcMar>
          </w:tcPr>
          <w:p w:rsidR="00FA49E9" w:rsidRPr="00EE6AF7" w:rsidRDefault="00FA49E9">
            <w:pPr>
              <w:spacing w:before="120" w:after="120"/>
              <w:ind w:left="120" w:right="120"/>
              <w:jc w:val="left"/>
            </w:pPr>
          </w:p>
        </w:tc>
        <w:tc>
          <w:tcPr>
            <w:tcW w:w="3931"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RECURSOS</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313,080</w:t>
            </w:r>
          </w:p>
        </w:tc>
      </w:tr>
      <w:tr w:rsidR="00FA49E9" w:rsidRPr="00EE6AF7">
        <w:trPr>
          <w:cantSplit/>
          <w:jc w:val="center"/>
        </w:trPr>
        <w:tc>
          <w:tcPr>
            <w:tcW w:w="3931" w:type="dxa"/>
            <w:shd w:val="clear" w:color="auto" w:fill="FFFFFF"/>
            <w:tcMar>
              <w:top w:w="0" w:type="dxa"/>
              <w:left w:w="0" w:type="dxa"/>
              <w:bottom w:w="0" w:type="dxa"/>
              <w:right w:w="0" w:type="dxa"/>
            </w:tcMar>
          </w:tcPr>
          <w:p w:rsidR="00FA49E9" w:rsidRPr="00EE6AF7" w:rsidRDefault="00FA49E9">
            <w:pPr>
              <w:spacing w:before="120" w:after="120"/>
              <w:ind w:left="120" w:right="120"/>
              <w:jc w:val="left"/>
            </w:pPr>
          </w:p>
        </w:tc>
        <w:tc>
          <w:tcPr>
            <w:tcW w:w="3931"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RECURSOS FEDERALES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20,237,067,175</w:t>
            </w:r>
          </w:p>
        </w:tc>
      </w:tr>
      <w:tr w:rsidR="00FA49E9" w:rsidRPr="00EE6AF7">
        <w:trPr>
          <w:cantSplit/>
          <w:jc w:val="center"/>
        </w:trPr>
        <w:tc>
          <w:tcPr>
            <w:tcW w:w="3931"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931" w:type="dxa"/>
            <w:shd w:val="clear" w:color="auto" w:fill="4B4B4B"/>
            <w:tcMar>
              <w:top w:w="0" w:type="dxa"/>
              <w:left w:w="0" w:type="dxa"/>
              <w:bottom w:w="0" w:type="dxa"/>
              <w:right w:w="0" w:type="dxa"/>
            </w:tcMar>
          </w:tcPr>
          <w:p w:rsidR="00FA49E9" w:rsidRPr="00EE6AF7" w:rsidRDefault="00FA49E9">
            <w:pPr>
              <w:spacing w:before="120" w:after="120"/>
              <w:ind w:left="120" w:right="120"/>
              <w:jc w:val="left"/>
            </w:pP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10" w:name="X686b26b126a597855c128d66f6a7a09de4bac9b"/>
      <w:bookmarkEnd w:id="9"/>
      <w:r>
        <w:t>ANEXO 2.3. CLASIFICACIÓN FUNCIONAL POR FINALIDAD, FUNCIÓN, SUBFUNCIÓN</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CLASIFICACIÓN FUNCIONAL</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 GOBIERNO</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7,291,794,023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01.01- LEGISLACIÓN</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140,123,912</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01.01.01- LEGISLACIÓN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01.02- JUSTICIA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1,556,559,713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01.02.01- IMPARTICIÓN DE JUSTICIA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697,448,865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01.02.02- PROCURACIÓN DE JUSTICIA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561,388,237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01.02.03- RECLUSIÓN Y READAPTACIÓN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01.02.04- DERECHOS HUMANOS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36,796,032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01.03- COORDINACIÓN DE LA POLÍTICA DE GOBIERNO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1,280,224,055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01.03.01- PRESIDENCIA / GUBERNATURA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114,187,472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01.03.02- POLÍTICA INTERIOR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43,533,282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01.03.04- FUNCIÓN PÚBLICA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200,292,960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01.03.05- ASUNTOS JURÍDICOS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108,268,876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01.03.06- ORGANIZACIÓN DE PROCESOS ELECTORALES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01.03.07- POBLACIÓN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116,654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01.03.08- TERRITORIO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01.03.09- OTROS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388,730,784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01.05- ASUNTOS FINANCIEROS Y HACENDARIOS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680,797,847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01.05.02- ASUNTOS HACENDARIOS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680,797,847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01.07- ASUNTOS DE ORDEN PÚBLICO Y SEGURIDAD INTERIOR</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3,276,371,527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01.07.01- POLICÍA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2,636,241,141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 PROTECCIÓN CIVIL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81,867,029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 OTROS ASUNTOS DE ORDEN PÚBLICO Y SEGURIDAD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558,263,357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01.08- OTROS SERVICIOS GENERALES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357,716,969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01.08.01- SERVICIOS REGISTRALES, ADMINISTRATIVOS Y PATRIMONIALES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146,261,971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01.08.03- SERVICIOS DE COMUNICACIÓN Y MEDIOS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157,599,924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01.08.04- ACCESO A LA INFORMACIÓN PÚBLICA GUBERNAMENTAL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53,855,074</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 DESARROLLO SOCIAL</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27,231,906,314</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02.01- PROTECCIÓN AMBIENTAL</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253,788,471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02.01.01- ORDENACIÓN DE DESECHOS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70,363,000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02.01.04- REDUCCIÓN DE LA CONTAMINACIÓN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9,726,112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02.01.05- PROTECCIÓN A LA DIVERSIDAD BIOLÓGICA Y DEL PAISAJE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42,731,931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02.01.06- OTROS DE PROTECCIÓN AMBIENTAL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130,967,428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02.02- VIVIENDA Y SERVICIOS A LA COMUNIDAD</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974,337,756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02.02.01- URBANIZACIÓN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389,599,975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02.02.03- ABASTECIMIENTO DE AGUA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411,907,945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02.03- SALUD</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5,378,557,717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02.03.01- PRESTACIÓN DE SERVICIOS DE SALUD A LA COMUNIDAD</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412,856,723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02.03.02- PRESTACIÓN DE SERVICIOS DE SALUD A LA PERSONA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4,887,157,442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02.03.04- RECTORÍA DEL SISTEMA DE SALUD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78,543,552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02.04- RECREACIÓN, CULTURA Y OTRAS MANIFESTACIONES SOCIALES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761,731,900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 DEPORTE Y RECREACIÓN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211,007,247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02.04.02- CULTURA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550,724,653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02.05- EDUCACIÓN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13,175,950,462</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02.05.01- EDUCACIÓN BÁSICA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8,685,098,786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02.05.02- EDUCACIÓN MEDIA SUPERIOR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3,498,531,546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02.05.03- EDUCACIÓN SUPERIOR</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612,100,665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02.05.04- POSGRADO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02.05.05- EDUCACIÓN PARA ADULTOS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192,710,864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02.05.06- OTROS SERVICIOS EDUCATIVOS Y ACTIVIDADES INHERENTES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187,058,601</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02.06- PROTECCIÓN SOCIAL</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6,507,990,533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02.06.02- EDAD AVANZADA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02.06.05- ALIMENTACIÓN Y NUTRICIÓN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02.06.06- APOYO SOCIAL PARA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282,390,241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02.06.07- INDÍGENAS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02.06.08- OTROS GRUPOS VULNERABLES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340,496,426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02.06.09- OTROS DE SEGURIDAD SOCIAL Y ASISTENCIA SOCIAL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3,431,563,387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02.07- OTROS ASUNTOS SOCIALES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179,549,475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02.07.01- OTROS ASUNTOS SOCIALES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179,549,475</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 DESARROLLO ECONÓMICO</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2,352,730,333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03.01- ASUNTOS ECONÓMICOS, COMERCIALES Y LABORALES EN GENERAL</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505,041,737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03.01.01- ASUNTOS ECONÓMICOS Y COMERCIALES EN GENERAL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478,551,407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03.01.02- ASUNTOS LABORALES GENERALES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26,490,330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03.02- AGROPECUARIA, SILVICULTURA, PESCA Y CAZA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358,280,426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03.02.01- AGROPECUARIA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262,932,708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03.02.03- ACUACULTURA, PESCA Y CAZA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03.03- COMBUSTIBLE Y ENERGÍA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3,297,163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03.03.06- ENERGÍA NO ELÉCTRICA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3,297,163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03.05- TRANSPORTE</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540,558,656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03.05.01- TRANSPORTE POR CARRETERA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03.05.06- OTROS RELACIONADOS CON TRANSPORTE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401,815,405</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03.06- COMUNICACIONES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142,541,556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03.06.01- COMUNICACIONES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142,541,556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03.07- TURISMO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213,019,246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03.07.01- TURISMO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213,019,246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03.08- CIENCIA, TECNOLOGÍA E INNOVACIÓN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36,650,087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03.08.01- INVESTIGACIÓN CIENTÍFICA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03.08.03- SERVICIOS CIENTÍFICOS Y TECNOLÓGICOS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6,644,016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03.09- OTRAS INDUSTRIAS Y OTROS ASUNTOS ECONÓMICOS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553,341,462</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03.09.03- OTROS ASUNTOS ECONÓMICOS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553,341,462</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04- OTRAS NO CLASIFICADAS EN FUNCIONES ANTERIORES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9,161,619,651</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04.01- TRANSACCIONES DE LA DEUDA PÚBLICA / COSTO FINANCIERO DE LA DEUDA</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1,370,291,378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04.01.01- DEUDA PÚBLICA INTERNA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04.02- TRANSFERENCIAS, PARTICIPACIONES Y APORTACIONES ENTRE DIFERENTES NIVELES Y ÓRDENES DE GOBIERNO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7,586,328,273</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04.02.02- PARTICIPACIONES ENTRE DIFERENTES NIVELES Y ÓRDENES DE GOBIERNO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04.02.03- APORTACIONES ENTRE DIFERENTES NIVELES Y ÓRDENES DE GOBIERNO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04.03- ADEUDOS DE EJERCICIOS FISCALES ANTERIORES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205,000,000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04.03.01- ADEUDOS DE EJERCICIOS FISCALES ANTERIORES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4"/>
      </w:pPr>
      <w:bookmarkStart w:id="11" w:name="X00a66c41adcd3d3da30767e0a694c9fb0dc4543"/>
      <w:r>
        <w:t>ANEXO 2.3.1 CLASIFICACIÓN POR RAMO, FINALIDAD, FUNCIÓN, PROGRAMA PRESUPUESTARIO</w:t>
      </w:r>
    </w:p>
    <w:p w:rsidR="00FA49E9" w:rsidRDefault="00FA49E9"/>
    <w:tbl>
      <w:tblPr>
        <w:tblW w:w="5000" w:type="pct"/>
        <w:tblCellMar>
          <w:left w:w="70" w:type="dxa"/>
          <w:right w:w="70" w:type="dxa"/>
        </w:tblCellMar>
        <w:tblLook w:val="04A0" w:firstRow="1" w:lastRow="0" w:firstColumn="1" w:lastColumn="0" w:noHBand="0" w:noVBand="1"/>
      </w:tblPr>
      <w:tblGrid>
        <w:gridCol w:w="8140"/>
        <w:gridCol w:w="3020"/>
      </w:tblGrid>
      <w:tr w:rsidR="00DC26DB" w:rsidRPr="00EE6AF7" w:rsidTr="00DB21A9">
        <w:trPr>
          <w:trHeight w:val="567"/>
        </w:trPr>
        <w:tc>
          <w:tcPr>
            <w:tcW w:w="3647" w:type="pct"/>
            <w:tcBorders>
              <w:top w:val="nil"/>
              <w:left w:val="nil"/>
              <w:bottom w:val="single" w:sz="4" w:space="0" w:color="D9D9D9"/>
              <w:right w:val="nil"/>
            </w:tcBorders>
            <w:shd w:val="clear" w:color="000000" w:fill="4B4B4B"/>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RAMO / FINALIDAD / FUNCIÓN / PROGRAMA</w:t>
            </w:r>
          </w:p>
        </w:tc>
        <w:tc>
          <w:tcPr>
            <w:tcW w:w="1353" w:type="pct"/>
            <w:tcBorders>
              <w:top w:val="nil"/>
              <w:left w:val="nil"/>
              <w:bottom w:val="single" w:sz="4" w:space="0" w:color="D9D9D9"/>
              <w:right w:val="nil"/>
            </w:tcBorders>
            <w:shd w:val="clear" w:color="000000" w:fill="4B4B4B"/>
            <w:noWrap/>
            <w:vAlign w:val="bottom"/>
            <w:hideMark/>
          </w:tcPr>
          <w:p w:rsidR="00DC26DB" w:rsidRPr="00DC26DB" w:rsidRDefault="00DC26DB" w:rsidP="00DC26DB">
            <w:pPr>
              <w:jc w:val="center"/>
              <w:rPr>
                <w:rFonts w:eastAsia="Times New Roman" w:cs="Arial"/>
                <w:b/>
                <w:bCs/>
                <w:color w:val="FFFFFF"/>
                <w:sz w:val="28"/>
                <w:szCs w:val="28"/>
                <w:lang w:eastAsia="es-MX"/>
              </w:rPr>
            </w:pPr>
            <w:r w:rsidRPr="00DC26DB">
              <w:rPr>
                <w:rFonts w:eastAsia="Times New Roman" w:cs="Arial"/>
                <w:b/>
                <w:bCs/>
                <w:color w:val="FFFFFF"/>
                <w:sz w:val="28"/>
                <w:szCs w:val="28"/>
                <w:lang w:eastAsia="es-MX"/>
              </w:rPr>
              <w:t>IMPORTE</w:t>
            </w:r>
          </w:p>
        </w:tc>
      </w:tr>
      <w:tr w:rsidR="00DC26DB" w:rsidRPr="00EE6AF7" w:rsidTr="00DB21A9">
        <w:trPr>
          <w:trHeight w:val="567"/>
        </w:trPr>
        <w:tc>
          <w:tcPr>
            <w:tcW w:w="3647" w:type="pct"/>
            <w:tcBorders>
              <w:top w:val="nil"/>
              <w:left w:val="nil"/>
              <w:bottom w:val="single" w:sz="4" w:space="0" w:color="9BC2E6"/>
              <w:right w:val="nil"/>
            </w:tcBorders>
            <w:shd w:val="clear" w:color="000000" w:fill="000000"/>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RAMOS AUTÓNOMOS</w:t>
            </w:r>
          </w:p>
        </w:tc>
        <w:tc>
          <w:tcPr>
            <w:tcW w:w="1353" w:type="pct"/>
            <w:tcBorders>
              <w:top w:val="nil"/>
              <w:left w:val="nil"/>
              <w:bottom w:val="single" w:sz="4" w:space="0" w:color="9BC2E6"/>
              <w:right w:val="nil"/>
            </w:tcBorders>
            <w:shd w:val="clear" w:color="000000" w:fill="000000"/>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3,678,152,656</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PODER LEGISLATIVO</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225,583,450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01.01- LEGISLACIÓN</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140,123,912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01.01.01- LEGISLACIÓN</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140,123,912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SERVICIOS LEGISLATIVOS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140,123,912</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85,459,538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01.03.04- FUNCIÓN PÚBLICA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85,459,538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AUDITORÍA SUPERIOR DEL ESTADO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85,459,538</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PODER JUDICIAL</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633,836,980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01.02- JUSTICIA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633,836,980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01.02.01- IMPARTICIÓN DE JUSTICIA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633,836,980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JUSTICIA CIVIL, MERCANTIL Y FAMILIAR</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633,836,980</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COMISIÓN DE LOS DERECHOS HUMANOS DEL ESTADO DE YUCATÁN</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36,796,032</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01.02- JUSTICIA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36,796,032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01.02.04- DERECHOS HUMANOS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36,796,032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ADMINISTRACIÓN DE LOS RECURSOS HUMANOS, FINANCIEROS Y MATERIALES DE LA CODHEY</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33,095,226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CERTEZA JURÍDICA Y DERECHOS HUMANOS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3,700,806</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FISCALIA ESPECIALIZADA EN COMBATE A LA CORRUPCIÓN DEL ESTADO DE YUCATÁN</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19,777,095</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01.02- JUSTICIA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19,777,095</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01.02.02- PROCURACIÓN DE JUSTICIA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19,777,095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FORTALECIMIENTO DE LAS LABORES DE PREVENCIÓN, INVESTIGACIÓN Y CONSIGNACIÓN DE HECHOS DE CORRUPCIÓN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19,777,095</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INSTITUTO ELECTORAL Y DE PARTICIPACION CIUDADANA DE YUCATÁN</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217,883,102</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217,883,102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01.03.06- ORGANIZACIÓN DE PROCESOS ELECTORALES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217,883,102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OPERACIÓN Y ADMINISTRACIÓN DEL IEPAC</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217,883,102</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INSTITUTO ESTATAL DE TRANSPARENCIA, ACCESO A LA INFORMACIÓN PÚBLICA Y PROTECCIÓN DE DATOS PERSONALES</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24,874,222</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01.08- OTROS SERVICIOS GENERALES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24,874,222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01.08.04- ACCESO A LA INFORMACIÓN PÚBLICA GUBERNAMENTAL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24,874,222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ACCESO A LA INFORMACIÓN PÚBLICA GUBERNAMENTAL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24,874,222</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TRIBUNAL DE JUSTICIA</w:t>
            </w:r>
            <w:r w:rsidR="00D04924">
              <w:rPr>
                <w:rFonts w:eastAsia="Times New Roman" w:cs="Arial"/>
                <w:b/>
                <w:bCs/>
                <w:color w:val="FFFFFF"/>
                <w:sz w:val="28"/>
                <w:szCs w:val="28"/>
                <w:lang w:eastAsia="es-MX"/>
              </w:rPr>
              <w:t xml:space="preserve"> </w:t>
            </w:r>
            <w:r w:rsidRPr="00DC26DB">
              <w:rPr>
                <w:rFonts w:eastAsia="Times New Roman" w:cs="Arial"/>
                <w:b/>
                <w:bCs/>
                <w:color w:val="FFFFFF"/>
                <w:sz w:val="28"/>
                <w:szCs w:val="28"/>
                <w:lang w:eastAsia="es-MX"/>
              </w:rPr>
              <w:t>ADMINISTRATIVA DEL ESTADO DE YUCATÁN</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35,086,127</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01.02- JUSTICIA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35,086,127</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01.02.01- IMPARTICIÓN DE JUSTICIA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35,086,127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IMPARTICIÓN DE JUSTICIA EN MATERIA FISCAL Y ADMINISTRATIVA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35,086,127</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TRIBUNAL ELECTORAL DEL ESTADO DE YUCATÁN</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28,525,758</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01.02- JUSTICIA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28,525,758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01.02.01- IMPARTICIÓN DE JUSTICIA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28,525,758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IMPARTICIÓN DE JUSTICIA POLÍTICO ELECTORAL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28,525,758</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UNIVERSIDAD AUTÓNOMA DE YUCATÁN</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2,455,789,890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02.05- EDUCACIÓN</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2,455,789,890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02.05.02- EDUCACIÓN MEDIA SUPERIOR</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2,411,803,619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CALIDAD EN EDUCACIÓN MEDIA SUPERIOR DE LA UNIVERSIDAD AUTÓNOMA DE YUCATÁN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2,411,803,619</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02.05.03- EDUCACIÓN SUPERIOR</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28,165,008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CALIDAD EN EDUCACIÓN SUPERIOR DE LA UNIVERSIDAD AUTÓNOMA DE YUCATÁN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28,165,008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02.05.06- OTROS SERVICIOS EDUCATIVOS Y ACTIVIDADES INHERENTES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15,821,263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ADMINISTRACIÓN Y CONTROL</w:t>
            </w:r>
            <w:r w:rsidR="00D04924">
              <w:rPr>
                <w:rFonts w:eastAsia="Times New Roman" w:cs="Arial"/>
                <w:color w:val="000000"/>
                <w:sz w:val="28"/>
                <w:szCs w:val="28"/>
                <w:lang w:eastAsia="es-MX"/>
              </w:rPr>
              <w:t xml:space="preserve"> </w:t>
            </w:r>
            <w:r w:rsidRPr="00DC26DB">
              <w:rPr>
                <w:rFonts w:eastAsia="Times New Roman" w:cs="Arial"/>
                <w:color w:val="000000"/>
                <w:sz w:val="28"/>
                <w:szCs w:val="28"/>
                <w:lang w:eastAsia="es-MX"/>
              </w:rPr>
              <w:t>DE LOS RECURSOS HUMANOS, FINANCIEROS Y MATERIALES DE LA UNIVERSIDAD AUTÓNOMA DE YUCATÁN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15,821,263</w:t>
            </w:r>
          </w:p>
        </w:tc>
      </w:tr>
      <w:tr w:rsidR="00DC26DB" w:rsidRPr="00EE6AF7" w:rsidTr="00DB21A9">
        <w:trPr>
          <w:trHeight w:val="567"/>
        </w:trPr>
        <w:tc>
          <w:tcPr>
            <w:tcW w:w="3647" w:type="pct"/>
            <w:tcBorders>
              <w:top w:val="nil"/>
              <w:left w:val="nil"/>
              <w:bottom w:val="single" w:sz="4" w:space="0" w:color="9BC2E6"/>
              <w:right w:val="nil"/>
            </w:tcBorders>
            <w:shd w:val="clear" w:color="000000" w:fill="000000"/>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RAMOS ADMINISTRATIVOS</w:t>
            </w:r>
          </w:p>
        </w:tc>
        <w:tc>
          <w:tcPr>
            <w:tcW w:w="1353" w:type="pct"/>
            <w:tcBorders>
              <w:top w:val="nil"/>
              <w:left w:val="nil"/>
              <w:bottom w:val="single" w:sz="4" w:space="0" w:color="9BC2E6"/>
              <w:right w:val="nil"/>
            </w:tcBorders>
            <w:shd w:val="clear" w:color="000000" w:fill="000000"/>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32,449,407,394</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CONSEJERÍA JURÍDICA</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191,278,525</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56,094,976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01.03.05- ASUNTOS JURÍDICOS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55,551,360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ASISTENCIA JURÍDICA AL SECTOR PÚBLICO Y SOCIAL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55,551,360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01.03.09- OTROS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543,616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INNOVACIÓN Y EFICIENCIA EN LA INFORMACIÓN PARA LA GESTIÓN PÚBLICA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543,616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01.07- ASUNTOS DE ORDEN PÚBLICO Y SEGURIDAD INTERIOR</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38,071,417</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01.07.03- OTROS ASUNTOS DE ORDEN PÚBLICO Y SEGURIDAD</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38,071,417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DE JUSTICIA, PAZ Y GOBERNABILIDAD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38,071,417</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01.08- OTROS SERVICIOS GENERALES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97,112,132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01.08.01- SERVICIOS REGISTRALES, ADMINISTRATIVOS Y PATRIMONIALES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91,260,470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CERTEZA JURÍDICA DE IDENTIDAD Y PATRIMONIO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91,260,470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01.08.03- SERVICIOS DE COMUNICACIÓN Y MEDIOS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5,851,662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RENDICIÓN DE CUENTAS EN INSTITUCIONES DE SEGURIDAD, JUSTICIA Y GOBERNABILIDAD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5,851,662</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DESPACHO DEL GOBERNADOR</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28,767,200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26,220,487</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01.03.01- PRESIDENCIA / GUBERNATURA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26,220,487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VINCULACIÓN NACIONAL E INTERNACIONAL DEL PODER EJECUTIVO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26,220,487</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01.07- ASUNTOS DE ORDEN PÚBLICO Y SEGURIDAD INTERIOR</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223,372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01.07.03- OTROS ASUNTOS DE ORDEN PÚBLICO Y SEGURIDAD</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223,372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DE JUSTICIA, PAZ Y GOBERNABILIDAD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223,372</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02.06- PROTECCIÓN SOCIAL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2,323,341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02.06.08- OTROS GRUPOS VULNERABLES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2,323,341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ASISTENCIA SOCIAL A PERSONAS VULNERABLES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2,323,341</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FISCALÍA GENERAL DEL ESTADO</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460,721,055</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01.02- JUSTICIA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375,415,517</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01.02.02- PROCURACIÓN DE JUSTICIA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375,415,517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FORTALECIMIENTO DEL SISTEMA DE JUSTICIA PENAL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375,415,517</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01.07- ASUNTOS DE ORDEN PÚBLICO Y SEGURIDAD INTERIOR</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65,931,043</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01.07.03- OTROS ASUNTOS DE ORDEN PÚBLICO Y SEGURIDAD</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65,931,043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DE JUSTICIA, PAZ Y GOBERNABILIDAD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57,842,564</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DEL DELITO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8,088,479</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01.08- OTROS SERVICIOS GENERALES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2,759,112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01.08.03- SERVICIOS DE COMUNICACIÓN Y MEDIOS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2,759,112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RENDICIÓN DE CUENTAS EN INSTITUCIONES DE SEGURIDAD, JUSTICIA Y GOBERNABILIDAD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2,759,112</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02.07- OTROS ASUNTOS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16,615,383</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02.07.01- OTROS ASUNTOS SOCIALES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16,615,383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ATENCIÓN A LAS VIOLENCIAS CONTRA LAS MUJERES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16,615,383</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ADMINISTRACIÓN Y FINANZAS</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3,334,017,837</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374,871,202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01.03.01- PRESIDENCIA / GUBERNATURA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40,794,858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VINCULACIÓN NACIONAL E INTERNACIONAL DEL PODER EJECUTIVO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40,794,858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01.03.04- FUNCIÓN PÚBLICA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13,518,845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CONSOLIDACIÓN DEL SISTEMA DE SEGUIMIENTO Y EVALUACIÓN DEL DESEMPEÑO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13,518,845</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01.03.08- TERRITORIO</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22,250,000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DESARROLLO URBANO Y ORDENAMIENTO TERRITORIAL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22,250,000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01.03.09- OTROS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298,307,499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GOBIERNO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239,274,461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INNOVACIÓN Y EFICIENCIA EN LA INFORMACIÓN PARA LA GESTIÓN PÚBLICA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41,009,389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MEJORA REGULATORIA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18,023,649</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01.05- ASUNTOS FINANCIEROS Y HACENDARIOS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462,959,176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01.05.02- ASUNTOS HACENDARIOS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462,959,176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DE LA HACIENDA PÚBLICA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432,788,126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IMPLEMENTACIÓN DEL PRESUPUESTO BASADO EN RESULTADOS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30,171,050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01.08- OTROS SERVICIOS GENERALES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208,300,708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01.08.01- SERVICIOS REGISTRALES, ADMINISTRATIVOS Y PATRIMONIALES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32,704,710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ADMINISTRACIÓN DE LOS RECURSOS HUMANOS DEL PODER EJECUTIVO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1,381,254</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ADMINISTRACIÓN DE LOS RECURSOS MATERIALES Y PATRIMONIALES DEL PODER EJECUTIVO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31,323,456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01.08.03- SERVICIOS DE COMUNICACIÓN Y MEDIOS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148,989,150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RENDICIÓN DE CUENTAS EN INSTITUCIONES DE SEGURIDAD, JUSTICIA Y GOBERNABILIDAD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148,989,150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01.08.04- ACCESO A LA INFORMACIÓN PÚBLICA GUBERNAMENTAL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26,606,848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DIFUSIÓN Y RENDICIÓN DE CUENTAS DEL PODER EJECUTIVO E INFORMACIÓN PÚBLICA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26,606,848</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02.02- VIVIENDA Y SERVICIOS A LA COMUNIDAD</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6,192,164</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02.02.01- URBANIZACIÓN</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6,192,164</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PLANEACIÓN Y SEGUIMIENTO DE LA INVERSIÓN EN OBRA PÚBLICA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6,192,164</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02.04- RECREACIÓN, CULTURA Y OTRAS MANIFESTACIONES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500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02.04.01- DEPORTE Y RECREACIÓN</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500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DE LA CULTURA FÍSICA Y RECREACIÓN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02.06- PROTECCIÓN SOCIAL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2,139,437,335</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02.06.02- EDAD AVANZADA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1,345,704,146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OTORGAMIENTO DEL SISTEMA DE JUBILACIONES Y PENSIONES DE LOS SERVIDORES PÚBLICOS DEL GOBIERNO DEL ESTADO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1,345,704,146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02.06.09- OTROS DE SEGURIDAD SOCIAL Y ASISTENCIA SOCIAL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793,733,189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SOCIAL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43,740,025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OTORGAMIENTO DE PRESTACIONES PARA LA SEGURIDAD SOCIAL DE LOS TRABAJADORES DEL GOBIERNO DEL ESTADO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749,993,164</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03.01- ASUNTOS ECONÓMICOS, COMERCIALES Y LABORALES EN GENERAL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215,200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03.01.01- ASUNTOS ECONÓMICOS Y COMERCIALES EN GENERAL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215,200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PLANEACIÓN Y ARTICULACIÓN DE POLÍTICA DE COMPETITIVIDAD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215,200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03.06- COMUNICACIONES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142,041,552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03.06.01- COMUNICACIONES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142,041,552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CONECTIVIDAD E INFRAESTRUCTURA PARA SERVICIOS GUBERNAMENTALES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142,041,552</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SAF - AGENCIA DE ADMINISTRACIÓN FISCAL DE YUCATÁN</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280,657,880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62,819,209</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01.03.09- OTROS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62,819,209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GOBIERNO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62,819,209</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01.05- ASUNTOS FINANCIEROS Y HACENDARIOS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217,838,671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01.05.02- ASUNTOS HACENDARIOS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217,838,671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REFORZAMIENTO DE LA CAPACIDAD RECAUDATORIA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217,838,671</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DESARROLLO RURAL</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401,038,367</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02.06- PROTECCIÓN SOCIAL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17,900,000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02.06.08- OTROS GRUPOS VULNERABLES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17,900,000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ASISTENCIA SOCIAL A PERSONAS VULNERABLES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17,900,000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03.02- AGROPECUARIA, SILVICULTURA, PESCA Y CAZA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262,932,708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03.02.01- AGROPECUARIA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262,932,708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DEL SECTOR AGROPECUARIO Y AGROINDUSTRIAL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235,571,046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MEJORAMIENTO GENÉTICO DE LA PRODUCCIÓN PECUARIA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27,361,662</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03.09- OTRAS INDUSTRIAS Y OTROS ASUNTOS ECONÓMICOS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120,205,659</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03.09.03- OTROS ASUNTOS ECONÓMICOS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120,205,659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ECONÓMICO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120,205,659</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DESARROLLO SOCIAL</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1,128,956,593</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01.02- JUSTICIA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892,985</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01.02.02- PROCURACIÓN DE JUSTICIA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892,985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ATENCIÓN A VÍCTIMAS DE VIOLENCIA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892,985</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02.02- VIVIENDA Y SERVICIOS A LA COMUNIDAD</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15,514,436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02.02.05- VIVIENDA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15,514,436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AMPLIACIÓN DE LA COBERTURA PARA ACCESO A LOS SERVICIOS BÁSICOS DE LA VIVIENDA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15,514,436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02.03- SALUD</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257,074,768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02.03.02- PRESTACIÓN DE SERVICIOS DE SALUD A LA PERSONA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257,074,768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ATENCIÓN INTEGRAL A PERSONAS CON DISCAPACIDAD DEL ESTADO DE YUCATÁN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41,992,975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PRESTACIÓN DE SERVICIOS DE SALUD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215,081,793</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02.04- RECREACIÓN, CULTURA Y OTRAS MANIFESTACIONES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140,000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02.04.02- CULTURA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140,000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ACCESO INCLUYENTE A LA OFERTA CULTURAL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140,000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02.05- EDUCACIÓN</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109,540,745</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02.05.01- EDUCACIÓN BÁSICA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107,550,089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ACCESO Y PERMANENCIA EN EDUCACIÓN BÁSICA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98,648,605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COBERTURA CON EQUIDAD EN EDUCACIÓN BÁSICA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8,901,484</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02.05.05- EDUCACIÓN PARA ADULTOS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1,990,656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ATENCIÓN DEL REZAGO EDUCATIVO Y ANALFABETISMO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1,990,656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02.06- PROTECCIÓN SOCIAL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730,645,675</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02.06.05- ALIMENTACIÓN Y NUTRICIÓN</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285,799,508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ATENCIÓN INTEGRAL EN ALIMENTACIÓN A PERSONAS SUJETAS DE ASISTENCIA SOCIAL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285,799,508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02.06.08- OTROS GRUPOS VULNERABLES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315,904,172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ASISTENCIA SOCIAL A PERSONAS VULNERABLES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124,693,374</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ATENCIÓN Y DESARROLLO DE LAS ORGANIZACIONES SOCIALES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32,955,629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PROMOCIÓN Y RESTITUCIÓN DE DERECHOS DE NIÑAS, NIÑOS Y ADOLESCENTES DEL ESTADO DE YUCATÁN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153,463,982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PROMOCIÓN Y VIGILANCIA DE LOS DERECHOS DE LAS PERSONAS CON DISCAPACIDAD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4,791,187</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02.06.09- OTROS DE SEGURIDAD SOCIAL Y ASISTENCIA SOCIAL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128,941,995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SOCIAL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128,941,995</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02.07- OTROS ASUNTOS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2,085,031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02.07.01- OTROS ASUNTOS SOCIALES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2,085,031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DE IGUALDAD DE GÉNERO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50,231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ATENCIÓN A LAS VIOLENCIAS CONTRA LAS MUJERES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2,034,800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03.01- ASUNTOS ECONÓMICOS, COMERCIALES Y LABORALES EN GENERAL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12,797,387</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03.01.01- ASUNTOS ECONÓMICOS Y COMERCIALES EN GENERAL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8,781,511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IMPULSO A LA POBLACIÓN EMPRENDEDORA Y EMPRESARIAL CON ENFOQUE DE INCLUSIÓN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8,781,511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03.01.02- ASUNTOS LABORALES GENERALES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4,015,876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AL AUTOEMPLEO PARA LA POBLACIÓN EN SITUACIÓN DE VULNERABILIDAD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4,015,876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03.05- TRANSPORTE</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265,566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03.05.06- OTROS RELACIONADOS CON TRANSPORTE</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265,566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MODERNIZACIÓN DEL SISTEMA DE TRANSPORTE PÚBLICO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265,566</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DESARROLLO SUSTENTABLE</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653,046,296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75,354,756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01.03.08- TERRITORIO</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75,354,756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DESARROLLO URBANO Y ORDENAMIENTO TERRITORIAL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75,354,756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02.01- PROTECCIÓN AMBIENTAL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164,836,509</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02.01.01- ORDENACIÓN DE DESECHOS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70,363,000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DE UNA CULTURA PARA LA SUSTENTABILIDAD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301,500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MANEJO INTEGRAL DE LOS RESIDUOS SÓLIDOS Y ESPECIALES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70,061,500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02.01.04- REDUCCIÓN DE LA CONTAMINACIÓN</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6,696,112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IMPLEMENTACIÓN DE POLÍTICAS CONTRA EL CAMBIO CLIMÁTICO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6,696,112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02.01.05- PROTECCIÓN A LA DIVERSIDAD BIOLÓGICA Y DEL PAISAJE</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42,631,931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CONSERVACIÓN Y MANEJO INTEGRADO DE LA ZONA COSTERA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247,000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IMPLEMENTACIÓN DE POLÍTICAS PARA LA SUSTENTABILIDAD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19,559,420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RESTAURACIÓN Y CONSERVACIÓN DE LOS ECOSISTEMAS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22,825,511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02.01.06- OTROS DE PROTECCIÓN AMBIENTAL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45,145,466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VERDE Y SUSTENTABLE</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45,145,466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02.02- VIVIENDA Y SERVICIOS A LA COMUNIDAD</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11,020,000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02.02.03- ABASTECIMIENTO DE AGUA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11,020,000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PRESERVACIÓN DE LA CALIDAD DEL AGUA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11,020,000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02.04- RECREACIÓN, CULTURA Y OTRAS MANIFESTACIONES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285,192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02.04.02- CULTURA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285,192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PRESERVACIÓN, FOMENTO Y DIFUSIÓN DEL PATRIMONIO HISTÓRICO, ARTÍSTICO Y BIOCULTURAL DEL ESTADO DE YUCATÁN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285,192</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03.05- TRANSPORTE</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401,549,839</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03.05.06- OTROS RELACIONADOS CON TRANSPORTE</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401,549,839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FORTALECIMIENTO A LA MOVILIDAD SUSTENTABLE</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168,833,789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MODERNIZACIÓN DEL SISTEMA DE TRANSPORTE PÚBLICO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232,716,050</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EDUCACIÓN</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12,442,863,699</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01.07- ASUNTOS DE ORDEN PÚBLICO Y SEGURIDAD INTERIOR</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600,000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01.07.03- OTROS ASUNTOS DE ORDEN PÚBLICO Y SEGURIDAD</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600,000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DEL DELITO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600,000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02.04- RECREACIÓN, CULTURA Y OTRAS MANIFESTACIONES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232,047,958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02.04.01- DEPORTE Y RECREACIÓN</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208,765,476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DE LA CULTURA FÍSICA Y RECREACIÓN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154,980,546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IMPULSO AL DEPORTE DE ALTO RENDIMIENTO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53,784,930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02.04.02- CULTURA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23,282,482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CULTURAL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23,282,482</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02.05- EDUCACIÓN</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10,111,334,435</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02.05.01- EDUCACIÓN BÁSICA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8,554,388,872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ACCESO Y PERMANENCIA EN EDUCACIÓN BÁSICA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80,863,021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COBERTURA CON EQUIDAD EN EDUCACIÓN BÁSICA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8,457,975,217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ESCOLAR</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15,550,634</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02.05.02- EDUCACIÓN MEDIA SUPERIOR</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1,086,727,927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ACCESO Y PERMANENCIA EN EDUCACIÓN MEDIA SUPERIOR</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367,230,043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ATENCIÓN EDUCATIVA EN MEDIA SUPERIOR</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719,497,884</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02.05.03- EDUCACIÓN SUPERIOR</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278,075,846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MEJORAMIENTO DE LA CALIDAD EN INSTITUCIONES DE EDUCACIÓN SUPERIOR PÚBLICAS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278,075,846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02.05.05- EDUCACIÓN PARA ADULTOS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190,720,208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ATENCIÓN DEL REZAGO EDUCATIVO Y ANALFABETISMO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190,720,208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02.05.06- OTROS SERVICIOS EDUCATIVOS Y ACTIVIDADES INHERENTES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1,421,582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DESARROLLO DEL SERVICIO PROFESIONAL DOCENTE</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1,421,582</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02.06- PROTECCIÓN SOCIAL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2,098,881,306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02.06.09- OTROS DE SEGURIDAD SOCIAL Y ASISTENCIA SOCIAL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2,098,881,306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SOCIAL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2,098,881,306</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FOMENTO ECONÓMICO Y TRABAJO</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627,020,347</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02.04- RECREACIÓN, CULTURA Y OTRAS MANIFESTACIONES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14,311,410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02.04.01- DEPORTE Y RECREACIÓN</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2,241,271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DE LA CULTURA FÍSICA Y RECREACIÓN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2,241,271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02.04.02- CULTURA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12,070,139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Y DIFUSIÓN DE LA CULTURA TRADICIONAL YUCATECA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11,287,724</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CULTURAL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782,415</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02.07- OTROS ASUNTOS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500,000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02.07.01- OTROS ASUNTOS SOCIALES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500,000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AUTONOMÍA Y EMPODERAMIENTO DE LAS MUJERES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500,000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03.01- ASUNTOS ECONÓMICOS, COMERCIALES Y LABORALES EN GENERAL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488,855,678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03.01.01- ASUNTOS ECONÓMICOS Y COMERCIALES EN GENERAL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467,603,175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CRECIMIENTO INDUSTRIAL SOSTENIBLE</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89,185,588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FORTALECIMIENTO DE LAS EMPRESAS LOCALES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3,400,357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IMPULSO A LA POBLACIÓN EMPRENDEDORA Y EMPRESARIAL CON ENFOQUE DE INCLUSIÓN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27,851,683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INCREMENTO DE LA INVERSIÓN EXTRANJERA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123,996,925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PRODUCTIVIDAD INDUSTRIAL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PRODUCTIVIDAD Y COMERCIALIZACIÓN EMPRESARIAL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223,168,522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03.01.02- ASUNTOS LABORALES GENERALES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21,252,503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EMPLEO DE CALIDAD, INCLUYENTE Y FORMAL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16,578,607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PRODUCTIVIDAD LABORAL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4,673,896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03.03- COMBUSTIBLE Y ENERGÍA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3,297,163</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03.03.06- ENERGÍA NO ELÉCTRICA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3,297,163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ACCESO A ENERGÍAS LIMPIAS EN EL ESTADO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551,100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DESARROLLO DE PROYECTOS ENERGÉTICOS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2,746,063</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03.09- OTRAS INDUSTRIAS Y OTROS ASUNTOS ECONÓMICOS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120,056,096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03.09.03- OTROS ASUNTOS ECONÓMICOS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120,056,096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ECONÓMICO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120,056,096</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FOMENTO TURÍSTICO</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422,483,804</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02.04- RECREACIÓN, CULTURA Y OTRAS MANIFESTACIONES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700,000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02.04.02- CULTURA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700,000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Y SENSIBILIZACIÓN HACIA EL CONSUMO CULTURAL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700,000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03.07- TURISMO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213,019,246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03.07.01- TURISMO</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213,019,246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ESPECIALIZACIÓN DE PRESTADORES DE SERVICIOS TURÍSTICOS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9,210,785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A PRODUCTOS Y SERVICIOS TURÍSTICOS INCLUYENTES Y DE CALIDAD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83,577,666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IMPULSO A LOS ATRACTIVOS TURÍSTICOS Y SEGMENTOS DE MERCADO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120,230,795</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03.09- OTRAS INDUSTRIAS Y OTROS ASUNTOS ECONÓMICOS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208,764,558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03.09.03- OTROS ASUNTOS ECONÓMICOS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208,764,558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ECONÓMICO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208,764,558</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SECRETARIA DE INVESTIGACIÓN, INNOVACIÓN Y EDUCACIÓN SUPERIOR</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560,543,961</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02.04- RECREACIÓN, CULTURA Y OTRAS MANIFESTACIONES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34,852,057</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02.04.02- CULTURA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34,852,057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EDUCACIÓN PARA LA PROFESIONALIZACIÓN ARTÍSTICA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21,737,526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Y DIFUSIÓN DE LA CULTURA TRADICIONAL YUCATECA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2,695,721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CULTURAL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10,373,810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PRESERVACIÓN, FOMENTO Y DIFUSIÓN DEL PATRIMONIO HISTÓRICO, ARTÍSTICO Y BIOCULTURAL DEL ESTADO DE YUCATÁN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45,000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02.05- EDUCACIÓN</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476,125,567</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02.05.03- EDUCACIÓN SUPERIOR</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305,859,811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EFICIENCIA TERMINAL EN EDUCACIÓN SUPERIOR</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121,614,445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FORTALECIMIENTO DE LAS INSTITUCIONES DE EDUCACIÓN SUPERIOR</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172,066,226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MEJORAMIENTO DE LA CALIDAD EN INSTITUCIONES DE EDUCACIÓN SUPERIOR PÚBLICAS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12,179,140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02.05.04- POSGRADO</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450,000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FORMACIÓN DE CAPITAL HUMANO EN ÁREAS ESTRATÉGICAS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450,000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02.05.06- OTROS SERVICIOS EDUCATIVOS Y ACTIVIDADES INHERENTES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169,815,756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INNOVACIÓN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169,815,756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03.01- ASUNTOS ECONÓMICOS, COMERCIALES Y LABORALES EN GENERAL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3,173,472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03.01.01- ASUNTOS ECONÓMICOS Y COMERCIALES EN GENERAL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1,951,521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CRECIMIENTO INDUSTRIAL SOSTENIBLE</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668,041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INCREMENTO DE LA INVERSIÓN EXTRANJERA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1,283,480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03.01.02- ASUNTOS LABORALES GENERALES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1,221,951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EMPLEO DE CALIDAD, INCLUYENTE Y FORMAL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1,221,951</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03.08- CIENCIA, TECNOLOGÍA E INNOVACIÓN</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36,650,087</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03.08.01- INVESTIGACIÓN CIENTÍFICA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30,006,071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FORTALECIMIENTO AL CONOCIMIENTO CIENTÍFICO, TECNOLÓGICO E INNOVACIÓN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30,006,071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03.08.03- SERVICIOS CIENTÍFICOS Y TECNOLÓGICOS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6,644,016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VINCULACIÓN, PROMOCIÓN Y GESTIÓN CON EL SECTOR PRODUCTIVO Y SOCIAL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6,644,016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03.09- OTRAS INDUSTRIAS Y OTROS ASUNTOS ECONÓMICOS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9,742,778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03.09.03- OTROS ASUNTOS ECONÓMICOS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9,742,778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ECONÓMICO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9,742,778</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LA CONTRALORÍA GENERAL</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113,386,551</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113,386,551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01.03.04- FUNCIÓN PÚBLICA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94,051,342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SANCIÓN DE ACTOS DE CORRUPCIÓN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203,507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VIGILANCIA DE LA APLICACIÓN DE LOS RECURSOS PÚBLICOS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93,847,835</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01.03.09- OTROS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19,335,209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GOBIERNO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19,335,209</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LA CULTURA Y LAS ARTES</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452,572,839</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02.04- RECREACIÓN, CULTURA Y OTRAS MANIFESTACIONES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452,572,839</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02.04.02- CULTURA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452,572,839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ACCESO INCLUYENTE A LA OFERTA CULTURAL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5,915,857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A LA CREACIÓN Y MANIFESTACIÓN ARTÍSTICA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96,448,457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Y DIFUSIÓN DE LA CULTURA TRADICIONAL YUCATECA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750,658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Y SENSIBILIZACIÓN HACIA EL CONSUMO CULTURAL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33,611,378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CULTURAL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82,478,755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PRESERVACIÓN, FOMENTO Y DIFUSIÓN DEL PATRIMONIO HISTÓRICO, ARTÍSTICO Y BIOCULTURAL DEL ESTADO DE YUCATÁN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233,367,734</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LAS MUJERES</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82,531,406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02.03- SALUD</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5,074,964</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02.03.02- PRESTACIÓN DE SERVICIOS DE SALUD A LA PERSONA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5,074,964</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DEL EMBARAZO EN ADOLESCENTES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5,074,964</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02.07- OTROS ASUNTOS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77,456,442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02.07.01- OTROS ASUNTOS SOCIALES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77,456,442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AUTONOMÍA Y EMPODERAMIENTO DE LAS MUJERES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22,644,276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DE IGUALDAD DE GÉNERO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13,558,189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ATENCIÓN A LAS VIOLENCIAS CONTRA LAS MUJERES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41,253,977</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OBRAS PÚBLICAS</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1,854,716,525</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109,606,169</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01.03.08- TERRITORIO</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109,606,169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DESARROLLO URBANO Y ORDENAMIENTO TERRITORIAL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109,606,169</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01.08- OTROS SERVICIOS GENERALES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22,296,791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01.08.01- SERVICIOS REGISTRALES, ADMINISTRATIVOS Y PATRIMONIALES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22,296,791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CERTEZA JURÍDICA DE IDENTIDAD Y PATRIMONIO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22,296,791</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02.01- PROTECCIÓN AMBIENTAL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85,821,962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02.01.06- OTROS DE PROTECCIÓN AMBIENTAL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85,821,962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VERDE Y SUSTENTABLE</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85,821,962</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02.02- VIVIENDA Y SERVICIOS A LA COMUNIDAD</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941,421,256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02.02.01- URBANIZACIÓN</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383,407,811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MEJORAMIENTO DE LA INFRAESTRUCTURA URBANA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373,776,273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PLANEACIÓN Y SEGUIMIENTO DE LA INVERSIÓN EN OBRA PÚBLICA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9,631,538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02.02.03- ABASTECIMIENTO DE AGUA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400,698,045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DOTACIÓN DE AGUA POTABLE Y SANEAMIENTO DE AGUAS RESIDUALES DOMÉSTICAS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298,032,096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PRESERVACIÓN DE LA CALIDAD DEL AGUA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102,665,949</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02.02.05- VIVIENDA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157,315,400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AMPLIACIÓN DE LA COBERTURA PARA ACCESO A LOS SERVICIOS BÁSICOS DE LA VIVIENDA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157,315,400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02.05- EDUCACIÓN</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23,159,825</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02.05.01- EDUCACIÓN BÁSICA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23,159,825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COBERTURA CON EQUIDAD EN EDUCACIÓN BÁSICA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23,159,825</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02.06- PROTECCIÓN SOCIAL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449,195,278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02.06.02- EDAD AVANZADA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5,204,000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OTORGAMIENTO DEL SISTEMA DE JUBILACIONES Y PENSIONES DE LOS SERVIDORES PÚBLICOS DEL GOBIERNO DEL ESTADO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5,204,000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02.06.06- APOYO SOCIAL PARA LA VIVIENDA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282,390,241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PROMOCIÓN DE CALIDAD Y ESPACIOS EN LA VIVIENDA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282,390,241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02.06.09- OTROS DE SEGURIDAD SOCIAL Y ASISTENCIA SOCIAL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161,601,037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SOCIAL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161,601,037</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03.05- TRANSPORTE</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138,743,251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03.05.01- TRANSPORTE POR CARRETERA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138,743,251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CONSTRUCCIÓN, MODERNIZACIÓN Y CONSERVACIÓN DE LAS VÍAS DE COMUNICACIÓN TERRESTRE</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138,743,251</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03.09- OTRAS INDUSTRIAS Y OTROS ASUNTOS ECONÓMICOS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84,471,993</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03.09.03- OTROS ASUNTOS ECONÓMICOS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84,471,993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DE CIUDADES Y COMUNIDADES SOSTENIBLES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84,471,993</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PESCA Y ACUACULTURA SUSTENTABLES</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105,548,096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02.01- PROTECCIÓN AMBIENTAL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100,000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02.01.05- PROTECCIÓN A LA DIVERSIDAD BIOLÓGICA Y DEL PAISAJE</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100,000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CONSERVACIÓN Y MANEJO INTEGRADO DE LA ZONA COSTERA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100,000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03.02- AGROPECUARIA, SILVICULTURA, PESCA Y CAZA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95,347,718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03.02.03- ACUACULTURA, PESCA Y CAZA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95,347,718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DESARROLLO DEL SECTOR PESQUERO Y ACUÍCOLA CON ENFOQUE SUSTENTABLE</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95,347,718</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03.09- OTRAS INDUSTRIAS Y OTROS ASUNTOS ECONÓMICOS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10,100,378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03.09.03- OTROS ASUNTOS ECONÓMICOS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10,100,378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ECONÓMICO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10,100,378</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SALUD</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5,502,816,793</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79,110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01.03.05- ASUNTOS JURÍDICOS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79,110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ASISTENCIA JURÍDICA AL SECTOR PÚBLICO Y SOCIAL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79,110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02.01- PROTECCIÓN AMBIENTAL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02.01.04- REDUCCIÓN DE LA CONTAMINACIÓN</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IMPLEMENTACIÓN DE POLÍTICAS CONTRA EL CAMBIO CLIMÁTICO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30,000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02.02- VIVIENDA Y SERVICIOS A LA COMUNIDAD</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189,900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02.02.03- ABASTECIMIENTO DE AGUA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189,900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PRESERVACIÓN DE LA CALIDAD DEL AGUA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189,900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02.03- SALUD</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5,115,268,358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02.03.01- PRESTACIÓN DE SERVICIOS DE SALUD A LA COMUNIDAD</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412,856,723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MITIGACIÓN DE RIESGOS SANITARIOS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153,098,375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CONTROL DE ENFERMEDADES TRANSMITIDAS POR VECTOR</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205,782,433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CONTROL DE ENFERMEDADES ZOONÓTICAS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6,384,935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CONTROL DE VIH, SIDA E INFECCIONES DE TRANSMISIÓN SEXUAL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8,124,890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PROMOCIÓN DE LA SALUD EN LA COMUNIDAD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12,726,868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PROMOCIÓN, PREVENCIÓN Y ATENCIÓN INTEGRAL DE LA SALUD MENTAL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19,869,688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VIGILANCIA EPIDEMIOLÓGICA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6,869,534</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02.03.02- PRESTACIÓN DE SERVICIOS DE SALUD A LA PERSONA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4,623,868,083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ATENCIÓN INTEGRAL A LA SALUD REPRODUCTIVA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195,249,595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PRESTACIÓN DE SERVICIOS DE SALUD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4,310,550,685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PRESTACIÓN DE SERVICIOS DE SALUD A LA INFANCIA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84,450,927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ATENCIÓN INTEGRAL DEL CÁNCER EN LA MUJER</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4,373,708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PROMOCIÓN, PREVENCIÓN Y ATENCIÓN INTEGRAL DE ENFERMEDADES RELACIONADAS CON LA NUTRICIÓN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29,243,168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02.03.04- RECTORÍA DEL SISTEMA DE SALUD</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78,543,552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MEJORA DE LA CALIDAD DE LOS SERVICIOS DE SALUD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78,543,552</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02.06- PROTECCIÓN SOCIAL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248,928,070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02.06.08- OTROS GRUPOS VULNERABLES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1,278,417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ASISTENCIA SOCIAL A PERSONAS VULNERABLES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1,278,417</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02.06.09- OTROS DE SEGURIDAD SOCIAL Y ASISTENCIA SOCIAL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247,649,653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SOCIAL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247,649,653</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02.07- OTROS ASUNTOS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82,821,351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02.07.01- OTROS ASUNTOS SOCIALES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82,821,351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ATENCIÓN A LAS VIOLENCIAS CONTRA LAS MUJERES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82,821,351</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03.06- COMUNICACIONES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500,004</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03.06.01- COMUNICACIONES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500,004</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CONECTIVIDAD E INFRAESTRUCTURA PARA SERVICIOS GUBERNAMENTALES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500,004</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04.03- ADEUDOS DE EJERCICIOS FISCALES ANTERIORES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55,000,000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04.03.01- ADEUDOS DE EJERCICIOS FISCALES ANTERIORES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55,000,000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PREVISIONES PARA EL PAGO DE ADEUDOS DE EJERCICIOS FISCALES ANTERIORES (ADEFAS)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55,000,000</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DE SEGURIDAD PÚBLICA</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3,250,124,321</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01.02- JUSTICIA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149,801,864</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01.02.02- PROCURACIÓN DE JUSTICIA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149,801,864</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FORTALECIMIENTO DEL SISTEMA DE JUSTICIA PENAL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149,801,864</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39,314,036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01.03.01- PRESIDENCIA / GUBERNATURA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39,314,036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VINCULACIÓN NACIONAL E INTERNACIONAL DEL PODER EJECUTIVO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39,314,036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01.07- ASUNTOS DE ORDEN PÚBLICO Y SEGURIDAD INTERIOR</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3,060,937,153</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01.07.01- POLICÍA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2,636,241,141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FORTALECIMIENTO DEL</w:t>
            </w:r>
            <w:r w:rsidR="00D04924">
              <w:rPr>
                <w:rFonts w:eastAsia="Times New Roman" w:cs="Arial"/>
                <w:color w:val="000000"/>
                <w:sz w:val="28"/>
                <w:szCs w:val="28"/>
                <w:lang w:eastAsia="es-MX"/>
              </w:rPr>
              <w:t xml:space="preserve"> </w:t>
            </w:r>
            <w:r w:rsidRPr="00DC26DB">
              <w:rPr>
                <w:rFonts w:eastAsia="Times New Roman" w:cs="Arial"/>
                <w:color w:val="000000"/>
                <w:sz w:val="28"/>
                <w:szCs w:val="28"/>
                <w:lang w:eastAsia="es-MX"/>
              </w:rPr>
              <w:t>DESARROLLO INTEGRAL DE LOS POLICÍAS DE LA SECRETARÍA DE SEGURIDAD PÚBLICA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337,582,525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SEGURIDAD VIAL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362,254,416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REFORZAMIENTO DE VIGILANCIA Y OPERATIVOS EN MATERIA DE SEGURIDAD PÚBLICA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1,936,404,200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01.07.02- PROTECCIÓN CIVIL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54,846,403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PROTECCIÓN CIVIL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54,846,403</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01.07.03- OTROS ASUNTOS DE ORDEN PÚBLICO Y SEGURIDAD</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369,849,609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DE JUSTICIA, PAZ Y GOBERNABILIDAD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366,032,840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DEL DELITO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3,816,769</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02.07- OTROS ASUNTOS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71,268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02.07.01- OTROS ASUNTOS SOCIALES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71,268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ATENCIÓN A LAS VIOLENCIAS CONTRA LAS MUJERES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71,268</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EJECUTIVA DEL SISTEMA ESTATAL ANTICORRUPCIÓN</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14,988,486</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14,988,486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01.03.04- FUNCIÓN PÚBLICA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7,263,235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SANCIÓN DE ACTOS DE CORRUPCIÓN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7,263,235</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01.03.09- OTROS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7,725,251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GOBIERNO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7,725,251</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SECRETARÍA GENERAL DE GOBIERNO</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541,326,813</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01.02- JUSTICIA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276,427,355</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01.02.02- PROCURACIÓN DE JUSTICIA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15,500,776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ATENCIÓN A VÍCTIMAS DE VIOLENCIA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15,500,776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01.02.03- RECLUSIÓN Y READAPTACIÓN SOCIAL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260,926,579</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REINSERCIÓN SOCIAL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260,926,579</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01.03- COORDINACIÓN DE LA POLÍTICA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104,146,433</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01.03.01- PRESIDENCIA / GUBERNATURA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7,858,091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VINCULACIÓN NACIONAL E INTERNACIONAL DEL PODER EJECUTIVO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7,858,091</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01.03.02- POLÍTICA INTERIOR</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43,533,282</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DESARROLLO INSTITUCIONAL DE LOS MUNICIPIOS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43,533,282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01.03.05- ASUNTOS JURÍDICOS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52,638,406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ASISTENCIA JURÍDICA AL SECTOR PÚBLICO Y SOCIAL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52,638,406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01.03.07- POBLACIÓN</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116,654</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ATENCIÓN A MIGRANTES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116,654</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01.07- ASUNTOS DE ORDEN PÚBLICO Y SEGURIDAD INTERIOR</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110,608,542</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01.07.02- PROTECCIÓN CIVIL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27,020,626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PROTECCIÓN CIVIL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27,020,626</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01.07.03- OTROS ASUNTOS DE ORDEN PÚBLICO Y SEGURIDAD</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83,587,916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DE JUSTICIA, PAZ Y GOBERNABILIDAD</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60,131,141</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DEL DELITO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23,456,775</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01.08- OTROS SERVICIOS GENERALES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2,374,004</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01.08.04- ACCESO A LA INFORMACIÓN PÚBLICA GUBERNAMENTAL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2,374,004</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DIFUSIÓN Y RENDICIÓN DE CUENTAS DEL PODER EJECUTIVO E INFORMACIÓN PÚBLICA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2,374,004</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02.01- PROTECCIÓN AMBIENTAL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3,000,000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02.01.04- REDUCCIÓN DE LA CONTAMINACIÓN</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3,000,000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IMPLEMENTACIÓN DE POLÍTICAS CONTRA EL CAMBIO CLIMÁTICO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3,000,000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02.03- SALUD</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1,139,627</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02.03.02- PRESTACIÓN DE SERVICIOS DE SALUD A LA PERSONA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1,139,627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DEL EMBARAZO EN ADOLESCENTES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1,139,627</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02.04- RECREACIÓN, CULTURA Y OTRAS MANIFESTACIONES SOCIALES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26,821,944</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02.04.02- CULTURA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26,821,944</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FOMENTO Y DIFUSIÓN DE LA CULTURA TRADICIONAL YUCATECA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26,821,944</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02.06- PROTECCIÓN SOCIAL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16,808,908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02.06.07- INDÍGENAS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12,962,205</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REDUCCIÓN DE LAS BRECHAS SOCIALES DE LOS PUEBLOS INDÍGENAS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12,962,205</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02.06.08- OTROS GRUPOS VULNERABLES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3,090,496</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ATENCIÓN Y DESARROLLO DE LAS ORGANIZACIONES SOCIALES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409,337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PREVENCIÓN Y ELIMINACIÓN DE LA DISCRIMINACIÓN</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2,681,159</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02.06.09- OTROS DE SEGURIDAD SOCIAL Y ASISTENCIA SOCIAL</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756,207</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EFICIENTE DE LAS INSTITUCIONES DEL SECTOR SOCIAL</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756,207</w:t>
            </w:r>
          </w:p>
        </w:tc>
      </w:tr>
      <w:tr w:rsidR="00DC26DB" w:rsidRPr="00EE6AF7" w:rsidTr="00DB21A9">
        <w:trPr>
          <w:trHeight w:val="567"/>
        </w:trPr>
        <w:tc>
          <w:tcPr>
            <w:tcW w:w="3647" w:type="pct"/>
            <w:tcBorders>
              <w:top w:val="nil"/>
              <w:left w:val="nil"/>
              <w:bottom w:val="single" w:sz="4" w:space="0" w:color="9BC2E6"/>
              <w:right w:val="nil"/>
            </w:tcBorders>
            <w:shd w:val="clear" w:color="000000" w:fill="000000"/>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RAMOS GENERALES</w:t>
            </w:r>
          </w:p>
        </w:tc>
        <w:tc>
          <w:tcPr>
            <w:tcW w:w="1353" w:type="pct"/>
            <w:tcBorders>
              <w:top w:val="nil"/>
              <w:left w:val="nil"/>
              <w:bottom w:val="single" w:sz="4" w:space="0" w:color="9BC2E6"/>
              <w:right w:val="nil"/>
            </w:tcBorders>
            <w:shd w:val="clear" w:color="000000" w:fill="000000"/>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9,910,490,271</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DEUDA PÚBLICA</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1,520,291,378</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04.01- TRANSACCIONES DE LA DEUDA PÚBLICA / COSTO FINANCIERO DE LA DEUDA</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1,370,291,378</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04.01.01- DEUDA PÚBLICA INTERNA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1,370,291,378</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GESTIÓN DE LA DEUDA PÚBLICA</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1,370,291,378</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04.03- ADEUDOS DE EJERCICIOS FISCALES ANTERIORES</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150,000,000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04.03.01- ADEUDOS DE EJERCICIOS FISCALES ANTERIORES</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150,000,000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PREVISIONES PARA EL PAGO DE ADEUDOS DE EJERCICIOS FISCALES ANTERIORES (ADEFAS)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150,000,000</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JUBILACIONES Y PENSIONES</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803,870,620</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02.06- PROTECCIÓN SOCIAL</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803,870,620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02.06.02- EDAD AVANZADA</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803,870,620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OTORGAMIENTO DEL SISTEMA DE JUBILACIONES Y PENSIONES DE LOS SERVIDORES PÚBLICOS DEL GOBIERNO DEL ESTADO</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803,870,620</w:t>
            </w:r>
          </w:p>
        </w:tc>
      </w:tr>
      <w:tr w:rsidR="00DC26DB" w:rsidRPr="00EE6AF7" w:rsidTr="00DB21A9">
        <w:trPr>
          <w:trHeight w:val="567"/>
        </w:trPr>
        <w:tc>
          <w:tcPr>
            <w:tcW w:w="3647" w:type="pct"/>
            <w:tcBorders>
              <w:top w:val="nil"/>
              <w:left w:val="nil"/>
              <w:bottom w:val="nil"/>
              <w:right w:val="nil"/>
            </w:tcBorders>
            <w:shd w:val="clear" w:color="000000" w:fill="757575"/>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PARTICIPACIONES,</w:t>
            </w:r>
            <w:r w:rsidR="00D04924">
              <w:rPr>
                <w:rFonts w:eastAsia="Times New Roman" w:cs="Arial"/>
                <w:b/>
                <w:bCs/>
                <w:color w:val="FFFFFF"/>
                <w:sz w:val="28"/>
                <w:szCs w:val="28"/>
                <w:lang w:eastAsia="es-MX"/>
              </w:rPr>
              <w:t xml:space="preserve"> </w:t>
            </w:r>
            <w:r w:rsidRPr="00DC26DB">
              <w:rPr>
                <w:rFonts w:eastAsia="Times New Roman" w:cs="Arial"/>
                <w:b/>
                <w:bCs/>
                <w:color w:val="FFFFFF"/>
                <w:sz w:val="28"/>
                <w:szCs w:val="28"/>
                <w:lang w:eastAsia="es-MX"/>
              </w:rPr>
              <w:t>APORTACIONES</w:t>
            </w:r>
            <w:r w:rsidR="00D04924">
              <w:rPr>
                <w:rFonts w:eastAsia="Times New Roman" w:cs="Arial"/>
                <w:b/>
                <w:bCs/>
                <w:color w:val="FFFFFF"/>
                <w:sz w:val="28"/>
                <w:szCs w:val="28"/>
                <w:lang w:eastAsia="es-MX"/>
              </w:rPr>
              <w:t xml:space="preserve"> </w:t>
            </w:r>
            <w:r w:rsidRPr="00DC26DB">
              <w:rPr>
                <w:rFonts w:eastAsia="Times New Roman" w:cs="Arial"/>
                <w:b/>
                <w:bCs/>
                <w:color w:val="FFFFFF"/>
                <w:sz w:val="28"/>
                <w:szCs w:val="28"/>
                <w:lang w:eastAsia="es-MX"/>
              </w:rPr>
              <w:t>Y TRANSFERENCIAS A MUNICIPIOS</w:t>
            </w:r>
          </w:p>
        </w:tc>
        <w:tc>
          <w:tcPr>
            <w:tcW w:w="1353" w:type="pct"/>
            <w:tcBorders>
              <w:top w:val="nil"/>
              <w:left w:val="nil"/>
              <w:bottom w:val="nil"/>
              <w:right w:val="nil"/>
            </w:tcBorders>
            <w:shd w:val="clear" w:color="000000" w:fill="757575"/>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7,586,328,273</w:t>
            </w:r>
          </w:p>
        </w:tc>
      </w:tr>
      <w:tr w:rsidR="00DC26DB" w:rsidRPr="00EE6AF7" w:rsidTr="00DB21A9">
        <w:trPr>
          <w:trHeight w:val="567"/>
        </w:trPr>
        <w:tc>
          <w:tcPr>
            <w:tcW w:w="3647" w:type="pct"/>
            <w:tcBorders>
              <w:top w:val="nil"/>
              <w:left w:val="nil"/>
              <w:bottom w:val="nil"/>
              <w:right w:val="nil"/>
            </w:tcBorders>
            <w:shd w:val="clear" w:color="000000" w:fill="9B9B9B"/>
            <w:vAlign w:val="bottom"/>
            <w:hideMark/>
          </w:tcPr>
          <w:p w:rsidR="00DC26DB" w:rsidRPr="00DC26DB" w:rsidRDefault="00DC26DB" w:rsidP="00DC26DB">
            <w:pPr>
              <w:jc w:val="left"/>
              <w:rPr>
                <w:rFonts w:eastAsia="Times New Roman" w:cs="Arial"/>
                <w:color w:val="FFFFFF"/>
                <w:sz w:val="28"/>
                <w:szCs w:val="28"/>
                <w:lang w:eastAsia="es-MX"/>
              </w:rPr>
            </w:pPr>
            <w:r w:rsidRPr="00DC26DB">
              <w:rPr>
                <w:rFonts w:eastAsia="Times New Roman" w:cs="Arial"/>
                <w:color w:val="FFFFFF"/>
                <w:sz w:val="28"/>
                <w:szCs w:val="28"/>
                <w:lang w:eastAsia="es-MX"/>
              </w:rPr>
              <w:t>FUNCIÓN: 04.02- TRANSFERENCIAS, PARTICIPACIONES Y APORTACIONES ENTRE DIFERENTES NIVELES Y ÓRDENES DE GOBIERNO</w:t>
            </w:r>
          </w:p>
        </w:tc>
        <w:tc>
          <w:tcPr>
            <w:tcW w:w="1353" w:type="pct"/>
            <w:tcBorders>
              <w:top w:val="nil"/>
              <w:left w:val="nil"/>
              <w:bottom w:val="nil"/>
              <w:right w:val="nil"/>
            </w:tcBorders>
            <w:shd w:val="clear" w:color="000000" w:fill="9B9B9B"/>
            <w:noWrap/>
            <w:vAlign w:val="bottom"/>
            <w:hideMark/>
          </w:tcPr>
          <w:p w:rsidR="00DC26DB" w:rsidRPr="00DC26DB" w:rsidRDefault="00DC26DB" w:rsidP="00DC26DB">
            <w:pPr>
              <w:jc w:val="right"/>
              <w:rPr>
                <w:rFonts w:eastAsia="Times New Roman" w:cs="Arial"/>
                <w:color w:val="FFFFFF"/>
                <w:sz w:val="28"/>
                <w:szCs w:val="28"/>
                <w:lang w:eastAsia="es-MX"/>
              </w:rPr>
            </w:pPr>
            <w:r w:rsidRPr="00DC26DB">
              <w:rPr>
                <w:rFonts w:eastAsia="Times New Roman" w:cs="Arial"/>
                <w:color w:val="FFFFFF"/>
                <w:sz w:val="28"/>
                <w:szCs w:val="28"/>
                <w:lang w:eastAsia="es-MX"/>
              </w:rPr>
              <w:t>7,586,328,273</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04.02.02- PARTICIPACIONES ENTRE DIFERENTES NIVELES Y ÓRDENES DE GOBIERNO</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4,092,168,930</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DISTRIBUCIÓN DE PARTICIPACIONES FEDERALES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4,092,168,930</w:t>
            </w:r>
          </w:p>
        </w:tc>
      </w:tr>
      <w:tr w:rsidR="00DC26DB" w:rsidRPr="00EE6AF7" w:rsidTr="00DB21A9">
        <w:trPr>
          <w:trHeight w:val="567"/>
        </w:trPr>
        <w:tc>
          <w:tcPr>
            <w:tcW w:w="3647" w:type="pct"/>
            <w:tcBorders>
              <w:top w:val="nil"/>
              <w:left w:val="nil"/>
              <w:bottom w:val="nil"/>
              <w:right w:val="nil"/>
            </w:tcBorders>
            <w:shd w:val="clear" w:color="000000" w:fill="D9D9D9"/>
            <w:vAlign w:val="bottom"/>
            <w:hideMark/>
          </w:tcPr>
          <w:p w:rsidR="00DC26DB" w:rsidRPr="00DC26DB" w:rsidRDefault="00DC26DB" w:rsidP="00DC26DB">
            <w:pPr>
              <w:jc w:val="left"/>
              <w:rPr>
                <w:rFonts w:eastAsia="Times New Roman" w:cs="Arial"/>
                <w:b/>
                <w:bCs/>
                <w:color w:val="000000"/>
                <w:sz w:val="28"/>
                <w:szCs w:val="28"/>
                <w:lang w:eastAsia="es-MX"/>
              </w:rPr>
            </w:pPr>
            <w:r w:rsidRPr="00DC26DB">
              <w:rPr>
                <w:rFonts w:eastAsia="Times New Roman" w:cs="Arial"/>
                <w:b/>
                <w:bCs/>
                <w:color w:val="000000"/>
                <w:sz w:val="28"/>
                <w:szCs w:val="28"/>
                <w:lang w:eastAsia="es-MX"/>
              </w:rPr>
              <w:t>SUBFUNCIÓN: 04.02.03- APORTACIONES ENTRE DIFERENTES NIVELES Y ÓRDENES DE GOBIERNO</w:t>
            </w:r>
          </w:p>
        </w:tc>
        <w:tc>
          <w:tcPr>
            <w:tcW w:w="1353" w:type="pct"/>
            <w:tcBorders>
              <w:top w:val="nil"/>
              <w:left w:val="nil"/>
              <w:bottom w:val="nil"/>
              <w:right w:val="nil"/>
            </w:tcBorders>
            <w:shd w:val="clear" w:color="000000" w:fill="D9D9D9"/>
            <w:noWrap/>
            <w:vAlign w:val="bottom"/>
            <w:hideMark/>
          </w:tcPr>
          <w:p w:rsidR="00DC26DB" w:rsidRPr="00DC26DB" w:rsidRDefault="00DC26DB" w:rsidP="00DC26DB">
            <w:pPr>
              <w:jc w:val="right"/>
              <w:rPr>
                <w:rFonts w:eastAsia="Times New Roman" w:cs="Arial"/>
                <w:b/>
                <w:bCs/>
                <w:color w:val="000000"/>
                <w:sz w:val="28"/>
                <w:szCs w:val="28"/>
                <w:lang w:eastAsia="es-MX"/>
              </w:rPr>
            </w:pPr>
            <w:r w:rsidRPr="00DC26DB">
              <w:rPr>
                <w:rFonts w:eastAsia="Times New Roman" w:cs="Arial"/>
                <w:b/>
                <w:bCs/>
                <w:color w:val="000000"/>
                <w:sz w:val="28"/>
                <w:szCs w:val="28"/>
                <w:lang w:eastAsia="es-MX"/>
              </w:rPr>
              <w:t>3,494,159,343</w:t>
            </w:r>
          </w:p>
        </w:tc>
      </w:tr>
      <w:tr w:rsidR="00DC26DB" w:rsidRPr="00EE6AF7" w:rsidTr="00DB21A9">
        <w:trPr>
          <w:trHeight w:val="567"/>
        </w:trPr>
        <w:tc>
          <w:tcPr>
            <w:tcW w:w="3647" w:type="pct"/>
            <w:tcBorders>
              <w:top w:val="nil"/>
              <w:left w:val="nil"/>
              <w:bottom w:val="nil"/>
              <w:right w:val="nil"/>
            </w:tcBorders>
            <w:shd w:val="clear" w:color="auto" w:fill="auto"/>
            <w:vAlign w:val="bottom"/>
            <w:hideMark/>
          </w:tcPr>
          <w:p w:rsidR="00DC26DB" w:rsidRPr="00DC26DB" w:rsidRDefault="00DC26DB" w:rsidP="00DC26DB">
            <w:pPr>
              <w:jc w:val="left"/>
              <w:rPr>
                <w:rFonts w:eastAsia="Times New Roman" w:cs="Arial"/>
                <w:color w:val="000000"/>
                <w:sz w:val="28"/>
                <w:szCs w:val="28"/>
                <w:lang w:eastAsia="es-MX"/>
              </w:rPr>
            </w:pPr>
            <w:r w:rsidRPr="00DC26DB">
              <w:rPr>
                <w:rFonts w:eastAsia="Times New Roman" w:cs="Arial"/>
                <w:color w:val="000000"/>
                <w:sz w:val="28"/>
                <w:szCs w:val="28"/>
                <w:lang w:eastAsia="es-MX"/>
              </w:rPr>
              <w:t>PP: DISTRIBUCIÓN DE APORTACIONES FEDERALES</w:t>
            </w:r>
          </w:p>
        </w:tc>
        <w:tc>
          <w:tcPr>
            <w:tcW w:w="1353" w:type="pct"/>
            <w:tcBorders>
              <w:top w:val="nil"/>
              <w:left w:val="nil"/>
              <w:bottom w:val="nil"/>
              <w:right w:val="nil"/>
            </w:tcBorders>
            <w:shd w:val="clear" w:color="auto" w:fill="auto"/>
            <w:noWrap/>
            <w:vAlign w:val="bottom"/>
            <w:hideMark/>
          </w:tcPr>
          <w:p w:rsidR="00DC26DB" w:rsidRPr="00DC26DB" w:rsidRDefault="00DC26DB" w:rsidP="00DC26DB">
            <w:pPr>
              <w:jc w:val="right"/>
              <w:rPr>
                <w:rFonts w:eastAsia="Times New Roman" w:cs="Arial"/>
                <w:color w:val="000000"/>
                <w:sz w:val="28"/>
                <w:szCs w:val="28"/>
                <w:lang w:eastAsia="es-MX"/>
              </w:rPr>
            </w:pPr>
            <w:r w:rsidRPr="00DC26DB">
              <w:rPr>
                <w:rFonts w:eastAsia="Times New Roman" w:cs="Arial"/>
                <w:color w:val="000000"/>
                <w:sz w:val="28"/>
                <w:szCs w:val="28"/>
                <w:lang w:eastAsia="es-MX"/>
              </w:rPr>
              <w:t>3,494,159,343</w:t>
            </w:r>
          </w:p>
        </w:tc>
      </w:tr>
      <w:tr w:rsidR="00DC26DB" w:rsidRPr="00EE6AF7" w:rsidTr="00FF7934">
        <w:trPr>
          <w:trHeight w:val="567"/>
        </w:trPr>
        <w:tc>
          <w:tcPr>
            <w:tcW w:w="3647" w:type="pct"/>
            <w:tcBorders>
              <w:top w:val="single" w:sz="4" w:space="0" w:color="9BC2E6"/>
              <w:left w:val="nil"/>
              <w:bottom w:val="nil"/>
              <w:right w:val="nil"/>
            </w:tcBorders>
            <w:shd w:val="clear" w:color="auto" w:fill="4B4B4B"/>
            <w:vAlign w:val="bottom"/>
            <w:hideMark/>
          </w:tcPr>
          <w:p w:rsidR="00DC26DB" w:rsidRPr="00DC26DB" w:rsidRDefault="00DC26DB" w:rsidP="00DC26DB">
            <w:pPr>
              <w:jc w:val="left"/>
              <w:rPr>
                <w:rFonts w:eastAsia="Times New Roman" w:cs="Arial"/>
                <w:b/>
                <w:bCs/>
                <w:color w:val="FFFFFF"/>
                <w:sz w:val="28"/>
                <w:szCs w:val="28"/>
                <w:lang w:eastAsia="es-MX"/>
              </w:rPr>
            </w:pPr>
            <w:r w:rsidRPr="00DC26DB">
              <w:rPr>
                <w:rFonts w:eastAsia="Times New Roman" w:cs="Arial"/>
                <w:b/>
                <w:bCs/>
                <w:color w:val="FFFFFF"/>
                <w:sz w:val="28"/>
                <w:szCs w:val="28"/>
                <w:lang w:eastAsia="es-MX"/>
              </w:rPr>
              <w:t>TOTAL</w:t>
            </w:r>
          </w:p>
        </w:tc>
        <w:tc>
          <w:tcPr>
            <w:tcW w:w="1353" w:type="pct"/>
            <w:tcBorders>
              <w:top w:val="single" w:sz="4" w:space="0" w:color="9BC2E6"/>
              <w:left w:val="nil"/>
              <w:bottom w:val="nil"/>
              <w:right w:val="nil"/>
            </w:tcBorders>
            <w:shd w:val="clear" w:color="auto" w:fill="4B4B4B"/>
            <w:noWrap/>
            <w:vAlign w:val="bottom"/>
            <w:hideMark/>
          </w:tcPr>
          <w:p w:rsidR="00DC26DB" w:rsidRPr="00DC26DB" w:rsidRDefault="00DC26DB" w:rsidP="00DC26DB">
            <w:pPr>
              <w:jc w:val="right"/>
              <w:rPr>
                <w:rFonts w:eastAsia="Times New Roman" w:cs="Arial"/>
                <w:b/>
                <w:bCs/>
                <w:color w:val="FFFFFF"/>
                <w:sz w:val="28"/>
                <w:szCs w:val="28"/>
                <w:lang w:eastAsia="es-MX"/>
              </w:rPr>
            </w:pPr>
            <w:r w:rsidRPr="00DC26DB">
              <w:rPr>
                <w:rFonts w:eastAsia="Times New Roman" w:cs="Arial"/>
                <w:b/>
                <w:bCs/>
                <w:color w:val="FFFFFF"/>
                <w:sz w:val="28"/>
                <w:szCs w:val="28"/>
                <w:lang w:eastAsia="es-MX"/>
              </w:rPr>
              <w:t>46,038,050,321</w:t>
            </w:r>
          </w:p>
        </w:tc>
      </w:tr>
    </w:tbl>
    <w:p w:rsidR="00FA49E9" w:rsidRDefault="009C1791">
      <w:r>
        <w:br w:type="page"/>
      </w:r>
    </w:p>
    <w:p w:rsidR="00FA49E9" w:rsidRDefault="009C1791">
      <w:pPr>
        <w:pStyle w:val="Ttulo3"/>
      </w:pPr>
      <w:bookmarkStart w:id="12" w:name="anexo-2.4.-clasificación-programática"/>
      <w:bookmarkEnd w:id="10"/>
      <w:bookmarkEnd w:id="11"/>
      <w:r>
        <w:t>ANEXO 2.4. CLASIFICACIÓN PROGRAMÁTICA</w:t>
      </w:r>
    </w:p>
    <w:p w:rsidR="00FA49E9" w:rsidRDefault="00FA49E9"/>
    <w:tbl>
      <w:tblPr>
        <w:tblW w:w="0" w:type="auto"/>
        <w:jc w:val="center"/>
        <w:tblLayout w:type="fixed"/>
        <w:tblLook w:val="0420" w:firstRow="1" w:lastRow="0" w:firstColumn="0" w:lastColumn="0" w:noHBand="0" w:noVBand="1"/>
      </w:tblPr>
      <w:tblGrid>
        <w:gridCol w:w="7076"/>
        <w:gridCol w:w="1089"/>
        <w:gridCol w:w="3266"/>
      </w:tblGrid>
      <w:tr w:rsidR="00FA49E9" w:rsidRPr="00EE6AF7">
        <w:trPr>
          <w:cantSplit/>
          <w:jc w:val="center"/>
        </w:trPr>
        <w:tc>
          <w:tcPr>
            <w:tcW w:w="7076"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CATEGORÍA / TIPO DE PROGRAMA</w:t>
            </w:r>
          </w:p>
        </w:tc>
        <w:tc>
          <w:tcPr>
            <w:tcW w:w="1089"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4B4B4B"/>
              </w:rPr>
              <w:t>a</w:t>
            </w:r>
          </w:p>
        </w:tc>
        <w:tc>
          <w:tcPr>
            <w:tcW w:w="3266"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trPr>
          <w:cantSplit/>
          <w:jc w:val="center"/>
        </w:trPr>
        <w:tc>
          <w:tcPr>
            <w:tcW w:w="7076"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1- SUBSIDIO SECTOR SOCIAL Y PRIVADO O ENTIDADES FEDERATIVAS Y MUNICIPIOS</w:t>
            </w:r>
          </w:p>
        </w:tc>
        <w:tc>
          <w:tcPr>
            <w:tcW w:w="1089"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2,163,499,731</w:t>
            </w:r>
          </w:p>
        </w:tc>
      </w:tr>
      <w:tr w:rsidR="00FA49E9" w:rsidRPr="00EE6AF7">
        <w:trPr>
          <w:cantSplit/>
          <w:jc w:val="center"/>
        </w:trPr>
        <w:tc>
          <w:tcPr>
            <w:tcW w:w="707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 SUJETOS A REGLAS DE OPERACIÓN</w:t>
            </w:r>
          </w:p>
        </w:tc>
        <w:tc>
          <w:tcPr>
            <w:tcW w:w="1089"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w:t>
            </w:r>
          </w:p>
        </w:tc>
        <w:tc>
          <w:tcPr>
            <w:tcW w:w="326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2,163,499,731</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 OTROS SUBSIDIOS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2- DESEMPEÑO DE LAS FUNCIONES</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26,890,310,354</w:t>
            </w:r>
          </w:p>
        </w:tc>
      </w:tr>
      <w:tr w:rsidR="00FA49E9" w:rsidRPr="00EE6AF7">
        <w:trPr>
          <w:cantSplit/>
          <w:jc w:val="center"/>
        </w:trPr>
        <w:tc>
          <w:tcPr>
            <w:tcW w:w="7076"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3- PRESTACIÓN DE SERVICIOS PÚBLICOS</w:t>
            </w:r>
          </w:p>
        </w:tc>
        <w:tc>
          <w:tcPr>
            <w:tcW w:w="1089"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w:t>
            </w:r>
          </w:p>
        </w:tc>
        <w:tc>
          <w:tcPr>
            <w:tcW w:w="3266"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23,739,228,593</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4- PROVISIÓN DE BIENES PÚBLICOS</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B</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5- PLANEACIÓN, SEGUIMIENTO Y EVALUACIÓN DE POLÍTICAS PÚBLICAS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296,225,254</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6- PROMOCIÓN Y FOMENTO</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1,033,648,817</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7- REGULACIÓN Y SUPERVISIÓN</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515,352,791</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8- FUNCIONES DE LAS FUERZAS ARMADAS (UNICAMENTE GOBIERNO FEDERAL)</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9- ESPECÍFICOS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495,303,279</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 PROYECTOS DE INVERSIÓN</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K</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810,551,620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3- ADMINISTRATIVOS Y DE APOYO</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5,667,841,819</w:t>
            </w:r>
          </w:p>
        </w:tc>
      </w:tr>
      <w:tr w:rsidR="00FA49E9" w:rsidRPr="00EE6AF7">
        <w:trPr>
          <w:cantSplit/>
          <w:jc w:val="center"/>
        </w:trPr>
        <w:tc>
          <w:tcPr>
            <w:tcW w:w="707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11- APOYO AL PROCESO PRESUPUESTARIO Y PARA MEJORAR LA EFICIENCIA INSTITUCIONAL</w:t>
            </w:r>
          </w:p>
        </w:tc>
        <w:tc>
          <w:tcPr>
            <w:tcW w:w="1089"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w:t>
            </w:r>
          </w:p>
        </w:tc>
        <w:tc>
          <w:tcPr>
            <w:tcW w:w="326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5,481,067,704</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12- APOYO A LA FUNCIÓN PÚBLICA Y AL MEJORAMIENTO DE LA GESTIÓN</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186,774,115</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13- OPERACIONES AJENAS</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W</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4- COMPROMISOS</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0</w:t>
            </w:r>
          </w:p>
        </w:tc>
      </w:tr>
      <w:tr w:rsidR="00FA49E9" w:rsidRPr="00EE6AF7">
        <w:trPr>
          <w:cantSplit/>
          <w:jc w:val="center"/>
        </w:trPr>
        <w:tc>
          <w:tcPr>
            <w:tcW w:w="707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14- OBLIGACIONES DE CUMPLIMIENTO DE RESOLUCIÓN JURISDICCIONAL</w:t>
            </w:r>
          </w:p>
        </w:tc>
        <w:tc>
          <w:tcPr>
            <w:tcW w:w="1089"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L</w:t>
            </w:r>
          </w:p>
        </w:tc>
        <w:tc>
          <w:tcPr>
            <w:tcW w:w="326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15- DESASTRES NATURALES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N</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5- OBLIGACIONES</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2,154,778,766</w:t>
            </w:r>
          </w:p>
        </w:tc>
      </w:tr>
      <w:tr w:rsidR="00FA49E9" w:rsidRPr="00EE6AF7">
        <w:trPr>
          <w:cantSplit/>
          <w:jc w:val="center"/>
        </w:trPr>
        <w:tc>
          <w:tcPr>
            <w:tcW w:w="7076"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16- PENSIONES Y JUBILACIONES</w:t>
            </w:r>
          </w:p>
        </w:tc>
        <w:tc>
          <w:tcPr>
            <w:tcW w:w="1089"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w:t>
            </w:r>
          </w:p>
        </w:tc>
        <w:tc>
          <w:tcPr>
            <w:tcW w:w="3266"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17- APORTACIONES A LA SEGURIDAD SOCIAL</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18- APORTACIONES A FONDOS DE ESTABILIZACIÓN</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Y</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19- APORTACIONES A FONDOS DE INVERSIÓN Y REESTRUCTURA DE PENSIONES</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Z</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6- PROGRAMAS DE GASTO FEDERALIZADO (GOBIERNO FEDERAL)</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9,161,619,651</w:t>
            </w:r>
          </w:p>
        </w:tc>
      </w:tr>
      <w:tr w:rsidR="00FA49E9" w:rsidRPr="00EE6AF7">
        <w:trPr>
          <w:cantSplit/>
          <w:jc w:val="center"/>
        </w:trPr>
        <w:tc>
          <w:tcPr>
            <w:tcW w:w="707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20- GASTO FEDERALIZADO</w:t>
            </w:r>
          </w:p>
        </w:tc>
        <w:tc>
          <w:tcPr>
            <w:tcW w:w="1089"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w:t>
            </w:r>
          </w:p>
        </w:tc>
        <w:tc>
          <w:tcPr>
            <w:tcW w:w="326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21- PARTICIPACIONES A ENTIDADES FEDERATIVAS Y MUNICIPIOS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22- COSTO FINANCIERO, DEUDA O APOYOS A DEUDORES Y AHORRADORES DE LA BANCA</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23- ADEUDOS DE EJERCICIOS FISCALES ANTERIORES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13" w:name="X46bec2a79670f959ba8631ea28f07c9d7871eb0"/>
      <w:bookmarkEnd w:id="12"/>
      <w:r>
        <w:t>ANEXO 2.5. CLASIFICACIÓN POR TIPO DE GASTO</w:t>
      </w:r>
    </w:p>
    <w:p w:rsidR="00FA49E9" w:rsidRDefault="00FA49E9"/>
    <w:tbl>
      <w:tblPr>
        <w:tblW w:w="0" w:type="auto"/>
        <w:jc w:val="center"/>
        <w:tblLayout w:type="fixed"/>
        <w:tblLook w:val="0420" w:firstRow="1" w:lastRow="0" w:firstColumn="0" w:lastColumn="0" w:noHBand="0" w:noVBand="1"/>
      </w:tblPr>
      <w:tblGrid>
        <w:gridCol w:w="7802"/>
        <w:gridCol w:w="3344"/>
      </w:tblGrid>
      <w:tr w:rsidR="00FA49E9" w:rsidRPr="00EE6AF7">
        <w:trPr>
          <w:cantSplit/>
          <w:jc w:val="center"/>
        </w:trPr>
        <w:tc>
          <w:tcPr>
            <w:tcW w:w="780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TIPO DE GASTO</w:t>
            </w:r>
          </w:p>
        </w:tc>
        <w:tc>
          <w:tcPr>
            <w:tcW w:w="3344"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0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 CORRIENTE</w:t>
            </w:r>
          </w:p>
        </w:tc>
        <w:tc>
          <w:tcPr>
            <w:tcW w:w="3344"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37,942,060,102</w:t>
            </w:r>
          </w:p>
        </w:tc>
      </w:tr>
      <w:tr w:rsidR="00FA49E9" w:rsidRPr="00EE6AF7">
        <w:trPr>
          <w:cantSplit/>
          <w:jc w:val="center"/>
        </w:trPr>
        <w:tc>
          <w:tcPr>
            <w:tcW w:w="780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 DE CAPITAL</w:t>
            </w:r>
          </w:p>
        </w:tc>
        <w:tc>
          <w:tcPr>
            <w:tcW w:w="3344"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1,332,193,634</w:t>
            </w:r>
          </w:p>
        </w:tc>
      </w:tr>
      <w:tr w:rsidR="00FA49E9" w:rsidRPr="00EE6AF7">
        <w:trPr>
          <w:cantSplit/>
          <w:jc w:val="center"/>
        </w:trPr>
        <w:tc>
          <w:tcPr>
            <w:tcW w:w="780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Y APORTACIONES</w:t>
            </w:r>
          </w:p>
        </w:tc>
        <w:tc>
          <w:tcPr>
            <w:tcW w:w="3344"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80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PENSIONES Y JUBILACIONES</w:t>
            </w:r>
          </w:p>
        </w:tc>
        <w:tc>
          <w:tcPr>
            <w:tcW w:w="3344"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2,055,681,348</w:t>
            </w:r>
          </w:p>
        </w:tc>
      </w:tr>
      <w:tr w:rsidR="00FA49E9" w:rsidRPr="00EE6AF7">
        <w:trPr>
          <w:cantSplit/>
          <w:jc w:val="center"/>
        </w:trPr>
        <w:tc>
          <w:tcPr>
            <w:tcW w:w="780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AMORTIZACIÓN DE LA DEUDA Y DISMINUCIÓN DE PASIVOS</w:t>
            </w:r>
          </w:p>
        </w:tc>
        <w:tc>
          <w:tcPr>
            <w:tcW w:w="3344"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615,946,307</w:t>
            </w:r>
          </w:p>
        </w:tc>
      </w:tr>
      <w:tr w:rsidR="00FA49E9" w:rsidRPr="00EE6AF7">
        <w:trPr>
          <w:cantSplit/>
          <w:jc w:val="center"/>
        </w:trPr>
        <w:tc>
          <w:tcPr>
            <w:tcW w:w="780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44"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FA49E9"/>
    <w:p w:rsidR="00FA49E9" w:rsidRDefault="009C1791">
      <w:r>
        <w:rPr>
          <w:b/>
          <w:bCs/>
        </w:rPr>
        <w:t>Nota</w:t>
      </w:r>
      <w:r>
        <w:t>: Considera jubilados y pensionados directos a cargo del Poder Ejecutivo, administrados por el Instituto de Seguridad Social de los Trabajadores del Estado de Yucatán y de la Junta de Agua Potable y Alcantarillado de Yucatán.</w:t>
      </w:r>
    </w:p>
    <w:p w:rsidR="00FA49E9" w:rsidRDefault="009C1791">
      <w:r>
        <w:br w:type="page"/>
      </w:r>
    </w:p>
    <w:p w:rsidR="00FA49E9" w:rsidRDefault="009C1791">
      <w:pPr>
        <w:pStyle w:val="Ttulo3"/>
      </w:pPr>
      <w:bookmarkStart w:id="14" w:name="X033b8bf0a763f70a6333cf97610dd518df1ab2e"/>
      <w:bookmarkEnd w:id="13"/>
      <w:r>
        <w:t>ANEXO 2.6. CLASIFICACIÓN POR OBJETO DEL GASTO POR CAPÍTULO, CONCEPTO, PARTIDA GENÉRICA</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CAPÍTULO / CONCEPTO / PARTIDA GÉNERICA</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PERSONALES</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13,777,619,327</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REMUNERACIONES AL PERSONAL DE CARÁCTER PERMANENTE</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6,978,020,778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SUELDOS BASE AL PERSONAL PERMANENTE</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6,978,020,778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REMUNERACIONES AL PERSONAL DE CARÁCTER TRANSITORIO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1,060,753,446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HONORARIOS ASIMILABLES A SALARIOS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280,025,124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SUELDOS BASE AL PERSONAL EVENTUAL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780,728,322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REMUNERACIONES ADICIONALES Y ESPECIALES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1,868,103,551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PRIMAS POR AÑOS DE SERVICIOS EFECTIVOS PRESTADOS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26,741,848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PRIMAS DE VACACIONES, DOMINICAL Y GRATIFICACIÓN DE FIN DE AÑO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1,186,212,367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HORAS EXTRAORDINARIAS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1,983,640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COMPENSACIONES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284,931,357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HONORARIOS ESPECIALES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16,549,759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POR VIGILANCIA EN EL CUMPLIMIENTO DE LAS LEYES Y CUSTODIA DE VALORES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351,684,580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SEGURIDAD SOCIAL</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1,296,562,641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 DE SEGURIDAD SOCIAL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924,744,603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 A FONDOS DE VIVIENDA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189,208,011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 PARA SEGUROS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182,610,027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OTRAS PRESTACIONES SOCIALES Y ECONÓMICAS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1,090,157,559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CUOTAS PARA EL FONDO DE AHORRO Y FONDO DE TRABAJO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61,305,782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INDEMNIZACIONES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PRESTACIONES Y HABERES DE RETIRO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22,479,224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PRESTACIONES CONTRACTUALES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163,812,460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OTRAS PRESTACIONES SOCIALES Y ECONÓMICAS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805,560,093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PREVISIONES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245,942,764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PREVISIONES DE CARÁCTER LABORAL, ECONÓMICA Y DE SEGURIDAD SOCIAL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245,942,764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PAGO DE ESTÍMULOS A SERVIDORES PÚBLICOS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1,238,078,588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ESTÍMULOS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1,238,078,588</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MATERIALES Y SUMINISTROS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1,234,440,690</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MATERIALES DE ADMINISTRACIÓN, EMISIÓN DE DOCUMENTOS Y ARTÍCULOS OFICIALES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337,322,632</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ÚTILES Y EQUIPOS MENORES DE OFICINA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36,106,575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Y ÚTILES DE IMPRESIÓN Y REPRODUCCIÓN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5,220,560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 ESTADÍSTICO Y GEOGRÁFICO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ÚTILES Y EQUIPOS MENORES DE TECNOLOGÍAS DE LA INFORMACIÓN Y COMUNICACIONES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24,332,815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 IMPRESO E INFORMACIÓN DIGITAL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3,618,829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 DE LIMPIEZA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79,184,248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Y ÚTILES DE ENSEÑANZA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70,546,485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PARA EL REGISTRO E IDENTIFICACIÓN DE BIENES Y PERSONAS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117,313,120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ALIMENTOS Y UTENSILIOS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180,841,821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ALIMENTICIOS PARA PERSONAS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167,057,953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ALIMENTICIOS PARA ANIMALES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1,619,680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UTENSILIOS PARA EL SERVICIO DE ALIMENTACIÓN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12,164,188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MATERIALES Y ARTÍCULOS DE CONSTRUCCIÓN Y DE REPARACIÓN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69,236,379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MINERALES NO METÁLICOS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7,901,431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CEMENTO Y PRODUCTOS DE CONCRETO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14,220,676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CAL, YESO Y PRODUCTOS DE YESO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9,561,661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MADERA Y PRODUCTOS DE MADERA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5,176,567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VIDRIO Y PRODUCTOS DE VIDRIO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2,079,773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 ELÉCTRICO Y ELECTRÓNICO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8,615,468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ARTÍCULOS METÁLICOS PARA LA CONSTRUCCIÓN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10,248,001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COMPLEMENTARIOS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6,727,358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MATERIALES Y ARTÍCULOS DE CONSTRUCCIÓN Y REPARACIÓN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4,705,444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PRODUCTOS QUÍMICOS, FARMACÉUTICOS Y DE LABORATORIO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44,132,993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QUÍMICOS BÁSICOS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7,723,680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FERTILIZANTES, PESTICIDAS Y OTROS AGROQUÍMICOS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163,989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MEDICINAS Y PRODUCTOS FARMACÉUTICOS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22,059,430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ACCESORIOS Y SUMINISTROS MÉDICOS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13,559,277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ACCESORIOS Y SUMINISTROS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400,797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FIBRAS SINTÉTICAS, HULES, PLÁSTICOS Y DERIVADOS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120,553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PRODUCTOS QUÍMICOS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105,267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COMBUSTIBLES, LUBRICANTES Y ADITIVOS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361,147,153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COMBUSTIBLES, LUBRICANTES Y ADITIVOS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361,147,153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VESTUARIO, BLANCOS, PRENDAS DE PROTECCIÓN Y ARTÍCULOS DEPORTIVOS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81,833,739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VESTUARIO Y UNIFORMES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66,490,155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PRENDAS DE SEGURIDAD Y PROTECCIÓN PERSONAL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14,558,430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ARTÍCULOS DEPORTIVOS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334,500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TEXTILES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404,217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BLANCOS Y OTROS PRODUCTOS TEXTILES, EXCEPTO PRENDAS DE VESTIR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46,437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HERRAMIENTAS, REFACCIONES Y ACCESORIOS MENORES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159,925,973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HERRAMIENTAS MENORES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3,675,343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EDIFICIOS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4,740,500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MOBILIARIO Y EQUIPO DE ADMINISTRACIÓN, EDUCACIONAL Y RECREATIVO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6,174,569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EQUIPO DE CÓMPUTO Y TECNOLOGÍAS DE LA INFORMACIÓN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18,298,792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EQUIPO E INSTRUMENTAL MÉDICO Y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5,189,151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EQUIPO DE TRANSPORTE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82,349,501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EQUIPO DE DEFENSA Y SEGURIDAD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MAQUINARIA Y OTROS EQUIPOS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655,683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OTROS BIENES MUEBLES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38,832,434</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GENERALES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3,146,113,205</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BÁSICOS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258,111,101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ENERGÍA ELÉCTRICA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203,031,439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3,542,696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AGUA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5,278,414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TELEFONÍA TRADICIONAL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20,698,927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TELEFONÍA CELULAR</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2,791,636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TELECOMUNICACIONES Y SATÉLITES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13,047,000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ACCESO DE INTERNET, REDES Y PROCESAMIENTO DE INFORMACIÓN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8,155,128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POSTALES Y TELEGRÁFICOS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1,565,861</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DE ARRENDAMIENTO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860,263,259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EDIFICIOS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28,859,332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MOBILIARIO Y EQUIPO DE ADMINISTRACIÓN, EDUCACIONAL Y RECREATIVO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58,727,800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EQUIPO E INSTRUMENTAL MÉDICO Y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11,695,832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EQUIPO DE TRANSPORTE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447,238,624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MAQUINARIA, OTROS EQUIPOS Y HERRAMIENTAS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16,845,974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ACTIVOS INTANGIBLES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24,933,219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ARRENDAMIENTOS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271,962,478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PROFESIONALES, CIENTÍFICOS, TÉCNICOS Y OTROS SERVICIOS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409,072,161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LEGALES, DE CONTABILIDAD, AUDITORÍA Y RELACIONADOS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101,301,968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DISEÑO, ARQUITECTURA, INGENIERÍA Y ACTIVIDADES RELACIONADAS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CONSULTORÍA ADMINISTRATIVA, PROCESOS, TÉCNICA Y EN TECNOLOGÍAS DE LA INFORMACIÓN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87,778,425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CAPACITACIÓN A SERVIDORES PÚBLICOS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36,548,930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INVESTIGACIÓN CIENTÍFICA Y DESARROLLO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APOYO ADMINISTRATIVO, FOTOCOPIADO E IMPRESIÓN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36,471,119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VIGILANCIA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44,509,823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PROFESIONALES, CIENTÍFICOS Y TÉCNICOS INTEGRALES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90,500,896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FINANCIEROS, BANCARIOS Y COMERCIALES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209,275,458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FINANCIEROS Y BANCARIOS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132,035,423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RECAUDACIÓN, TRASLADO Y CUSTODIA DE VALORES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7,651,500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SEGUROS DE RESPONSABILIDAD PATRIMONIAL Y FINANZAS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79,800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SEGURO DE BIENES PATRIMONIALES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68,186,631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ALMACENAJE, ENVASE Y EMBALAJE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FLETES Y MANIOBRAS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1,321,954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DE INSTALACIÓN, REPARACIÓN, MANTENIMIENTO Y CONSERVACIÓN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669,144,244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CONSERVACIÓN Y MANTENIMIENTO MENOR DE INMUEBLES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319,976,983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INSTALACIÓN, REPARACIÓN Y MANTENIMIENTO DE MOBILIARIO Y EQUIPO DE ADMINISTRACIÓN, EDUCACIONAL Y RECREATIVO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12,558,315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INSTALACIÓN, REPARACIÓN Y MANTENIMIENTO DE EQUIPO DE CÓMPUTO Y TECNOLOGÍAS DE LA INFORMACIÓN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81,865,657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INSTALACIÓN, REPARACIÓN Y MANTENIMIENTO DE EQUIPO E INSTRUMENTAL MÉDICO Y DE LABORATORIO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5,095,002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REPARACIÓN Y MANTENIMIENTO DE EQUIPO DE TRANSPORTE</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89,686,609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REPARACIÓN Y MANTENIMIENTO DE EQUIPO DE DEFENSA Y SEGURIDAD</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75,946,390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INSTALACIÓN, REPARACIÓN Y MANTENIMIENTO DE MAQUINARIA, OTROS EQUIPOS Y HERRAMIENTA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19,483,848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LIMPIEZA Y MANEJO DE DESECHOS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51,416,536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JARDINERÍA Y FUMIGACIÓN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13,114,904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DE COMUNICACIÓN SOCIAL Y PUBLICIDAD</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83,936,130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DIFUSIÓN POR RADIO, TELEVISIÓN Y OTROS MEDIOS DE MENSAJES SOBRE PROGRAMAS Y ACTIVIDADES GUBERNAMENTALES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56,785,004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DIFUSIÓN POR RADIO, TELEVISIÓN Y OTROS MEDIOS DE MENSAJES COMERCIALES PARA PROMOVER LA VENTA DE BIENES O SERVICIOS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24,617,686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SERVICIOS DE INFORMACIÓN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2,533,440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DE TRASLADO Y VIÁTICOS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40,416,199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PASAJES AÉREOS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11,730,402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PASAJES TERRESTRES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398,434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PASAJES MARÍTIMOS, LACUSTRES Y FLUVIALES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VIÁTICOS EN EL PAÍS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19,400,547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VIÁTICOS EN EL EXTRANJERO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4,374,624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SERVICIOS DE TRASLADO Y HOSPEDAJE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4,428,192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OFICIALES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48,961,277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CEREMONIAL</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9,624,765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ORDEN SOCIAL Y CULTURAL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7,082,708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CONGRESOS Y CONVENCIONES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27,678,736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EXPOSICIONES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4,560,521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REPRESENTACIÓN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14,547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OTROS SERVICIOS GENERALES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566,933,376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FUNERARIOS Y DE CEMENTERIOS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3,986,092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IMPUESTOS Y DERECHOS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8,622,615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PENAS, MULTAS, ACCESORIOS Y ACTUALIZACIONES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GASTOS POR RESPONSABILIDADES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144,801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IMPUESTOS SOBRE NÓMINAS Y OTROS QUE SE DERIVEN DE UNA RELACIÓN LABORAL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551,767,175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SERVICIOS GENERALES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2,162,693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TRANSFERENCIAS, ASIGNACIONES, SUBSIDIOS Y OTRAS AYUDAS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18,647,214,509</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TRANSFERENCIAS INTERNAS Y ASIGNACIONES AL SECTOR PÚBLICO</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15,051,906,761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ASIGNACIONES PRESUPUESTARIAS AL PODER EJECUTIVO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229,684,703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ASIGNACIONES PRESUPUESTARIAS AL PODER LEGISLATIVO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225,583,450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ASIGNACIONES PRESUPUESTARIAS AL PODER JUDICIAL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633,836,980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ASIGNACIONES PRESUPUESTARIAS A ÓRGANOS AUTÓNOMOS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2,714,117,743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INTERNAS OTORGADAS A ENTIDADES PARAESTATALES NO EMPRESARIALES Y NO FINANCIERAS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11,183,680,865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INTERNAS OTORGADAS A ENTIDADES PARAESTATALES EMPRESARIALES Y NO FINANCIERAS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65,003,020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TRANSFERENCIAS AL RESTO DEL SECTOR PÚBLICO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453,786,800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OTORGADAS A ORGANISMOS ENTIDADES PARAESTATALES NO EMPRESARIALES Y NO FINANCIERAS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453,786,800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Y SUBVENCIONES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642,203,224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SUBSIDIOS A LA PRODUCCIÓN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216,400,000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SUBSIDIOS A LA INVERSIÓN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280,439,200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SUBSIDIOS A LA PRESTACIÓN DE SERVICIOS PÚBLICOS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100,535,566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SUBSIDIOS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44,828,458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AYUDAS SOCIALES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421,967,735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AYUDAS SOCIALES A PERSONAS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269,771,507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BECAS Y OTRAS AYUDAS PARA PROGRAMAS DE CAPACITACIÓN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6,051,625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AYUDAS SOCIALES A INSTITUCIONES SIN FINES DE LUCRO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41,549,620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AYUDAS SOCIALES A ENTIDADES DE INTERÉS PÚBLICO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104,594,983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PENSIONES Y JUBILACIONES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2,055,681,348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292,091,238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1,760,075,852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OTRAS PENSIONES Y JUBILACIONES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3,514,258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DONATIVOS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21,668,641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DONATIVOS A INSTITUCIONES SIN FINES DE LUCRO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21,668,641</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BIENES MUEBLES, INMUEBLES E INTANGIBLES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117,611,114</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MOBILIARIO Y EQUIPO DE ADMINISTRACIÓN</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30,763,819</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MUEBLES DE OFICINA Y ESTANTERÍA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178,188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 DE CÓMPUTO Y DE TECNOLOGÍA DE LA INFORMACIÓN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30,185,631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MOBILIARIOS Y EQUIPOS DE ADMINISTRACIÓN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MOBILIARIO Y EQUIPO EDUCACIONAL Y RECREATIVO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736,451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EQUIPOS Y APARATOS AUDIOVISUALES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447,933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CÁMARAS FOTOGRÁFICAS Y DE VIDEO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288,518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EQUIPO E INSTRUMENTAL MÉDICO Y DE LABORATORIO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88,896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 MÉDICO Y DE LABORATORIO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88,896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VEHÍCULOS Y EQUIPO DE TRANSPORTE</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70,240,000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CARROCERÍAS Y REMOLQUES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70,000,000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EMBARCACIONES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MAQUINARIA, OTROS EQUIPOS Y HERRAMIENTAS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1,781,948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MAQUINARIA Y EQUIPO INDUSTRIAL</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16,001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SISTEMAS DE AIRE ACONDICIONADO, CALEFACCIÓN Y DE REFRIGERACIÓN INDUSTRIAL Y COMERCIAL.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351,371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 DE COMUNICACIÓN Y TELECOMUNICACIÓN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35,552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EQUIPOS DE GENERACIÓN ELÉCTRICA, APARATOS Y ACCESORIOS ELÉCTRICOS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HERRAMIENTAS Y MÁQUINAS-HERRAMIENTA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1,150,524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EQUIPOS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34,500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ACTIVOS INTANGIBLES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14,000,000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SOFTWARE</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LICENCIAS INFORMÁTICAS E INTELECTUALES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INVERSIÓN PÚBLICA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111,846,456</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OBRA PÚBLICA EN BIENES PROPIOS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111,846,456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EDIFICACIÓN NO HABITACIONAL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111,846,456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INVERSIONES FINANCIERAS Y OTRAS PROVISIONES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21,300,100</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INVERSIONES PARA EL FOMENTO DE ACTIVIDADES PRODUCTIVAS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3,700,100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CRÉDITOS OTORGADOS POR ENTIDADES FEDERATIVAS Y MUNICIPIOS AL SECTOR SOCIAL Y PRIVADO PARA EL FOMENTO DE ACTIVIDADES PRODUCTIVAS.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3,700,100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ACCIONES Y PARTICIPACIONES DE CAPITAL</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1,100,000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ACCIONES Y PARTICIPACIONES DE CAPITAL EN ENTIDADES PARAESTATALES EMPRESARIALES Y NO FINANCIERAS CON FINES DE POLÍTICA ECONÓMICA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1,100,000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INVERSIONES EN FIDEICOMISOS, MANDATOS Y OTROS ANÁLOGOS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500,000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INVERSIONES EN FIDEICOMISOS DEL PODER EJECUTIVO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PROVISIONES PARA CONTINGENCIAS Y OTRAS EROGACIONES ESPECIALES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16,000,000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CONTINGENCIAS POR FENÓMENOS NATURALES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OTRAS EROGACIONES ESPECIALES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13,000,000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PARTICIPACIONES Y APORTACIONES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7,586,328,273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PARTICIPACIONES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4,092,168,930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FONDO GENERAL DE PARTICIPACIONES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2,461,383,381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FONDO DE FOMENTO MUNICIPAL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1,018,542,485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DE LAS ENTIDADES FEDERATIVAS A LOS MUNICIPIOS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612,243,064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APORTACIONES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3,494,159,343</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 DE LA FEDERACIÓN A MUNICIPIOS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DEUDA PÚBLICA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1,395,576,647</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AMORTIZACIÓN DE LA DEUDA PÚBLICA</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615,946,307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AMORTIZACIÓN DE LA DEUDA INTERNA CON INSTITUCIONES DE CRÉDITO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615,946,307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INTERESES DE LA DEUDA PÚBLICA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582,328,808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INTERESES DE LA DEUDA INTERNA CON INSTITUCIONES DE CRÉDITO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582,328,808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GASTOS DE LA DEUDA PÚBLICA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3,629,072</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LA DEUDA PÚBLICA INTERNA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3,629,072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COSTO POR COBERTURAS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43,672,460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COSTOS POR COBERTURA DE LA DEUDA PÚBLICA INTERNA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43,672,460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ADEUDOS DE EJERCICIOS FISCALES ANTERIORES (ADEFAS)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150,000,000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ADEFAS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150,000,000</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15" w:name="Xab1531f8a234561b8f941b683be841ee5fb00aa"/>
      <w:bookmarkEnd w:id="14"/>
      <w:r>
        <w:t xml:space="preserve">ANEXO 2.7 ALINEACIÓN </w:t>
      </w:r>
      <w:r w:rsidR="00461BEB">
        <w:t>CON EL</w:t>
      </w:r>
      <w:r>
        <w:t xml:space="preserve"> PLAN ESTATAL DE DESARROLLO (PED 2018-2024)</w:t>
      </w:r>
    </w:p>
    <w:p w:rsidR="00FA49E9" w:rsidRDefault="00FA49E9"/>
    <w:tbl>
      <w:tblPr>
        <w:tblW w:w="0" w:type="auto"/>
        <w:jc w:val="center"/>
        <w:tblLayout w:type="fixed"/>
        <w:tblLook w:val="0420" w:firstRow="1" w:lastRow="0" w:firstColumn="0" w:lastColumn="0" w:noHBand="0" w:noVBand="1"/>
      </w:tblPr>
      <w:tblGrid>
        <w:gridCol w:w="7258"/>
        <w:gridCol w:w="3110"/>
      </w:tblGrid>
      <w:tr w:rsidR="00C437BF" w:rsidRPr="00EE6AF7" w:rsidTr="00C437BF">
        <w:trPr>
          <w:cantSplit/>
          <w:jc w:val="center"/>
        </w:trPr>
        <w:tc>
          <w:tcPr>
            <w:tcW w:w="7258" w:type="dxa"/>
            <w:tcBorders>
              <w:top w:val="nil"/>
              <w:left w:val="nil"/>
              <w:bottom w:val="single" w:sz="18" w:space="0" w:color="FFFFFF"/>
              <w:right w:val="nil"/>
            </w:tcBorders>
            <w:shd w:val="clear" w:color="auto" w:fill="4B4B4B"/>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b/>
                <w:color w:val="FFFFFF"/>
              </w:rPr>
              <w:t>EJE / POLÍTICA PÚBLICA</w:t>
            </w:r>
          </w:p>
        </w:tc>
        <w:tc>
          <w:tcPr>
            <w:tcW w:w="3110" w:type="dxa"/>
            <w:tcBorders>
              <w:top w:val="nil"/>
              <w:left w:val="nil"/>
              <w:bottom w:val="single" w:sz="18" w:space="0" w:color="FFFFFF"/>
              <w:right w:val="nil"/>
            </w:tcBorders>
            <w:shd w:val="clear" w:color="auto" w:fill="4B4B4B"/>
            <w:tcMar>
              <w:top w:w="0" w:type="dxa"/>
              <w:left w:w="0" w:type="dxa"/>
              <w:bottom w:w="0" w:type="dxa"/>
              <w:right w:w="0" w:type="dxa"/>
            </w:tcMar>
            <w:hideMark/>
          </w:tcPr>
          <w:p w:rsidR="00C437BF" w:rsidRPr="00EE6AF7" w:rsidRDefault="00C437BF">
            <w:pPr>
              <w:spacing w:before="120" w:after="120"/>
              <w:ind w:left="120" w:right="120"/>
              <w:jc w:val="center"/>
            </w:pPr>
            <w:r>
              <w:rPr>
                <w:rFonts w:eastAsia="Arial" w:cs="Arial"/>
                <w:b/>
                <w:color w:val="FFFFFF"/>
              </w:rPr>
              <w:t>IMPORTE</w:t>
            </w:r>
          </w:p>
        </w:tc>
      </w:tr>
      <w:tr w:rsidR="00C437BF" w:rsidRPr="00EE6AF7" w:rsidTr="00C437BF">
        <w:trPr>
          <w:cantSplit/>
          <w:jc w:val="center"/>
        </w:trPr>
        <w:tc>
          <w:tcPr>
            <w:tcW w:w="7258" w:type="dxa"/>
            <w:tcBorders>
              <w:top w:val="single" w:sz="18" w:space="0" w:color="FFFFFF"/>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01- YUCATÁN CON ECONOMÍA INCLUSIVA</w:t>
            </w:r>
          </w:p>
        </w:tc>
        <w:tc>
          <w:tcPr>
            <w:tcW w:w="3110" w:type="dxa"/>
            <w:tcBorders>
              <w:top w:val="single" w:sz="18" w:space="0" w:color="FFFFFF"/>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1,541,195,002</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01.01. DESARROLLO COMERCIAL Y FORTALECIMIENTO DE LAS EMPRESAS LOCALES</w:t>
            </w:r>
          </w:p>
        </w:tc>
        <w:tc>
          <w:tcPr>
            <w:tcW w:w="3110"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695,438,348</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01.02. COMPETITIVIDAD E INVERSIÓN EXTRANJERA</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125,495,605</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01.03. DESARROLLO INDUSTRIAL</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89,853,729</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01.04. IMPULSO AL TURISMO</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213,019,246</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01.05. CAPITAL HUMANO GENERADOR DE DESARROLLO Y TRABAJO DECENTE</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22,474,454</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01.06. FOMENTO EMPRESARIAL Y AL EMPRENDIMIENTO</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36,633,194</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01.07. DESARROLLO AGROPECUARIO</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262,932,708</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01.08. DESARROLLO PESQUERO</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95,347,718</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02- YUCATÁN CON CALIDAD DE VIDA Y BIENESTAR SOCIAL</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21,893,658,106</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02.01. SALUD Y BIENESTAR</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5,330,350,151</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02.02. HAMBRE CERO</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2,967,369,731</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02.03. PUEBLOS INDÍGENAS</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12,962,205</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02.04. EDUCACIÓN INTEGRAL DE CALIDAD</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12,377,762,778</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02.05. ACCESO A LA VIVIENDA</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455,220,077</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02.06. SEGURIDAD SOCIAL</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749,993,164</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03- YUCATÁN CULTURAL CON IDENTIDAD PARA EL DESARROLLO</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761,731,900</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03.01. ACCESO UNIVERSAL A LA CULTURA</w:t>
            </w:r>
          </w:p>
        </w:tc>
        <w:tc>
          <w:tcPr>
            <w:tcW w:w="3110"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157,284,697</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03.02. CULTURA TRADICIONAL</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41,556,047</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03.03. BELLAS ARTES</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96,448,457</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03.04. EDUCACIÓN ARTÍSTICA Y CULTURAL</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21,737,526</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03.05. PATRIMONIO CULTURAL</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233,697,926</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03.06. FOMENTO AL DEPORTE</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211,007,247</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04- YUCATÁN VERDE Y SUSTENTABLE</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1,070,808,984</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04.01. CONSERVACIÓN DE RECURSOS NATURALES</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42,384,931</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04.02. ACCIÓN POR EL CLIMA</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9,726,112</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04.03. AGUA LIMPIA Y SANEAMIENTO</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411,907,945</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04.04. MANEJO INTEGRAL DE RESIDUOS</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70,363,000</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04.05. ENERGÍA ASEQUIBLE Y NO CONTAMINANTE</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3,297,163</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04.06. VIDA SUBMARINA</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347,000</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04.07. MOVILIDAD SUSTENTABLE</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532,782,833</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05- IGUALDAD DE GÉNERO, OPORTUNIDADES Y NO DISCRIMINACIÓN</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572,269,343</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05.01. IGUALDAD DE GÉNERO</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185,764,066</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05.02. INCLUSIÓN SOCIAL Y ATENCIÓN A GRUPOS EN SITUACIÓN DE VULNERABILIDAD</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386,505,277</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06- INNOVACIÓN, CONOCIMIENTO Y TECNOLOGÍA</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834,837,771</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06.01. EDUCACIÓN SUPERIOR Y ENSEÑANZA CIENTÍFICA Y TÉCNICA</w:t>
            </w:r>
          </w:p>
        </w:tc>
        <w:tc>
          <w:tcPr>
            <w:tcW w:w="3110"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804,831,700</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06.02. CONOCIMIENTO CIENTÍFICO, TECNOLÓGICO E INNOVACIÓN</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30,006,071</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07- PAZ, JUSTICIA Y GOBERNABILIDAD</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9,602,487,551</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07.01. PAZ</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3,455,431,077</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07.02. JUSTICIA</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1,230,311,344</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07.03. GOBERNABILIDAD</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4,916,745,130</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08- GOBIERNO ABIERTO, EFICIENTE Y CON FINANZAS SANAS</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5,304,334,621</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08.01. GOBIERNO ABIERTO Y COMBATE A LA CORRUPCIÓN</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458,512,291</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08.02. GESTIÓN PARA RESULTADOS EN EL DESARROLLO</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43,689,895</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08.03. MEJORA REGULATORIA E INNOVACIÓN DE LA GESTIÓN PÚBLICA</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92,281,364</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08.04. FINANZAS SANAS</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4,709,851,071</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09- CIUDADES Y COMUNIDADES SOSTENIBLES</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4,456,727,043</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09.01. INVERSIÓN PÚBLICA</w:t>
            </w:r>
          </w:p>
        </w:tc>
        <w:tc>
          <w:tcPr>
            <w:tcW w:w="3110"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3,883,759,318</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09.02. CONECTIVIDAD Y TRANSPORTE</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223,215,244</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09.03. INFRAESTRUCTURA DIGITAL</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142,541,556</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09.04. ORDENAMIENTO TERRITORIAL</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207,210,925</w:t>
            </w:r>
          </w:p>
        </w:tc>
      </w:tr>
      <w:tr w:rsidR="00C437BF" w:rsidRPr="00EE6AF7" w:rsidTr="00C437BF">
        <w:trPr>
          <w:cantSplit/>
          <w:jc w:val="center"/>
        </w:trPr>
        <w:tc>
          <w:tcPr>
            <w:tcW w:w="7258" w:type="dxa"/>
            <w:shd w:val="clear" w:color="auto" w:fill="4B4B4B"/>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16" w:name="Xf4648b52fca2ad15532762c106ea14e47fe3885"/>
      <w:bookmarkEnd w:id="15"/>
      <w:r>
        <w:t xml:space="preserve">ANEXO 2.8 ALINEACIÓN </w:t>
      </w:r>
      <w:r w:rsidR="00461BEB">
        <w:t>CON</w:t>
      </w:r>
      <w:r>
        <w:t xml:space="preserve"> LOS OBJETIVOS DEL DESARROLLO </w:t>
      </w:r>
      <w:r w:rsidR="003A60CA">
        <w:t>SOSTENIBLE</w:t>
      </w:r>
      <w:r>
        <w:t xml:space="preserve"> (ODS)</w:t>
      </w:r>
    </w:p>
    <w:p w:rsidR="00FA49E9" w:rsidRDefault="00FA49E9"/>
    <w:p w:rsidR="005A3760" w:rsidRDefault="005015FE">
      <w:r>
        <w:t xml:space="preserve"> </w:t>
      </w:r>
    </w:p>
    <w:tbl>
      <w:tblPr>
        <w:tblW w:w="4824" w:type="pct"/>
        <w:tblCellMar>
          <w:left w:w="0" w:type="dxa"/>
          <w:right w:w="0" w:type="dxa"/>
        </w:tblCellMar>
        <w:tblLook w:val="04A0" w:firstRow="1" w:lastRow="0" w:firstColumn="1" w:lastColumn="0" w:noHBand="0" w:noVBand="1"/>
      </w:tblPr>
      <w:tblGrid>
        <w:gridCol w:w="7960"/>
        <w:gridCol w:w="2701"/>
      </w:tblGrid>
      <w:tr w:rsidR="005A3760" w:rsidRPr="00EE6AF7" w:rsidTr="00BC6C3E">
        <w:trPr>
          <w:trHeight w:val="567"/>
        </w:trPr>
        <w:tc>
          <w:tcPr>
            <w:tcW w:w="3733" w:type="pct"/>
            <w:tcBorders>
              <w:top w:val="nil"/>
              <w:left w:val="nil"/>
              <w:bottom w:val="nil"/>
              <w:right w:val="nil"/>
            </w:tcBorders>
            <w:shd w:val="clear" w:color="000000" w:fill="4B4B4B"/>
            <w:tcMar>
              <w:top w:w="15" w:type="dxa"/>
              <w:left w:w="15" w:type="dxa"/>
              <w:bottom w:w="0" w:type="dxa"/>
              <w:right w:w="15" w:type="dxa"/>
            </w:tcMar>
            <w:vAlign w:val="center"/>
            <w:hideMark/>
          </w:tcPr>
          <w:p w:rsidR="005A3760" w:rsidRPr="00EE6AF7" w:rsidRDefault="00CB486B" w:rsidP="00BC6C3E">
            <w:pPr>
              <w:jc w:val="center"/>
              <w:rPr>
                <w:rFonts w:cs="Arial"/>
                <w:b/>
                <w:bCs/>
                <w:color w:val="FFFFFF"/>
              </w:rPr>
            </w:pPr>
            <w:r w:rsidRPr="00EE6AF7">
              <w:rPr>
                <w:rFonts w:cs="Arial"/>
                <w:b/>
                <w:bCs/>
                <w:color w:val="FFFFFF"/>
              </w:rPr>
              <w:t>OBJETIVOS DEL DESARROLLO SOSTENIBLE</w:t>
            </w:r>
          </w:p>
        </w:tc>
        <w:tc>
          <w:tcPr>
            <w:tcW w:w="1267" w:type="pct"/>
            <w:tcBorders>
              <w:top w:val="nil"/>
              <w:left w:val="nil"/>
              <w:bottom w:val="nil"/>
              <w:right w:val="nil"/>
            </w:tcBorders>
            <w:shd w:val="clear" w:color="000000" w:fill="4B4B4B"/>
            <w:noWrap/>
            <w:tcMar>
              <w:top w:w="15" w:type="dxa"/>
              <w:left w:w="15" w:type="dxa"/>
              <w:bottom w:w="0" w:type="dxa"/>
              <w:right w:w="15" w:type="dxa"/>
            </w:tcMar>
            <w:vAlign w:val="center"/>
            <w:hideMark/>
          </w:tcPr>
          <w:p w:rsidR="005A3760" w:rsidRPr="00EE6AF7" w:rsidRDefault="00CB486B" w:rsidP="00BC6C3E">
            <w:pPr>
              <w:jc w:val="center"/>
              <w:rPr>
                <w:rFonts w:cs="Arial"/>
                <w:b/>
                <w:bCs/>
                <w:color w:val="FFFFFF"/>
              </w:rPr>
            </w:pPr>
            <w:r w:rsidRPr="00EE6AF7">
              <w:rPr>
                <w:rFonts w:cs="Arial"/>
                <w:b/>
                <w:bCs/>
                <w:color w:val="FFFFFF"/>
              </w:rPr>
              <w:t>IMPORTE</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jc w:val="left"/>
              <w:rPr>
                <w:rFonts w:cs="Arial"/>
                <w:color w:val="000000"/>
              </w:rPr>
            </w:pPr>
            <w:r w:rsidRPr="00EE6AF7">
              <w:rPr>
                <w:rFonts w:cs="Arial"/>
                <w:color w:val="000000"/>
              </w:rPr>
              <w:t>OBJETIVO 1. PONER FIN A LA POBREZA EN TODAS SUS FORMAS EN TODO EL MUNDO</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D04924" w:rsidP="00BC6C3E">
            <w:pPr>
              <w:jc w:val="right"/>
              <w:rPr>
                <w:rFonts w:cs="Arial"/>
                <w:color w:val="000000"/>
              </w:rPr>
            </w:pPr>
            <w:r w:rsidRPr="00EE6AF7">
              <w:rPr>
                <w:rFonts w:cs="Arial"/>
                <w:color w:val="000000"/>
              </w:rPr>
              <w:t xml:space="preserve">       </w:t>
            </w:r>
            <w:r w:rsidR="00CB486B" w:rsidRPr="00EE6AF7">
              <w:rPr>
                <w:rFonts w:cs="Arial"/>
                <w:color w:val="000000"/>
              </w:rPr>
              <w:t xml:space="preserve">770,675,683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2. PONER FIN AL HAMBRE, LOGRAR LA SEGURIDAD ALIMENTARIA Y LA MEJORA DE LA NUTRICIÓN Y PROMOVER LA AGRICULTURA SOSTENIBLE</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3,157,098,521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3. GARANTIZAR UNA VIDA SANA Y PROMOVER EL BIENESTAR PARA TODOS EN TODAS LAS EDADES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5,534,926,510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4. GARANTIZAR UNA EDUCACIÓN INCLUSIVA, EQUITATIVA Y DE CALIDAD Y PROMOVER OPORTUNIDADES DE APRENDIZAJE DURANTE TODA LA VIDA PARA TODOS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12,814,311,351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5. LOGRAR LA IGUALDAD ENTRE LOS GÉNEROS Y EMPODERAR A TODAS LAS MUJERES Y LAS NIÑAS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187,637,275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6. GARANTIZAR LA DISPONIBILIDAD DE AGUA Y SU GESTIÓN SOSTENIBLE Y EL SANEAMIENTO PARA TODOS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417,810,385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7. GARANTIZAR EL ACCESO A UNA ENERGÍA ASEQUIBLE, SEGURA, SOSTENIBLE Y MODERNA PARA TODOS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3,297,163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8. PROMOVER EL CRECIMIENTO ECONÓMICO SOSTENIDO, INCLUSIVO Y SOSTENIBLE, EL EMPLEO PLENO Y PRODUCTIVO Y EL TRABAJO DECENTE PARA TODOS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1,257,538,343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9. CONSTRUIR INFRAESTRUCTURAS RESILIENTES, PROMOVER LA INDUSTRIALIZACIÓN INCLUSIVA Y SOSTENIBLE Y FOMENTAR LA INNOVACIÓN</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4,624,179,615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10. REDUCIR LA DESIGUALDAD EN Y ENTRE LOS PAÍSES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371,691,721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11. LOGRAR QUE LAS CIUDADES Y LOS ASENTAMIENTOS HUMANOS SEAN INCLUSIVOS, SEGUROS, RESILIENTES Y SOSTENIBLES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1,680,055,103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12. GARANTIZAR MODALIDADES DE CONSUMO Y PRODUCCIÓN SOSTENIBLES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2,301,500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13. ADOPTAR MEDIDAS URGENTES PARA COMBATIR EL CAMBIO CLIMÁTICO Y SUS EFECTOS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79,787,612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14. CONSERVAR Y UTILIZAR EN FORMA SOSTENIBLE LOS OCÉANOS, LOS MARES Y LOS RECURSOS MARINOS PARA EL DESARROLLO SOSTENIBLE</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5,986,871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15. PROTEGER, RESTABLECER Y PROMOVER EL USO SOSTENIBLE DE LOS ECOSISTEMAS TERRESTRES, GESTIONAR LOS BOSQUES DE FORMA SOSTENIBLE DE LOS BOSQUES, LUCHAR CONTRA LA DESERTIFICACIÓN, DETENER E INVERTIR LA DEGRADACIÓN DE LAS TIERRAS Y PONER FRENO A LA PÉRDIDA DE LA DIVERSIDAD BIOLÓGICA</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42,384,931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16. PROMOVER SOCIEDADES PACÍFICAS E INCLUSIVAS PARA EL DESARROLLO SOSTENIBLE, FACILITAR EL ACCESO A LA JUSTICIA PARA TODOS Y CREAR INSTITUCIONES EFICACES, RESPONSABLES E INCLUSIVAS A TODOS LOS NIVELES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14,550,084,884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17. FORTALECER LOS MEDIOS DE EJECUCIÓN Y REVITALIZAR LA ALIANZA MUNDIAL PARA EL DESARROLLO SOSTENIBLE</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443,205,528 </w:t>
            </w:r>
          </w:p>
        </w:tc>
      </w:tr>
      <w:tr w:rsidR="005A3760" w:rsidRPr="00EE6AF7" w:rsidTr="00BC6C3E">
        <w:trPr>
          <w:trHeight w:val="567"/>
        </w:trPr>
        <w:tc>
          <w:tcPr>
            <w:tcW w:w="3733" w:type="pct"/>
            <w:tcBorders>
              <w:top w:val="nil"/>
              <w:left w:val="nil"/>
              <w:bottom w:val="nil"/>
              <w:right w:val="nil"/>
            </w:tcBorders>
            <w:shd w:val="clear" w:color="000000" w:fill="4B4B4B"/>
            <w:tcMar>
              <w:top w:w="15" w:type="dxa"/>
              <w:left w:w="15" w:type="dxa"/>
              <w:bottom w:w="0" w:type="dxa"/>
              <w:right w:w="15" w:type="dxa"/>
            </w:tcMar>
            <w:vAlign w:val="bottom"/>
            <w:hideMark/>
          </w:tcPr>
          <w:p w:rsidR="005A3760" w:rsidRPr="00EE6AF7" w:rsidRDefault="00CB486B">
            <w:pPr>
              <w:rPr>
                <w:rFonts w:cs="Arial"/>
                <w:b/>
                <w:bCs/>
                <w:color w:val="FFFFFF"/>
              </w:rPr>
            </w:pPr>
            <w:r w:rsidRPr="00EE6AF7">
              <w:rPr>
                <w:rFonts w:cs="Arial"/>
                <w:b/>
                <w:bCs/>
                <w:color w:val="FFFFFF"/>
              </w:rPr>
              <w:t>TOTAL</w:t>
            </w:r>
          </w:p>
        </w:tc>
        <w:tc>
          <w:tcPr>
            <w:tcW w:w="1267" w:type="pct"/>
            <w:tcBorders>
              <w:top w:val="nil"/>
              <w:left w:val="nil"/>
              <w:bottom w:val="nil"/>
              <w:right w:val="nil"/>
            </w:tcBorders>
            <w:shd w:val="clear" w:color="000000" w:fill="4B4B4B"/>
            <w:noWrap/>
            <w:tcMar>
              <w:top w:w="15" w:type="dxa"/>
              <w:left w:w="15" w:type="dxa"/>
              <w:bottom w:w="0" w:type="dxa"/>
              <w:right w:w="15" w:type="dxa"/>
            </w:tcMar>
            <w:vAlign w:val="center"/>
            <w:hideMark/>
          </w:tcPr>
          <w:p w:rsidR="005A3760" w:rsidRPr="00EE6AF7" w:rsidRDefault="00CB486B" w:rsidP="00BC6C3E">
            <w:pPr>
              <w:jc w:val="right"/>
              <w:rPr>
                <w:rFonts w:cs="Arial"/>
                <w:b/>
                <w:bCs/>
                <w:color w:val="FFFFFF"/>
              </w:rPr>
            </w:pPr>
            <w:r w:rsidRPr="00EE6AF7">
              <w:rPr>
                <w:rFonts w:cs="Arial"/>
                <w:b/>
                <w:bCs/>
                <w:color w:val="FFFFFF"/>
              </w:rPr>
              <w:t xml:space="preserve">        45,942,972,996 </w:t>
            </w:r>
          </w:p>
        </w:tc>
      </w:tr>
    </w:tbl>
    <w:p w:rsidR="00FA49E9" w:rsidRDefault="005A3760">
      <w:r>
        <w:t xml:space="preserve"> </w:t>
      </w:r>
      <w:r w:rsidR="009C1791">
        <w:br w:type="page"/>
      </w:r>
    </w:p>
    <w:p w:rsidR="00FA49E9" w:rsidRDefault="009C1791">
      <w:pPr>
        <w:pStyle w:val="Ttulo2"/>
      </w:pPr>
      <w:bookmarkStart w:id="17" w:name="X1528d069870bb87c7e4308a5b0ffb9e8dd3f892"/>
      <w:bookmarkEnd w:id="3"/>
      <w:bookmarkEnd w:id="16"/>
      <w:r>
        <w:t>ANEXO 3. INTEGRACIÓN DEL GASTO DE EDUCACIÓN POR TIPO DE RECURSO</w:t>
      </w:r>
    </w:p>
    <w:p w:rsidR="00FA49E9" w:rsidRDefault="00FA49E9"/>
    <w:tbl>
      <w:tblPr>
        <w:tblW w:w="0" w:type="auto"/>
        <w:jc w:val="center"/>
        <w:tblLayout w:type="fixed"/>
        <w:tblLook w:val="0420" w:firstRow="1" w:lastRow="0" w:firstColumn="0" w:lastColumn="0" w:noHBand="0" w:noVBand="1"/>
      </w:tblPr>
      <w:tblGrid>
        <w:gridCol w:w="3145"/>
        <w:gridCol w:w="2022"/>
        <w:gridCol w:w="2022"/>
        <w:gridCol w:w="2022"/>
        <w:gridCol w:w="2022"/>
      </w:tblGrid>
      <w:tr w:rsidR="00FA49E9" w:rsidRPr="00EE6AF7">
        <w:trPr>
          <w:cantSplit/>
          <w:jc w:val="center"/>
        </w:trPr>
        <w:tc>
          <w:tcPr>
            <w:tcW w:w="3145"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GASTO EDUCATIVO</w:t>
            </w:r>
          </w:p>
        </w:tc>
        <w:tc>
          <w:tcPr>
            <w:tcW w:w="202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INGRESOS PROPIOS</w:t>
            </w:r>
          </w:p>
        </w:tc>
        <w:tc>
          <w:tcPr>
            <w:tcW w:w="202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RECURSOS FEDERALES</w:t>
            </w:r>
          </w:p>
        </w:tc>
        <w:tc>
          <w:tcPr>
            <w:tcW w:w="202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RECURSOS FISCALES</w:t>
            </w:r>
          </w:p>
        </w:tc>
        <w:tc>
          <w:tcPr>
            <w:tcW w:w="202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TOTAL</w:t>
            </w:r>
          </w:p>
        </w:tc>
      </w:tr>
      <w:tr w:rsidR="00FA49E9" w:rsidRPr="00EE6AF7">
        <w:trPr>
          <w:cantSplit/>
          <w:jc w:val="center"/>
        </w:trPr>
        <w:tc>
          <w:tcPr>
            <w:tcW w:w="3145"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PODER EJECUTIVO</w:t>
            </w:r>
          </w:p>
        </w:tc>
        <w:tc>
          <w:tcPr>
            <w:tcW w:w="202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0</w:t>
            </w:r>
          </w:p>
        </w:tc>
        <w:tc>
          <w:tcPr>
            <w:tcW w:w="202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11,296,320,574</w:t>
            </w:r>
          </w:p>
        </w:tc>
        <w:tc>
          <w:tcPr>
            <w:tcW w:w="202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193,067,334</w:t>
            </w:r>
          </w:p>
        </w:tc>
        <w:tc>
          <w:tcPr>
            <w:tcW w:w="202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11,489,387,908</w:t>
            </w:r>
          </w:p>
        </w:tc>
      </w:tr>
      <w:tr w:rsidR="00FA49E9" w:rsidRPr="00EE6AF7">
        <w:trPr>
          <w:cantSplit/>
          <w:jc w:val="center"/>
        </w:trPr>
        <w:tc>
          <w:tcPr>
            <w:tcW w:w="3145"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202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11,214,101,143</w:t>
            </w:r>
          </w:p>
        </w:tc>
        <w:tc>
          <w:tcPr>
            <w:tcW w:w="202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135,137,632</w:t>
            </w:r>
          </w:p>
        </w:tc>
        <w:tc>
          <w:tcPr>
            <w:tcW w:w="202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11,349,238,775</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82,219,431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57,929,702</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140,149,133</w:t>
            </w:r>
          </w:p>
        </w:tc>
      </w:tr>
      <w:tr w:rsidR="00FA49E9" w:rsidRPr="00EE6AF7">
        <w:trPr>
          <w:cantSplit/>
          <w:jc w:val="center"/>
        </w:trPr>
        <w:tc>
          <w:tcPr>
            <w:tcW w:w="3145"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ENTIDADES PARAESTATALES Y FIDEICOMISOS NO EMPRESARIALES Y NO FINANCIEROS</w:t>
            </w:r>
          </w:p>
        </w:tc>
        <w:tc>
          <w:tcPr>
            <w:tcW w:w="202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127,306,363</w:t>
            </w:r>
          </w:p>
        </w:tc>
        <w:tc>
          <w:tcPr>
            <w:tcW w:w="202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1,267,170,010</w:t>
            </w:r>
          </w:p>
        </w:tc>
        <w:tc>
          <w:tcPr>
            <w:tcW w:w="202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119,543,379</w:t>
            </w:r>
          </w:p>
        </w:tc>
        <w:tc>
          <w:tcPr>
            <w:tcW w:w="202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1,514,019,752</w:t>
            </w:r>
          </w:p>
        </w:tc>
      </w:tr>
      <w:tr w:rsidR="00FA49E9" w:rsidRPr="00EE6AF7">
        <w:trPr>
          <w:cantSplit/>
          <w:jc w:val="center"/>
        </w:trPr>
        <w:tc>
          <w:tcPr>
            <w:tcW w:w="3145"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AGENCIA PARA EL DESARROLLO DE YUCATÁN</w:t>
            </w:r>
          </w:p>
        </w:tc>
        <w:tc>
          <w:tcPr>
            <w:tcW w:w="202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2,500,000</w:t>
            </w:r>
          </w:p>
        </w:tc>
        <w:tc>
          <w:tcPr>
            <w:tcW w:w="202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2,500,000</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BACHILLERES DEL ESTADO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38,333,250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480,699,270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519,032,520</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EDUCACIÓN PROFESIONAL TÉCNICA DEL ESTADO DE YUCATÁN</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12,000,000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129,080,139</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141,080,139</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ESTUDIOS CIENTÍFICOS Y TECNOLÓGICOS DEL ESTADO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2,023,200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98,337,869</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100,361,069</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ESCUELA SUPERIOR DE ARTES DE YUCATÁN</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4,108,276</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28,048,060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32,156,336</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CAPACITACIÓN PARA EL TRABAJO DEL ESTADO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1,150,000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9,266,250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10,416,250</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EDUCACIÓN PARA ADULTOS DEL ESTADO DE YUCATÁN</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101,103,238</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101,103,238</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DEL DEPORTE DEL ESTADO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4,174,438</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108,330,141</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119,543,379</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232,047,958</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 MOTUL</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3,800,000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19,009,560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22,809,560</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 VALLADOLID</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5,820,641</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10,629,643</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16,450,284</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DEL SUR DEL ESTADO DE YUCATÁN</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3,800,096</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13,293,671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17,093,767</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PROGRESO</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4,279,972</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19,353,791</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23,633,763</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DE ORIENTE</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4,382,821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26,780,529</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31,163,350</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POLITÉCNICA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5,516,850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12,753,749</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18,270,599</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CENTRO</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2,556,944</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23,166,109</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25,723,053</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MAYAB</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1,183,274</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27,043,322</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28,226,596</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PONIENTE</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1,919,071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16,335,941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18,255,012</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METROPOLITANA</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27,540,291</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112,681,524</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140,221,815</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REGIONAL DEL SUR</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4,717,239</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28,757,204</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33,474,443</w:t>
            </w:r>
          </w:p>
        </w:tc>
      </w:tr>
      <w:tr w:rsidR="00FA49E9" w:rsidRPr="00EE6AF7">
        <w:trPr>
          <w:cantSplit/>
          <w:jc w:val="center"/>
        </w:trPr>
        <w:tc>
          <w:tcPr>
            <w:tcW w:w="3145"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202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127,306,363</w:t>
            </w:r>
          </w:p>
        </w:tc>
        <w:tc>
          <w:tcPr>
            <w:tcW w:w="202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12,563,490,584</w:t>
            </w:r>
          </w:p>
        </w:tc>
        <w:tc>
          <w:tcPr>
            <w:tcW w:w="202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312,610,713</w:t>
            </w:r>
          </w:p>
        </w:tc>
        <w:tc>
          <w:tcPr>
            <w:tcW w:w="202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13,003,407,660</w:t>
            </w:r>
          </w:p>
        </w:tc>
      </w:tr>
    </w:tbl>
    <w:p w:rsidR="00FA49E9" w:rsidRDefault="009C1791">
      <w:r>
        <w:br w:type="page"/>
      </w:r>
    </w:p>
    <w:p w:rsidR="00FA49E9" w:rsidRDefault="009C1791">
      <w:pPr>
        <w:pStyle w:val="Ttulo2"/>
      </w:pPr>
      <w:bookmarkStart w:id="18" w:name="X1f5068c2241eb1bf0198da40f34b5e18b2f3633"/>
      <w:bookmarkEnd w:id="17"/>
      <w:r>
        <w:t>ANEXO 4. PARTICIPACIONES Y APORTACIONES A MUNICIPIOS</w:t>
      </w:r>
    </w:p>
    <w:p w:rsidR="00FA49E9" w:rsidRDefault="00FA49E9"/>
    <w:p w:rsidR="00FA49E9" w:rsidRDefault="009C1791">
      <w:pPr>
        <w:pStyle w:val="Ttulo3"/>
      </w:pPr>
      <w:bookmarkStart w:id="19" w:name="X3ae2ccc73875dbbef4bdebdb05006eb3888ed4e"/>
      <w:r>
        <w:t>ANEXO 4.1. PARTICIPACIONES FEDERALES Y ESTATALES A MUNICIPIOS</w:t>
      </w:r>
    </w:p>
    <w:p w:rsidR="00F93CEA" w:rsidRPr="00F93CEA" w:rsidRDefault="00F93CEA" w:rsidP="00F93CEA"/>
    <w:tbl>
      <w:tblPr>
        <w:tblW w:w="0" w:type="auto"/>
        <w:tblCellMar>
          <w:left w:w="70" w:type="dxa"/>
          <w:right w:w="70" w:type="dxa"/>
        </w:tblCellMar>
        <w:tblLook w:val="04A0" w:firstRow="1" w:lastRow="0" w:firstColumn="1" w:lastColumn="0" w:noHBand="0" w:noVBand="1"/>
      </w:tblPr>
      <w:tblGrid>
        <w:gridCol w:w="2158"/>
        <w:gridCol w:w="1355"/>
        <w:gridCol w:w="1349"/>
        <w:gridCol w:w="1296"/>
        <w:gridCol w:w="941"/>
        <w:gridCol w:w="1221"/>
        <w:gridCol w:w="1030"/>
        <w:gridCol w:w="1810"/>
      </w:tblGrid>
      <w:tr w:rsidR="00F93CEA" w:rsidRPr="00EE6AF7" w:rsidTr="00207DB4">
        <w:trPr>
          <w:trHeight w:val="1890"/>
          <w:tblHeader/>
        </w:trPr>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CLAVE Y NOMBRE DE LOS MUNICIPIOS</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FONDO GENERAL</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FONDO MUNICIPAL</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IMPUESTO ESPECIAL</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ISAN</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 xml:space="preserve"> FDO. DE COMP. ISAN</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FOFIR</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IEPS S/VTA. FINAL GASOLINA DIESEL</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001 ABALA,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11,020,156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4,560,239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228,554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141,107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35,361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1,044,879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347,653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002 ACANCEH,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18,192,509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7,528,223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377,306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232,946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58,375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1,724,927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772,673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003 AKIL,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15,123,064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6,258,059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313,647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193,643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48,526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1,433,897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614,124</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004 BACA,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10,744,056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4,445,986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222,828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137,572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34,475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1,018,700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292,133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005 BOKOBA,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7,816,429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3,234,508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162,110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100,085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741,117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103,648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006 BUCTZOTZ,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12,836,962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5,312,050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266,234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164,371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41,190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1,217,140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438,077</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007 CACALCHEN,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11,587,484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4,795,005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240,320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148,372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37,181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1,098,670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340,228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008 CALOTMUL,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9,139,017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3,781,807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189,540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117,020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29,325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866,518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208,628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009 CANSAHCAB,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9,496,728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3,929,831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196,959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121,601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30,472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900,435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223,287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010 CANTAMAYEC,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8,290,552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3,430,705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171,943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106,156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26,602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786,071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158,266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011 CELESTUN,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12,292,551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5,086,768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254,943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157,400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39,443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1,165,521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389,940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012 CENOTILLO,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9,025,469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3,734,820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187,185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115,567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28,960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855,752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189,090</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013 CONKAL,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18,687,635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7,733,111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387,574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239,286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59,964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1,771,873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675,842</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014 CUNCUNUL,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7,510,062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3,107,731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155,756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96,163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24,098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712,068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88,539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015 CUZAMA,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10,277,656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4,252,986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213,155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131,600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32,978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974,478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284,470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016 CHACSINKIN,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8,521,683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3,526,349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176,736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109,116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27,344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807,985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166,235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017 CHANKOM,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9,693,712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4,011,345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201,044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124,123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31,104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919,112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263,354</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018 CHAPAB,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8,721,805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3,609,161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180,887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111,678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27,986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826,960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179,763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019 CHEMAX,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34,973,184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14,472,217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725,331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447,814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112,219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3,315,991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2,310,268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020 CHICXULUB PUEBLO,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9,548,322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3,951,181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198,029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122,261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30,638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905,327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206,065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021 CHICHIMILA,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13,120,420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5,429,347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272,113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168,000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42,100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1,244,016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516,691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022 CHIKINDZONOT,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9,485,498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3,925,184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196,726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121,457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30,436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899,370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259,050</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023 CHOCHOLA,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9,745,215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4,032,657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202,112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124,782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31,270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923,995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228,581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024 CHUMAYEL,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8,636,286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3,573,773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179,113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110,583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27,711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818,852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180,292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025 DZAN,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10,580,811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4,378,434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219,442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135,482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33,951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1,003,222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297,826</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026 DZEMUL,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9,071,541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3,753,885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188,140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116,156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29,108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860,120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170,643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027 DZIDZANTUN,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12,322,225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5,099,047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255,558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157,780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39,539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1,168,335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358,928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028 DZILAM DE BRAVO,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8,360,163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3,459,510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173,387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107,048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26,825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792,671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136,557</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029 DZILAM GONZALEZ,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10,702,463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4,428,775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221,965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137,040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34,341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1,014,757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285,980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030 DZITAS,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9,196,954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3,805,782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190,741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117,762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29,511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872,011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222,065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031 DZONCAUICH,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8,318,434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3,442,243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172,521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106,513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26,692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788,714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151,490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032 ESPITA,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18,479,381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7,646,934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383,255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236,619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59,295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1,752,127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902,979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033 HALACHO,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21,602,150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8,939,163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448,020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276,604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69,315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2,048,213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1,083,018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034 HOCABA,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10,997,293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4,550,778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228,080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140,815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35,287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1,042,711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348,764</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035 HOCTUN,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10,892,191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4,507,286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225,900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139,469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34,950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1,032,746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338,103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036 HOMUN,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12,075,258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4,996,850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250,436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154,618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38,746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1,144,919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400,606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037 HUHI,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10,062,512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4,163,957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208,693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128,845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32,288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954,079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272,338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038 HUNUCMA,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31,557,398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13,058,734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654,489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404,076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101,259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2,992,122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1,676,027</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039 IXIL,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9,281,783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3,840,885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192,501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118,848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29,783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880,054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197,548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040 IZAMAL,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26,765,451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11,075,783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555,105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342,718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85,883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2,537,773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1,355,238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041 KANASIN,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106,621,149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44,120,786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2,211,282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1,365,229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342,118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10,109,310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5,875,578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042 KANTUNIL,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10,278,597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4,253,376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213,174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131,612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32,981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974,568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287,452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043 KAUA,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8,740,251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3,616,794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181,269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111,914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28,045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828,709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181,442</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044 KINCHIL,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11,690,463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4,837,618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242,456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149,690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37,512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1,108,434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381,443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045 KOPOMA,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8,189,789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3,389,008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169,853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104,866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26,279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776,517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131,145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046 MAMA,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8,657,606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3,582,595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179,555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110,856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27,780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820,873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175,061</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047 MANI,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10,588,329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4,381,545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219,598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135,578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33,975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1,003,935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313,043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048 MAXCANU,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23,584,114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9,759,317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489,126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301,983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75,675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2,236,133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1,210,779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049 MAYAPAN,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9,220,646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3,815,586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191,233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118,066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29,587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874,258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249,527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050 MERIDA,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835,196,078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345,611,616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17,321,651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10,694,258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2,679,917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79,189,319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37,414,650</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051 MOCOCHA,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8,740,283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3,616,807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181,270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111,915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28,045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828,712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157,968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052 MOTUL,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33,688,682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13,940,678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698,691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431,366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108,098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3,194,201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1,725,712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053 MUNA,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15,919,378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6,587,581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330,162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203,839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51,081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1,509,400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635,055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054 MUXUPIP,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8,415,611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3,482,455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174,537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107,758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27,003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797,928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145,634</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055 OPICHEN,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11,379,839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4,709,079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236,014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145,713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36,515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1,078,982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358,750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056 OXKUTZCAB,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30,861,740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12,770,864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640,061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395,169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99,027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2,926,163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1,679,841</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057 PANABA,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11,898,270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4,923,611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246,766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152,351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38,178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1,128,137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378,991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058 PETO,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25,074,765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10,376,162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520,041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321,070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80,458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2,377,470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1,303,829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059 PROGRESO,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60,207,586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24,914,438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1,248,683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770,927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193,190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5,708,597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2,682,181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060 QUINTANA ROO,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6,972,393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2,885,239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144,605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89,278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22,373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661,089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49,115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061 RIO LAGARTOS,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9,119,879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3,773,887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189,143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116,775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29,263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864,704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188,234</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062 SACALUM,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9,841,595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4,072,540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204,111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126,017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31,579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933,133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249,452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063 SAMAHIL,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10,312,054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4,267,220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213,868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132,041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33,089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977,740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275,861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064 SANAHCAT,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7,488,921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3,098,982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155,317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95,892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24,030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710,064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83,997</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065 SAN FELIPE,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7,780,217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3,219,524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161,359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99,622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24,965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737,683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97,329</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066 SANTA ELENA,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9,347,038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3,867,888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193,854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119,684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29,992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886,242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215,758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067 SEYE,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13,446,994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5,564,487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278,886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172,182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43,148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1,274,980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472,313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068 SINANCHE,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8,627,469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3,570,124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178,930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110,470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27,683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818,016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154,970</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069 SOTUTA,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12,758,750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5,279,685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264,612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163,369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40,939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1,209,724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470,937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070 SUCILA,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9,177,237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3,797,623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190,332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117,510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29,447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870,142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192,466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071 SUDZAL,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7,670,749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3,174,224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159,088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98,220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24,613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727,304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96,936</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072 SUMA,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7,599,350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3,144,679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157,608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97,306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24,384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720,534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85,806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073 TAHDZIU,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10,545,093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4,363,654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218,701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135,025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33,836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999,836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328,148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074 TAHMEK,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8,991,461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3,720,747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186,480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115,131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28,851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852,528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188,825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075 TEABO,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11,289,481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4,671,688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234,140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144,556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36,225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1,070,415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367,495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076 TECOH,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19,198,015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7,944,311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398,160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245,821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61,601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1,820,264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904,956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077 TEKAL DE VENEGAS,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8,212,028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3,398,211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170,314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105,151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26,350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778,625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141,491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078 TEKANTO,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8,977,899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3,715,135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186,198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114,957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28,808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851,242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188,805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079 TEKAX,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38,601,238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15,973,538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800,575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494,269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123,861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3,659,986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2,161,203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080 TEKIT,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14,190,595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5,872,195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294,308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181,703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45,534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1,345,485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544,418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081 TEKOM,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8,710,104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3,604,319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180,644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111,528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27,948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825,851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182,668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082 TELCHAC PUEBLO,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8,773,668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3,630,622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181,963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112,342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28,152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831,877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162,202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 xml:space="preserve">083 TELCHAC PUERTO, YUC. </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7,971,117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3,298,520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165,318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102,066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25,577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755,783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87,751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084 TEMAX,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11,332,976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4,689,687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235,042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145,113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36,364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1,074,539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355,756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085 TEMOZON,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18,416,300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7,620,830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381,947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235,811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59,093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1,746,146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912,277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086 TEPAKAN,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7,817,999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3,235,158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162,142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100,105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741,265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114,079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087 TETIZ,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10,247,955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4,240,696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212,539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131,220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32,883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971,662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299,753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088 TEYA,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7,647,946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3,164,789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158,616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97,928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24,540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725,142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96,372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089 TICUL,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35,322,021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14,616,568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732,565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452,280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113,339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3,349,066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1,824,490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090 TIMUCUY,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11,716,742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4,848,493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243,001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150,027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37,596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1,110,926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401,933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091 TINUM,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15,426,364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6,383,567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319,937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197,527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49,499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1,462,654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632,201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092 TIXCACALCUPUL,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12,082,299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4,999,764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250,582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154,708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38,769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1,145,586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466,915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093 TIXKOKOB,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19,265,575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7,972,268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399,561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246,686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61,818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1,826,670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797,337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094 TIXMEUAC,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10,240,854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4,237,757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212,391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131,129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32,860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970,989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300,549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095 TIXPEUAL,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10,348,006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4,282,098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214,614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132,501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33,204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981,149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266,546</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096 TIZIMIN,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65,675,141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27,176,961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1,362,078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840,937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210,734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6,227,004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4,039,788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097 TUNKAS,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8,947,181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3,702,424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185,561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114,564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28,709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848,329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196,977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098 TZUCACAB,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17,325,393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7,169,403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359,322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221,843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55,592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1,642,711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780,933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099 UAYMA,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9,328,653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3,860,280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193,473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119,449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29,933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884,499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233,895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100 UCU,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9,242,221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3,824,514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191,680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118,342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29,656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876,303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199,093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101 UMAN,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57,735,728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23,891,561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1,197,417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739,276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185,258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5,474,227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3,031,715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102 VALLADOLID,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70,392,210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29,128,927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1,459,908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901,336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225,869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6,674,254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4,182,944</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103 XOCCHEL,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8,763,957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3,626,604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181,761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112,218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28,121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830,957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179,342</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104 YAXCABA,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18,238,135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7,547,104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378,252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233,530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58,521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1,729,253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927,878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105 YAXKUKUL,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8,635,614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3,573,494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179,099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110,575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27,709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818,788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151,825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106 YOBAIN,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7,925,131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3,279,490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164,364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101,477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25,430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751,423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108,384</w:t>
            </w:r>
          </w:p>
        </w:tc>
      </w:tr>
      <w:tr w:rsidR="00F93CEA" w:rsidRPr="00EE6AF7" w:rsidTr="00207DB4">
        <w:trPr>
          <w:trHeight w:val="315"/>
        </w:trPr>
        <w:tc>
          <w:tcPr>
            <w:tcW w:w="0" w:type="auto"/>
            <w:tcBorders>
              <w:top w:val="nil"/>
              <w:left w:val="nil"/>
              <w:bottom w:val="nil"/>
              <w:right w:val="nil"/>
            </w:tcBorders>
            <w:shd w:val="clear" w:color="000000" w:fill="4B4B4B"/>
            <w:vAlign w:val="center"/>
            <w:hideMark/>
          </w:tcPr>
          <w:p w:rsidR="00F93CEA" w:rsidRPr="00514075" w:rsidRDefault="00F93CEA" w:rsidP="00207DB4">
            <w:pPr>
              <w:jc w:val="left"/>
              <w:rPr>
                <w:rFonts w:eastAsia="Times New Roman" w:cs="Arial"/>
                <w:b/>
                <w:bCs/>
                <w:color w:val="FFFFFF"/>
                <w:sz w:val="16"/>
                <w:szCs w:val="16"/>
                <w:lang w:eastAsia="es-MX"/>
              </w:rPr>
            </w:pPr>
            <w:r w:rsidRPr="00514075">
              <w:rPr>
                <w:rFonts w:eastAsia="Times New Roman" w:cs="Arial"/>
                <w:b/>
                <w:bCs/>
                <w:color w:val="FFFFFF"/>
                <w:sz w:val="16"/>
                <w:szCs w:val="16"/>
                <w:lang w:eastAsia="es-MX"/>
              </w:rPr>
              <w:t>TOTAL</w:t>
            </w:r>
          </w:p>
        </w:tc>
        <w:tc>
          <w:tcPr>
            <w:tcW w:w="0" w:type="auto"/>
            <w:tcBorders>
              <w:top w:val="nil"/>
              <w:left w:val="nil"/>
              <w:bottom w:val="nil"/>
              <w:right w:val="nil"/>
            </w:tcBorders>
            <w:shd w:val="clear" w:color="000000" w:fill="4B4B4B"/>
            <w:vAlign w:val="center"/>
            <w:hideMark/>
          </w:tcPr>
          <w:p w:rsidR="00F93CEA" w:rsidRPr="00514075" w:rsidRDefault="00F93CEA" w:rsidP="00207DB4">
            <w:pPr>
              <w:ind w:right="-57"/>
              <w:jc w:val="right"/>
              <w:rPr>
                <w:rFonts w:eastAsia="Times New Roman" w:cs="Arial"/>
                <w:b/>
                <w:bCs/>
                <w:color w:val="FFFFFF"/>
                <w:sz w:val="16"/>
                <w:szCs w:val="16"/>
                <w:lang w:eastAsia="es-MX"/>
              </w:rPr>
            </w:pPr>
            <w:r w:rsidRPr="00C41668">
              <w:rPr>
                <w:rFonts w:eastAsia="Times New Roman" w:cs="Arial"/>
                <w:b/>
                <w:bCs/>
                <w:color w:val="FFFFFF"/>
                <w:sz w:val="16"/>
                <w:szCs w:val="16"/>
                <w:lang w:eastAsia="es-MX"/>
              </w:rPr>
              <w:t>2</w:t>
            </w:r>
            <w:r>
              <w:rPr>
                <w:rFonts w:eastAsia="Times New Roman" w:cs="Arial"/>
                <w:b/>
                <w:bCs/>
                <w:color w:val="FFFFFF"/>
                <w:sz w:val="16"/>
                <w:szCs w:val="16"/>
                <w:lang w:eastAsia="es-MX"/>
              </w:rPr>
              <w:t>,</w:t>
            </w:r>
            <w:r w:rsidRPr="00C41668">
              <w:rPr>
                <w:rFonts w:eastAsia="Times New Roman" w:cs="Arial"/>
                <w:b/>
                <w:bCs/>
                <w:color w:val="FFFFFF"/>
                <w:sz w:val="16"/>
                <w:szCs w:val="16"/>
                <w:lang w:eastAsia="es-MX"/>
              </w:rPr>
              <w:t>461</w:t>
            </w:r>
            <w:r>
              <w:rPr>
                <w:rFonts w:eastAsia="Times New Roman" w:cs="Arial"/>
                <w:b/>
                <w:bCs/>
                <w:color w:val="FFFFFF"/>
                <w:sz w:val="16"/>
                <w:szCs w:val="16"/>
                <w:lang w:eastAsia="es-MX"/>
              </w:rPr>
              <w:t>,</w:t>
            </w:r>
            <w:r w:rsidRPr="00C41668">
              <w:rPr>
                <w:rFonts w:eastAsia="Times New Roman" w:cs="Arial"/>
                <w:b/>
                <w:bCs/>
                <w:color w:val="FFFFFF"/>
                <w:sz w:val="16"/>
                <w:szCs w:val="16"/>
                <w:lang w:eastAsia="es-MX"/>
              </w:rPr>
              <w:t>383</w:t>
            </w:r>
            <w:r>
              <w:rPr>
                <w:rFonts w:eastAsia="Times New Roman" w:cs="Arial"/>
                <w:b/>
                <w:bCs/>
                <w:color w:val="FFFFFF"/>
                <w:sz w:val="16"/>
                <w:szCs w:val="16"/>
                <w:lang w:eastAsia="es-MX"/>
              </w:rPr>
              <w:t>,</w:t>
            </w:r>
            <w:r w:rsidRPr="00C41668">
              <w:rPr>
                <w:rFonts w:eastAsia="Times New Roman" w:cs="Arial"/>
                <w:b/>
                <w:bCs/>
                <w:color w:val="FFFFFF"/>
                <w:sz w:val="16"/>
                <w:szCs w:val="16"/>
                <w:lang w:eastAsia="es-MX"/>
              </w:rPr>
              <w:t>381.4</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1,018,542,485</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51,048,160</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31,516,755</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7,897,910</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233,376,662</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101,315,212</w:t>
            </w:r>
          </w:p>
        </w:tc>
      </w:tr>
    </w:tbl>
    <w:p w:rsidR="00F93CEA" w:rsidRDefault="00F93CEA" w:rsidP="00F93CEA"/>
    <w:tbl>
      <w:tblPr>
        <w:tblW w:w="0" w:type="auto"/>
        <w:jc w:val="center"/>
        <w:tblCellMar>
          <w:left w:w="70" w:type="dxa"/>
          <w:right w:w="70" w:type="dxa"/>
        </w:tblCellMar>
        <w:tblLook w:val="04A0" w:firstRow="1" w:lastRow="0" w:firstColumn="1" w:lastColumn="0" w:noHBand="0" w:noVBand="1"/>
      </w:tblPr>
      <w:tblGrid>
        <w:gridCol w:w="1712"/>
        <w:gridCol w:w="1030"/>
        <w:gridCol w:w="1643"/>
        <w:gridCol w:w="1716"/>
        <w:gridCol w:w="1284"/>
        <w:gridCol w:w="1727"/>
        <w:gridCol w:w="2048"/>
      </w:tblGrid>
      <w:tr w:rsidR="00F93CEA" w:rsidRPr="00EE6AF7" w:rsidTr="00207DB4">
        <w:trPr>
          <w:trHeight w:val="1890"/>
          <w:tblHeader/>
          <w:jc w:val="center"/>
        </w:trPr>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CLAVE Y NOMBRE DE LOS MUNICIPIOS</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FONDO ISR</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ISR POR LA ENAJENACIÓN DE BIENES INMUEBLES</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TOTAL PARTICIPACIONES (A)</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IMPUESTOS ESTATALES 12% (B)</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IMPUESTOS ESTATALES (BEBIDAS ALCOHOLICAS 20%) (C)</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TOTAL PARTICIPACIONES MÁS IMPUESTOS ESTATALES (A+B+C)</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001 ABALA,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94,076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17,472,026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183,081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23,213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17,678,319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002 ACANCEH,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155,305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29,042,264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302,237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38,320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29,382,820</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003 AKIL,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129,102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24,114,062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251,243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31,855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24,397,160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004 BACA,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91,719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16,987,469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178,494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22,631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17,188,594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005 BOKOBA,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149,320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66,727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12,399,025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129,856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16,464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12,545,346</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006 BUCTZOTZ,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109,586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20,385,609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213,264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27,039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20,625,912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007 CACALCHEN,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98,919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18,346,179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192,506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24,408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18,563,092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008 CALOTMUL,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78,018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14,409,871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151,829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19,250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14,580,950</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009 CANSAHCAB,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81,071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14,980,383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157,771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20,004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15,158,158</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010 CANTAMAYEC,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70,774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13,041,069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137,733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17,463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13,196,265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011 CELESTUN,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104,938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19,491,504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204,219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25,893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19,721,616</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012 CENOTILLO,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77,048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14,213,891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149,942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19,011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14,382,844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013 CONKAL,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159,532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29,714,815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310,462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39,363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30,064,640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014 CUNCUNUL,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64,112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11,758,529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124,766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15,819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11,899,114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015 CUZAMA,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87,738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16,255,061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170,745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21,649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16,447,455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016 CHACSINKIN,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72,747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13,408,195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141,573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17,950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13,567,718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017 CHANKOM,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82,753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15,326,546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161,044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20,419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15,508,009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018 CHAPAB,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74,456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13,732,696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144,897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18,371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13,895,965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019 CHEMAX,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298,557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56,655,581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581,018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73,666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57,310,265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020 CHICXULUB PUEBLO,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81,512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15,043,335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158,629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20,112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15,222,076</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021 CHICHIMILA,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112,006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20,904,692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217,973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27,636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21,150,302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022 CHIKINDZONOT,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239,152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80,975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15,237,849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157,585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19,980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15,415,414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023 CHOCHOLA,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83,192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15,371,805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161,900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20,527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15,554,232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024 CHUMAYEL,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73,726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13,600,336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143,477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18,191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13,762,004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025 DZAN,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90,326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16,739,494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175,782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22,287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16,937,563</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026 DZEMUL,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77,442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14,267,035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150,708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19,108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14,436,851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027 DZIDZANTUN,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105,192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19,506,604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204,712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25,955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19,737,271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028 DZILAM DE BRAVO,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71,369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13,127,529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138,889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17,610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13,284,028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029 DZILAM GONZALEZ,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91,364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16,916,685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177,803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22,543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17,117,031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030 DZITAS,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78,512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14,513,339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152,791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19,372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14,685,502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031 DZONCAUICH,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71,012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13,077,620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138,196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17,522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13,233,338</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032 ESPITA,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157,754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29,618,345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307,002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38,924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29,964,272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033 HALACHO,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184,412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34,650,896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358,882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45,502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35,055,280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034 HOCABA,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93,881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17,437,609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182,701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23,164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17,643,474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035 HOCTUN,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92,984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17,263,628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180,955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22,943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17,467,525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036 HOMUN,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103,083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19,164,517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200,609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25,435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19,390,561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037 HUHI,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85,901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15,908,614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167,171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21,195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16,096,980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038 HUNUCMA,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269,398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50,713,503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524,271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66,472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51,304,245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039 IXIL,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79,236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14,620,638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154,201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19,551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14,794,389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040 IZAMAL,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228,490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42,946,442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444,661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56,378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43,447,481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041 KANASIN,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910,198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171,555,652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1,771,323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224,584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173,551,559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042 KANTUNIL,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87,746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16,259,506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170,761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21,651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16,451,917</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043 KAUA,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74,613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13,763,038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145,204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18,410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13,926,652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044 KINCHIL,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99,799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18,547,415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194,216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24,624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18,766,256</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045 KOPOMA,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400,000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69,914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13,257,371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136,059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17,251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13,410,681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046 MAMA,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73,908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13,628,234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143,831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18,236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13,790,301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047 MANI,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90,390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16,766,393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175,906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22,303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16,964,603</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048 MAXCANU,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1,500,000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201,332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39,358,458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391,809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49,677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39,799,944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049 MAYAPAN,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78,714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14,577,617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153,185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19,422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14,750,224</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050 MERIDA,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CE57EF">
              <w:rPr>
                <w:rFonts w:eastAsia="Times New Roman" w:cs="Arial"/>
                <w:color w:val="000000"/>
                <w:sz w:val="16"/>
                <w:szCs w:val="16"/>
                <w:lang w:eastAsia="es-MX"/>
              </w:rPr>
              <w:t>105,446,593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7,129,863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1,440,683,945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13,875,315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1,759,232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1,456,318,492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051 MOCOCHA,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74,614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13,739,614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145,204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18,410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13,903,229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052 MOTUL,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287,592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54,075,020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559,678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70,961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54,705,659</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053 MUNA,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135,900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25,372,396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264,472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33,532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25,670,401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054 MUXUPIP,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71,842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13,222,768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139,811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17,726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13,380,305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055 OPICHEN,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97,147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18,042,038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189,056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23,970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18,255,064</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056 OXKUTZCAB,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263,459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49,636,324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512,714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65,006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50,214,044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057 PANABA,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101,573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18,867,876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197,669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25,062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19,090,607</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058 PETO,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214,057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40,267,851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416,573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52,817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40,737,241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059 PROGRESO,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6,005,097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513,977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102,244,676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1,000,243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126,819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103,371,739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060 QUINTANA ROO,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300,000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59,522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11,183,613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115,834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14,686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11,314,134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061 RIO LAGARTOS,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77,854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14,359,739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151,511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19,210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14,530,460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062 SACALUM,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84,015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15,542,442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163,501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20,730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15,726,672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063 SAMAHIL,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88,031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16,299,903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171,317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21,721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16,492,941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064 SANAHCAT,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63,931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11,721,134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124,415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15,774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11,861,324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065 SAN FELIPE,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66,418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12,187,116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129,255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16,388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12,332,759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066 SANTA ELENA,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79,793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14,740,249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155,285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19,688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14,915,222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067 SEYE,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114,794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21,367,783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223,398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28,324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21,619,505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068 SINANCHE,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73,651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13,561,312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143,330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18,173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13,722,815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069 SOTUTA,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108,918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20,296,934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211,964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26,875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20,535,773</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070 SUCILA,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78,344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14,453,101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152,464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19,331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14,624,895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071 SUDZAL,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65,483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12,016,618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127,436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16,157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12,160,211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072 SUMA,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64,874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11,894,540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126,250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16,007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12,036,797</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073 TAHDZIU,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90,021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16,714,313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175,188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22,212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16,911,713</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074 TAHMEK,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76,758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14,160,781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149,377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18,939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14,329,098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075 TEABO,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96,376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17,910,376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187,555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23,780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18,121,711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076 TECOH,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163,889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30,737,017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318,941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40,438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31,096,396</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077 TEKAL DE VENEGAS,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70,104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12,902,275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136,428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17,298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13,056,001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078 TEKANTO,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76,642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14,139,686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149,152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18,911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14,307,749</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079 TEKAX,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329,529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62,144,199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641,292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81,308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62,866,799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080 TEKIT,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121,142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22,595,380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235,752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29,891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22,861,023</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081 TEKOM,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74,356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13,717,419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144,703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18,347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13,880,469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082 TELCHAC PUEBLO,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74,899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13,795,726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145,759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18,481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13,959,966</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 xml:space="preserve">083 TELCHAC PUERTO, YUC. </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68,047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12,474,179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132,426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16,790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12,623,395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084 TEMAX,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96,747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17,966,223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188,277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23,871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18,178,372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085 TEMOZON,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157,215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29,529,621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305,954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38,792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29,874,367</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086 TEPAKAN,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66,740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12,262,574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129,882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16,468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12,408,924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087 TETIZ,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87,484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16,224,192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170,252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21,586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16,416,029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088 TEYA,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65,289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11,980,621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127,057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16,109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12,123,788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089 TICUL,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301,535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56,711,865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586,813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74,401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57,373,080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090 TIMUCUY,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100,023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18,608,740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194,653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24,680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18,828,073</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091 TINUM,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131,691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24,603,440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256,282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32,494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24,892,215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092 TIXCACALCUPUL,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103,144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19,241,767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200,726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25,450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19,467,943</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093 TIXKOKOB,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164,465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30,734,380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320,064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40,580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31,095,025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094 TIXMEUAC,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87,424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16,213,953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170,134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21,571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16,405,658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095 TIXPEUAL,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88,338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16,346,456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171,914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21,797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16,540,166</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096 TIZIMIN,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3,259,838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560,652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109,353,134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1,091,077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138,336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110,582,547</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097 TUNKAS,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76,380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14,100,124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148,642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18,846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14,267,612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098 TZUCACAB,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147,903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27,703,100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287,831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36,494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28,027,424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099 UAYMA,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79,636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14,729,818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154,979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19,650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14,904,447</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100 UCU,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78,899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14,560,707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153,543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19,468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14,733,718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101 UMAN,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1,200,000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492,876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93,948,060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959,178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121,613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95,028,850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102 VALLADOLID,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1,500,000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600,921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115,066,370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1,169,443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148,272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116,384,085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103 XOCCHEL,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74,816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13,797,776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145,598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18,460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13,961,834</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104 YAXCABA,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155,694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29,268,369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302,995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38,416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29,609,779</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105 YAXKUKUL,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73,720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13,570,825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143,466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18,190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13,732,481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106 YOBAIN,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67,655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12,423,354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131,662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16,693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12,571,709</w:t>
            </w:r>
          </w:p>
        </w:tc>
      </w:tr>
      <w:tr w:rsidR="00F93CEA" w:rsidRPr="00EE6AF7" w:rsidTr="00207DB4">
        <w:trPr>
          <w:trHeight w:val="315"/>
          <w:jc w:val="center"/>
        </w:trPr>
        <w:tc>
          <w:tcPr>
            <w:tcW w:w="0" w:type="auto"/>
            <w:tcBorders>
              <w:top w:val="nil"/>
              <w:left w:val="nil"/>
              <w:bottom w:val="nil"/>
              <w:right w:val="nil"/>
            </w:tcBorders>
            <w:shd w:val="clear" w:color="000000" w:fill="4B4B4B"/>
            <w:vAlign w:val="center"/>
            <w:hideMark/>
          </w:tcPr>
          <w:p w:rsidR="00F93CEA" w:rsidRPr="001325A3" w:rsidRDefault="00F93CEA" w:rsidP="00207DB4">
            <w:pPr>
              <w:jc w:val="left"/>
              <w:rPr>
                <w:rFonts w:eastAsia="Times New Roman" w:cs="Arial"/>
                <w:b/>
                <w:color w:val="FFFFFF"/>
                <w:sz w:val="16"/>
                <w:szCs w:val="16"/>
                <w:lang w:eastAsia="es-MX"/>
              </w:rPr>
            </w:pPr>
            <w:r w:rsidRPr="001325A3">
              <w:rPr>
                <w:rFonts w:eastAsia="Times New Roman" w:cs="Arial"/>
                <w:b/>
                <w:color w:val="FFFFFF"/>
                <w:sz w:val="16"/>
                <w:szCs w:val="16"/>
                <w:lang w:eastAsia="es-MX"/>
              </w:rPr>
              <w:t>TOTAL</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C60CEA">
              <w:rPr>
                <w:rFonts w:eastAsia="Times New Roman" w:cs="Arial"/>
                <w:b/>
                <w:bCs/>
                <w:color w:val="FFFFFF"/>
                <w:sz w:val="16"/>
                <w:szCs w:val="16"/>
                <w:lang w:eastAsia="es-MX"/>
              </w:rPr>
              <w:t>120</w:t>
            </w:r>
            <w:r>
              <w:rPr>
                <w:rFonts w:eastAsia="Times New Roman" w:cs="Arial"/>
                <w:b/>
                <w:bCs/>
                <w:color w:val="FFFFFF"/>
                <w:sz w:val="16"/>
                <w:szCs w:val="16"/>
                <w:lang w:eastAsia="es-MX"/>
              </w:rPr>
              <w:t>,</w:t>
            </w:r>
            <w:r w:rsidRPr="00C60CEA">
              <w:rPr>
                <w:rFonts w:eastAsia="Times New Roman" w:cs="Arial"/>
                <w:b/>
                <w:bCs/>
                <w:color w:val="FFFFFF"/>
                <w:sz w:val="16"/>
                <w:szCs w:val="16"/>
                <w:lang w:eastAsia="es-MX"/>
              </w:rPr>
              <w:t>000</w:t>
            </w:r>
            <w:r>
              <w:rPr>
                <w:rFonts w:eastAsia="Times New Roman" w:cs="Arial"/>
                <w:b/>
                <w:bCs/>
                <w:color w:val="FFFFFF"/>
                <w:sz w:val="16"/>
                <w:szCs w:val="16"/>
                <w:lang w:eastAsia="es-MX"/>
              </w:rPr>
              <w:t>,</w:t>
            </w:r>
            <w:r w:rsidRPr="00C60CEA">
              <w:rPr>
                <w:rFonts w:eastAsia="Times New Roman" w:cs="Arial"/>
                <w:b/>
                <w:bCs/>
                <w:color w:val="FFFFFF"/>
                <w:sz w:val="16"/>
                <w:szCs w:val="16"/>
                <w:lang w:eastAsia="es-MX"/>
              </w:rPr>
              <w:t>000</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21,012,222</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4,046,092,787</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40,891,559</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5,184,584</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4,092,168,930</w:t>
            </w:r>
          </w:p>
        </w:tc>
      </w:tr>
    </w:tbl>
    <w:p w:rsidR="00F93CEA" w:rsidRDefault="00F93CEA" w:rsidP="00F93CEA"/>
    <w:p w:rsidR="00FA49E9" w:rsidRDefault="00F93CEA" w:rsidP="00F93CEA">
      <w:r>
        <w:br w:type="page"/>
      </w:r>
    </w:p>
    <w:p w:rsidR="00FA49E9" w:rsidRDefault="009C1791">
      <w:pPr>
        <w:pStyle w:val="Ttulo3"/>
      </w:pPr>
      <w:bookmarkStart w:id="20" w:name="anexo-4.2.-aportaciones-a-municipios"/>
      <w:bookmarkEnd w:id="19"/>
      <w:r>
        <w:t>ANEXO 4.2. APORTACIONES A MUNICIPIOS</w:t>
      </w:r>
    </w:p>
    <w:p w:rsidR="00FA49E9" w:rsidRDefault="00FA49E9"/>
    <w:tbl>
      <w:tblPr>
        <w:tblW w:w="0" w:type="auto"/>
        <w:jc w:val="center"/>
        <w:tblLayout w:type="fixed"/>
        <w:tblLook w:val="0420" w:firstRow="1" w:lastRow="0" w:firstColumn="0" w:lastColumn="0" w:noHBand="0" w:noVBand="1"/>
      </w:tblPr>
      <w:tblGrid>
        <w:gridCol w:w="2808"/>
        <w:gridCol w:w="2808"/>
        <w:gridCol w:w="2808"/>
        <w:gridCol w:w="2808"/>
      </w:tblGrid>
      <w:tr w:rsidR="00FA49E9" w:rsidRPr="00EE6AF7">
        <w:trPr>
          <w:cantSplit/>
          <w:jc w:val="center"/>
        </w:trPr>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MUNICIPIOS</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FONDO DE APORTACIONES PARA EL FORTALECIMIENTO DE LOS MUNICIPIOS</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FONDO DE APORTACIONES PARA LA INFRAESTRUCTURA SOCIAL MUNICIPAL</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TOTAL APORTACIONES</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001 ABALA,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4,907,074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7,942,306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12,849,380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002 ACANCEH,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12,565,107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9,705,315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22,270,422</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003 AKIL,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9,203,574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11,464,681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20,668,255</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004 BACA,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4,641,119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4,643,749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9,284,868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005 BOKOBA,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1,623,455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3,264,906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4,888,361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006 BUCTZOTZ,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6,861,664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10,840,959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17,702,623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007 CACALCHEN,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5,611,296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4,016,123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9,627,419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008 CALOTMUL,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2,958,479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10,341,133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13,299,613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009 CANSAHCAB,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3,345,801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5,900,440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9,246,241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 CANTAMAYEC,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2,063,968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8,761,510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10,825,478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011 CELESTUN,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6,284,801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7,310,091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13,594,892</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012 CENOTILLO,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2,798,906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7,856,373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10,655,278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013 CONKAL,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12,489,442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3,707,411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16,196,853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014 CUNCUNUL,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1,284,080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3,853,884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5,137,964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015 CUZAMA,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4,165,394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6,079,615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10,245,009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016 CHACSINKIN,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2,325,429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8,932,880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11,258,309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017 CHANKOM,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3,510,618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17,272,493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20,783,111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018 CHAPAB,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2,535,946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4,916,679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7,452,625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019 CHEMAX,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29,168,251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92,435,066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121,603,317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 CHICXULUB PUEBLO,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3,369,025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2,955,117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6,324,142</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021 CHICHIMILA,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7,046,709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22,849,171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29,895,880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022 CHIKINDZONOT,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3,268,636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20,232,784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23,501,420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023 CHOCHOLA,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3,643,222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4,171,480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7,814,702</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024 CHUMAYEL,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2,430,313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8,293,984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10,724,297</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025 DZAN,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4,497,277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9,804,842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14,302,119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026 DZEMUL,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2,713,500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3,331,921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6,045,421</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027 DZIDZANTUN,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6,251,838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5,525,018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11,776,855</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028 DZILAM DE BRAVO,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2,199,568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2,230,396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4,429,964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029 DZILAM GONZALEZ,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4,674,831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6,225,905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10,900,737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 DZITAS,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3,007,924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9,850,520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12,858,444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031 DZONCAUICH,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2,111,166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6,009,612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8,120,778</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032 ESPITA,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12,570,351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33,603,573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46,173,925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033 HALACHO,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15,923,644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22,566,737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38,490,381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034 HOCABA,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4,880,105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7,823,784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12,703,888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035 HOCTUN,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4,782,712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9,502,335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14,285,047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036 HOMUN,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6,060,799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16,525,162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22,585,960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037 HUHI,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3,933,151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7,645,504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11,578,655</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038 HUNUCMA,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26,323,645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25,092,755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51,416,400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039 IXIL,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3,136,033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2,595,664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5,731,698</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 IZAMAL,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21,392,597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23,553,322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44,945,919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041 KANASIN,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106,336,679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26,879,660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133,216,340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042 KANTUNIL,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4,160,151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11,594,387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15,754,538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043 KAUA,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2,550,929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8,336,852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10,887,782</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044 KINCHIL,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5,641,263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8,261,112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13,902,375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045 KOPOMA,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2,005,532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3,161,563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5,167,096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046 MAMA,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2,469,270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6,358,238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8,827,507</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047 MANI,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4,471,056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9,955,726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14,426,783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048 MAXCANU,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17,973,378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19,133,947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37,107,325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049 MAYAPAN,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2,970,465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10,818,804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13,789,269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050 MERIDA,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745,522,466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265,322,562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1,010,845,028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051 MOCOCHA,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2,569,659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2,029,979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4,599,637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052 MOTUL,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28,321,686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24,748,218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53,069,904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053 MUNA,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10,109,323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15,254,411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25,363,735</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054 MUXUPIP,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2,240,024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2,925,044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5,165,068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055 OPICHEN,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5,304,135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10,835,461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16,139,596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056 OXKUTZCAB,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25,362,458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39,854,232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65,216,690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057 PANABA,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5,818,067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9,388,133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15,206,200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058 PETO,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19,444,002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43,384,607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62,828,610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059 PROGRESO,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49,451,324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26,245,995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75,697,319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060 QUINTANA ROO,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731,191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4,210,234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4,941,425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061 RIO LAGARTOS,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2,977,208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3,492,998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6,470,207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062 SACALUM,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3,717,390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6,172,670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9,890,060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063 SAMAHIL,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4,218,586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4,922,258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9,140,843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064 SANAHCAT,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1,274,341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2,330,138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3,604,479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065 SAN FELIPE,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1,586,745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3,163,591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4,750,336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066 SANTA ELENA,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3,161,504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7,562,535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10,724,039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067 SEYE,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7,531,423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9,009,204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16,540,627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068 SINANCHE,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2,401,845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3,924,643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6,326,488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069 SOTUTA,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6,717,822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22,119,851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28,837,673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070 SUCILA,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2,974,961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4,999,338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7,974,299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071 SUDZAL,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1,460,135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4,396,172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5,856,308</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072 SUMA,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1,391,212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2,331,324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3,722,536</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073 TAHDZIU,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4,385,651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21,256,698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25,642,349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074 TAHMEK,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2,827,374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3,287,639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6,115,012</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075 TEABO,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5,185,017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16,176,880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21,361,897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076 TECOH,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13,439,391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15,903,343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29,342,734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077 TEKAL DE VENEGAS,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2,010,028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5,995,411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8,005,439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078 TEKANTO,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2,807,146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4,576,733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7,383,879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079 TEKAX,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33,759,174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74,447,329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108,206,503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080 TEKIT,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8,255,871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9,719,050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17,974,922</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081 TEKOM,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2,513,471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10,185,031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12,698,502</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082 TELCHAC PUEBLO,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2,631,091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3,699,947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6,331,038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083 TELCHAC PUERTO,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1,434,663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1,848,067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3,282,731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084 TEMAX,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5,271,921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13,799,857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19,071,778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085 TEMOZON,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12,496,183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35,856,581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48,352,764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086 TEPAKAN,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1,597,983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2,920,182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4,518,165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087 TETIZ,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4,093,474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6,612,357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10,705,831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088 TEYA,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1,436,162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2,467,428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3,903,590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089 TICUL,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30,337,707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26,249,217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56,586,924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090 TIMUCUY,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5,621,035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7,722,299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13,343,334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091 TINUM,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9,514,480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18,272,699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27,787,180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092 TIXCACALCUPUL,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5,909,467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26,909,553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32,819,020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093 TIXKOKOB,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13,799,742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7,284,341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21,084,084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094 TIXMEUAC,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4,078,491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16,438,162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20,516,653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095 TIXPEUAL,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4,262,787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3,266,412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7,529,199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096 TIZIMIN,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60,437,177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89,493,895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149,931,073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097 TUNKAS,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2,759,949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10,474,897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13,234,846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098 TZUCACAB,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11,496,788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31,318,945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42,815,733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099 UAYMA,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3,139,779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12,746,075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15,885,854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100 UCU,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3,033,396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2,864,309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5,897,705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101 UMAN,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51,802,974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22,330,719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74,133,694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102 VALLADOLID,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64,024,212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92,410,981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156,435,193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103 XOCCHEL,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2,585,392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4,871,334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7,456,726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104 YAXCABA,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12,248,957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46,090,160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58,339,117</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105 YAXKUKUL,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2,467,022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2,733,947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5,200,969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106 YOBAIN,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1,659,416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2,418,714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4,078,129</w:t>
            </w:r>
          </w:p>
        </w:tc>
      </w:tr>
      <w:tr w:rsidR="00FA49E9" w:rsidRPr="00EE6AF7">
        <w:trPr>
          <w:cantSplit/>
          <w:jc w:val="center"/>
        </w:trPr>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1,738,751,058</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1,755,408,285</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3,494,159,343</w:t>
            </w:r>
          </w:p>
        </w:tc>
      </w:tr>
    </w:tbl>
    <w:p w:rsidR="00FA49E9" w:rsidRDefault="009C1791">
      <w:r>
        <w:br w:type="page"/>
      </w:r>
    </w:p>
    <w:p w:rsidR="00FA49E9" w:rsidRDefault="009C1791">
      <w:pPr>
        <w:pStyle w:val="Ttulo2"/>
      </w:pPr>
      <w:bookmarkStart w:id="21" w:name="anexo-5.-deuda-pública"/>
      <w:bookmarkEnd w:id="18"/>
      <w:bookmarkEnd w:id="20"/>
      <w:r>
        <w:t>ANEXO 5. DEUDA PÚBLICA</w:t>
      </w:r>
    </w:p>
    <w:p w:rsidR="00FA49E9" w:rsidRDefault="00FA49E9"/>
    <w:p w:rsidR="00FA49E9" w:rsidRDefault="009C1791">
      <w:pPr>
        <w:pStyle w:val="Ttulo3"/>
      </w:pPr>
      <w:bookmarkStart w:id="22" w:name="X5397fa14bd9cf8d3e0f1d6b4bafc1f7417f1d01"/>
      <w:r>
        <w:t>ANEXO 5.1. INFORMACIÓN SOBRE LA DEUDA PÚBLICA</w:t>
      </w:r>
    </w:p>
    <w:p w:rsidR="00FA49E9" w:rsidRDefault="00FA49E9"/>
    <w:p w:rsidR="00FA49E9" w:rsidRDefault="009C1791">
      <w:pPr>
        <w:pStyle w:val="Ttulo4"/>
      </w:pPr>
      <w:bookmarkStart w:id="23" w:name="anexo-5.1.1.-deuda-de-largo-plazo"/>
      <w:r>
        <w:t>ANEXO 5.1.1. DEUDA DE LARGO PLAZO</w:t>
      </w:r>
    </w:p>
    <w:tbl>
      <w:tblPr>
        <w:tblW w:w="0" w:type="auto"/>
        <w:jc w:val="center"/>
        <w:tblCellMar>
          <w:left w:w="70" w:type="dxa"/>
          <w:right w:w="70" w:type="dxa"/>
        </w:tblCellMar>
        <w:tblLook w:val="04A0" w:firstRow="1" w:lastRow="0" w:firstColumn="1" w:lastColumn="0" w:noHBand="0" w:noVBand="1"/>
      </w:tblPr>
      <w:tblGrid>
        <w:gridCol w:w="1635"/>
        <w:gridCol w:w="2239"/>
        <w:gridCol w:w="1952"/>
        <w:gridCol w:w="1778"/>
        <w:gridCol w:w="1778"/>
        <w:gridCol w:w="1778"/>
      </w:tblGrid>
      <w:tr w:rsidR="00E10BB8" w:rsidRPr="00EE6AF7" w:rsidTr="00207DB4">
        <w:trPr>
          <w:trHeight w:val="765"/>
          <w:tblHeader/>
          <w:jc w:val="center"/>
        </w:trPr>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INSTITUCIÓN DE CRÉDITO</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 xml:space="preserve">BANCO NACIONAL DE OBRAS Y SERVICIOS PÚBLICOS, S.N.C. </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BANCO NACIONAL DE MÉXICO, S.A., INTEGRANTE DEL GRUPO FINANCIERO BANAMEX</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 xml:space="preserve">BANCO NACIONAL DE OBRAS Y SERVICIOS PÚBLICOS, S.N.C. </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 xml:space="preserve">BANCO NACIONAL DE OBRAS Y SERVICIOS PÚBLICOS, S.N.C. </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BANCO NACIONAL DE OBRAS Y SERVICIOS PÚBLICOS, S.N.C.</w:t>
            </w:r>
          </w:p>
        </w:tc>
      </w:tr>
      <w:tr w:rsidR="00E10BB8" w:rsidRPr="00EE6AF7" w:rsidTr="00207DB4">
        <w:trPr>
          <w:trHeight w:val="30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NCLAVE REGISTRO RPU</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P31-0413037</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P31-1119054</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P31-1020086</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P31-1020087</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P31-1020088</w:t>
            </w:r>
          </w:p>
        </w:tc>
      </w:tr>
      <w:tr w:rsidR="00E10BB8" w:rsidRPr="00EE6AF7" w:rsidTr="00207DB4">
        <w:trPr>
          <w:trHeight w:val="30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FECHA DE CONTRATACIÓN</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8 DE ABRIL DE 2013</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06 DE NOVIEMBRE DE 2019</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30 DE SEPTIEMBRE 2020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30 DE SEPTIEMBRE 2020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30 DE SEPTIEMBRE 2020</w:t>
            </w:r>
          </w:p>
        </w:tc>
      </w:tr>
      <w:tr w:rsidR="00E10BB8" w:rsidRPr="00EE6AF7" w:rsidTr="00207DB4">
        <w:trPr>
          <w:trHeight w:val="30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TIPO DE INSTRUMENTO</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r>
      <w:tr w:rsidR="00E10BB8" w:rsidRPr="00EE6AF7" w:rsidTr="00207DB4">
        <w:trPr>
          <w:trHeight w:val="1785"/>
          <w:jc w:val="center"/>
        </w:trPr>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DESTINO</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INVERSIÓN ASOCIADA A PROYECTOS EN MATERIA DE INFRAESTRUCTURA EN GENERAL, INFRAESTRUCTURA PARA SEGURIDAD PÚBLICA Y/O INFRAESTRUCTURA Y EQUIPAMIENTO:</w:t>
            </w:r>
          </w:p>
        </w:tc>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INVERSIÓN PÚBLICA PRODUCTIVA QUE COMPRENDE LA IMPLEMENTACIÓN DEL SISTEMA INTEGRAL DE SEGURIDAD ELECTRÓNICA DENOMINADO “FORTALECIMIENTO TECNOLÓGICO DE SEGURIDAD Y MONITOREO, YUCATÁN SEGURO”</w:t>
            </w:r>
          </w:p>
        </w:tc>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REFINANCIAMIENTO DE PASIVOS</w:t>
            </w:r>
          </w:p>
        </w:tc>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REFINANCIAMIENTO DE PASIVOS</w:t>
            </w:r>
          </w:p>
        </w:tc>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REFINANCIAMIENTO DE PASIVOS</w:t>
            </w:r>
          </w:p>
        </w:tc>
      </w:tr>
      <w:tr w:rsidR="00E10BB8" w:rsidRPr="00EE6AF7" w:rsidTr="00207DB4">
        <w:trPr>
          <w:trHeight w:val="510"/>
          <w:jc w:val="center"/>
        </w:trPr>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1.-SISTEMA INTEGRAL DE VIDEO Y ANÁLISIS INTELIGENTE.</w:t>
            </w: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r>
      <w:tr w:rsidR="00E10BB8" w:rsidRPr="00EE6AF7" w:rsidTr="00207DB4">
        <w:trPr>
          <w:trHeight w:val="765"/>
          <w:jc w:val="center"/>
        </w:trPr>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2.-PROYECTO ESTRATÉGICO DE VIGILANCIA TERRITORIAL DEL ESTADO DE YUCATÁN.</w:t>
            </w: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r>
      <w:tr w:rsidR="00E10BB8" w:rsidRPr="00EE6AF7" w:rsidTr="00207DB4">
        <w:trPr>
          <w:trHeight w:val="1020"/>
          <w:jc w:val="center"/>
        </w:trPr>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3.-CENTRO DE JUSTICIA ORAL DEL PRIMER DISTRITO JUDICIAL DEL ESTADO DE YUCATÁN (1A ETAPA)</w:t>
            </w: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FUENTE O GARANTÍA DEL CRÉDITO</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r>
      <w:tr w:rsidR="00E10BB8" w:rsidRPr="00EE6AF7" w:rsidTr="00207DB4">
        <w:trPr>
          <w:trHeight w:val="30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MONTO CONTRATADO</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317,268,611</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2,620,000,000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800,000,000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1,200,000,000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1,420,399,383</w:t>
            </w:r>
          </w:p>
        </w:tc>
      </w:tr>
      <w:tr w:rsidR="00E10BB8" w:rsidRPr="00EE6AF7" w:rsidTr="00207DB4">
        <w:trPr>
          <w:trHeight w:val="300"/>
          <w:jc w:val="center"/>
        </w:trPr>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TASA DE INTERÉS</w:t>
            </w:r>
          </w:p>
        </w:tc>
        <w:tc>
          <w:tcPr>
            <w:tcW w:w="0" w:type="auto"/>
            <w:tcBorders>
              <w:top w:val="nil"/>
              <w:left w:val="nil"/>
              <w:bottom w:val="nil"/>
              <w:right w:val="nil"/>
            </w:tcBorders>
            <w:shd w:val="clear" w:color="000000" w:fill="FFFFFF"/>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8.14% (1A DISPOSICIÓN)</w:t>
            </w:r>
          </w:p>
        </w:tc>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TIIE + 0.25</w:t>
            </w:r>
          </w:p>
        </w:tc>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TIIE + 0.74</w:t>
            </w:r>
          </w:p>
        </w:tc>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TIIE + 0.84</w:t>
            </w:r>
          </w:p>
        </w:tc>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TIIE + 0.94</w:t>
            </w:r>
          </w:p>
        </w:tc>
      </w:tr>
      <w:tr w:rsidR="00E10BB8" w:rsidRPr="00EE6AF7" w:rsidTr="00207DB4">
        <w:trPr>
          <w:trHeight w:val="300"/>
          <w:jc w:val="center"/>
        </w:trPr>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000000" w:fill="FFFFFF"/>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8.74% (2A DISPOSICIÓN)</w:t>
            </w: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r>
      <w:tr w:rsidR="00E10BB8" w:rsidRPr="00EE6AF7" w:rsidTr="00207DB4">
        <w:trPr>
          <w:trHeight w:val="30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PLAZO DE CONTRATACIÓN</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MEES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MESES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MESES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MESES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MESES</w:t>
            </w: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SALDO DE LA DEUDA AL 31 DE DICIEMBRE DE 2021</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306,931,762.00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2,591,228,831.73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791,778,824.00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1,188,008,001.62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1,366,487,675.50 </w:t>
            </w:r>
          </w:p>
        </w:tc>
      </w:tr>
      <w:tr w:rsidR="00E10BB8" w:rsidRPr="00EE6AF7" w:rsidTr="00207DB4">
        <w:trPr>
          <w:trHeight w:val="102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SALDO DEVENGADO PENDIENTE DE PAGAR AL CIERRE DEL EJERCICIO ANTERIOR</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EGRESOS DESTINADO AL PAGO DE LA DEUDA</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25,453,166.00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193,635,952.00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51,391,931.00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94,118,317.00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109,646,581.00 </w:t>
            </w:r>
          </w:p>
        </w:tc>
      </w:tr>
      <w:tr w:rsidR="00E10BB8" w:rsidRPr="00EE6AF7" w:rsidTr="00207DB4">
        <w:trPr>
          <w:trHeight w:val="51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9100 AMORTIZACIÓN DE LA DEUDA</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30,965,491.00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8,278,994.00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12,413,561.00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14,288,261.00 </w:t>
            </w:r>
          </w:p>
        </w:tc>
      </w:tr>
      <w:tr w:rsidR="00E10BB8" w:rsidRPr="00EE6AF7" w:rsidTr="00207DB4">
        <w:trPr>
          <w:trHeight w:val="30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9200 INTERESES DE LA DEUDA</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25,453,166.00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162,670,461.00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43,112,937.00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81,704,756.00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95,358,320.00 </w:t>
            </w:r>
          </w:p>
        </w:tc>
      </w:tr>
      <w:tr w:rsidR="00E10BB8" w:rsidRPr="00EE6AF7" w:rsidTr="00207DB4">
        <w:trPr>
          <w:trHeight w:val="51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COSTOS ADICIONALES ASOCIADOS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1,261,871.00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8,389,443.00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6,558,081.00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20,106,472.00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10,985,665.00 </w:t>
            </w: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9300 COMISIONES DE LA DEUDA</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r>
      <w:tr w:rsidR="00E10BB8" w:rsidRPr="00EE6AF7" w:rsidTr="00207DB4">
        <w:trPr>
          <w:trHeight w:val="30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9400 GASTOS DE LA DEUDA</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1,261,871.00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992,664.00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458,179.00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458,179.00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458,179.00 </w:t>
            </w: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9500 COSTO POR COBERTURAS</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7,396,779.00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6,099,902.00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19,648,293.00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10,527,486.00 </w:t>
            </w:r>
          </w:p>
        </w:tc>
      </w:tr>
      <w:tr w:rsidR="00E10BB8" w:rsidRPr="00EE6AF7" w:rsidTr="00207DB4">
        <w:trPr>
          <w:trHeight w:val="765"/>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3411 INTERESES, DESCUENTOS Y OTROS SERVICIOS BANCARIOS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r>
      <w:tr w:rsidR="00E10BB8" w:rsidRPr="00EE6AF7" w:rsidTr="00207DB4">
        <w:trPr>
          <w:trHeight w:val="300"/>
          <w:jc w:val="center"/>
        </w:trPr>
        <w:tc>
          <w:tcPr>
            <w:tcW w:w="0" w:type="auto"/>
            <w:gridSpan w:val="2"/>
            <w:tcBorders>
              <w:top w:val="nil"/>
              <w:left w:val="nil"/>
              <w:bottom w:val="nil"/>
              <w:right w:val="nil"/>
            </w:tcBorders>
            <w:shd w:val="clear" w:color="auto" w:fill="auto"/>
            <w:noWrap/>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Nota: El saldo de la deuda es una cifra estimada.</w:t>
            </w:r>
          </w:p>
        </w:tc>
        <w:tc>
          <w:tcPr>
            <w:tcW w:w="0" w:type="auto"/>
            <w:tcBorders>
              <w:top w:val="nil"/>
              <w:left w:val="nil"/>
              <w:bottom w:val="nil"/>
              <w:right w:val="nil"/>
            </w:tcBorders>
            <w:shd w:val="clear" w:color="auto" w:fill="auto"/>
            <w:noWrap/>
            <w:vAlign w:val="bottom"/>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auto" w:fill="auto"/>
            <w:noWrap/>
            <w:vAlign w:val="bottom"/>
            <w:hideMark/>
          </w:tcPr>
          <w:p w:rsidR="00E10BB8" w:rsidRPr="008C68CE" w:rsidRDefault="00E10BB8" w:rsidP="00207DB4">
            <w:pPr>
              <w:jc w:val="left"/>
              <w:rPr>
                <w:rFonts w:eastAsia="Times New Roman" w:cs="Arial"/>
                <w:sz w:val="16"/>
                <w:szCs w:val="16"/>
                <w:lang w:eastAsia="es-MX"/>
              </w:rPr>
            </w:pPr>
          </w:p>
        </w:tc>
        <w:tc>
          <w:tcPr>
            <w:tcW w:w="0" w:type="auto"/>
            <w:tcBorders>
              <w:top w:val="nil"/>
              <w:left w:val="nil"/>
              <w:bottom w:val="nil"/>
              <w:right w:val="nil"/>
            </w:tcBorders>
            <w:shd w:val="clear" w:color="auto" w:fill="auto"/>
            <w:noWrap/>
            <w:vAlign w:val="bottom"/>
            <w:hideMark/>
          </w:tcPr>
          <w:p w:rsidR="00E10BB8" w:rsidRPr="008C68CE" w:rsidRDefault="00E10BB8" w:rsidP="00207DB4">
            <w:pPr>
              <w:jc w:val="left"/>
              <w:rPr>
                <w:rFonts w:eastAsia="Times New Roman" w:cs="Arial"/>
                <w:sz w:val="16"/>
                <w:szCs w:val="16"/>
                <w:lang w:eastAsia="es-MX"/>
              </w:rPr>
            </w:pPr>
          </w:p>
        </w:tc>
        <w:tc>
          <w:tcPr>
            <w:tcW w:w="0" w:type="auto"/>
            <w:tcBorders>
              <w:top w:val="nil"/>
              <w:left w:val="nil"/>
              <w:bottom w:val="nil"/>
              <w:right w:val="nil"/>
            </w:tcBorders>
            <w:shd w:val="clear" w:color="auto" w:fill="auto"/>
            <w:noWrap/>
            <w:vAlign w:val="bottom"/>
            <w:hideMark/>
          </w:tcPr>
          <w:p w:rsidR="00E10BB8" w:rsidRPr="008C68CE" w:rsidRDefault="00E10BB8" w:rsidP="00207DB4">
            <w:pPr>
              <w:jc w:val="left"/>
              <w:rPr>
                <w:rFonts w:eastAsia="Times New Roman" w:cs="Arial"/>
                <w:sz w:val="16"/>
                <w:szCs w:val="16"/>
                <w:lang w:eastAsia="es-MX"/>
              </w:rPr>
            </w:pPr>
          </w:p>
        </w:tc>
      </w:tr>
    </w:tbl>
    <w:p w:rsidR="00E10BB8" w:rsidRPr="00E10BB8" w:rsidRDefault="00E10BB8" w:rsidP="00E10BB8"/>
    <w:p w:rsidR="00FA49E9" w:rsidRDefault="00FA49E9"/>
    <w:p w:rsidR="00FA49E9" w:rsidRDefault="009C1791">
      <w:pPr>
        <w:pStyle w:val="Ttulo4"/>
      </w:pPr>
      <w:bookmarkStart w:id="24" w:name="anexo-5.1.2.-deuda-de-corto-plazo"/>
      <w:bookmarkEnd w:id="23"/>
      <w:r>
        <w:t>ANEXO 5.1.2. DEUDA DE CORTO PLAZO</w:t>
      </w:r>
    </w:p>
    <w:p w:rsidR="00FA49E9" w:rsidRDefault="009C1791">
      <w:r>
        <w:t xml:space="preserve"> </w:t>
      </w:r>
    </w:p>
    <w:tbl>
      <w:tblPr>
        <w:tblW w:w="0" w:type="auto"/>
        <w:jc w:val="center"/>
        <w:tblCellMar>
          <w:left w:w="70" w:type="dxa"/>
          <w:right w:w="70" w:type="dxa"/>
        </w:tblCellMar>
        <w:tblLook w:val="04A0" w:firstRow="1" w:lastRow="0" w:firstColumn="1" w:lastColumn="0" w:noHBand="0" w:noVBand="1"/>
      </w:tblPr>
      <w:tblGrid>
        <w:gridCol w:w="1601"/>
        <w:gridCol w:w="1594"/>
        <w:gridCol w:w="1593"/>
        <w:gridCol w:w="1593"/>
        <w:gridCol w:w="1593"/>
        <w:gridCol w:w="1593"/>
        <w:gridCol w:w="1593"/>
      </w:tblGrid>
      <w:tr w:rsidR="001C27B4" w:rsidRPr="00EE6AF7" w:rsidTr="00207DB4">
        <w:trPr>
          <w:trHeight w:val="20"/>
          <w:tblHeader/>
          <w:jc w:val="center"/>
        </w:trPr>
        <w:tc>
          <w:tcPr>
            <w:tcW w:w="0" w:type="auto"/>
            <w:tcBorders>
              <w:top w:val="nil"/>
              <w:left w:val="nil"/>
              <w:bottom w:val="nil"/>
              <w:right w:val="nil"/>
            </w:tcBorders>
            <w:shd w:val="clear" w:color="000000" w:fill="4B4B4B"/>
            <w:vAlign w:val="center"/>
            <w:hideMark/>
          </w:tcPr>
          <w:p w:rsidR="001C27B4" w:rsidRPr="009B1AA6" w:rsidRDefault="001C27B4" w:rsidP="00207DB4">
            <w:pPr>
              <w:jc w:val="left"/>
              <w:rPr>
                <w:rFonts w:eastAsia="Times New Roman" w:cs="Arial"/>
                <w:b/>
                <w:bCs/>
                <w:color w:val="FFFFFF"/>
                <w:sz w:val="16"/>
                <w:szCs w:val="16"/>
                <w:lang w:eastAsia="es-MX"/>
              </w:rPr>
            </w:pPr>
            <w:r w:rsidRPr="009B1AA6">
              <w:rPr>
                <w:rFonts w:eastAsia="Times New Roman" w:cs="Arial"/>
                <w:b/>
                <w:bCs/>
                <w:color w:val="FFFFFF"/>
                <w:sz w:val="16"/>
                <w:szCs w:val="16"/>
                <w:lang w:eastAsia="es-MX"/>
              </w:rPr>
              <w:t>INSTITUCIÓN DE CRÉDITO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SCOTIABANK INVERLAT</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HSBC MÉXICO</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BANCO SANTANDER</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BBVA BANCOMER</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HSBC MÉXICO</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HSBC MÉXICO</w:t>
            </w:r>
            <w:r w:rsidRPr="009B1AA6">
              <w:rPr>
                <w:rFonts w:eastAsia="Times New Roman" w:cs="Arial"/>
                <w:b/>
                <w:bCs/>
                <w:color w:val="FFFFFF"/>
                <w:sz w:val="16"/>
                <w:szCs w:val="16"/>
                <w:lang w:eastAsia="es-MX"/>
              </w:rPr>
              <w:br/>
              <w:t>(CORTO PLAZO)</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CLAVE REGISTRO RPU</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Q31-0721103</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Q31-0721103</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Q31-1121125</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Q31-1121126</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Q31-1121127</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Q31-1121128</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FECHA DE CONTRATACIÓN</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28 DE MAYO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9 DE JUNIO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15 DE SEPTIEMBRE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13 DE SEPTIEMBRE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13 DE SEPTIEMBRE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13 DE SEPTIEMBRE DE 2021</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TIPO DE INSTRUMENTO</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DESTINO</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FUENTE O GARANTÍA DEL CRÉDITO</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MONTO CONTRATADO</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700,000,000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200,000,000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100,000,000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200,000,000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275,000,000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125,000,000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TASA DE INTERÉS</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+ 0.68</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+ 0.90</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+ 0.62</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+ 0.63</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+ 0.64</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+ 0.74</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PLAZO DE CONTRATACIÓN</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SALDO DE LA DEUDA AL 31 DE DICIEMBRE DE 2021</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700,000,000.00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100,000,000.00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100,000,000.00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200,000,000.00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275,000,000.00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125,000,000.00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SALDO DEVENGADO PENDIENTE DE PAGAR AL CIERRE DEL EJERCICIO ANTERIOR</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EGRESOS DESTINADO AL PAGO DE LA DEUDA</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273,152,155.00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151,847,845.00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125,000,000.00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9100 AMORTIZACIÓN DE LA DEUDA</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273,152,155.00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151,847,845.00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125,000,000.00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9200 INTERESES DE LA DEUDA</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COSTOS ADICIONALES ASOCIADOS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20,437,667.00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3,620,277.00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5,299,055.00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10,613,277.00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14,614,111.00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6,737,571.00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9300 COMISIONES DE LA DEUDA</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9400 GASTOS DE LA DEUDA</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9500 COSTO POR COBERTURAS</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3411 INTERESES, DESCUENTOS Y OTROS SERVICIOS BANCARIOS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20,437,667.00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3,620,277.00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5,299,055.00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10,613,277.00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14,614,111.00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6,737,571.00 </w:t>
            </w:r>
          </w:p>
        </w:tc>
      </w:tr>
    </w:tbl>
    <w:p w:rsidR="00FA49E9" w:rsidRDefault="009C1791">
      <w:r>
        <w:br w:type="page"/>
      </w:r>
    </w:p>
    <w:p w:rsidR="00FA49E9" w:rsidRDefault="009C1791">
      <w:pPr>
        <w:pStyle w:val="Ttulo3"/>
      </w:pPr>
      <w:bookmarkStart w:id="25" w:name="X359ce25909e32eadfc0bbca962d908c112ab648"/>
      <w:bookmarkEnd w:id="22"/>
      <w:bookmarkEnd w:id="24"/>
      <w:r>
        <w:t>ANEXO 5.2. PROGRAMA FINANCIERO DE LA DEUDA PÚBLICA 2022</w:t>
      </w:r>
    </w:p>
    <w:p w:rsidR="00FA49E9" w:rsidRDefault="00FA49E9"/>
    <w:p w:rsidR="00FA49E9" w:rsidRDefault="009C1791">
      <w:pPr>
        <w:pStyle w:val="Ttulo4"/>
      </w:pPr>
      <w:bookmarkStart w:id="26" w:name="anexo-5.2.1.-deuda-de-largo-plazo"/>
      <w:r>
        <w:t>ANEXO 5.2.1. DEUDA DE LARGO PLAZO</w:t>
      </w:r>
    </w:p>
    <w:p w:rsidR="00FE737F" w:rsidRPr="00FE737F" w:rsidRDefault="00FE737F" w:rsidP="00FE737F"/>
    <w:tbl>
      <w:tblPr>
        <w:tblW w:w="11471" w:type="dxa"/>
        <w:tblCellMar>
          <w:left w:w="70" w:type="dxa"/>
          <w:right w:w="70" w:type="dxa"/>
        </w:tblCellMar>
        <w:tblLook w:val="04A0" w:firstRow="1" w:lastRow="0" w:firstColumn="1" w:lastColumn="0" w:noHBand="0" w:noVBand="1"/>
      </w:tblPr>
      <w:tblGrid>
        <w:gridCol w:w="2149"/>
        <w:gridCol w:w="1740"/>
        <w:gridCol w:w="1635"/>
        <w:gridCol w:w="1492"/>
        <w:gridCol w:w="1290"/>
        <w:gridCol w:w="1620"/>
        <w:gridCol w:w="1545"/>
      </w:tblGrid>
      <w:tr w:rsidR="00ED6EAC" w:rsidRPr="00EE6AF7" w:rsidTr="7C88EE34">
        <w:trPr>
          <w:trHeight w:val="20"/>
          <w:tblHeader/>
        </w:trPr>
        <w:tc>
          <w:tcPr>
            <w:tcW w:w="2149"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MES</w:t>
            </w:r>
          </w:p>
        </w:tc>
        <w:tc>
          <w:tcPr>
            <w:tcW w:w="1740"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SALDO INSOLUTO INICIAL</w:t>
            </w:r>
          </w:p>
        </w:tc>
        <w:tc>
          <w:tcPr>
            <w:tcW w:w="1635"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AMORTIZACIÓN DE CAPITAL</w:t>
            </w:r>
          </w:p>
        </w:tc>
        <w:tc>
          <w:tcPr>
            <w:tcW w:w="1492"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INTERESES DE LA DEUDA</w:t>
            </w:r>
          </w:p>
        </w:tc>
        <w:tc>
          <w:tcPr>
            <w:tcW w:w="1290"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GASTOS DE LA DEUDA</w:t>
            </w:r>
          </w:p>
        </w:tc>
        <w:tc>
          <w:tcPr>
            <w:tcW w:w="1620"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COBERTURAS FINANCIERAS</w:t>
            </w:r>
          </w:p>
        </w:tc>
        <w:tc>
          <w:tcPr>
            <w:tcW w:w="1545"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PAGO MENSUAL</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ENERO</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6,244,435,095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5,127,872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33,747,916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4,537,230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43,449,652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FEBRERO</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6,239,307,223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5,191,972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33,326,600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4,237,637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42,792,843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MARZO</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6,234,115,251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5,256,873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30,186,734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4,142,734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39,622,975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ABRIL</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6,228,858,378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5,322,581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34,019,865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3,778,112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43,157,192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MAYO</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6,223,535,797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5,389,115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35,051,202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3,979,747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44,456,698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JUNIO</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6,218,146,682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5,456,478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32,164,506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3,682,026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41,339,644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JULIO</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6,212,690,204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5,524,687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33,512,712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407,486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3,186,940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42,631,825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AGOSTO</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6,207,165,517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5,593,744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35,848,149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209,645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3,254,645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44,906,183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SEPTIEMBRE</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6,201,571,773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5,663,664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33,543,680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3,510,901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42,754,879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OCTUBRE</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6,195,908,109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5,734,460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35,279,350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1,399,519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3,259,703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45,673,032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NOVIEMBRE</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6,190,173,649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5,806,142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36,320,605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810,110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3,140,422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46,077,279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DICIEMBRE</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6,184,367,507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5,878,719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35,298,321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545,874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2,962,363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44,685,277 </w:t>
            </w:r>
          </w:p>
        </w:tc>
      </w:tr>
      <w:tr w:rsidR="00ED6EAC" w:rsidRPr="00EE6AF7" w:rsidTr="7C88EE34">
        <w:trPr>
          <w:trHeight w:val="20"/>
        </w:trPr>
        <w:tc>
          <w:tcPr>
            <w:tcW w:w="2149" w:type="dxa"/>
            <w:tcBorders>
              <w:top w:val="nil"/>
              <w:left w:val="nil"/>
              <w:bottom w:val="nil"/>
              <w:right w:val="nil"/>
            </w:tcBorders>
            <w:shd w:val="clear" w:color="auto" w:fill="4B4B4B"/>
            <w:vAlign w:val="center"/>
            <w:hideMark/>
          </w:tcPr>
          <w:p w:rsidR="00FE737F" w:rsidRPr="00B70C52" w:rsidRDefault="00FE737F" w:rsidP="00207DB4">
            <w:pPr>
              <w:jc w:val="left"/>
              <w:rPr>
                <w:rFonts w:eastAsia="Times New Roman" w:cs="Arial"/>
                <w:b/>
                <w:bCs/>
                <w:color w:val="FFFFFF"/>
                <w:sz w:val="18"/>
                <w:szCs w:val="18"/>
                <w:lang w:eastAsia="es-MX"/>
              </w:rPr>
            </w:pPr>
            <w:r w:rsidRPr="00B70C52">
              <w:rPr>
                <w:rFonts w:eastAsia="Times New Roman" w:cs="Arial"/>
                <w:b/>
                <w:bCs/>
                <w:color w:val="FFFFFF"/>
                <w:sz w:val="18"/>
                <w:szCs w:val="18"/>
                <w:lang w:eastAsia="es-MX"/>
              </w:rPr>
              <w:t>SUB-TOTAL DEUDA PÚBLICA  DE LARGO PLAZO SIN ADEFAS</w:t>
            </w:r>
          </w:p>
        </w:tc>
        <w:tc>
          <w:tcPr>
            <w:tcW w:w="1740" w:type="dxa"/>
            <w:tcBorders>
              <w:top w:val="nil"/>
              <w:left w:val="nil"/>
              <w:bottom w:val="single" w:sz="8" w:space="0" w:color="366092"/>
              <w:right w:val="nil"/>
            </w:tcBorders>
            <w:shd w:val="clear" w:color="auto" w:fill="4B4B4B"/>
            <w:vAlign w:val="center"/>
            <w:hideMark/>
          </w:tcPr>
          <w:p w:rsidR="00FE737F" w:rsidRPr="00B70C52" w:rsidRDefault="00FE737F" w:rsidP="7C88EE34">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74,580,275,183 </w:t>
            </w:r>
          </w:p>
        </w:tc>
        <w:tc>
          <w:tcPr>
            <w:tcW w:w="1635" w:type="dxa"/>
            <w:tcBorders>
              <w:top w:val="nil"/>
              <w:left w:val="nil"/>
              <w:bottom w:val="single" w:sz="8" w:space="0" w:color="366092"/>
              <w:right w:val="nil"/>
            </w:tcBorders>
            <w:shd w:val="clear" w:color="auto" w:fill="4B4B4B"/>
            <w:vAlign w:val="center"/>
            <w:hideMark/>
          </w:tcPr>
          <w:p w:rsidR="00FE737F" w:rsidRPr="00B70C52" w:rsidRDefault="00FE737F" w:rsidP="7C88EE34">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65,946,307 </w:t>
            </w:r>
          </w:p>
        </w:tc>
        <w:tc>
          <w:tcPr>
            <w:tcW w:w="1492" w:type="dxa"/>
            <w:tcBorders>
              <w:top w:val="nil"/>
              <w:left w:val="nil"/>
              <w:bottom w:val="single" w:sz="8" w:space="0" w:color="366092"/>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 xml:space="preserve">     408,299,640 </w:t>
            </w:r>
          </w:p>
        </w:tc>
        <w:tc>
          <w:tcPr>
            <w:tcW w:w="1290" w:type="dxa"/>
            <w:tcBorders>
              <w:top w:val="nil"/>
              <w:left w:val="nil"/>
              <w:bottom w:val="single" w:sz="8" w:space="0" w:color="366092"/>
              <w:right w:val="nil"/>
            </w:tcBorders>
            <w:shd w:val="clear" w:color="auto" w:fill="4B4B4B"/>
            <w:vAlign w:val="center"/>
            <w:hideMark/>
          </w:tcPr>
          <w:p w:rsidR="00FE737F" w:rsidRPr="00B70C52" w:rsidRDefault="00FE737F" w:rsidP="0D354D1E">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3,629,072 </w:t>
            </w:r>
          </w:p>
        </w:tc>
        <w:tc>
          <w:tcPr>
            <w:tcW w:w="1620" w:type="dxa"/>
            <w:tcBorders>
              <w:top w:val="nil"/>
              <w:left w:val="nil"/>
              <w:bottom w:val="single" w:sz="8" w:space="0" w:color="366092"/>
              <w:right w:val="nil"/>
            </w:tcBorders>
            <w:shd w:val="clear" w:color="auto" w:fill="4B4B4B"/>
            <w:vAlign w:val="center"/>
            <w:hideMark/>
          </w:tcPr>
          <w:p w:rsidR="00FE737F" w:rsidRPr="00B70C52" w:rsidRDefault="00FE737F" w:rsidP="0D354D1E">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43,672,460 </w:t>
            </w:r>
          </w:p>
        </w:tc>
        <w:tc>
          <w:tcPr>
            <w:tcW w:w="1545" w:type="dxa"/>
            <w:tcBorders>
              <w:top w:val="nil"/>
              <w:left w:val="nil"/>
              <w:bottom w:val="single" w:sz="8" w:space="0" w:color="366092"/>
              <w:right w:val="nil"/>
            </w:tcBorders>
            <w:shd w:val="clear" w:color="auto" w:fill="4B4B4B"/>
            <w:vAlign w:val="center"/>
            <w:hideMark/>
          </w:tcPr>
          <w:p w:rsidR="00FE737F" w:rsidRPr="00B70C52" w:rsidRDefault="00FE737F" w:rsidP="1918EAF1">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521,547,479 </w:t>
            </w:r>
          </w:p>
        </w:tc>
      </w:tr>
    </w:tbl>
    <w:p w:rsidR="00FE737F" w:rsidRPr="00FE737F" w:rsidRDefault="00FE737F" w:rsidP="00FE737F"/>
    <w:p w:rsidR="00FE737F" w:rsidRDefault="00FE737F">
      <w:pPr>
        <w:jc w:val="left"/>
      </w:pPr>
      <w:r>
        <w:br w:type="page"/>
      </w:r>
    </w:p>
    <w:p w:rsidR="00FA49E9" w:rsidRDefault="009C1791">
      <w:pPr>
        <w:pStyle w:val="Ttulo4"/>
      </w:pPr>
      <w:bookmarkStart w:id="27" w:name="anexo-5.2.2.-deuda-a-corto-plazo"/>
      <w:bookmarkEnd w:id="26"/>
      <w:r>
        <w:t>ANEXO 5.2.2. DEUDA A CORTO PLAZO</w:t>
      </w:r>
    </w:p>
    <w:p w:rsidR="0035082A" w:rsidRDefault="0035082A" w:rsidP="0035082A"/>
    <w:tbl>
      <w:tblPr>
        <w:tblW w:w="11460" w:type="dxa"/>
        <w:tblCellMar>
          <w:left w:w="70" w:type="dxa"/>
          <w:right w:w="70" w:type="dxa"/>
        </w:tblCellMar>
        <w:tblLook w:val="04A0" w:firstRow="1" w:lastRow="0" w:firstColumn="1" w:lastColumn="0" w:noHBand="0" w:noVBand="1"/>
      </w:tblPr>
      <w:tblGrid>
        <w:gridCol w:w="2560"/>
        <w:gridCol w:w="2160"/>
        <w:gridCol w:w="1960"/>
        <w:gridCol w:w="2640"/>
        <w:gridCol w:w="2140"/>
      </w:tblGrid>
      <w:tr w:rsidR="003E3AEA" w:rsidRPr="00EE6AF7" w:rsidTr="003E3AEA">
        <w:trPr>
          <w:trHeight w:val="20"/>
        </w:trPr>
        <w:tc>
          <w:tcPr>
            <w:tcW w:w="256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MES</w:t>
            </w:r>
          </w:p>
        </w:tc>
        <w:tc>
          <w:tcPr>
            <w:tcW w:w="216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SALDO INSOLUTO INICIAL</w:t>
            </w:r>
          </w:p>
        </w:tc>
        <w:tc>
          <w:tcPr>
            <w:tcW w:w="196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AMORTIZACIÓN DE CAPITAL</w:t>
            </w:r>
          </w:p>
        </w:tc>
        <w:tc>
          <w:tcPr>
            <w:tcW w:w="264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INTERESES, DESCUENTOS Y OTROS SERVICIOS BANCARIOS</w:t>
            </w:r>
          </w:p>
        </w:tc>
        <w:tc>
          <w:tcPr>
            <w:tcW w:w="214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PAGO MENSUAL</w:t>
            </w:r>
          </w:p>
        </w:tc>
      </w:tr>
      <w:tr w:rsidR="003E3AEA" w:rsidRPr="00EE6AF7" w:rsidTr="003E3AEA">
        <w:trPr>
          <w:trHeight w:val="20"/>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ENERO</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1,500,000,000.00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40,906,078.00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8,946,102.00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49,852,180.00 </w:t>
            </w:r>
          </w:p>
        </w:tc>
      </w:tr>
      <w:tr w:rsidR="003E3AEA" w:rsidRPr="00EE6AF7" w:rsidTr="003E3AEA">
        <w:trPr>
          <w:trHeight w:val="20"/>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FEBRERO</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1,459,093,922.00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41,263,294.00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8,650,172.00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49,913,466.00 </w:t>
            </w:r>
          </w:p>
        </w:tc>
      </w:tr>
      <w:tr w:rsidR="003E3AEA" w:rsidRPr="00EE6AF7" w:rsidTr="003E3AEA">
        <w:trPr>
          <w:trHeight w:val="20"/>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MARZO</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1,417,830,628.00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44,338,259.00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9,242,034.00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53,580,293.00 </w:t>
            </w:r>
          </w:p>
        </w:tc>
      </w:tr>
      <w:tr w:rsidR="003E3AEA" w:rsidRPr="00EE6AF7" w:rsidTr="003E3AEA">
        <w:trPr>
          <w:trHeight w:val="20"/>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ABRIL</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1,373,492,369.00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40,439,420.00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9,341,936.00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49,781,356.00 </w:t>
            </w:r>
          </w:p>
        </w:tc>
      </w:tr>
      <w:tr w:rsidR="003E3AEA" w:rsidRPr="00EE6AF7" w:rsidTr="003E3AEA">
        <w:trPr>
          <w:trHeight w:val="20"/>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MAYO</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1,333,052,949.00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39,341,549.00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10,445,437.00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49,786,986.00 </w:t>
            </w:r>
          </w:p>
        </w:tc>
      </w:tr>
      <w:tr w:rsidR="003E3AEA" w:rsidRPr="00EE6AF7" w:rsidTr="003E3AEA">
        <w:trPr>
          <w:trHeight w:val="20"/>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JUNIO</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1,293,711,400.00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42,160,882.00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10,240,833.00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52,401,715.00 </w:t>
            </w:r>
          </w:p>
        </w:tc>
      </w:tr>
      <w:tr w:rsidR="003E3AEA" w:rsidRPr="00EE6AF7" w:rsidTr="003E3AEA">
        <w:trPr>
          <w:trHeight w:val="20"/>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JULIO</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1,251,550,518.00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40,744,467.00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10,728,584.00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51,473,051.00 </w:t>
            </w:r>
          </w:p>
        </w:tc>
      </w:tr>
      <w:tr w:rsidR="003E3AEA" w:rsidRPr="00EE6AF7" w:rsidTr="003E3AEA">
        <w:trPr>
          <w:trHeight w:val="20"/>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AGOSTO</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1,210,806,051.00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38,339,973.00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10,728,584.00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49,068,557.00 </w:t>
            </w:r>
          </w:p>
        </w:tc>
      </w:tr>
      <w:tr w:rsidR="003E3AEA" w:rsidRPr="00EE6AF7" w:rsidTr="003E3AEA">
        <w:trPr>
          <w:trHeight w:val="20"/>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SEPTIEMBRE</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1,172,466,078.00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40,574,522.00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10,382,500.00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50,957,022.00 </w:t>
            </w:r>
          </w:p>
        </w:tc>
      </w:tr>
      <w:tr w:rsidR="003E3AEA" w:rsidRPr="00EE6AF7" w:rsidTr="003E3AEA">
        <w:trPr>
          <w:trHeight w:val="20"/>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OCTUBRE</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1,131,891,556.00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38,768,056.00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10,547,750.00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49,315,806.00 </w:t>
            </w:r>
          </w:p>
        </w:tc>
      </w:tr>
      <w:tr w:rsidR="003E3AEA" w:rsidRPr="00EE6AF7" w:rsidTr="003E3AEA">
        <w:trPr>
          <w:trHeight w:val="20"/>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NOVIEMBRE</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1,093,123,500.00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37,655,119.00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10,207,500.00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47,862,619.00 </w:t>
            </w:r>
          </w:p>
        </w:tc>
      </w:tr>
      <w:tr w:rsidR="003E3AEA" w:rsidRPr="00EE6AF7" w:rsidTr="003E3AEA">
        <w:trPr>
          <w:trHeight w:val="20"/>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DICIEMBRE</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1,055,468,381.00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105,468,381.00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15,253,299.00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120,721,680.00 </w:t>
            </w:r>
          </w:p>
        </w:tc>
      </w:tr>
      <w:tr w:rsidR="00D540A2" w:rsidRPr="00EE6AF7" w:rsidTr="00F33E9B">
        <w:trPr>
          <w:trHeight w:val="20"/>
        </w:trPr>
        <w:tc>
          <w:tcPr>
            <w:tcW w:w="4720" w:type="dxa"/>
            <w:gridSpan w:val="2"/>
            <w:tcBorders>
              <w:top w:val="nil"/>
              <w:left w:val="nil"/>
              <w:bottom w:val="nil"/>
              <w:right w:val="nil"/>
            </w:tcBorders>
            <w:shd w:val="clear" w:color="000000" w:fill="4B4B4B"/>
            <w:vAlign w:val="center"/>
            <w:hideMark/>
          </w:tcPr>
          <w:p w:rsidR="00D540A2" w:rsidRPr="003E3AEA" w:rsidRDefault="00D540A2" w:rsidP="003E3AEA">
            <w:pPr>
              <w:jc w:val="left"/>
              <w:rPr>
                <w:rFonts w:eastAsia="Times New Roman" w:cs="Arial"/>
                <w:b/>
                <w:bCs/>
                <w:color w:val="FFFFFF"/>
                <w:sz w:val="20"/>
                <w:szCs w:val="20"/>
                <w:lang w:eastAsia="es-MX"/>
              </w:rPr>
            </w:pPr>
            <w:r w:rsidRPr="003E3AEA">
              <w:rPr>
                <w:rFonts w:eastAsia="Times New Roman" w:cs="Arial"/>
                <w:b/>
                <w:bCs/>
                <w:color w:val="FFFFFF"/>
                <w:sz w:val="20"/>
                <w:szCs w:val="20"/>
                <w:lang w:eastAsia="es-MX"/>
              </w:rPr>
              <w:t>SUB-TOTAL DEUDA A CORTO PLAZO</w:t>
            </w:r>
          </w:p>
          <w:p w:rsidR="00D540A2" w:rsidRPr="003E3AEA" w:rsidRDefault="00D540A2" w:rsidP="003E3AEA">
            <w:pPr>
              <w:jc w:val="right"/>
              <w:rPr>
                <w:rFonts w:eastAsia="Times New Roman" w:cs="Arial"/>
                <w:b/>
                <w:bCs/>
                <w:color w:val="000000"/>
                <w:sz w:val="20"/>
                <w:szCs w:val="20"/>
                <w:lang w:eastAsia="es-MX"/>
              </w:rPr>
            </w:pPr>
            <w:r w:rsidRPr="003E3AEA">
              <w:rPr>
                <w:rFonts w:eastAsia="Times New Roman" w:cs="Arial"/>
                <w:b/>
                <w:bCs/>
                <w:color w:val="000000"/>
                <w:sz w:val="20"/>
                <w:szCs w:val="20"/>
                <w:lang w:eastAsia="es-MX"/>
              </w:rPr>
              <w:t> </w:t>
            </w:r>
          </w:p>
        </w:tc>
        <w:tc>
          <w:tcPr>
            <w:tcW w:w="1960" w:type="dxa"/>
            <w:tcBorders>
              <w:top w:val="nil"/>
              <w:left w:val="nil"/>
              <w:bottom w:val="nil"/>
              <w:right w:val="nil"/>
            </w:tcBorders>
            <w:shd w:val="clear" w:color="000000" w:fill="4B4B4B"/>
            <w:vAlign w:val="center"/>
            <w:hideMark/>
          </w:tcPr>
          <w:p w:rsidR="00D540A2" w:rsidRPr="003E3AEA" w:rsidRDefault="00D540A2" w:rsidP="003E3AEA">
            <w:pPr>
              <w:jc w:val="right"/>
              <w:rPr>
                <w:rFonts w:eastAsia="Times New Roman" w:cs="Arial"/>
                <w:b/>
                <w:bCs/>
                <w:color w:val="FFFFFF"/>
                <w:sz w:val="20"/>
                <w:szCs w:val="20"/>
                <w:lang w:eastAsia="es-MX"/>
              </w:rPr>
            </w:pPr>
            <w:r w:rsidRPr="003E3AEA">
              <w:rPr>
                <w:rFonts w:eastAsia="Times New Roman" w:cs="Arial"/>
                <w:b/>
                <w:bCs/>
                <w:color w:val="FFFFFF"/>
                <w:sz w:val="20"/>
                <w:szCs w:val="20"/>
                <w:lang w:eastAsia="es-MX"/>
              </w:rPr>
              <w:t xml:space="preserve">  550,000,000.00 </w:t>
            </w:r>
          </w:p>
        </w:tc>
        <w:tc>
          <w:tcPr>
            <w:tcW w:w="2640" w:type="dxa"/>
            <w:tcBorders>
              <w:top w:val="nil"/>
              <w:left w:val="nil"/>
              <w:bottom w:val="nil"/>
              <w:right w:val="nil"/>
            </w:tcBorders>
            <w:shd w:val="clear" w:color="000000" w:fill="4B4B4B"/>
            <w:vAlign w:val="center"/>
            <w:hideMark/>
          </w:tcPr>
          <w:p w:rsidR="00D540A2" w:rsidRPr="003E3AEA" w:rsidRDefault="00D540A2" w:rsidP="003E3AEA">
            <w:pPr>
              <w:jc w:val="right"/>
              <w:rPr>
                <w:rFonts w:eastAsia="Times New Roman" w:cs="Arial"/>
                <w:b/>
                <w:bCs/>
                <w:color w:val="FFFFFF"/>
                <w:sz w:val="20"/>
                <w:szCs w:val="20"/>
                <w:lang w:eastAsia="es-MX"/>
              </w:rPr>
            </w:pPr>
            <w:r w:rsidRPr="003E3AEA">
              <w:rPr>
                <w:rFonts w:eastAsia="Times New Roman" w:cs="Arial"/>
                <w:b/>
                <w:bCs/>
                <w:color w:val="FFFFFF"/>
                <w:sz w:val="20"/>
                <w:szCs w:val="20"/>
                <w:lang w:eastAsia="es-MX"/>
              </w:rPr>
              <w:t xml:space="preserve">             124,714,731.00 </w:t>
            </w:r>
          </w:p>
        </w:tc>
        <w:tc>
          <w:tcPr>
            <w:tcW w:w="2140" w:type="dxa"/>
            <w:tcBorders>
              <w:top w:val="nil"/>
              <w:left w:val="nil"/>
              <w:bottom w:val="nil"/>
              <w:right w:val="nil"/>
            </w:tcBorders>
            <w:shd w:val="clear" w:color="000000" w:fill="4B4B4B"/>
            <w:vAlign w:val="center"/>
            <w:hideMark/>
          </w:tcPr>
          <w:p w:rsidR="00D540A2" w:rsidRPr="003E3AEA" w:rsidRDefault="00D540A2" w:rsidP="003E3AEA">
            <w:pPr>
              <w:jc w:val="right"/>
              <w:rPr>
                <w:rFonts w:eastAsia="Times New Roman" w:cs="Arial"/>
                <w:b/>
                <w:bCs/>
                <w:color w:val="FFFFFF"/>
                <w:sz w:val="20"/>
                <w:szCs w:val="20"/>
                <w:lang w:eastAsia="es-MX"/>
              </w:rPr>
            </w:pPr>
            <w:r w:rsidRPr="003E3AEA">
              <w:rPr>
                <w:rFonts w:eastAsia="Times New Roman" w:cs="Arial"/>
                <w:b/>
                <w:bCs/>
                <w:color w:val="FFFFFF"/>
                <w:sz w:val="20"/>
                <w:szCs w:val="20"/>
                <w:lang w:eastAsia="es-MX"/>
              </w:rPr>
              <w:t xml:space="preserve">     674,714,731.00 </w:t>
            </w:r>
          </w:p>
        </w:tc>
      </w:tr>
    </w:tbl>
    <w:p w:rsidR="0035082A" w:rsidRPr="0035082A" w:rsidRDefault="0035082A" w:rsidP="0035082A"/>
    <w:p w:rsidR="00125F1A" w:rsidRDefault="00125F1A">
      <w:pPr>
        <w:jc w:val="left"/>
      </w:pPr>
      <w:r>
        <w:br w:type="page"/>
      </w:r>
    </w:p>
    <w:p w:rsidR="003F4166" w:rsidRDefault="009C1791" w:rsidP="00125F1A">
      <w:pPr>
        <w:pStyle w:val="Ttulo4"/>
      </w:pPr>
      <w:bookmarkStart w:id="28" w:name="X4d1b6951f212c309a00637c4a97eae69cdc2774"/>
      <w:bookmarkEnd w:id="27"/>
      <w:r>
        <w:t>ANEXO 5.2.3. ADEUDOS DE EJERCICIOS FISCALES ANTERIORES (ADEFAS)</w:t>
      </w:r>
    </w:p>
    <w:p w:rsidR="00125F1A" w:rsidRPr="00125F1A" w:rsidRDefault="00125F1A" w:rsidP="00125F1A"/>
    <w:tbl>
      <w:tblPr>
        <w:tblW w:w="0" w:type="auto"/>
        <w:tblCellMar>
          <w:left w:w="70" w:type="dxa"/>
          <w:right w:w="70" w:type="dxa"/>
        </w:tblCellMar>
        <w:tblLook w:val="04A0" w:firstRow="1" w:lastRow="0" w:firstColumn="1" w:lastColumn="0" w:noHBand="0" w:noVBand="1"/>
      </w:tblPr>
      <w:tblGrid>
        <w:gridCol w:w="1430"/>
        <w:gridCol w:w="2652"/>
        <w:gridCol w:w="6086"/>
      </w:tblGrid>
      <w:tr w:rsidR="003F4166" w:rsidRPr="00EE6AF7" w:rsidTr="00EE6AF7">
        <w:trPr>
          <w:trHeight w:val="20"/>
        </w:trPr>
        <w:tc>
          <w:tcPr>
            <w:tcW w:w="0" w:type="auto"/>
            <w:tcBorders>
              <w:top w:val="single" w:sz="8" w:space="0" w:color="000000"/>
              <w:left w:val="single" w:sz="8" w:space="0" w:color="000000"/>
              <w:bottom w:val="nil"/>
              <w:right w:val="nil"/>
            </w:tcBorders>
            <w:shd w:val="clear" w:color="auto" w:fill="4B4B4B"/>
            <w:vAlign w:val="center"/>
            <w:hideMark/>
          </w:tcPr>
          <w:p w:rsidR="003F4166" w:rsidRPr="003F4166" w:rsidRDefault="003F4166" w:rsidP="003F4166">
            <w:pPr>
              <w:jc w:val="center"/>
              <w:rPr>
                <w:rFonts w:eastAsia="Times New Roman" w:cs="Arial"/>
                <w:color w:val="FFFFFF"/>
                <w:sz w:val="20"/>
                <w:szCs w:val="20"/>
                <w:lang w:eastAsia="es-MX"/>
              </w:rPr>
            </w:pPr>
            <w:r w:rsidRPr="003F4166">
              <w:rPr>
                <w:rFonts w:eastAsia="Times New Roman" w:cs="Arial"/>
                <w:color w:val="FFFFFF"/>
                <w:sz w:val="20"/>
                <w:szCs w:val="20"/>
                <w:lang w:eastAsia="es-MX"/>
              </w:rPr>
              <w:t>MES</w:t>
            </w:r>
          </w:p>
        </w:tc>
        <w:tc>
          <w:tcPr>
            <w:tcW w:w="0" w:type="auto"/>
            <w:tcBorders>
              <w:top w:val="single" w:sz="8" w:space="0" w:color="000000"/>
              <w:left w:val="single" w:sz="8" w:space="0" w:color="000000"/>
              <w:bottom w:val="nil"/>
              <w:right w:val="nil"/>
            </w:tcBorders>
            <w:shd w:val="clear" w:color="auto" w:fill="4B4B4B"/>
            <w:vAlign w:val="center"/>
            <w:hideMark/>
          </w:tcPr>
          <w:p w:rsidR="003F4166" w:rsidRPr="003F4166" w:rsidRDefault="003F4166" w:rsidP="003F4166">
            <w:pPr>
              <w:jc w:val="center"/>
              <w:rPr>
                <w:rFonts w:eastAsia="Times New Roman" w:cs="Arial"/>
                <w:color w:val="FFFFFF"/>
                <w:sz w:val="20"/>
                <w:szCs w:val="20"/>
                <w:lang w:eastAsia="es-MX"/>
              </w:rPr>
            </w:pPr>
            <w:r w:rsidRPr="003F4166">
              <w:rPr>
                <w:rFonts w:eastAsia="Times New Roman" w:cs="Arial"/>
                <w:color w:val="FFFFFF"/>
                <w:sz w:val="20"/>
                <w:szCs w:val="20"/>
                <w:lang w:eastAsia="es-MX"/>
              </w:rPr>
              <w:t>SALDO INSOLUTO INICIAL</w:t>
            </w:r>
          </w:p>
        </w:tc>
        <w:tc>
          <w:tcPr>
            <w:tcW w:w="0" w:type="auto"/>
            <w:tcBorders>
              <w:top w:val="single" w:sz="8" w:space="0" w:color="000000"/>
              <w:left w:val="single" w:sz="8" w:space="0" w:color="000000"/>
              <w:bottom w:val="nil"/>
              <w:right w:val="nil"/>
            </w:tcBorders>
            <w:shd w:val="clear" w:color="auto" w:fill="4B4B4B"/>
            <w:vAlign w:val="center"/>
            <w:hideMark/>
          </w:tcPr>
          <w:p w:rsidR="003F4166" w:rsidRPr="003F4166" w:rsidRDefault="003F4166" w:rsidP="003F4166">
            <w:pPr>
              <w:jc w:val="center"/>
              <w:rPr>
                <w:rFonts w:eastAsia="Times New Roman" w:cs="Arial"/>
                <w:color w:val="FFFFFF"/>
                <w:sz w:val="20"/>
                <w:szCs w:val="20"/>
                <w:lang w:eastAsia="es-MX"/>
              </w:rPr>
            </w:pPr>
            <w:r w:rsidRPr="003F4166">
              <w:rPr>
                <w:rFonts w:eastAsia="Times New Roman" w:cs="Arial"/>
                <w:color w:val="FFFFFF"/>
                <w:sz w:val="20"/>
                <w:szCs w:val="20"/>
                <w:lang w:eastAsia="es-MX"/>
              </w:rPr>
              <w:t>ADEUDOS DE EJERCICIOS FISCALES ANTERIORES (ADEFAS)</w:t>
            </w:r>
          </w:p>
        </w:tc>
      </w:tr>
      <w:tr w:rsidR="003F4166" w:rsidRPr="00EE6AF7" w:rsidTr="00EE6AF7">
        <w:trPr>
          <w:trHeight w:val="20"/>
        </w:trPr>
        <w:tc>
          <w:tcPr>
            <w:tcW w:w="0" w:type="auto"/>
            <w:tcBorders>
              <w:top w:val="single" w:sz="8" w:space="0" w:color="auto"/>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ENERO</w:t>
            </w:r>
          </w:p>
        </w:tc>
        <w:tc>
          <w:tcPr>
            <w:tcW w:w="0" w:type="auto"/>
            <w:tcBorders>
              <w:top w:val="single" w:sz="8" w:space="0" w:color="auto"/>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150,000,000</w:t>
            </w:r>
          </w:p>
        </w:tc>
        <w:tc>
          <w:tcPr>
            <w:tcW w:w="0" w:type="auto"/>
            <w:tcBorders>
              <w:top w:val="single" w:sz="8" w:space="0" w:color="auto"/>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50,000,000</w:t>
            </w:r>
          </w:p>
        </w:tc>
      </w:tr>
      <w:tr w:rsidR="003F4166" w:rsidRPr="00EE6AF7" w:rsidTr="003F4166">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FEBRERO</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100,000,000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50,000,000</w:t>
            </w:r>
          </w:p>
        </w:tc>
      </w:tr>
      <w:tr w:rsidR="003F4166" w:rsidRPr="00EE6AF7" w:rsidTr="00EE6AF7">
        <w:trPr>
          <w:trHeight w:val="20"/>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MARZO</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50,000,000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50,000,000</w:t>
            </w:r>
          </w:p>
        </w:tc>
      </w:tr>
      <w:tr w:rsidR="003F4166" w:rsidRPr="00EE6AF7" w:rsidTr="003F4166">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ABRIL</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EE6AF7">
        <w:trPr>
          <w:trHeight w:val="20"/>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MAYO</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3F4166">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JUNIO</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EE6AF7">
        <w:trPr>
          <w:trHeight w:val="20"/>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JULIO</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3F4166">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AGOSTO</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EE6AF7">
        <w:trPr>
          <w:trHeight w:val="20"/>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SEPTIEMBRE</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3F4166">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OCTUBRE</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EE6AF7">
        <w:trPr>
          <w:trHeight w:val="20"/>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NOVIEMBRE</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3F4166">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DICIEMBRE</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9706F4" w:rsidRPr="00EE6AF7" w:rsidTr="123E7297">
        <w:trPr>
          <w:trHeight w:val="20"/>
        </w:trPr>
        <w:tc>
          <w:tcPr>
            <w:tcW w:w="0" w:type="auto"/>
            <w:gridSpan w:val="2"/>
            <w:tcBorders>
              <w:top w:val="nil"/>
              <w:left w:val="nil"/>
              <w:bottom w:val="nil"/>
              <w:right w:val="nil"/>
            </w:tcBorders>
            <w:shd w:val="clear" w:color="auto" w:fill="4B4B4B"/>
            <w:vAlign w:val="center"/>
            <w:hideMark/>
          </w:tcPr>
          <w:p w:rsidR="009706F4" w:rsidRPr="003F4166" w:rsidRDefault="009706F4" w:rsidP="003F4166">
            <w:pPr>
              <w:jc w:val="left"/>
              <w:rPr>
                <w:rFonts w:eastAsia="Times New Roman" w:cs="Arial"/>
                <w:b/>
                <w:bCs/>
                <w:color w:val="FFFFFF"/>
                <w:sz w:val="20"/>
                <w:szCs w:val="20"/>
                <w:lang w:eastAsia="es-MX"/>
              </w:rPr>
            </w:pPr>
            <w:r w:rsidRPr="00EE6AF7">
              <w:rPr>
                <w:rFonts w:eastAsia="Times New Roman" w:cs="Arial"/>
                <w:b/>
                <w:color w:val="FFFFFF"/>
                <w:sz w:val="20"/>
                <w:szCs w:val="20"/>
                <w:lang w:eastAsia="es-MX"/>
              </w:rPr>
              <w:t>TOTAL ADEFAS</w:t>
            </w:r>
          </w:p>
          <w:p w:rsidR="009706F4" w:rsidRPr="003F4166" w:rsidRDefault="009706F4" w:rsidP="123E7297">
            <w:pPr>
              <w:jc w:val="left"/>
              <w:rPr>
                <w:rFonts w:eastAsia="Times New Roman" w:cs="Arial"/>
                <w:b/>
                <w:bCs/>
                <w:color w:val="000000"/>
                <w:sz w:val="20"/>
                <w:szCs w:val="20"/>
                <w:lang w:eastAsia="es-MX"/>
              </w:rPr>
            </w:pPr>
            <w:r w:rsidRPr="00EE6AF7">
              <w:rPr>
                <w:rFonts w:eastAsia="Times New Roman" w:cs="Arial"/>
                <w:b/>
                <w:color w:val="000000"/>
                <w:sz w:val="20"/>
                <w:szCs w:val="20"/>
                <w:lang w:eastAsia="es-MX"/>
              </w:rPr>
              <w:t> </w:t>
            </w:r>
          </w:p>
        </w:tc>
        <w:tc>
          <w:tcPr>
            <w:tcW w:w="0" w:type="auto"/>
            <w:tcBorders>
              <w:top w:val="nil"/>
              <w:left w:val="nil"/>
              <w:bottom w:val="nil"/>
              <w:right w:val="nil"/>
            </w:tcBorders>
            <w:shd w:val="clear" w:color="auto" w:fill="4B4B4B"/>
            <w:vAlign w:val="center"/>
            <w:hideMark/>
          </w:tcPr>
          <w:p w:rsidR="009706F4" w:rsidRPr="003F4166" w:rsidRDefault="009706F4" w:rsidP="003F4166">
            <w:pPr>
              <w:jc w:val="right"/>
              <w:rPr>
                <w:rFonts w:eastAsia="Times New Roman" w:cs="Arial"/>
                <w:b/>
                <w:bCs/>
                <w:color w:val="FFFFFF"/>
                <w:sz w:val="20"/>
                <w:szCs w:val="20"/>
                <w:lang w:eastAsia="es-MX"/>
              </w:rPr>
            </w:pPr>
            <w:r w:rsidRPr="003F4166">
              <w:rPr>
                <w:rFonts w:eastAsia="Times New Roman" w:cs="Arial"/>
                <w:b/>
                <w:bCs/>
                <w:color w:val="FFFFFF"/>
                <w:sz w:val="20"/>
                <w:szCs w:val="20"/>
                <w:lang w:eastAsia="es-MX"/>
              </w:rPr>
              <w:t xml:space="preserve">  150,000,000.00 </w:t>
            </w:r>
          </w:p>
        </w:tc>
      </w:tr>
    </w:tbl>
    <w:p w:rsidR="00FA49E9" w:rsidRDefault="00FA49E9"/>
    <w:p w:rsidR="00AA3BFE" w:rsidRDefault="00AA3BFE">
      <w:pPr>
        <w:jc w:val="left"/>
      </w:pPr>
      <w:r>
        <w:br w:type="page"/>
      </w:r>
    </w:p>
    <w:p w:rsidR="00FA49E9" w:rsidRDefault="009C1791" w:rsidP="00FE4EED">
      <w:pPr>
        <w:pStyle w:val="Ttulo3"/>
        <w:ind w:firstLine="708"/>
      </w:pPr>
      <w:bookmarkStart w:id="29" w:name="X6562e7cc3d03645be0e94d538189a034814d958"/>
      <w:bookmarkEnd w:id="25"/>
      <w:bookmarkEnd w:id="28"/>
      <w:r>
        <w:t>ANEXO 5.3. PRESUPUESTO DE LA DEUDA PÚBLICA 2022</w:t>
      </w:r>
    </w:p>
    <w:p w:rsidR="00FA49E9" w:rsidRDefault="00FA49E9"/>
    <w:p w:rsidR="00FA49E9" w:rsidRDefault="009C1791">
      <w:pPr>
        <w:pStyle w:val="Ttulo4"/>
      </w:pPr>
      <w:bookmarkStart w:id="30" w:name="anexo-5.3.1.-deuda-de-largo-plazo"/>
      <w:r>
        <w:t>ANEXO 5.3.1. DEUDA DE LARGO PLAZO</w:t>
      </w:r>
    </w:p>
    <w:p w:rsidR="001968EC" w:rsidRPr="001968EC" w:rsidRDefault="001968EC" w:rsidP="001968EC"/>
    <w:tbl>
      <w:tblPr>
        <w:tblW w:w="0" w:type="auto"/>
        <w:tblCellMar>
          <w:left w:w="70" w:type="dxa"/>
          <w:right w:w="70" w:type="dxa"/>
        </w:tblCellMar>
        <w:tblLook w:val="04A0" w:firstRow="1" w:lastRow="0" w:firstColumn="1" w:lastColumn="0" w:noHBand="0" w:noVBand="1"/>
      </w:tblPr>
      <w:tblGrid>
        <w:gridCol w:w="2661"/>
        <w:gridCol w:w="2035"/>
        <w:gridCol w:w="1587"/>
        <w:gridCol w:w="1663"/>
        <w:gridCol w:w="1602"/>
        <w:gridCol w:w="1612"/>
      </w:tblGrid>
      <w:tr w:rsidR="001968EC" w:rsidRPr="00EE6AF7" w:rsidTr="4682320A">
        <w:trPr>
          <w:trHeight w:val="20"/>
        </w:trPr>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CONCEPTO</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ASIGNACIÓN PRESUPUESTAL</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PRIMER TRIMESTRE</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SEGUNDO TRIMESTRE</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TERCER TRIMESTRE</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CUARTO TRIMESTRE</w:t>
            </w:r>
          </w:p>
        </w:tc>
      </w:tr>
      <w:tr w:rsidR="001968EC" w:rsidRPr="00EE6AF7" w:rsidTr="001968EC">
        <w:trPr>
          <w:trHeight w:val="20"/>
        </w:trPr>
        <w:tc>
          <w:tcPr>
            <w:tcW w:w="0" w:type="auto"/>
            <w:tcBorders>
              <w:top w:val="nil"/>
              <w:left w:val="nil"/>
              <w:bottom w:val="nil"/>
              <w:right w:val="nil"/>
            </w:tcBorders>
            <w:shd w:val="clear" w:color="auto" w:fill="auto"/>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AMORTIZACIÓN DE LA DEUDA PÚBLICA</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65,946,307.00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15,576,717.00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16,168,174.00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16,782,095.00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17,419,321.00 </w:t>
            </w:r>
          </w:p>
        </w:tc>
      </w:tr>
      <w:tr w:rsidR="001968EC" w:rsidRPr="00EE6AF7" w:rsidTr="00EE6AF7">
        <w:trPr>
          <w:trHeight w:val="20"/>
        </w:trPr>
        <w:tc>
          <w:tcPr>
            <w:tcW w:w="0" w:type="auto"/>
            <w:tcBorders>
              <w:top w:val="nil"/>
              <w:left w:val="nil"/>
              <w:bottom w:val="nil"/>
              <w:right w:val="nil"/>
            </w:tcBorders>
            <w:shd w:val="clear" w:color="auto" w:fill="F2F2F2"/>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INTERESES DE LA DEUDA PÚBLICA</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408,299,640.00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97,261,250.00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101,235,573.00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102,904,541.00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106,898,276.00 </w:t>
            </w:r>
          </w:p>
        </w:tc>
      </w:tr>
      <w:tr w:rsidR="001968EC" w:rsidRPr="00EE6AF7" w:rsidTr="001968EC">
        <w:trPr>
          <w:trHeight w:val="20"/>
        </w:trPr>
        <w:tc>
          <w:tcPr>
            <w:tcW w:w="0" w:type="auto"/>
            <w:tcBorders>
              <w:top w:val="nil"/>
              <w:left w:val="nil"/>
              <w:bottom w:val="nil"/>
              <w:right w:val="nil"/>
            </w:tcBorders>
            <w:shd w:val="clear" w:color="auto" w:fill="auto"/>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COMISIONES DE LA DEUDA PÚBLICA</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r>
      <w:tr w:rsidR="001968EC" w:rsidRPr="00EE6AF7" w:rsidTr="00EE6AF7">
        <w:trPr>
          <w:trHeight w:val="20"/>
        </w:trPr>
        <w:tc>
          <w:tcPr>
            <w:tcW w:w="0" w:type="auto"/>
            <w:tcBorders>
              <w:top w:val="nil"/>
              <w:left w:val="nil"/>
              <w:bottom w:val="nil"/>
              <w:right w:val="nil"/>
            </w:tcBorders>
            <w:shd w:val="clear" w:color="auto" w:fill="F2F2F2"/>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GASTOS DE LA DEUDA PÚBLICA</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3,629,072.00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109,902.00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109,902.00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653,765.00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2,755,503.00 </w:t>
            </w:r>
          </w:p>
        </w:tc>
      </w:tr>
      <w:tr w:rsidR="001968EC" w:rsidRPr="00EE6AF7" w:rsidTr="001968EC">
        <w:trPr>
          <w:trHeight w:val="20"/>
        </w:trPr>
        <w:tc>
          <w:tcPr>
            <w:tcW w:w="0" w:type="auto"/>
            <w:tcBorders>
              <w:top w:val="nil"/>
              <w:left w:val="nil"/>
              <w:bottom w:val="nil"/>
              <w:right w:val="nil"/>
            </w:tcBorders>
            <w:shd w:val="clear" w:color="auto" w:fill="auto"/>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COSTO POR COBERTURAS</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43,672,460.00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12,917,601.00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11,439,885.00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9,952,486.00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9,362,488.00 </w:t>
            </w:r>
          </w:p>
        </w:tc>
      </w:tr>
      <w:tr w:rsidR="001968EC" w:rsidRPr="00EE6AF7" w:rsidTr="00EE6AF7">
        <w:trPr>
          <w:trHeight w:val="20"/>
        </w:trPr>
        <w:tc>
          <w:tcPr>
            <w:tcW w:w="0" w:type="auto"/>
            <w:tcBorders>
              <w:top w:val="nil"/>
              <w:left w:val="nil"/>
              <w:bottom w:val="nil"/>
              <w:right w:val="nil"/>
            </w:tcBorders>
            <w:shd w:val="clear" w:color="auto" w:fill="F2F2F2"/>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APOYOS FINANCIEROS</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r>
      <w:tr w:rsidR="001968EC" w:rsidRPr="00EE6AF7" w:rsidTr="4682320A">
        <w:trPr>
          <w:trHeight w:val="20"/>
        </w:trPr>
        <w:tc>
          <w:tcPr>
            <w:tcW w:w="0" w:type="auto"/>
            <w:tcBorders>
              <w:top w:val="nil"/>
              <w:left w:val="nil"/>
              <w:bottom w:val="nil"/>
              <w:right w:val="nil"/>
            </w:tcBorders>
            <w:shd w:val="clear" w:color="auto" w:fill="4B4B4B"/>
            <w:vAlign w:val="center"/>
            <w:hideMark/>
          </w:tcPr>
          <w:p w:rsidR="001968EC" w:rsidRPr="001968EC" w:rsidRDefault="001968EC" w:rsidP="001968EC">
            <w:pPr>
              <w:jc w:val="left"/>
              <w:rPr>
                <w:rFonts w:eastAsia="Times New Roman" w:cs="Arial"/>
                <w:b/>
                <w:bCs/>
                <w:color w:val="FFFFFF"/>
                <w:sz w:val="18"/>
                <w:szCs w:val="18"/>
                <w:lang w:eastAsia="es-MX"/>
              </w:rPr>
            </w:pPr>
            <w:r w:rsidRPr="001968EC">
              <w:rPr>
                <w:rFonts w:eastAsia="Times New Roman" w:cs="Arial"/>
                <w:b/>
                <w:bCs/>
                <w:color w:val="FFFFFF"/>
                <w:sz w:val="18"/>
                <w:szCs w:val="18"/>
                <w:lang w:eastAsia="es-MX"/>
              </w:rPr>
              <w:t>SUB-TOTAL DEUDA DE LARGO PLAZO SIN ADEFAS</w:t>
            </w:r>
          </w:p>
        </w:tc>
        <w:tc>
          <w:tcPr>
            <w:tcW w:w="0" w:type="auto"/>
            <w:tcBorders>
              <w:top w:val="nil"/>
              <w:left w:val="nil"/>
              <w:bottom w:val="single" w:sz="8" w:space="0" w:color="366092"/>
              <w:right w:val="nil"/>
            </w:tcBorders>
            <w:shd w:val="clear" w:color="auto" w:fill="4B4B4B"/>
            <w:hideMark/>
          </w:tcPr>
          <w:p w:rsidR="001968EC" w:rsidRPr="001968EC" w:rsidRDefault="001968EC" w:rsidP="0B745AB3">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521,547,479.00 </w:t>
            </w:r>
          </w:p>
        </w:tc>
        <w:tc>
          <w:tcPr>
            <w:tcW w:w="0" w:type="auto"/>
            <w:tcBorders>
              <w:top w:val="nil"/>
              <w:left w:val="nil"/>
              <w:bottom w:val="single" w:sz="8" w:space="0" w:color="366092"/>
              <w:right w:val="nil"/>
            </w:tcBorders>
            <w:shd w:val="clear" w:color="auto" w:fill="4B4B4B"/>
            <w:vAlign w:val="center"/>
            <w:hideMark/>
          </w:tcPr>
          <w:p w:rsidR="001968EC" w:rsidRPr="001968EC" w:rsidRDefault="001968EC" w:rsidP="0B745AB3">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125,865,470.00 </w:t>
            </w:r>
          </w:p>
        </w:tc>
        <w:tc>
          <w:tcPr>
            <w:tcW w:w="0" w:type="auto"/>
            <w:tcBorders>
              <w:top w:val="nil"/>
              <w:left w:val="nil"/>
              <w:bottom w:val="single" w:sz="8" w:space="0" w:color="366092"/>
              <w:right w:val="nil"/>
            </w:tcBorders>
            <w:shd w:val="clear" w:color="auto" w:fill="4B4B4B"/>
            <w:vAlign w:val="center"/>
            <w:hideMark/>
          </w:tcPr>
          <w:p w:rsidR="001968EC" w:rsidRPr="001968EC" w:rsidRDefault="001968EC" w:rsidP="001968EC">
            <w:pPr>
              <w:jc w:val="right"/>
              <w:rPr>
                <w:rFonts w:eastAsia="Times New Roman" w:cs="Arial"/>
                <w:b/>
                <w:bCs/>
                <w:color w:val="FFFFFF"/>
                <w:sz w:val="18"/>
                <w:szCs w:val="18"/>
                <w:lang w:eastAsia="es-MX"/>
              </w:rPr>
            </w:pPr>
            <w:r w:rsidRPr="001968EC">
              <w:rPr>
                <w:rFonts w:eastAsia="Times New Roman" w:cs="Arial"/>
                <w:b/>
                <w:bCs/>
                <w:color w:val="FFFFFF"/>
                <w:sz w:val="18"/>
                <w:szCs w:val="18"/>
                <w:lang w:eastAsia="es-MX"/>
              </w:rPr>
              <w:t xml:space="preserve"> 128,953,534.00 </w:t>
            </w:r>
          </w:p>
        </w:tc>
        <w:tc>
          <w:tcPr>
            <w:tcW w:w="0" w:type="auto"/>
            <w:tcBorders>
              <w:top w:val="nil"/>
              <w:left w:val="nil"/>
              <w:bottom w:val="single" w:sz="8" w:space="0" w:color="366092"/>
              <w:right w:val="nil"/>
            </w:tcBorders>
            <w:shd w:val="clear" w:color="auto" w:fill="4B4B4B"/>
            <w:vAlign w:val="center"/>
            <w:hideMark/>
          </w:tcPr>
          <w:p w:rsidR="001968EC" w:rsidRPr="001968EC" w:rsidRDefault="001968EC" w:rsidP="001968EC">
            <w:pPr>
              <w:jc w:val="right"/>
              <w:rPr>
                <w:rFonts w:eastAsia="Times New Roman" w:cs="Arial"/>
                <w:b/>
                <w:bCs/>
                <w:color w:val="FFFFFF"/>
                <w:sz w:val="18"/>
                <w:szCs w:val="18"/>
                <w:lang w:eastAsia="es-MX"/>
              </w:rPr>
            </w:pPr>
            <w:r w:rsidRPr="001968EC">
              <w:rPr>
                <w:rFonts w:eastAsia="Times New Roman" w:cs="Arial"/>
                <w:b/>
                <w:bCs/>
                <w:color w:val="FFFFFF"/>
                <w:sz w:val="18"/>
                <w:szCs w:val="18"/>
                <w:lang w:eastAsia="es-MX"/>
              </w:rPr>
              <w:t xml:space="preserve"> 130,292,887.00 </w:t>
            </w:r>
          </w:p>
        </w:tc>
        <w:tc>
          <w:tcPr>
            <w:tcW w:w="0" w:type="auto"/>
            <w:tcBorders>
              <w:top w:val="nil"/>
              <w:left w:val="nil"/>
              <w:bottom w:val="single" w:sz="8" w:space="0" w:color="366092"/>
              <w:right w:val="nil"/>
            </w:tcBorders>
            <w:shd w:val="clear" w:color="auto" w:fill="4B4B4B"/>
            <w:vAlign w:val="center"/>
            <w:hideMark/>
          </w:tcPr>
          <w:p w:rsidR="001968EC" w:rsidRPr="001968EC" w:rsidRDefault="001968EC" w:rsidP="001968EC">
            <w:pPr>
              <w:jc w:val="right"/>
              <w:rPr>
                <w:rFonts w:eastAsia="Times New Roman" w:cs="Arial"/>
                <w:b/>
                <w:bCs/>
                <w:color w:val="FFFFFF"/>
                <w:sz w:val="18"/>
                <w:szCs w:val="18"/>
                <w:lang w:eastAsia="es-MX"/>
              </w:rPr>
            </w:pPr>
            <w:r w:rsidRPr="001968EC">
              <w:rPr>
                <w:rFonts w:eastAsia="Times New Roman" w:cs="Arial"/>
                <w:b/>
                <w:bCs/>
                <w:color w:val="FFFFFF"/>
                <w:sz w:val="18"/>
                <w:szCs w:val="18"/>
                <w:lang w:eastAsia="es-MX"/>
              </w:rPr>
              <w:t xml:space="preserve"> 136,435,588.00 </w:t>
            </w:r>
          </w:p>
        </w:tc>
      </w:tr>
    </w:tbl>
    <w:p w:rsidR="00AA3BFE" w:rsidRPr="00AA3BFE" w:rsidRDefault="00AA3BFE" w:rsidP="00AA3BFE"/>
    <w:p w:rsidR="00FA49E9" w:rsidRDefault="00D85764">
      <w:pPr>
        <w:jc w:val="left"/>
      </w:pPr>
      <w:r>
        <w:br w:type="page"/>
      </w:r>
    </w:p>
    <w:p w:rsidR="00FA49E9" w:rsidRDefault="009C1791">
      <w:pPr>
        <w:pStyle w:val="Ttulo4"/>
      </w:pPr>
      <w:bookmarkStart w:id="31" w:name="anexo-5.3.2.-deuda-a-corto-plazo"/>
      <w:bookmarkEnd w:id="30"/>
      <w:r>
        <w:t>ANEXO 5.3.2. DEUDA A CORTO PLAZO</w:t>
      </w:r>
    </w:p>
    <w:p w:rsidR="00E713FE" w:rsidRPr="00E713FE" w:rsidRDefault="00E713FE" w:rsidP="00E713FE"/>
    <w:tbl>
      <w:tblPr>
        <w:tblW w:w="0" w:type="auto"/>
        <w:tblCellMar>
          <w:left w:w="70" w:type="dxa"/>
          <w:right w:w="70" w:type="dxa"/>
        </w:tblCellMar>
        <w:tblLook w:val="04A0" w:firstRow="1" w:lastRow="0" w:firstColumn="1" w:lastColumn="0" w:noHBand="0" w:noVBand="1"/>
      </w:tblPr>
      <w:tblGrid>
        <w:gridCol w:w="2507"/>
        <w:gridCol w:w="2013"/>
        <w:gridCol w:w="1643"/>
        <w:gridCol w:w="1687"/>
        <w:gridCol w:w="1652"/>
        <w:gridCol w:w="1658"/>
      </w:tblGrid>
      <w:tr w:rsidR="00A90C95" w:rsidRPr="00EE6AF7" w:rsidTr="00A90C95">
        <w:trPr>
          <w:trHeight w:val="20"/>
        </w:trPr>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CONCEPTO</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ASIGNACIÓN PRESUPUESTAL</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PRIMER TRIMESTRE</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SEGUNDO TRIMESTRE</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TERCER TRIMESTRE</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CUARTO TRIMESTRE</w:t>
            </w:r>
          </w:p>
        </w:tc>
      </w:tr>
      <w:tr w:rsidR="00A90C95" w:rsidRPr="00EE6AF7" w:rsidTr="00A90C95">
        <w:trPr>
          <w:trHeight w:val="20"/>
        </w:trPr>
        <w:tc>
          <w:tcPr>
            <w:tcW w:w="0" w:type="auto"/>
            <w:tcBorders>
              <w:top w:val="nil"/>
              <w:left w:val="nil"/>
              <w:bottom w:val="nil"/>
              <w:right w:val="nil"/>
            </w:tcBorders>
            <w:shd w:val="clear" w:color="000000" w:fill="F2F2F2"/>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AMORTIZACIÓN DE LA DEUDA PÚBLICA</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550,000,000.00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126,507,631.00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121,941,851.00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119,658,962.00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181,891,556.00 </w:t>
            </w:r>
          </w:p>
        </w:tc>
      </w:tr>
      <w:tr w:rsidR="00A90C95" w:rsidRPr="00EE6AF7" w:rsidTr="00A90C95">
        <w:trPr>
          <w:trHeight w:val="20"/>
        </w:trPr>
        <w:tc>
          <w:tcPr>
            <w:tcW w:w="0" w:type="auto"/>
            <w:tcBorders>
              <w:top w:val="nil"/>
              <w:left w:val="nil"/>
              <w:bottom w:val="nil"/>
              <w:right w:val="nil"/>
            </w:tcBorders>
            <w:shd w:val="clear" w:color="auto" w:fill="auto"/>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INTERESES DE LA DEUDA PÚBLICA</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000000" w:fill="F2F2F2"/>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COMISIONES DE LA DEUDA PÚBLICA</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auto" w:fill="auto"/>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GASTOS DE LA DEUDA PÚBLICA</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000000" w:fill="F2F2F2"/>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COSTO POR COBERTURAS</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auto" w:fill="auto"/>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APOYOS FINANCIEROS</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000000" w:fill="F2F2F2"/>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INTERESES, DESCUENTOS Y OTROS SERVICIOS BANCARIOS</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124,714,731.00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26,838,308.00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30,028,206.00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31,839,668.00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36,008,549.00 </w:t>
            </w:r>
          </w:p>
        </w:tc>
      </w:tr>
      <w:tr w:rsidR="00A90C95" w:rsidRPr="00EE6AF7" w:rsidTr="00A90C95">
        <w:trPr>
          <w:trHeight w:val="20"/>
        </w:trPr>
        <w:tc>
          <w:tcPr>
            <w:tcW w:w="0" w:type="auto"/>
            <w:tcBorders>
              <w:top w:val="nil"/>
              <w:left w:val="nil"/>
              <w:bottom w:val="nil"/>
              <w:right w:val="nil"/>
            </w:tcBorders>
            <w:shd w:val="clear" w:color="000000" w:fill="4B4B4B"/>
            <w:vAlign w:val="center"/>
            <w:hideMark/>
          </w:tcPr>
          <w:p w:rsidR="00A90C95" w:rsidRPr="00A90C95" w:rsidRDefault="00A90C95" w:rsidP="00A90C95">
            <w:pPr>
              <w:jc w:val="left"/>
              <w:rPr>
                <w:rFonts w:eastAsia="Times New Roman" w:cs="Arial"/>
                <w:b/>
                <w:bCs/>
                <w:color w:val="FFFFFF"/>
                <w:sz w:val="20"/>
                <w:szCs w:val="20"/>
                <w:lang w:eastAsia="es-MX"/>
              </w:rPr>
            </w:pPr>
            <w:r w:rsidRPr="00A90C95">
              <w:rPr>
                <w:rFonts w:eastAsia="Times New Roman" w:cs="Arial"/>
                <w:b/>
                <w:bCs/>
                <w:color w:val="FFFFFF"/>
                <w:sz w:val="20"/>
                <w:szCs w:val="20"/>
                <w:lang w:eastAsia="es-MX"/>
              </w:rPr>
              <w:t>SUB-TOTAL DEUDA A CORTO PLAZO</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674,714,731.00 </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153,345,939.00 </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151,970,057.00 </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151,498,630.00 </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217,900,105.00 </w:t>
            </w:r>
          </w:p>
        </w:tc>
      </w:tr>
    </w:tbl>
    <w:p w:rsidR="00D85764" w:rsidRPr="00D85764" w:rsidRDefault="00D85764" w:rsidP="00D85764"/>
    <w:p w:rsidR="00684561" w:rsidRDefault="00684561">
      <w:pPr>
        <w:jc w:val="left"/>
      </w:pPr>
      <w:r>
        <w:br w:type="page"/>
      </w:r>
    </w:p>
    <w:p w:rsidR="00D85764" w:rsidRPr="00D85764" w:rsidRDefault="00D85764" w:rsidP="00D85764"/>
    <w:p w:rsidR="00FA49E9" w:rsidRDefault="00FA49E9"/>
    <w:p w:rsidR="00FA49E9" w:rsidRDefault="009C1791">
      <w:pPr>
        <w:pStyle w:val="Ttulo4"/>
      </w:pPr>
      <w:bookmarkStart w:id="32" w:name="X40b808c8fd75cee26ce90a2821300e723b12aed"/>
      <w:bookmarkEnd w:id="31"/>
      <w:r>
        <w:t>ANEXO 5.3.3. ADEUDOS DE EJERCICIOS FISCALES ANTERIORES (ADEFAS)</w:t>
      </w:r>
    </w:p>
    <w:p w:rsidR="004A7505" w:rsidRDefault="004A7505" w:rsidP="004A7505"/>
    <w:tbl>
      <w:tblPr>
        <w:tblW w:w="11115" w:type="dxa"/>
        <w:tblCellMar>
          <w:left w:w="70" w:type="dxa"/>
          <w:right w:w="70" w:type="dxa"/>
        </w:tblCellMar>
        <w:tblLook w:val="04A0" w:firstRow="1" w:lastRow="0" w:firstColumn="1" w:lastColumn="0" w:noHBand="0" w:noVBand="1"/>
      </w:tblPr>
      <w:tblGrid>
        <w:gridCol w:w="3585"/>
        <w:gridCol w:w="1800"/>
        <w:gridCol w:w="1635"/>
        <w:gridCol w:w="1395"/>
        <w:gridCol w:w="1350"/>
        <w:gridCol w:w="1350"/>
      </w:tblGrid>
      <w:tr w:rsidR="004A7505" w:rsidRPr="00EE6AF7" w:rsidTr="00EE6AF7">
        <w:trPr>
          <w:trHeight w:val="20"/>
        </w:trPr>
        <w:tc>
          <w:tcPr>
            <w:tcW w:w="3585" w:type="dxa"/>
            <w:tcBorders>
              <w:top w:val="single" w:sz="8" w:space="0" w:color="000000"/>
              <w:left w:val="single" w:sz="8" w:space="0" w:color="000000"/>
              <w:bottom w:val="nil"/>
              <w:right w:val="single" w:sz="8" w:space="0" w:color="000000"/>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CONCEPTO</w:t>
            </w:r>
          </w:p>
        </w:tc>
        <w:tc>
          <w:tcPr>
            <w:tcW w:w="1800" w:type="dxa"/>
            <w:tcBorders>
              <w:top w:val="single" w:sz="8" w:space="0" w:color="000000"/>
              <w:left w:val="nil"/>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ASIGNACIÓN</w:t>
            </w:r>
          </w:p>
        </w:tc>
        <w:tc>
          <w:tcPr>
            <w:tcW w:w="1635" w:type="dxa"/>
            <w:tcBorders>
              <w:top w:val="single" w:sz="8" w:space="0" w:color="000000"/>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PRIMER</w:t>
            </w:r>
          </w:p>
        </w:tc>
        <w:tc>
          <w:tcPr>
            <w:tcW w:w="1395" w:type="dxa"/>
            <w:tcBorders>
              <w:top w:val="single" w:sz="8" w:space="0" w:color="000000"/>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SEGUNDO</w:t>
            </w:r>
          </w:p>
        </w:tc>
        <w:tc>
          <w:tcPr>
            <w:tcW w:w="1350" w:type="dxa"/>
            <w:tcBorders>
              <w:top w:val="single" w:sz="8" w:space="0" w:color="000000"/>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TERCER</w:t>
            </w:r>
          </w:p>
        </w:tc>
        <w:tc>
          <w:tcPr>
            <w:tcW w:w="1350" w:type="dxa"/>
            <w:tcBorders>
              <w:top w:val="single" w:sz="8" w:space="0" w:color="000000"/>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CUARTO</w:t>
            </w:r>
          </w:p>
        </w:tc>
      </w:tr>
      <w:tr w:rsidR="004A7505" w:rsidRPr="00EE6AF7" w:rsidTr="00EE6AF7">
        <w:trPr>
          <w:trHeight w:val="20"/>
        </w:trPr>
        <w:tc>
          <w:tcPr>
            <w:tcW w:w="3585" w:type="dxa"/>
            <w:tcBorders>
              <w:top w:val="nil"/>
              <w:left w:val="single" w:sz="8" w:space="0" w:color="000000"/>
              <w:bottom w:val="nil"/>
              <w:right w:val="single" w:sz="8" w:space="0" w:color="000000"/>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 </w:t>
            </w:r>
          </w:p>
        </w:tc>
        <w:tc>
          <w:tcPr>
            <w:tcW w:w="1800" w:type="dxa"/>
            <w:tcBorders>
              <w:top w:val="nil"/>
              <w:left w:val="nil"/>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PRESUPUESTAL</w:t>
            </w:r>
          </w:p>
        </w:tc>
        <w:tc>
          <w:tcPr>
            <w:tcW w:w="1635" w:type="dxa"/>
            <w:tcBorders>
              <w:top w:val="nil"/>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TRIMESTRE</w:t>
            </w:r>
          </w:p>
        </w:tc>
        <w:tc>
          <w:tcPr>
            <w:tcW w:w="1395" w:type="dxa"/>
            <w:tcBorders>
              <w:top w:val="nil"/>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TRIMESTRE</w:t>
            </w:r>
          </w:p>
        </w:tc>
        <w:tc>
          <w:tcPr>
            <w:tcW w:w="1350" w:type="dxa"/>
            <w:tcBorders>
              <w:top w:val="nil"/>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TRIMESTRE</w:t>
            </w:r>
          </w:p>
        </w:tc>
        <w:tc>
          <w:tcPr>
            <w:tcW w:w="1350" w:type="dxa"/>
            <w:tcBorders>
              <w:top w:val="nil"/>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TRIMESTRE</w:t>
            </w:r>
          </w:p>
        </w:tc>
      </w:tr>
      <w:tr w:rsidR="004A7505" w:rsidRPr="00EE6AF7" w:rsidTr="00EE6AF7">
        <w:trPr>
          <w:trHeight w:val="20"/>
        </w:trPr>
        <w:tc>
          <w:tcPr>
            <w:tcW w:w="3585" w:type="dxa"/>
            <w:tcBorders>
              <w:top w:val="nil"/>
              <w:left w:val="nil"/>
              <w:bottom w:val="single" w:sz="8" w:space="0" w:color="auto"/>
              <w:right w:val="nil"/>
            </w:tcBorders>
            <w:shd w:val="clear" w:color="auto" w:fill="F2F2F2"/>
            <w:vAlign w:val="center"/>
            <w:hideMark/>
          </w:tcPr>
          <w:p w:rsidR="004A7505" w:rsidRPr="004A7505" w:rsidRDefault="004A7505" w:rsidP="004A7505">
            <w:pPr>
              <w:jc w:val="left"/>
              <w:rPr>
                <w:rFonts w:eastAsia="Times New Roman" w:cs="Arial"/>
                <w:color w:val="000000"/>
                <w:sz w:val="20"/>
                <w:szCs w:val="20"/>
                <w:lang w:eastAsia="es-MX"/>
              </w:rPr>
            </w:pPr>
            <w:r w:rsidRPr="004A7505">
              <w:rPr>
                <w:rFonts w:eastAsia="Times New Roman" w:cs="Arial"/>
                <w:color w:val="000000"/>
                <w:sz w:val="20"/>
                <w:szCs w:val="20"/>
                <w:lang w:eastAsia="es-MX"/>
              </w:rPr>
              <w:t>ADEUDOS DE EJERCICIOS FISCALES ANTERIORES (ADEFAS)</w:t>
            </w:r>
          </w:p>
        </w:tc>
        <w:tc>
          <w:tcPr>
            <w:tcW w:w="1800" w:type="dxa"/>
            <w:tcBorders>
              <w:top w:val="nil"/>
              <w:left w:val="single" w:sz="8" w:space="0" w:color="auto"/>
              <w:bottom w:val="single" w:sz="8" w:space="0" w:color="auto"/>
              <w:right w:val="single" w:sz="8" w:space="0" w:color="auto"/>
            </w:tcBorders>
            <w:shd w:val="clear" w:color="auto" w:fill="F2F2F2"/>
            <w:vAlign w:val="center"/>
            <w:hideMark/>
          </w:tcPr>
          <w:p w:rsidR="004A7505" w:rsidRPr="004A7505" w:rsidRDefault="002E7AA3"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150,000,000.00</w:t>
            </w:r>
          </w:p>
        </w:tc>
        <w:tc>
          <w:tcPr>
            <w:tcW w:w="1635" w:type="dxa"/>
            <w:tcBorders>
              <w:top w:val="nil"/>
              <w:left w:val="nil"/>
              <w:bottom w:val="single" w:sz="8" w:space="0" w:color="auto"/>
              <w:right w:val="single" w:sz="8" w:space="0" w:color="auto"/>
            </w:tcBorders>
            <w:shd w:val="clear" w:color="auto" w:fill="F2F2F2"/>
            <w:vAlign w:val="center"/>
            <w:hideMark/>
          </w:tcPr>
          <w:p w:rsidR="004A7505" w:rsidRPr="004A7505" w:rsidRDefault="004A7505"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150,000,000.00</w:t>
            </w:r>
          </w:p>
        </w:tc>
        <w:tc>
          <w:tcPr>
            <w:tcW w:w="1395" w:type="dxa"/>
            <w:tcBorders>
              <w:top w:val="nil"/>
              <w:left w:val="nil"/>
              <w:bottom w:val="single" w:sz="8" w:space="0" w:color="auto"/>
              <w:right w:val="single" w:sz="8" w:space="0" w:color="auto"/>
            </w:tcBorders>
            <w:shd w:val="clear" w:color="auto" w:fill="F2F2F2"/>
            <w:vAlign w:val="center"/>
            <w:hideMark/>
          </w:tcPr>
          <w:p w:rsidR="004A7505" w:rsidRPr="004A7505" w:rsidRDefault="004A7505"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0.00</w:t>
            </w:r>
          </w:p>
        </w:tc>
        <w:tc>
          <w:tcPr>
            <w:tcW w:w="1350" w:type="dxa"/>
            <w:tcBorders>
              <w:top w:val="nil"/>
              <w:left w:val="nil"/>
              <w:bottom w:val="single" w:sz="8" w:space="0" w:color="auto"/>
              <w:right w:val="single" w:sz="8" w:space="0" w:color="auto"/>
            </w:tcBorders>
            <w:shd w:val="clear" w:color="auto" w:fill="F2F2F2"/>
            <w:vAlign w:val="center"/>
            <w:hideMark/>
          </w:tcPr>
          <w:p w:rsidR="004A7505" w:rsidRPr="004A7505" w:rsidRDefault="004A7505"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0.00</w:t>
            </w:r>
          </w:p>
        </w:tc>
        <w:tc>
          <w:tcPr>
            <w:tcW w:w="1350" w:type="dxa"/>
            <w:tcBorders>
              <w:top w:val="nil"/>
              <w:left w:val="nil"/>
              <w:bottom w:val="single" w:sz="8" w:space="0" w:color="auto"/>
              <w:right w:val="single" w:sz="8" w:space="0" w:color="auto"/>
            </w:tcBorders>
            <w:shd w:val="clear" w:color="auto" w:fill="F2F2F2"/>
            <w:vAlign w:val="center"/>
            <w:hideMark/>
          </w:tcPr>
          <w:p w:rsidR="004A7505" w:rsidRPr="004A7505" w:rsidRDefault="004A7505"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0.00</w:t>
            </w:r>
          </w:p>
        </w:tc>
      </w:tr>
      <w:tr w:rsidR="004A7505" w:rsidRPr="00EE6AF7" w:rsidTr="42C2ADB6">
        <w:trPr>
          <w:trHeight w:val="20"/>
        </w:trPr>
        <w:tc>
          <w:tcPr>
            <w:tcW w:w="3585" w:type="dxa"/>
            <w:tcBorders>
              <w:top w:val="nil"/>
              <w:left w:val="nil"/>
              <w:bottom w:val="nil"/>
              <w:right w:val="nil"/>
            </w:tcBorders>
            <w:shd w:val="clear" w:color="auto" w:fill="4B4B4B"/>
            <w:vAlign w:val="center"/>
            <w:hideMark/>
          </w:tcPr>
          <w:p w:rsidR="004A7505" w:rsidRPr="004A7505" w:rsidRDefault="004A7505" w:rsidP="004A7505">
            <w:pPr>
              <w:jc w:val="left"/>
              <w:rPr>
                <w:rFonts w:eastAsia="Times New Roman" w:cs="Arial"/>
                <w:b/>
                <w:bCs/>
                <w:color w:val="FFFFFF"/>
                <w:sz w:val="20"/>
                <w:szCs w:val="20"/>
                <w:lang w:eastAsia="es-MX"/>
              </w:rPr>
            </w:pPr>
            <w:r w:rsidRPr="004A7505">
              <w:rPr>
                <w:rFonts w:eastAsia="Times New Roman" w:cs="Arial"/>
                <w:b/>
                <w:bCs/>
                <w:color w:val="FFFFFF"/>
                <w:sz w:val="20"/>
                <w:szCs w:val="20"/>
                <w:lang w:eastAsia="es-MX"/>
              </w:rPr>
              <w:t>TOTAL ADEFAS</w:t>
            </w:r>
          </w:p>
        </w:tc>
        <w:tc>
          <w:tcPr>
            <w:tcW w:w="1800" w:type="dxa"/>
            <w:tcBorders>
              <w:top w:val="nil"/>
              <w:left w:val="nil"/>
              <w:bottom w:val="single" w:sz="8" w:space="0" w:color="366092"/>
              <w:right w:val="nil"/>
            </w:tcBorders>
            <w:shd w:val="clear" w:color="auto" w:fill="4B4B4B"/>
            <w:vAlign w:val="center"/>
            <w:hideMark/>
          </w:tcPr>
          <w:p w:rsidR="004A7505" w:rsidRPr="002E7AA3" w:rsidRDefault="002E7AA3" w:rsidP="004A7505">
            <w:pPr>
              <w:jc w:val="right"/>
              <w:rPr>
                <w:rFonts w:eastAsia="Times New Roman" w:cs="Arial"/>
                <w:b/>
                <w:bCs/>
                <w:color w:val="FFFFFF"/>
                <w:sz w:val="20"/>
                <w:szCs w:val="20"/>
                <w:lang w:eastAsia="es-MX"/>
              </w:rPr>
            </w:pPr>
            <w:r w:rsidRPr="00EE6AF7">
              <w:rPr>
                <w:rFonts w:eastAsia="Times New Roman" w:cs="Arial"/>
                <w:b/>
                <w:bCs/>
                <w:color w:val="FFFFFF"/>
                <w:sz w:val="20"/>
                <w:szCs w:val="20"/>
                <w:lang w:eastAsia="es-MX"/>
              </w:rPr>
              <w:t>150,000,000.00</w:t>
            </w:r>
          </w:p>
        </w:tc>
        <w:tc>
          <w:tcPr>
            <w:tcW w:w="1635" w:type="dxa"/>
            <w:tcBorders>
              <w:top w:val="nil"/>
              <w:left w:val="nil"/>
              <w:bottom w:val="single" w:sz="8" w:space="0" w:color="366092"/>
              <w:right w:val="nil"/>
            </w:tcBorders>
            <w:shd w:val="clear" w:color="auto" w:fill="4B4B4B"/>
            <w:vAlign w:val="center"/>
            <w:hideMark/>
          </w:tcPr>
          <w:p w:rsidR="004A7505" w:rsidRPr="004A7505" w:rsidRDefault="004A7505" w:rsidP="004A7505">
            <w:pPr>
              <w:jc w:val="right"/>
              <w:rPr>
                <w:rFonts w:eastAsia="Times New Roman" w:cs="Arial"/>
                <w:b/>
                <w:bCs/>
                <w:color w:val="FFFFFF"/>
                <w:sz w:val="20"/>
                <w:szCs w:val="20"/>
                <w:lang w:eastAsia="es-MX"/>
              </w:rPr>
            </w:pPr>
            <w:r w:rsidRPr="004A7505">
              <w:rPr>
                <w:rFonts w:eastAsia="Times New Roman" w:cs="Arial"/>
                <w:b/>
                <w:bCs/>
                <w:color w:val="FFFFFF"/>
                <w:sz w:val="20"/>
                <w:szCs w:val="20"/>
                <w:lang w:eastAsia="es-MX"/>
              </w:rPr>
              <w:t>150,000,000.00</w:t>
            </w:r>
          </w:p>
        </w:tc>
        <w:tc>
          <w:tcPr>
            <w:tcW w:w="1395" w:type="dxa"/>
            <w:tcBorders>
              <w:top w:val="nil"/>
              <w:left w:val="nil"/>
              <w:bottom w:val="single" w:sz="8" w:space="0" w:color="366092"/>
              <w:right w:val="nil"/>
            </w:tcBorders>
            <w:shd w:val="clear" w:color="auto" w:fill="4B4B4B"/>
            <w:vAlign w:val="center"/>
            <w:hideMark/>
          </w:tcPr>
          <w:p w:rsidR="004A7505" w:rsidRPr="004A7505" w:rsidRDefault="004A7505" w:rsidP="004A7505">
            <w:pPr>
              <w:jc w:val="right"/>
              <w:rPr>
                <w:rFonts w:eastAsia="Times New Roman" w:cs="Arial"/>
                <w:b/>
                <w:bCs/>
                <w:color w:val="FFFFFF"/>
                <w:sz w:val="20"/>
                <w:szCs w:val="20"/>
                <w:lang w:eastAsia="es-MX"/>
              </w:rPr>
            </w:pPr>
            <w:r w:rsidRPr="004A7505">
              <w:rPr>
                <w:rFonts w:eastAsia="Times New Roman" w:cs="Arial"/>
                <w:b/>
                <w:bCs/>
                <w:color w:val="FFFFFF"/>
                <w:sz w:val="20"/>
                <w:szCs w:val="20"/>
                <w:lang w:eastAsia="es-MX"/>
              </w:rPr>
              <w:t>0.00</w:t>
            </w:r>
          </w:p>
        </w:tc>
        <w:tc>
          <w:tcPr>
            <w:tcW w:w="1350" w:type="dxa"/>
            <w:tcBorders>
              <w:top w:val="nil"/>
              <w:left w:val="nil"/>
              <w:bottom w:val="single" w:sz="8" w:space="0" w:color="366092"/>
              <w:right w:val="nil"/>
            </w:tcBorders>
            <w:shd w:val="clear" w:color="auto" w:fill="4B4B4B"/>
            <w:vAlign w:val="center"/>
            <w:hideMark/>
          </w:tcPr>
          <w:p w:rsidR="004A7505" w:rsidRPr="004A7505" w:rsidRDefault="004A7505" w:rsidP="004A7505">
            <w:pPr>
              <w:jc w:val="right"/>
              <w:rPr>
                <w:rFonts w:eastAsia="Times New Roman" w:cs="Arial"/>
                <w:b/>
                <w:bCs/>
                <w:color w:val="FFFFFF"/>
                <w:sz w:val="20"/>
                <w:szCs w:val="20"/>
                <w:lang w:eastAsia="es-MX"/>
              </w:rPr>
            </w:pPr>
            <w:r w:rsidRPr="004A7505">
              <w:rPr>
                <w:rFonts w:eastAsia="Times New Roman" w:cs="Arial"/>
                <w:b/>
                <w:bCs/>
                <w:color w:val="FFFFFF"/>
                <w:sz w:val="20"/>
                <w:szCs w:val="20"/>
                <w:lang w:eastAsia="es-MX"/>
              </w:rPr>
              <w:t>0.00</w:t>
            </w:r>
          </w:p>
        </w:tc>
        <w:tc>
          <w:tcPr>
            <w:tcW w:w="1350" w:type="dxa"/>
            <w:tcBorders>
              <w:top w:val="nil"/>
              <w:left w:val="nil"/>
              <w:bottom w:val="single" w:sz="8" w:space="0" w:color="366092"/>
              <w:right w:val="nil"/>
            </w:tcBorders>
            <w:shd w:val="clear" w:color="auto" w:fill="4B4B4B"/>
            <w:vAlign w:val="center"/>
            <w:hideMark/>
          </w:tcPr>
          <w:p w:rsidR="004A7505" w:rsidRPr="004A7505" w:rsidRDefault="004A7505" w:rsidP="004A7505">
            <w:pPr>
              <w:jc w:val="right"/>
              <w:rPr>
                <w:rFonts w:eastAsia="Times New Roman" w:cs="Arial"/>
                <w:b/>
                <w:bCs/>
                <w:color w:val="FFFFFF"/>
                <w:sz w:val="20"/>
                <w:szCs w:val="20"/>
                <w:lang w:eastAsia="es-MX"/>
              </w:rPr>
            </w:pPr>
            <w:r w:rsidRPr="004A7505">
              <w:rPr>
                <w:rFonts w:eastAsia="Times New Roman" w:cs="Arial"/>
                <w:b/>
                <w:bCs/>
                <w:color w:val="FFFFFF"/>
                <w:sz w:val="20"/>
                <w:szCs w:val="20"/>
                <w:lang w:eastAsia="es-MX"/>
              </w:rPr>
              <w:t>0.00</w:t>
            </w:r>
          </w:p>
        </w:tc>
      </w:tr>
    </w:tbl>
    <w:p w:rsidR="004A7505" w:rsidRPr="004A7505" w:rsidRDefault="004A7505" w:rsidP="004A7505"/>
    <w:p w:rsidR="00FA49E9" w:rsidRDefault="00684561">
      <w:r w:rsidRPr="00684561">
        <w:t xml:space="preserve">Nota: Adicional a las cifras presentadas en </w:t>
      </w:r>
      <w:r w:rsidR="00C2410F">
        <w:t>el</w:t>
      </w:r>
      <w:r w:rsidRPr="00684561">
        <w:t xml:space="preserve"> anexo</w:t>
      </w:r>
      <w:r w:rsidR="00C2410F">
        <w:t xml:space="preserve"> 5</w:t>
      </w:r>
      <w:r w:rsidRPr="00684561">
        <w:t>, se incluyeron disposiciones presupuestales por $174,029,168.00,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Federativas  (FEIEF). con lo cual los recursos destinados a este ramo general asciende a $1,520,291,378.00</w:t>
      </w:r>
    </w:p>
    <w:p w:rsidR="00FA49E9" w:rsidRDefault="009C1791">
      <w:r>
        <w:br w:type="page"/>
      </w:r>
    </w:p>
    <w:p w:rsidR="00FA49E9" w:rsidRDefault="009C1791">
      <w:pPr>
        <w:pStyle w:val="Ttulo2"/>
      </w:pPr>
      <w:bookmarkStart w:id="33" w:name="anexo-6.-jubilaciones-y-pensiones"/>
      <w:bookmarkEnd w:id="21"/>
      <w:bookmarkEnd w:id="29"/>
      <w:bookmarkEnd w:id="32"/>
      <w:r>
        <w:t>ANEXO 6. JUBILACIONES Y PENSIONES</w:t>
      </w:r>
    </w:p>
    <w:p w:rsidR="00FA49E9" w:rsidRDefault="00FA49E9"/>
    <w:p w:rsidR="00FA49E9" w:rsidRDefault="009C1791">
      <w:pPr>
        <w:pStyle w:val="Ttulo3"/>
      </w:pPr>
      <w:bookmarkStart w:id="34" w:name="Xc60d4ab8a16fa4f0f85173576f69d133cf16e14"/>
      <w:r>
        <w:t>ANEXO 6.1. JUBILACIONES Y PENSIONES POR PARTIDA</w:t>
      </w:r>
    </w:p>
    <w:p w:rsidR="00FA49E9" w:rsidRDefault="00FA49E9"/>
    <w:tbl>
      <w:tblPr>
        <w:tblW w:w="0" w:type="auto"/>
        <w:jc w:val="center"/>
        <w:tblLayout w:type="fixed"/>
        <w:tblLook w:val="0420" w:firstRow="1" w:lastRow="0" w:firstColumn="0" w:lastColumn="0" w:noHBand="0" w:noVBand="1"/>
      </w:tblPr>
      <w:tblGrid>
        <w:gridCol w:w="7741"/>
        <w:gridCol w:w="3318"/>
      </w:tblGrid>
      <w:tr w:rsidR="00FA49E9" w:rsidRPr="00EE6AF7">
        <w:trPr>
          <w:cantSplit/>
          <w:jc w:val="center"/>
        </w:trPr>
        <w:tc>
          <w:tcPr>
            <w:tcW w:w="774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JUBILACIONES Y PENSIONES</w:t>
            </w:r>
          </w:p>
        </w:tc>
        <w:tc>
          <w:tcPr>
            <w:tcW w:w="331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741"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w:t>
            </w:r>
          </w:p>
        </w:tc>
        <w:tc>
          <w:tcPr>
            <w:tcW w:w="331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621,328,120</w:t>
            </w:r>
          </w:p>
        </w:tc>
      </w:tr>
      <w:tr w:rsidR="00FA49E9" w:rsidRPr="00EE6AF7">
        <w:trPr>
          <w:cantSplit/>
          <w:jc w:val="center"/>
        </w:trPr>
        <w:tc>
          <w:tcPr>
            <w:tcW w:w="7741"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PENSIONES</w:t>
            </w:r>
          </w:p>
        </w:tc>
        <w:tc>
          <w:tcPr>
            <w:tcW w:w="331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179,028,242</w:t>
            </w:r>
          </w:p>
        </w:tc>
      </w:tr>
      <w:tr w:rsidR="00FA49E9" w:rsidRPr="00EE6AF7">
        <w:trPr>
          <w:cantSplit/>
          <w:jc w:val="center"/>
        </w:trPr>
        <w:tc>
          <w:tcPr>
            <w:tcW w:w="7741"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PAGO DE SUMAS ASEGURADAS</w:t>
            </w:r>
          </w:p>
        </w:tc>
        <w:tc>
          <w:tcPr>
            <w:tcW w:w="331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3,514,258</w:t>
            </w:r>
          </w:p>
        </w:tc>
      </w:tr>
      <w:tr w:rsidR="00FA49E9" w:rsidRPr="00EE6AF7">
        <w:trPr>
          <w:cantSplit/>
          <w:jc w:val="center"/>
        </w:trPr>
        <w:tc>
          <w:tcPr>
            <w:tcW w:w="7741"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1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803,870,620</w:t>
            </w:r>
          </w:p>
        </w:tc>
      </w:tr>
    </w:tbl>
    <w:p w:rsidR="00FA49E9" w:rsidRDefault="00FA49E9"/>
    <w:p w:rsidR="00FA49E9" w:rsidRDefault="009C1791">
      <w:pPr>
        <w:pStyle w:val="Ttulo3"/>
      </w:pPr>
      <w:bookmarkStart w:id="35" w:name="Xf8b982262b7178e4e9bfcf9da83fbd12d033030"/>
      <w:bookmarkEnd w:id="34"/>
      <w:r>
        <w:t>ANEXO 6.2. EROGACIONES PREVISTAS PARA JUBILACIONES</w:t>
      </w:r>
    </w:p>
    <w:p w:rsidR="00FA49E9" w:rsidRDefault="00FA49E9"/>
    <w:tbl>
      <w:tblPr>
        <w:tblW w:w="0" w:type="auto"/>
        <w:jc w:val="center"/>
        <w:tblLayout w:type="fixed"/>
        <w:tblLook w:val="0420" w:firstRow="1" w:lastRow="0" w:firstColumn="0" w:lastColumn="0" w:noHBand="0" w:noVBand="1"/>
      </w:tblPr>
      <w:tblGrid>
        <w:gridCol w:w="7741"/>
        <w:gridCol w:w="3318"/>
      </w:tblGrid>
      <w:tr w:rsidR="00FA49E9" w:rsidRPr="00EE6AF7">
        <w:trPr>
          <w:cantSplit/>
          <w:jc w:val="center"/>
        </w:trPr>
        <w:tc>
          <w:tcPr>
            <w:tcW w:w="774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JUBILACIONES</w:t>
            </w:r>
          </w:p>
        </w:tc>
        <w:tc>
          <w:tcPr>
            <w:tcW w:w="331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741"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JUBILADOS BURÓCRATAS</w:t>
            </w:r>
          </w:p>
        </w:tc>
        <w:tc>
          <w:tcPr>
            <w:tcW w:w="331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77,751,484</w:t>
            </w:r>
          </w:p>
        </w:tc>
      </w:tr>
      <w:tr w:rsidR="00FA49E9" w:rsidRPr="00EE6AF7">
        <w:trPr>
          <w:cantSplit/>
          <w:jc w:val="center"/>
        </w:trPr>
        <w:tc>
          <w:tcPr>
            <w:tcW w:w="7741"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JUBILADOS DE EDUCACIÓN</w:t>
            </w:r>
          </w:p>
        </w:tc>
        <w:tc>
          <w:tcPr>
            <w:tcW w:w="331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541,176,636</w:t>
            </w:r>
          </w:p>
        </w:tc>
      </w:tr>
      <w:tr w:rsidR="00FA49E9" w:rsidRPr="00EE6AF7">
        <w:trPr>
          <w:cantSplit/>
          <w:jc w:val="center"/>
        </w:trPr>
        <w:tc>
          <w:tcPr>
            <w:tcW w:w="7741"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APOYO A JUBILADOS Y VIUDAS DE HENEQUENEROS</w:t>
            </w:r>
          </w:p>
        </w:tc>
        <w:tc>
          <w:tcPr>
            <w:tcW w:w="331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2,400,000</w:t>
            </w:r>
          </w:p>
        </w:tc>
      </w:tr>
      <w:tr w:rsidR="00FA49E9" w:rsidRPr="00EE6AF7">
        <w:trPr>
          <w:cantSplit/>
          <w:jc w:val="center"/>
        </w:trPr>
        <w:tc>
          <w:tcPr>
            <w:tcW w:w="7741"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1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621,328,120</w:t>
            </w:r>
          </w:p>
        </w:tc>
      </w:tr>
    </w:tbl>
    <w:p w:rsidR="00FA49E9" w:rsidRDefault="009C1791">
      <w:r>
        <w:br w:type="page"/>
      </w:r>
    </w:p>
    <w:p w:rsidR="00FA49E9" w:rsidRDefault="009C1791">
      <w:pPr>
        <w:pStyle w:val="Ttulo3"/>
      </w:pPr>
      <w:bookmarkStart w:id="36" w:name="X6b626b1d7ea5302bf2fe9907b2696a64eaab061"/>
      <w:bookmarkEnd w:id="35"/>
      <w:r>
        <w:t>ANEXO 6.3. EROGACIONES PREVISTAS PARA PENSIONES</w:t>
      </w:r>
    </w:p>
    <w:p w:rsidR="00FA49E9" w:rsidRDefault="00FA49E9"/>
    <w:tbl>
      <w:tblPr>
        <w:tblW w:w="0" w:type="auto"/>
        <w:jc w:val="center"/>
        <w:tblLayout w:type="fixed"/>
        <w:tblLook w:val="0420" w:firstRow="1" w:lastRow="0" w:firstColumn="0" w:lastColumn="0" w:noHBand="0" w:noVBand="1"/>
      </w:tblPr>
      <w:tblGrid>
        <w:gridCol w:w="7741"/>
        <w:gridCol w:w="3318"/>
      </w:tblGrid>
      <w:tr w:rsidR="00FA49E9" w:rsidRPr="00EE6AF7">
        <w:trPr>
          <w:cantSplit/>
          <w:jc w:val="center"/>
        </w:trPr>
        <w:tc>
          <w:tcPr>
            <w:tcW w:w="774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PENSIONES</w:t>
            </w:r>
          </w:p>
        </w:tc>
        <w:tc>
          <w:tcPr>
            <w:tcW w:w="331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741"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PENSIONADOS BURÓCRATAS</w:t>
            </w:r>
          </w:p>
        </w:tc>
        <w:tc>
          <w:tcPr>
            <w:tcW w:w="331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72,206,914</w:t>
            </w:r>
          </w:p>
        </w:tc>
      </w:tr>
      <w:tr w:rsidR="00FA49E9" w:rsidRPr="00EE6AF7">
        <w:trPr>
          <w:cantSplit/>
          <w:jc w:val="center"/>
        </w:trPr>
        <w:tc>
          <w:tcPr>
            <w:tcW w:w="7741"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PENSIONADOS DE EDUCACIÓN</w:t>
            </w:r>
          </w:p>
        </w:tc>
        <w:tc>
          <w:tcPr>
            <w:tcW w:w="331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106,821,328</w:t>
            </w:r>
          </w:p>
        </w:tc>
      </w:tr>
      <w:tr w:rsidR="00FA49E9" w:rsidRPr="00EE6AF7">
        <w:trPr>
          <w:cantSplit/>
          <w:jc w:val="center"/>
        </w:trPr>
        <w:tc>
          <w:tcPr>
            <w:tcW w:w="7741"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1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179,028,242</w:t>
            </w:r>
          </w:p>
        </w:tc>
      </w:tr>
    </w:tbl>
    <w:p w:rsidR="00FA49E9" w:rsidRDefault="009C1791">
      <w:r>
        <w:br w:type="page"/>
      </w:r>
    </w:p>
    <w:p w:rsidR="00FA49E9" w:rsidRDefault="009C1791">
      <w:pPr>
        <w:pStyle w:val="Ttulo2"/>
      </w:pPr>
      <w:bookmarkStart w:id="37" w:name="anexo-7.-programas-presupuestarios"/>
      <w:bookmarkEnd w:id="33"/>
      <w:bookmarkEnd w:id="36"/>
      <w:r>
        <w:t>ANEXO 7. PROGRAMAS PRESUPUESTARIOS</w:t>
      </w:r>
    </w:p>
    <w:p w:rsidR="00FA49E9" w:rsidRDefault="00FA49E9"/>
    <w:p w:rsidR="00FA49E9" w:rsidRDefault="009C1791">
      <w:pPr>
        <w:pStyle w:val="Ttulo3"/>
      </w:pPr>
      <w:bookmarkStart w:id="38" w:name="Xdf1da968cd2abed33374d1f2ce9194af1811ad0"/>
      <w:r>
        <w:t>ANEXO 7.1. PRINCIPALES PROGRAMAS PRESUPUESTARIOS</w:t>
      </w:r>
    </w:p>
    <w:p w:rsidR="00FA49E9" w:rsidRDefault="00FA49E9"/>
    <w:tbl>
      <w:tblPr>
        <w:tblW w:w="0" w:type="auto"/>
        <w:jc w:val="center"/>
        <w:tblLayout w:type="fixed"/>
        <w:tblLook w:val="0420" w:firstRow="1" w:lastRow="0" w:firstColumn="0" w:lastColumn="0" w:noHBand="0" w:noVBand="1"/>
      </w:tblPr>
      <w:tblGrid>
        <w:gridCol w:w="2552"/>
        <w:gridCol w:w="6048"/>
        <w:gridCol w:w="2160"/>
      </w:tblGrid>
      <w:tr w:rsidR="00FA49E9" w:rsidRPr="00EE6AF7" w:rsidTr="00A008F1">
        <w:trPr>
          <w:cantSplit/>
          <w:jc w:val="center"/>
        </w:trPr>
        <w:tc>
          <w:tcPr>
            <w:tcW w:w="255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CLAVE DEL PROGRAMA PRESUPUESTARIO</w:t>
            </w:r>
          </w:p>
        </w:tc>
        <w:tc>
          <w:tcPr>
            <w:tcW w:w="604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PROGRAMA PRESUPUESTARIO</w:t>
            </w:r>
          </w:p>
        </w:tc>
        <w:tc>
          <w:tcPr>
            <w:tcW w:w="216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DEL</w:t>
            </w:r>
            <w:r w:rsidR="00D04924">
              <w:rPr>
                <w:rFonts w:eastAsia="Arial" w:cs="Arial"/>
                <w:color w:val="000000"/>
              </w:rPr>
              <w:t xml:space="preserve"> </w:t>
            </w:r>
            <w:r>
              <w:rPr>
                <w:rFonts w:eastAsia="Arial" w:cs="Arial"/>
                <w:color w:val="000000"/>
              </w:rPr>
              <w:t>DESARROLLO INTEGRAL DE LOS POLICÍAS DE LA SECRETARÍA DE SEGURIDAD PÚBLICA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337,582,525</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410</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SEGURIDAD VIAL</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362,254,416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REFORZAMIENTO DE VIGILANCIA Y OPERATIVOS EN MATERIA DE SEGURIDAD PÚBLICA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1,936,404,200</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412</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REINSERCIÓN SOCIAL</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414</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35,962,023</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DE IDENTIDAD Y PATRIMONIO</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113,557,261</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419</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 REGULATORIA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18,023,649</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DIFUSIÓN Y RENDICIÓN DE CUENTAS DEL PODER EJECUTIVO E INFORMACIÓN PÚBLICA</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28,980,852</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427</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URBANO Y ORDENAMIENTO TERRITORIAL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431</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VIH, SIDA E INFECCIONES DE TRANSMISIÓN SEXUAL</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8,124,890</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434</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PROMOCIÓN DE LA SALUD EN LA COMUNIDAD</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12,726,868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440</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LA SALUD REPRODUCTIVA</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195,249,595</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444</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8,490,036,526</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179,511,626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451</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EN ALIMENTACIÓN A PERSONAS SUJETAS DE ASISTENCIA SOCIAL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454</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REDUCCIÓN DE LAS BRECHAS SOCIALES DE LOS PUEBLOS INDÍGENAS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456</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4,525,632,478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458</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157,222,317</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SENSIBILIZACIÓN HACIA EL CONSUMO CULTURAL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34,311,378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Y DESARROLLO DE LAS ORGANIZACIONES SOCIALES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33,364,966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477</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146,195,132</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481</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AUTONOMÍA Y EMPODERAMIENTO DE LAS MUJERES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23,144,276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482</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A LAS VIOLENCIAS CONTRA LAS MUJERES</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142,796,779</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121,614,445</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493</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INCREMENTO DE LA INVERSIÓN EXTRANJERA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125,280,405</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494</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36,633,194</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495</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Y COMERCIALIZACIÓN EMPRESARIAL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223,168,522</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CRECIMIENTO INDUSTRIAL SOSTENIBLE</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89,853,629</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499</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EMPLEO DE CALIDAD, INCLUYENTE Y FORMAL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17,800,558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LABORAL</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4,673,896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501</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235,571,046</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502</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27,361,662</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503</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505</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ESPECIALIZACIÓN DE PRESTADORES DE SERVICIOS TURÍSTICOS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9,210,785</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506</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LOS ATRACTIVOS TURÍSTICOS Y SEGMENTOS DE MERCADO</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120,230,795</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508</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 PROYECTOS ENERGÉTICOS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2,746,063</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515</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MODERNIZACIÓN DEL SISTEMA DE TRANSPORTE PÚBLICO</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232,981,616</w:t>
            </w:r>
          </w:p>
        </w:tc>
      </w:tr>
      <w:tr w:rsidR="00FA49E9" w:rsidRPr="00EE6AF7" w:rsidTr="00A008F1">
        <w:trPr>
          <w:cantSplit/>
          <w:jc w:val="center"/>
        </w:trPr>
        <w:tc>
          <w:tcPr>
            <w:tcW w:w="2552" w:type="dxa"/>
            <w:shd w:val="clear" w:color="auto" w:fill="4B4B4B"/>
            <w:tcMar>
              <w:top w:w="0" w:type="dxa"/>
              <w:left w:w="0" w:type="dxa"/>
              <w:bottom w:w="0" w:type="dxa"/>
              <w:right w:w="0" w:type="dxa"/>
            </w:tcMar>
          </w:tcPr>
          <w:p w:rsidR="00FA49E9" w:rsidRPr="00EE6AF7" w:rsidRDefault="00FA49E9">
            <w:pPr>
              <w:spacing w:before="120" w:after="120"/>
              <w:ind w:left="120" w:right="120"/>
              <w:jc w:val="right"/>
            </w:pPr>
          </w:p>
        </w:tc>
        <w:tc>
          <w:tcPr>
            <w:tcW w:w="604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216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18,890,455,308</w:t>
            </w:r>
          </w:p>
        </w:tc>
      </w:tr>
    </w:tbl>
    <w:p w:rsidR="00FA49E9" w:rsidRDefault="009C1791">
      <w:r>
        <w:br w:type="page"/>
      </w:r>
    </w:p>
    <w:p w:rsidR="00FA49E9" w:rsidRDefault="009C1791">
      <w:pPr>
        <w:pStyle w:val="Ttulo3"/>
      </w:pPr>
      <w:bookmarkStart w:id="39" w:name="Xa511467a5b9693ed3553a6268c4c748f5607a33"/>
      <w:bookmarkEnd w:id="38"/>
      <w:r>
        <w:t>ANEXO 7.2. PROGRAMAS POR FUENTE DE FINANCIAMIENTO</w:t>
      </w:r>
    </w:p>
    <w:p w:rsidR="00FA49E9" w:rsidRDefault="00FA49E9"/>
    <w:tbl>
      <w:tblPr>
        <w:tblW w:w="4893" w:type="pct"/>
        <w:jc w:val="center"/>
        <w:tblLook w:val="0420" w:firstRow="1" w:lastRow="0" w:firstColumn="0" w:lastColumn="0" w:noHBand="0" w:noVBand="1"/>
      </w:tblPr>
      <w:tblGrid>
        <w:gridCol w:w="3972"/>
        <w:gridCol w:w="2408"/>
        <w:gridCol w:w="2202"/>
        <w:gridCol w:w="2202"/>
      </w:tblGrid>
      <w:tr w:rsidR="00FA49E9" w:rsidRPr="00EE6AF7" w:rsidTr="00A008F1">
        <w:trPr>
          <w:cantSplit/>
          <w:jc w:val="center"/>
        </w:trPr>
        <w:tc>
          <w:tcPr>
            <w:tcW w:w="1841" w:type="pct"/>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PROGRAMAS PRESUPUESTARIOS</w:t>
            </w:r>
          </w:p>
        </w:tc>
        <w:tc>
          <w:tcPr>
            <w:tcW w:w="1116"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 GASTO NO ETIQUETADO</w:t>
            </w:r>
          </w:p>
        </w:tc>
        <w:tc>
          <w:tcPr>
            <w:tcW w:w="1021"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II. GASTO ETIQUETADO</w:t>
            </w:r>
          </w:p>
        </w:tc>
        <w:tc>
          <w:tcPr>
            <w:tcW w:w="1021"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TOTAL</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1,989,541,510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6,500,495,016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8,490,036,526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1,708,783,162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2,816,849,316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4,525,632,478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DISTRIBUCIÓN DE PARTICIPACIONES FEDERALES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DISTRIBUCIÓN DE APORTACIONES FEDERALES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SOCIAL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987,110,624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1,694,459,599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2,681,570,223</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CALIDAD EN EDUCACIÓN MEDIA SUPERIOR DE LA UNIVERSIDAD AUTÓNOMA DE YUCATÁN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251,695,344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2,160,108,275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2,411,803,619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OTORGAMIENTO DEL SISTEMA DE JUBILACIONES Y PENSIONES DE LOS SERVIDORES PÚBLICOS DEL GOBIERNO DEL ESTADO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REFORZAMIENTO DE VIGILANCIA Y OPERATIVOS EN MATERIA DE SEGURIDAD PÚBLICA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1,758,719,497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177,684,703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1,936,404,200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DE LA DEUDA PÚBLICA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412,908,986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957,382,392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OTORGAMIENTO DE PRESTACIONES PARA LA SEGURIDAD SOCIAL DE LOS TRABAJADORES DEL GOBIERNO DEL ESTADO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749,993,164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749,993,164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EDUCATIVA EN MEDIA SUPERIOR</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168,081,842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551,416,042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719,497,884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JUSTICIA CIVIL, MERCANTIL Y FAMILIAR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633,836,980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633,836,980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DEL SISTEMA DE JUSTICIA PENAL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525,217,381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525,217,381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DE JUSTICIA, PAZ Y GOBERNABILIDAD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522,301,334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522,301,334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ECONÓMICO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463,172,525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5,696,944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468,869,469</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DE LA HACIENDA PÚBLICA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432,788,126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432,788,126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INFRAESTRUCTURA URBANA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361,276,273</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12,500,000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373,776,273</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229,471,392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137,758,651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367,230,043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SEGURIDAD VIAL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362,254,416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362,254,416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DEL</w:t>
            </w:r>
            <w:r w:rsidR="00D04924">
              <w:rPr>
                <w:rFonts w:eastAsia="Arial" w:cs="Arial"/>
                <w:color w:val="000000"/>
              </w:rPr>
              <w:t xml:space="preserve"> </w:t>
            </w:r>
            <w:r>
              <w:rPr>
                <w:rFonts w:eastAsia="Arial" w:cs="Arial"/>
                <w:color w:val="000000"/>
              </w:rPr>
              <w:t>DESARROLLO INTEGRAL DE LOS POLICÍAS DE LA SECRETARÍA DE SEGURIDAD PÚBLICA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337,582,525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337,582,525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GOBIERNO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329,154,130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329,154,130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DOTACIÓN DE AGUA POTABLE Y SANEAMIENTO DE AGUAS RESIDUALES DOMÉSTICAS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298,032,096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298,032,096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CALIDAD EN INSTITUCIONES DE EDUCACIÓN SUPERIOR PÚBLICAS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103,709,831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186,545,155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290,254,986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EN ALIMENTACIÓN A PERSONAS SUJETAS DE ASISTENCIA SOCIAL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23,395,957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262,403,551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DE CALIDAD Y ESPACIOS EN LA VIVIENDA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176,169,402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106,220,839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282,390,241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REINSERCIÓN SOCIAL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194,571,046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41,000,000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235,571,046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PRESERVACIÓN, FOMENTO Y DIFUSIÓN DEL PATRIMONIO HISTÓRICO, ARTÍSTICO Y BIOCULTURAL DEL ESTADO DE YUCATÁN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233,697,926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233,697,926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MODERNIZACIÓN DEL SISTEMA DE TRANSPORTE PÚBLICO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232,981,616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232,981,616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Y COMERCIALIZACIÓN EMPRESARIAL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223,168,522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223,168,522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OPERACIÓN Y ADMINISTRACIÓN DEL IEPAC</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REFORZAMIENTO DE LA CAPACIDAD RECAUDATORIA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217,838,671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217,838,671</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URBANO Y ORDENAMIENTO TERRITORIAL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ENFERMEDADES TRANSMITIDAS POR VECTOR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99,737,872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106,044,561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205,782,433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PREVISIONES PARA EL PAGO DE ADEUDOS DE EJERCICIOS FISCALES ANTERIORES (ADEFAS)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LA SALUD REPRODUCTIVA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129,542,023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65,707,572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195,249,595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DEL REZAGO EDUCATIVO Y ANALFABETISMO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66,006,008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126,704,856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192,710,864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141,819,835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37,691,791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179,511,626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AMPLIACIÓN DE LA COBERTURA PARA ACCESO A LOS SERVICIOS BÁSICOS DE LA VIVIENDA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15,514,436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157,315,400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INSTITUCIONES DE EDUCACIÓN SUPERIOR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29,982,479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142,083,747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172,066,226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INNOVACIÓN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115,857,386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53,958,370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169,815,756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A LA MOVILIDAD SUSTENTABLE</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168,833,789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168,833,789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RENDICIÓN DE CUENTAS EN INSTITUCIONES DE SEGURIDAD, JUSTICIA Y GOBERNABILIDAD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157,599,924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157,599,924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157,222,317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157,222,317</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Y RESTITUCIÓN DE DERECHOS DE NIÑAS, NIÑOS Y ADOLESCENTES DEL ESTADO DE YUCATÁN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133,109,463</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20,354,519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153,463,982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MITIGACIÓN DE RIESGOS SANITARIOS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52,989,539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100,108,836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153,098,375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146,195,132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146,195,132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A LAS VIOLENCIAS CONTRA LAS MUJERES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110,392,982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32,403,797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142,796,779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CONECTIVIDAD E INFRAESTRUCTURA PARA SERVICIOS GUBERNAMENTALES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142,041,552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142,541,556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LEGISLATIVOS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CONSTRUCCIÓN, MODERNIZACIÓN Y CONSERVACIÓN DE LAS VÍAS DE COMUNICACIÓN TERRESTRE</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VERDE Y SUSTENTABLE</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130,967,428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130,967,428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INCREMENTO DE LA INVERSIÓN EXTRANJERA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125,280,405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125,280,405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82,816,232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38,798,213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121,614,445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LOS ATRACTIVOS TURÍSTICOS Y SEGMENTOS DE MERCADO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120,230,795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120,230,795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CULTURAL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116,917,462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116,917,462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VINCULACIÓN NACIONAL E INTERNACIONAL DEL PODER EJECUTIVO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114,187,472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114,187,472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PRESERVACIÓN DE LA CALIDAD DEL AGUA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97,330,421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16,545,428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113,875,849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DE IDENTIDAD Y PATRIMONIO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112,315,913</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1,241,348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113,557,261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JURÍDICA AL SECTOR PÚBLICO Y SOCIAL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108,268,876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108,268,876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LA CREACIÓN Y MANIFESTACIÓN ARTÍSTICA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95,097,257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1,351,200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96,448,457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VIGILANCIA DE LA APLICACIÓN DE LOS RECURSOS PÚBLICOS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93,847,835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93,847,835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CRECIMIENTO INDUSTRIAL SOSTENIBLE</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89,853,629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89,853,629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AUDITORÍA SUPERIOR DEL ESTADO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84,212,054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1,247,484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85,459,538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DE CIUDADES Y COMUNIDADES SOSTENIBLES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84,471,993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84,471,993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 A LA INFANCIA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65,062,870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19,388,057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84,450,927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PRODUCTOS Y SERVICIOS TURÍSTICOS INCLUYENTES Y DE CALIDAD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83,577,666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83,577,666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PROTECCIÓN CIVIL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81,867,029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81,867,029</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 DE LA CALIDAD DE LOS SERVICIOS DE SALUD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26,580,688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51,962,864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78,543,552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MANEJO INTEGRAL DE LOS RESIDUOS SÓLIDOS Y ESPECIALES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70,061,500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70,061,500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AL DEPORTE DE ALTO RENDIMIENTO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53,674,930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110,000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53,784,930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INSTITUCIONAL DE LOS MUNICIPIOS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43,533,282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43,533,282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PERSONAS CON DISCAPACIDAD DEL ESTADO DE YUCATÁN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41,172,165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820,810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41,992,975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DIFUSIÓN DE LA CULTURA TRADICIONAL YUCATECA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40,905,389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650,658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41,556,047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INNOVACIÓN Y EFICIENCIA EN LA INFORMACIÓN PARA LA GESTIÓN PÚBLICA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41,553,005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41,553,005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36,633,194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36,633,194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35,962,023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35,962,023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IMPARTICIÓN DE JUSTICIA EN MATERIA FISCAL Y ADMINISTRATIVA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35,086,127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35,086,127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SENSIBILIZACIÓN HACIA EL CONSUMO CULTURAL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33,234,619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1,076,759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34,311,378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Y DESARROLLO DE LAS ORGANIZACIONES SOCIALES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31,264,966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2,100,000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33,364,966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DE LOS RECURSOS HUMANOS, FINANCIEROS Y MATERIALES DE LA CODHEY</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33,095,226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33,095,226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DE LOS RECURSOS MATERIALES Y PATRIMONIALES DEL PODER EJECUTIVO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31,323,456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31,323,456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IMPLEMENTACIÓN DEL PRESUPUESTO BASADO EN RESULTADOS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30,171,050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30,171,050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AL CONOCIMIENTO CIENTÍFICO, TECNOLÓGICO E INNOVACIÓN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ENFERMEDADES RELACIONADAS CON LA NUTRICIÓN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6,018,272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23,224,896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29,243,168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DIFUSIÓN Y RENDICIÓN DE CUENTAS DEL PODER EJECUTIVO E INFORMACIÓN PÚBLICA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28,980,852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28,980,852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IMPARTICIÓN DE JUSTICIA POLÍTICO ELECTORAL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28,525,758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28,525,758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CALIDAD EN EDUCACIÓN SUPERIOR DE LA UNIVERSIDAD AUTÓNOMA DE YUCATÁN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28,165,008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28,165,008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27,361,662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27,361,662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A LA INFORMACIÓN PÚBLICA GUBERNAMENTAL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24,874,222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24,874,222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AUTONOMÍA Y EMPODERAMIENTO DE LAS MUJERES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12,011,413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11,132,863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23,144,276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RESTAURACIÓN Y CONSERVACIÓN DE LOS ECOSISTEMAS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22,825,511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22,825,511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EDUCACIÓN PARA LA PROFESIONALIZACIÓN ARTÍSTICA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21,737,526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21,737,526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LA SALUD MENTAL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1,693,080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18,176,608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19,869,688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LABORES DE PREVENCIÓN, INVESTIGACIÓN Y CONSIGNACIÓN DE HECHOS DE CORRUPCIÓN.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19,777,095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19,777,095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IMPLEMENTACIÓN DE POLÍTICAS PARA LA SUSTENTABILIDAD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19,559,420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19,559,420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 REGULATORIA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18,023,649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18,023,649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EMPLEO DE CALIDAD, INCLUYENTE Y FORMAL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17,245,958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554,600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17,800,558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A VÍCTIMAS DE VIOLENCIA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16,393,761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16,393,761</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PLANEACIÓN Y SEGUIMIENTO DE LA INVERSIÓN EN OBRA PÚBLICA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15,823,702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15,823,702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Y CONTROL</w:t>
            </w:r>
            <w:r w:rsidR="00D04924">
              <w:rPr>
                <w:rFonts w:eastAsia="Arial" w:cs="Arial"/>
                <w:color w:val="000000"/>
              </w:rPr>
              <w:t xml:space="preserve"> </w:t>
            </w:r>
            <w:r>
              <w:rPr>
                <w:rFonts w:eastAsia="Arial" w:cs="Arial"/>
                <w:color w:val="000000"/>
              </w:rPr>
              <w:t>DE LOS RECURSOS HUMANOS, FINANCIEROS Y MATERIALES DE LA UNIVERSIDAD AUTÓNOMA DE YUCATÁN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15,821,263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15,821,263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ESCOLAR</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15,550,634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15,550,634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DE IGUALDAD DE GÉNERO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13,473,418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135,002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13,608,420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CONSOLIDACIÓN DEL SISTEMA DE SEGUIMIENTO Y EVALUACIÓN DEL DESEMPEÑO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13,518,845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13,518,845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REDUCCIÓN DE LAS BRECHAS SOCIALES DE LOS PUEBLOS INDÍGENAS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PROMOCIÓN DE LA SALUD EN LA COMUNIDAD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961,144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11,765,724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12,726,868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IMPLEMENTACIÓN DE POLÍTICAS CONTRA EL CAMBIO CLIMÁTICO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9,726,112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9,726,112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ESPECIALIZACIÓN DE PRESTADORES DE SERVICIOS TURÍSTICOS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9,210,785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9,210,785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VIH, SIDA E INFECCIONES DE TRANSMISIÓN SEXUAL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8,124,890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8,124,890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SANCIÓN DE ACTOS DE CORRUPCIÓN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7,466,742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7,466,742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VIGILANCIA EPIDEMIOLÓGICA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120,816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6,748,718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6,869,534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VINCULACIÓN, PROMOCIÓN Y GESTIÓN CON EL SECTOR PRODUCTIVO Y SOCIAL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6,644,016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6,644,016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ENFERMEDADES ZOONÓTICAS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6,384,935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6,384,935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EMBARAZO EN ADOLESCENTES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3,568,727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2,645,864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6,214,591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INCLUYENTE A LA OFERTA CULTURAL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5,742,777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313,080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6,055,857</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Y VIGILANCIA DE LOS DERECHOS DE LAS PERSONAS CON DISCAPACIDAD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4,791,187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4,791,187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LABORAL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4,673,896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4,673,896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INTEGRAL DEL CÁNCER EN LA MUJER</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5,220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4,368,488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4,373,708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AL AUTOEMPLEO PARA LA POBLACIÓN EN SITUACIÓN DE VULNERABILIDAD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4,015,876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4,015,876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Y DERECHOS HUMANOS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3,700,806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3,700,806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EMPRESAS LOCALES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3,400,357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3,400,357</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 PROYECTOS ENERGÉTICOS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2,746,063</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2,746,063</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ELIMINACIÓN DE LA DISCRIMINACIÓN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2,681,159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2,681,159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SERVICIO PROFESIONAL DOCENTE</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1,421,582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1,421,582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DE LOS RECURSOS HUMANOS DEL PODER EJECUTIVO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1,381,254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1,381,254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A ENERGÍAS LIMPIAS EN EL ESTADO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551,100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551,100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FORMACIÓN DE CAPITAL HUMANO EN ÁREAS ESTRATÉGICAS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CONSERVACIÓN Y MANEJO INTEGRADO DE LA ZONA COSTERA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347,000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347,000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UNA CULTURA PARA LA SUSTENTABILIDAD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301,500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301,500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PLANEACIÓN Y ARTICULACIÓN DE POLÍTICA DE COMPETITIVIDAD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215,200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215,200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A MIGRANTES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116,654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116,654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INDUSTRIAL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w:t>
            </w:r>
          </w:p>
        </w:tc>
      </w:tr>
      <w:tr w:rsidR="00FA49E9" w:rsidRPr="00EE6AF7" w:rsidTr="00A008F1">
        <w:trPr>
          <w:cantSplit/>
          <w:jc w:val="center"/>
        </w:trPr>
        <w:tc>
          <w:tcPr>
            <w:tcW w:w="1841" w:type="pct"/>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1116"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25,800,670,066</w:t>
            </w:r>
          </w:p>
        </w:tc>
        <w:tc>
          <w:tcPr>
            <w:tcW w:w="1021"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20,237,380,255</w:t>
            </w:r>
          </w:p>
        </w:tc>
        <w:tc>
          <w:tcPr>
            <w:tcW w:w="1021"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40" w:name="Xa0ff69c007edcc022a51ae9c415018d3b1f3096"/>
      <w:bookmarkEnd w:id="39"/>
      <w:r>
        <w:t>ANEXO 7.3. PROGRAMAS PRESUPUESTARIOS POR OBJETO DEL GASTO</w:t>
      </w:r>
    </w:p>
    <w:p w:rsidR="00FA49E9" w:rsidRDefault="00FA49E9"/>
    <w:tbl>
      <w:tblPr>
        <w:tblW w:w="0" w:type="auto"/>
        <w:jc w:val="center"/>
        <w:tblLayout w:type="fixed"/>
        <w:tblLook w:val="0420" w:firstRow="1" w:lastRow="0" w:firstColumn="0" w:lastColumn="0" w:noHBand="0" w:noVBand="1"/>
      </w:tblPr>
      <w:tblGrid>
        <w:gridCol w:w="1123"/>
        <w:gridCol w:w="1011"/>
        <w:gridCol w:w="1011"/>
        <w:gridCol w:w="1011"/>
        <w:gridCol w:w="1011"/>
        <w:gridCol w:w="1011"/>
        <w:gridCol w:w="1011"/>
        <w:gridCol w:w="1011"/>
        <w:gridCol w:w="1011"/>
        <w:gridCol w:w="1011"/>
        <w:gridCol w:w="1011"/>
      </w:tblGrid>
      <w:tr w:rsidR="00FA49E9" w:rsidRPr="00EE6AF7" w:rsidTr="00A008F1">
        <w:trPr>
          <w:cantSplit/>
          <w:trHeight w:val="1586"/>
          <w:jc w:val="center"/>
        </w:trPr>
        <w:tc>
          <w:tcPr>
            <w:tcW w:w="1123"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PROGRAMAS PRESUPUESTARIOS POR OBJETO DEL GASTO</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SERVICIOS PERSONALES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MATERIALES Y SUMINISTROS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SERVICIOS GENERALES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TRANSFERENCIAS, ASIGNACIONES, SUBSIDIOS Y OTRAS AYUDAS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BIENES MUEBLES, INMUEBLES E INTANGIBLES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INVERSIÓN PÚBLICA</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INVERSIONES FINANCIERAS Y OTRAS PROVISIONES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PARTICIPACIONES Y APORTACIONES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DEUDA PÚBLICA</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TOTAL</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COBERTURA CON EQUIDAD EN EDUCACIÓN BÁSICA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7,855,236,332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12,889,178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482,917,860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36,381,309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102,611,847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8,490,036,526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PRESTACIÓN DE SERVICIOS DE SALUD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139,433,976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33,522,400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40,922,167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4,311,753,935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4,525,632,478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DISTRIBUCIÓN DE PARTICIPACIONES FEDERALES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4,092,168,930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4,092,168,930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DISTRIBUCIÓN DE APORTACIONES FEDERALES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3,494,159,343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3,494,159,343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SOCIAL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1,658,621,756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124,111,829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307,812,916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590,187,108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836,614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2,681,570,223</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CALIDAD EN EDUCACIÓN MEDIA SUPERIOR DE LA UNIVERSIDAD AUTÓNOMA DE YUCATÁN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2,411,803,619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2,411,803,619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OTORGAMIENTO DEL SISTEMA DE JUBILACIONES Y PENSIONES DE LOS SERVIDORES PÚBLICOS DEL GOBIERNO DEL ESTADO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2,154,778,766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2,154,778,766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REFORZAMIENTO DE VIGILANCIA Y OPERATIVOS EN MATERIA DE SEGURIDAD PÚBLICA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884,737,443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287,063,516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534,918,538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229,684,703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1,936,404,200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DE LA DEUDA PÚBLICA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124,714,731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1,245,576,647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1,370,291,378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OTORGAMIENTO DE PRESTACIONES PARA LA SEGURIDAD SOCIAL DE LOS TRABAJADORES DEL GOBIERNO DEL ESTADO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749,993,164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749,993,164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EDUCATIVA EN MEDIA SUPERIOR</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719,497,884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719,497,884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JUSTICIA CIVIL, MERCANTIL Y FAMILIAR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633,836,980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633,836,980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DEL SISTEMA DE JUSTICIA PENAL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395,546,779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51,567,448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66,484,107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11,619,047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525,217,381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DE JUSTICIA, PAZ Y GOBERNABILIDAD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220,943,759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100,886,330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174,190,087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26,281,158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522,301,334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ECONÓMICO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43,570,948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64,879,049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147,332,737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212,986,735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468,869,469</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DE LA HACIENDA PÚBLICA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27,124,607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18,034,000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71,239,519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316,240,000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432,788,126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MEJORAMIENTO DE LA INFRAESTRUCTURA URBANA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373,776,273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373,776,273</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Y PERMANENCIA EN EDUCACIÓN MEDIA SUPERIOR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314,285,919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8,468,250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26,282,182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8,959,083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9,234,609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367,230,043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SEGURIDAD VIAL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122,288,061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205,063,725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34,902,630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362,254,416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DEL</w:t>
            </w:r>
            <w:r w:rsidR="00D04924">
              <w:rPr>
                <w:rFonts w:eastAsia="Arial" w:cs="Arial"/>
                <w:color w:val="000000"/>
                <w:sz w:val="10"/>
                <w:szCs w:val="10"/>
              </w:rPr>
              <w:t xml:space="preserve"> </w:t>
            </w:r>
            <w:r>
              <w:rPr>
                <w:rFonts w:eastAsia="Arial" w:cs="Arial"/>
                <w:color w:val="000000"/>
                <w:sz w:val="10"/>
                <w:szCs w:val="10"/>
              </w:rPr>
              <w:t>DESARROLLO INTEGRAL DE LOS POLICÍAS DE LA SECRETARÍA DE SEGURIDAD PÚBLICA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297,071,201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8,438,772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32,072,552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337,582,525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GOBIERNO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129,503,154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29,501,563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153,554,019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16,595,394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329,154,130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DOTACIÓN DE AGUA POTABLE Y SANEAMIENTO DE AGUAS RESIDUALES DOMÉSTICAS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298,032,096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298,032,096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MEJORAMIENTO DE LA CALIDAD EN INSTITUCIONES DE EDUCACIÓN SUPERIOR PÚBLICAS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268,225,163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13,038,619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8,955,204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290,254,986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INTEGRAL EN ALIMENTACIÓN A PERSONAS SUJETAS DE ASISTENCIA SOCIAL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285,799,508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285,799,508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DE CALIDAD Y ESPACIOS EN LA VIVIENDA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282,390,241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282,390,241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REINSERCIÓN SOCIAL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110,923,448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119,017,461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28,265,153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2,720,517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260,926,579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DEL SECTOR AGROPECUARIO Y AGROINDUSTRIAL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52,927,245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8,643,801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174,000,000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235,571,046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PRESERVACIÓN, FOMENTO Y DIFUSIÓN DEL PATRIMONIO HISTÓRICO, ARTÍSTICO Y BIOCULTURAL DEL ESTADO DE YUCATÁN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21,444,893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209,922,841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2,330,192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233,697,926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MODERNIZACIÓN DEL SISTEMA DE TRANSPORTE PÚBLICO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232,981,616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232,981,616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PRODUCTIVIDAD Y COMERCIALIZACIÓN EMPRESARIAL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13,874,368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1,028,800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5,874,464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201,890,890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223,168,522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OPERACIÓN Y ADMINISTRACIÓN DEL IEPAC</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217,883,102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217,883,102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REFORZAMIENTO DE LA CAPACIDAD RECAUDATORIA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113,134,583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1,166,217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103,537,871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217,838,671</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URBANO Y ORDENAMIENTO TERRITORIAL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207,210,925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207,210,925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CONTROL DE ENFERMEDADES TRANSMITIDAS POR VECTOR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205,782,433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205,782,433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PREVISIONES PARA EL PAGO DE ADEUDOS DE EJERCICIOS FISCALES ANTERIORES (ADEFAS)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55,000,000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205,000,000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INTEGRAL A LA SALUD REPRODUCTIVA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195,249,595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195,249,595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DEL REZAGO EDUCATIVO Y ANALFABETISMO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142,570,314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5,812,891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44,327,659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192,710,864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Y PERMANENCIA EN EDUCACIÓN BÁSICA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8,406,653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35,132,743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1,277,778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134,369,439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325,013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179,511,626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AMPLIACIÓN DE LA COBERTURA PARA ACCESO A LOS SERVICIOS BÁSICOS DE LA VIVIENDA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14,601,035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901,401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157,315,400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172,829,836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 LAS INSTITUCIONES DE EDUCACIÓN SUPERIOR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57,176,416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114,889,810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172,066,226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INNOVACIÓN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7,811,646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13,940,660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6,470,153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141,558,297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169,815,756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A LA MOVILIDAD SUSTENTABLE</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168,833,789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168,833,789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RENDICIÓN DE CUENTAS EN INSTITUCIONES DE SEGURIDAD, JUSTICIA Y GOBERNABILIDAD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36,922,394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1,640,167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109,256,115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9,061,248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720,000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157,599,924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DE LA CULTURA FÍSICA Y RECREACIÓN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157,221,817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157,222,317</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Y RESTITUCIÓN DE DERECHOS DE NIÑAS, NIÑOS Y ADOLESCENTES DEL ESTADO DE YUCATÁN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153,463,982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153,463,982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MITIGACIÓN DE RIESGOS SANITARIOS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153,098,375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153,098,375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ASISTENCIA SOCIAL A PERSONAS VULNERABLES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45,392,336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1,288,000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8,390,868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91,123,928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146,195,132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ATENCIÓN A LAS VIOLENCIAS CONTRA LAS MUJERES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35,423,151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1,019,295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20,749,106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85,356,151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249,076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142,796,779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CONECTIVIDAD E INFRAESTRUCTURA PARA SERVICIOS GUBERNAMENTALES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14,769,600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97,267,952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142,541,556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SERVICIOS LEGISLATIVOS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140,123,912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140,123,912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CONSTRUCCIÓN, MODERNIZACIÓN Y CONSERVACIÓN DE LAS VÍAS DE COMUNICACIÓN TERRESTRE</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138,743,251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138,743,251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VERDE Y SUSTENTABLE</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5,840,686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4,102,133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11,506,050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109,518,559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130,967,428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INCREMENTO DE LA INVERSIÓN EXTRANJERA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5,064,285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24,100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26,175,207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94,016,813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125,280,405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EFICIENCIA TERMINAL EN EDUCACIÓN SUPERIOR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121,614,445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121,614,445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IMPULSO A LOS ATRACTIVOS TURÍSTICOS Y SEGMENTOS DE MERCADO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21,884,028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100,999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24,648,982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73,596,786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120,230,795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CULTURAL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23,651,178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10,577,000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36,939,237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45,750,047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116,917,462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VINCULACIÓN NACIONAL E INTERNACIONAL DEL PODER EJECUTIVO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89,672,085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7,121,222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17,394,165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114,187,472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PRESERVACIÓN DE LA CALIDAD DEL AGUA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102,855,849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113,875,849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CERTEZA JURÍDICA DE IDENTIDAD Y PATRIMONIO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37,092,489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856,672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4,129,327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71,478,773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113,557,261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ASISTENCIA JURÍDICA AL SECTOR PÚBLICO Y SOCIAL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89,911,995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9,646,050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4,631,023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4,079,808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108,268,876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A LA CREACIÓN Y MANIFESTACIÓN ARTÍSTICA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64,425,158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5,698,790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26,324,509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96,448,457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DEL SECTOR PESQUERO Y ACUÍCOLA CON ENFOQUE SUSTENTABLE</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22,206,218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1,859,384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7,463,635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62,098,904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1,719,577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95,347,718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VIGILANCIA DE LA APLICACIÓN DE LOS RECURSOS PÚBLICOS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84,052,787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1,932,403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6,435,858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75,000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1,351,787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93,847,835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CRECIMIENTO INDUSTRIAL SOSTENIBLE</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7,982,416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8,600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6,818,646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73,943,967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89,853,629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AUDITORÍA SUPERIOR DEL ESTADO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85,459,538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85,459,538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DE CIUDADES Y COMUNIDADES SOSTENIBLES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3,064,674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540,952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673,008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80,143,359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84,471,993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PRESTACIÓN DE SERVICIOS DE SALUD A LA INFANCIA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84,450,927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84,450,927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A PRODUCTOS Y SERVICIOS TURÍSTICOS INCLUYENTES Y DE CALIDAD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2,833,346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3,359,629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77,384,691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83,577,666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PROTECCIÓN CIVIL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11,926,193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57,824,428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12,116,408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81,867,029</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 DE LA CALIDAD DE LOS SERVICIOS DE SALUD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78,543,552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78,543,552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MANEJO INTEGRAL DE LOS RESIDUOS SÓLIDOS Y ESPECIALES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16,500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70,061,500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IMPULSO AL DEPORTE DE ALTO RENDIMIENTO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53,784,930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53,784,930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INSTITUCIONAL DE LOS MUNICIPIOS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35,865,923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3,289,676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4,377,683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43,533,282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INTEGRAL A PERSONAS CON DISCAPACIDAD DEL ESTADO DE YUCATÁN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41,992,975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41,992,975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Y DIFUSIÓN DE LA CULTURA TRADICIONAL YUCATECA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2,128,008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119,434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548,279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38,760,326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41,556,047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INNOVACIÓN Y EFICIENCIA EN LA INFORMACIÓN PARA LA GESTIÓN PÚBLICA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31,950,400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1,877,500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7,181,489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543,616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41,553,005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IMPULSO A LA POBLACIÓN EMPRENDEDORA Y EMPRESARIAL CON ENFOQUE DE INCLUSIÓN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5,679,977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389,534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27,851,683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36,633,194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DEL DELITO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28,082,982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2,788,597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4,740,444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35,962,023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IMPARTICIÓN DE JUSTICIA EN MATERIA FISCAL Y ADMINISTRATIVA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35,086,127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35,086,127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Y SENSIBILIZACIÓN HACIA EL CONSUMO CULTURAL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27,674,477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828,400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5,108,501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34,311,378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Y DESARROLLO DE LAS ORGANIZACIONES SOCIALES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7,396,389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358,653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25,109,924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33,364,966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ADMINISTRACIÓN DE LOS RECURSOS HUMANOS, FINANCIEROS Y MATERIALES DE LA CODHEY</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33,095,226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33,095,226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ADMINISTRACIÓN DE LOS RECURSOS MATERIALES Y PATRIMONIALES DEL PODER EJECUTIVO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21,682,852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2,513,500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4,146,462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2,980,642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31,323,456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IMPLEMENTACIÓN DEL PRESUPUESTO BASADO EN RESULTADOS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20,105,814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1,641,500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4,335,096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4,088,640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30,171,050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AL CONOCIMIENTO CIENTÍFICO, TECNOLÓGICO E INNOVACIÓN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10,948,858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142,406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7,589,213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11,265,594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30,006,071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PREVENCIÓN Y ATENCIÓN INTEGRAL DE ENFERMEDADES RELACIONADAS CON LA NUTRICIÓN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29,243,168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29,243,168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DIFUSIÓN Y RENDICIÓN DE CUENTAS DEL PODER EJECUTIVO E INFORMACIÓN PÚBLICA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23,829,836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601,062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4,505,554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39,400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28,980,852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IMPARTICIÓN DE JUSTICIA POLÍTICO ELECTORAL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28,525,758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28,525,758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CALIDAD EN EDUCACIÓN SUPERIOR DE LA UNIVERSIDAD AUTÓNOMA DE YUCATÁN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28,165,008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28,165,008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MEJORAMIENTO GENÉTICO DE LA PRODUCCIÓN PECUARIA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7,143,429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218,233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27,361,662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A LA INFORMACIÓN PÚBLICA GUBERNAMENTAL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24,874,222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24,874,222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AUTONOMÍA Y EMPODERAMIENTO DE LAS MUJERES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7,860,985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435,020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14,078,271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23,144,276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RESTAURACIÓN Y CONSERVACIÓN DE LOS ECOSISTEMAS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20,848,250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349,430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827,831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22,825,511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EDUCACIÓN PARA LA PROFESIONALIZACIÓN ARTÍSTICA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21,737,526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21,737,526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PREVENCIÓN Y ATENCIÓN INTEGRAL DE LA SALUD MENTAL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19,869,688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19,869,688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 LAS LABORES DE PREVENCIÓN, INVESTIGACIÓN Y CONSIGNACIÓN DE HECHOS DE CORRUPCIÓN.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19,777,095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19,777,095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IMPLEMENTACIÓN DE POLÍTICAS PARA LA SUSTENTABILIDAD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5,242,269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227,905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589,246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13,500,000.00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19,559,420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 REGULATORIA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16,131,902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1,879,747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18,023,649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EMPLEO DE CALIDAD, INCLUYENTE Y FORMAL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12,898,818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24,300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655,489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4,221,951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17,800,558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A VÍCTIMAS DE VIOLENCIA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16,393,761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16,393,761</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PLANEACIÓN Y SEGUIMIENTO DE LA INVERSIÓN EN OBRA PÚBLICA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15,215,587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12,700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595,415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15,823,702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ADMINISTRACIÓN Y CONTROL</w:t>
            </w:r>
            <w:r w:rsidR="00D04924">
              <w:rPr>
                <w:rFonts w:eastAsia="Arial" w:cs="Arial"/>
                <w:color w:val="000000"/>
                <w:sz w:val="10"/>
                <w:szCs w:val="10"/>
              </w:rPr>
              <w:t xml:space="preserve"> </w:t>
            </w:r>
            <w:r>
              <w:rPr>
                <w:rFonts w:eastAsia="Arial" w:cs="Arial"/>
                <w:color w:val="000000"/>
                <w:sz w:val="10"/>
                <w:szCs w:val="10"/>
              </w:rPr>
              <w:t>DE LOS RECURSOS HUMANOS, FINANCIEROS Y MATERIALES DE LA UNIVERSIDAD AUTÓNOMA DE YUCATÁN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15,821,263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15,821,263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ESCOLAR</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3,207,364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12,343,270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15,550,634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DE IGUALDAD DE GÉNERO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7,570,761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1,465,816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4,521,612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50,231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13,608,420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CONSOLIDACIÓN DEL SISTEMA DE SEGUIMIENTO Y EVALUACIÓN DEL DESEMPEÑO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13,518,845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13,518,845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REDUCCIÓN DE LAS BRECHAS SOCIALES DE LOS PUEBLOS INDÍGENAS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12,962,205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12,962,205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PROMOCIÓN DE LA SALUD EN LA COMUNIDAD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12,726,868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12,726,868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IMPLEMENTACIÓN DE POLÍTICAS CONTRA EL CAMBIO CLIMÁTICO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6,421,986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234,126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9,726,112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ESPECIALIZACIÓN DE PRESTADORES DE SERVICIOS TURÍSTICOS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3,769,963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106,711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5,214,111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9,210,785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CONTROL DE VIH, SIDA E INFECCIONES DE TRANSMISIÓN SEXUAL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8,124,890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8,124,890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SANCIÓN DE ACTOS DE CORRUPCIÓN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156,000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10,332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37,175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7,263,235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7,466,742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VIGILANCIA EPIDEMIOLÓGICA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6,869,534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6,869,534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VINCULACIÓN, PROMOCIÓN Y GESTIÓN CON EL SECTOR PRODUCTIVO Y SOCIAL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6,494,016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6,644,016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CONTROL DE ENFERMEDADES ZOONÓTICAS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6,384,935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6,384,935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DEL EMBARAZO EN ADOLESCENTES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876,984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265,389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5,072,218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6,214,591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INCLUYENTE A LA OFERTA CULTURAL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313,080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5,742,777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6,055,857</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Y VIGILANCIA DE LOS DERECHOS DE LAS PERSONAS CON DISCAPACIDAD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4,791,187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4,791,187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PRODUCTIVIDAD LABORAL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4,503,651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154,545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4,673,896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ATENCIÓN INTEGRAL DEL CÁNCER EN LA MUJER</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4,373,708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4,373,708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AL AUTOEMPLEO PARA LA POBLACIÓN EN SITUACIÓN DE VULNERABILIDAD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4,015,876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4,015,876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CERTEZA JURÍDICA Y DERECHOS HUMANOS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3,700,806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3,700,806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 LAS EMPRESAS LOCALES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3,237,307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162,950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3,400,357</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DE PROYECTOS ENERGÉTICOS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2,650,464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7,300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88,299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2,746,063</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ELIMINACIÓN DE LA DISCRIMINACIÓN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2,001,771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96,622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582,766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2,681,159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DEL SERVICIO PROFESIONAL DOCENTE</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33,480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1,388,102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1,421,582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ADMINISTRACIÓN DE LOS RECURSOS HUMANOS DEL PODER EJECUTIVO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1,345,382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23,372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1,381,254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A ENERGÍAS LIMPIAS EN EL ESTADO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551,000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551,100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FORMACIÓN DE CAPITAL HUMANO EN ÁREAS ESTRATÉGICAS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450,000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CONSERVACIÓN Y MANEJO INTEGRADO DE LA ZONA COSTERA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148,000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199,000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347,000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DE UNA CULTURA PARA LA SUSTENTABILIDAD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301,500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PLANEACIÓN Y ARTICULACIÓN DE POLÍTICA DE COMPETITIVIDAD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215,200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215,200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A MIGRANTES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116,654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116,654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PRODUCTIVIDAD INDUSTRIAL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w:t>
            </w:r>
          </w:p>
        </w:tc>
      </w:tr>
      <w:tr w:rsidR="00FA49E9" w:rsidRPr="00EE6AF7">
        <w:trPr>
          <w:cantSplit/>
          <w:jc w:val="center"/>
        </w:trPr>
        <w:tc>
          <w:tcPr>
            <w:tcW w:w="1123"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sz w:val="10"/>
                <w:szCs w:val="10"/>
              </w:rPr>
              <w:t>TOTAL</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13,777,619,327</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1,234,440,690</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3,146,113,205</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18,647,214,509</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117,611,114</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111,846,456</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21,300,100.00</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7,586,328,273</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1,395,576,647</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46,038,050,321</w:t>
            </w:r>
          </w:p>
        </w:tc>
      </w:tr>
    </w:tbl>
    <w:p w:rsidR="00FA49E9" w:rsidRDefault="009C1791">
      <w:r>
        <w:br w:type="page"/>
      </w:r>
    </w:p>
    <w:p w:rsidR="00FA49E9" w:rsidRDefault="009C1791">
      <w:pPr>
        <w:pStyle w:val="Ttulo3"/>
      </w:pPr>
      <w:bookmarkStart w:id="41" w:name="X9d1c981941097fb930af31ca57471c315478829"/>
      <w:bookmarkEnd w:id="40"/>
      <w:r>
        <w:t>ANEXO 7.4. DESTINO DE LOS RECURSOS DEL RAMO 33</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FONDO/PROGRAMA</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FONDO DE APORTACIONES PARA EL FORTALECIMIENTO DE LAS ENTIDADES FEDERATIVAS FAFEF.</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957,382,392</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DE LA DEUDA PÚBLICA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957,382,392</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FONE.</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6,862,681,545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34,229,356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DEL REZAGO EDUCATIVO Y ANALFABETISMO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47,853,884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5,179,606,690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1,470,162,174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CALIDAD EN INSTITUCIONES DE EDUCACIÓN SUPERIOR PÚBLICAS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130,829,441</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FASSA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2,461,042,376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LA SALUD REPRODUCTIVA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5,762,000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CONECTIVIDAD E INFRAESTRUCTURA PARA SERVICIOS GUBERNAMENTALES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SOCIAL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51,488,680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 DE LA CALIDAD DE LOS SERVICIOS DE SALUD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51,962,864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MITIGACIÓN DE RIESGOS SANITARIOS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97,665,130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PRESERVACIÓN DE LA CALIDAD DEL AGUA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79,200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2,163,613,999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 A LA INFANCIA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11,439,252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A LAS VIOLENCIAS CONTRA LAS MUJERES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INTEGRAL DEL CÁNCER EN LA MUJER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2,760,000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ENFERMEDADES TRANSMITIDAS POR VECTOR</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25,095,221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ENFERMEDADES ZOONÓTICAS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5,880,994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VIH, SIDA E INFECCIONES DE TRANSMISIÓN SEXUAL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4,680,000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PROMOCIÓN DE LA SALUD EN LA COMUNIDAD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4,045,942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ENFERMEDADES RELACIONADAS CON LA NUTRICIÓN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17,716,326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LA SALUD MENTAL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12,531,600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VIGILANCIA EPIDEMIOLÓGICA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5,701,164</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FONDO DE INFRAESTRUCTURA SOCIAL PARA ENTIDADES FISE.</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242,130,727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AMPLIACIÓN DE LA COBERTURA PARA ACCESO A LOS SERVICIOS BÁSICOS DE LA VIVIENDA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118,743,020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INFRAESTRUCTURA URBANA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PRESERVACIÓN DE LA CALIDAD DEL AGUA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4,666,868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DE CALIDAD Y ESPACIOS EN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106,220,839</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FAM ASISTENCIA SOCIAL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292,178,070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EN ALIMENTACIÓN A PERSONAS SUJETAS DE ASISTENCIA SOCIAL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262,403,551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Y DESARROLLO DE LAS ORGANIZACIONES SOCIALES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7,320,000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Y RESTITUCIÓN DE DERECHOS DE NIÑAS, NIÑOS Y ADOLESCENTES DEL ESTADO DE YUCATÁN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20,354,519</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FAM INFRAESTRUCTURA EDUCATIVA BÁSICA.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210,867,136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210,867,136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FAM-IE SUPERIOR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139,342,900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CALIDAD EN EDUCACIÓN MEDIA SUPERIOR DE LA UNIVERSIDAD AUTÓNOMA DE YUCATÁN</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INSTITUCIONES DE EDUCACIÓN SUPERIOR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109,342,900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FAM INFRAESTRUCTURA EDUCATIVA MEDIA SUPERIOR.</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16,988,845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9,234,609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7,754,236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FAETA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206,861,888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DEL REZAGO EDUCATIVO Y ANALFABETISMO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34,287,929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EDUCATIVA EN MEDIA SUPERIOR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117,555,435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SOCIAL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55,018,524</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FORTALECIMIENTO A MUNICIPIOS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1,738,751,058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DISTRIBUCIÓN DE APORTACIONES FEDERALES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1,738,751,058</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INFRAESTRUCTURA A MUNICIPIOS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1,755,408,285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DISTRIBUCIÓN DE APORTACIONES FEDERALES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1,755,408,285</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FONDO DE APORTACIONES PARA LA SEGURIDAD PÚBLICA DE LOS ESTADOS FASP.</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177,684,703</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REFORZAMIENTO DE VIGILANCIA Y OPERATIVOS EN MATERIA DE SEGURIDAD PÚBLICA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177,684,703</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15,061,319,925</w:t>
            </w:r>
          </w:p>
        </w:tc>
      </w:tr>
    </w:tbl>
    <w:p w:rsidR="00FA49E9" w:rsidRDefault="009C1791">
      <w:r>
        <w:br w:type="page"/>
      </w:r>
    </w:p>
    <w:p w:rsidR="00FA49E9" w:rsidRDefault="009C1791">
      <w:pPr>
        <w:pStyle w:val="Ttulo3"/>
      </w:pPr>
      <w:bookmarkStart w:id="42" w:name="X10c3cdf1e356dbab4ed51b632c7683a5855604b"/>
      <w:bookmarkEnd w:id="41"/>
      <w:r>
        <w:t>ANEXO 7.5. PROGRAMAS CON RECURSOS CONCURRENTES</w:t>
      </w:r>
    </w:p>
    <w:p w:rsidR="00FA49E9" w:rsidRDefault="00FA49E9"/>
    <w:tbl>
      <w:tblPr>
        <w:tblW w:w="0" w:type="auto"/>
        <w:jc w:val="center"/>
        <w:tblCellMar>
          <w:left w:w="70" w:type="dxa"/>
          <w:right w:w="70" w:type="dxa"/>
        </w:tblCellMar>
        <w:tblLook w:val="04A0" w:firstRow="1" w:lastRow="0" w:firstColumn="1" w:lastColumn="0" w:noHBand="0" w:noVBand="1"/>
      </w:tblPr>
      <w:tblGrid>
        <w:gridCol w:w="5330"/>
        <w:gridCol w:w="2013"/>
        <w:gridCol w:w="2007"/>
        <w:gridCol w:w="1810"/>
      </w:tblGrid>
      <w:tr w:rsidR="00F64B80" w:rsidRPr="00EE6AF7" w:rsidTr="008C5DCF">
        <w:trPr>
          <w:trHeight w:val="794"/>
          <w:tblHeader/>
          <w:jc w:val="center"/>
        </w:trPr>
        <w:tc>
          <w:tcPr>
            <w:tcW w:w="0" w:type="auto"/>
            <w:tcBorders>
              <w:top w:val="nil"/>
              <w:left w:val="nil"/>
              <w:bottom w:val="nil"/>
              <w:right w:val="nil"/>
            </w:tcBorders>
            <w:shd w:val="clear" w:color="auto" w:fill="4B4B4B"/>
            <w:vAlign w:val="center"/>
            <w:hideMark/>
          </w:tcPr>
          <w:p w:rsidR="00693B7B" w:rsidRPr="00185578"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PROGRAMA O PROYECTO</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APORTACIÓN FEDERAL</w:t>
            </w:r>
          </w:p>
        </w:tc>
        <w:tc>
          <w:tcPr>
            <w:tcW w:w="0" w:type="auto"/>
            <w:tcBorders>
              <w:top w:val="nil"/>
              <w:left w:val="nil"/>
              <w:bottom w:val="nil"/>
              <w:right w:val="nil"/>
            </w:tcBorders>
            <w:shd w:val="clear" w:color="000000" w:fill="4B4B4B"/>
            <w:vAlign w:val="center"/>
            <w:hideMark/>
          </w:tcPr>
          <w:p w:rsidR="00693B7B"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 xml:space="preserve">APORTACIÓN ESTATAL </w:t>
            </w:r>
          </w:p>
          <w:p w:rsidR="00693B7B" w:rsidRPr="00185578"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( 01 - 101)</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 xml:space="preserve">TOTAL ASIGNADO </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1477DC">
            <w:pPr>
              <w:jc w:val="left"/>
              <w:rPr>
                <w:rFonts w:eastAsia="Times New Roman" w:cs="Arial"/>
                <w:color w:val="111111"/>
                <w:lang w:eastAsia="es-MX"/>
              </w:rPr>
            </w:pPr>
            <w:r w:rsidRPr="00185578">
              <w:rPr>
                <w:rFonts w:eastAsia="Times New Roman" w:cs="Arial"/>
                <w:color w:val="111111"/>
                <w:lang w:eastAsia="es-MX"/>
              </w:rPr>
              <w:t>FOND</w:t>
            </w:r>
            <w:r w:rsidR="00F64B80">
              <w:rPr>
                <w:rFonts w:eastAsia="Times New Roman" w:cs="Arial"/>
                <w:color w:val="111111"/>
                <w:lang w:eastAsia="es-MX"/>
              </w:rPr>
              <w:t>O</w:t>
            </w:r>
            <w:r w:rsidRPr="00185578">
              <w:rPr>
                <w:rFonts w:eastAsia="Times New Roman" w:cs="Arial"/>
                <w:color w:val="111111"/>
                <w:lang w:eastAsia="es-MX"/>
              </w:rPr>
              <w:t xml:space="preserve"> DE APORTACIONES PARA LA SEGURIDAD PÚBLICA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177,684,703</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52,000,000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229,684,703</w:t>
            </w:r>
          </w:p>
        </w:tc>
      </w:tr>
      <w:tr w:rsidR="00F64B80" w:rsidRPr="00EE6AF7" w:rsidTr="008C5DCF">
        <w:trPr>
          <w:trHeight w:val="794"/>
          <w:jc w:val="center"/>
        </w:trPr>
        <w:tc>
          <w:tcPr>
            <w:tcW w:w="0" w:type="auto"/>
            <w:tcBorders>
              <w:top w:val="nil"/>
              <w:left w:val="nil"/>
              <w:bottom w:val="nil"/>
              <w:right w:val="nil"/>
            </w:tcBorders>
            <w:shd w:val="clear" w:color="auto"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SUBSIDIO A LA UNIVERSIDAD AUTÓNOMA DE YUCATÁN</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2,174,094,546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251,695,344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2,425,789,890</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GASTOS DE OPERACIÓN PARA EL COLEGIO DE ESTUDIOS CIENTÍFICOS Y TECNOLÓGICOS DE</w:t>
            </w:r>
            <w:r w:rsidR="00F64B80">
              <w:rPr>
                <w:rFonts w:eastAsia="Times New Roman" w:cs="Arial"/>
                <w:color w:val="111111"/>
                <w:lang w:eastAsia="es-MX"/>
              </w:rPr>
              <w:t>L ESTADO DE</w:t>
            </w:r>
            <w:r w:rsidRPr="00185578">
              <w:rPr>
                <w:rFonts w:eastAsia="Times New Roman" w:cs="Arial"/>
                <w:color w:val="111111"/>
                <w:lang w:eastAsia="es-MX"/>
              </w:rPr>
              <w:t xml:space="preserve"> YUCATÁN (CECYTEY)</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79,899,057</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18,438,812</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98,337,869</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COLEGIO DE BACHILLERES DE</w:t>
            </w:r>
            <w:r w:rsidR="00F64B80">
              <w:rPr>
                <w:rFonts w:eastAsia="Times New Roman" w:cs="Arial"/>
                <w:color w:val="111111"/>
                <w:lang w:eastAsia="es-MX"/>
              </w:rPr>
              <w:t>L ESTADO DE</w:t>
            </w:r>
            <w:r w:rsidRPr="00185578">
              <w:rPr>
                <w:rFonts w:eastAsia="Times New Roman" w:cs="Arial"/>
                <w:color w:val="111111"/>
                <w:lang w:eastAsia="es-MX"/>
              </w:rPr>
              <w:t xml:space="preserve"> YUCATÁN (COBAY)</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360,862,576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119,836,694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480,699,270</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ATENCIÓN A PERSONAS CON DISCAPACIDAD "EQUIPAMIENTO"</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820,810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820,810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ATENCIÓN A LA DEMANDA (IEAEY)</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8,458,242</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8,458,242</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APOYO A LAS INSTANCIAS DE MUJERES (PAIMEF)</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8,091,046</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8,091,046</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FORTALECIMIENTO A LA TRANSVERSALIDAD DE LA PERSPECTIVA DE GÉNERO</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11,759,265</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11,759,265</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APARTADO URBANO</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PROAGUA AGUA LIMPIA</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410,000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299,300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709,300</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PROAGUA RURAL</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49,461,740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21,697,888</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71,159,628</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A LA UNIVERSIDAD DE ORIENTE</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16,480,681</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9,602,698</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26,083,379</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BECAS DE APOYO A LA EDUCACIÓN BÁSICA DE MADRES JÓVENES Y JÓVENES EMBARAZADAS</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1,860,209</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1,860,209</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CONVENIO PARA LA OPERACIÓN DEL PROGRAMA EXPANSIÓN DE LA EDUCACIÓN INICIAL</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4,051,956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4,051,956</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METROPOLITANA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53,830,830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49,672,951</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103,503,781</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REGIONAL DEL SUR</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17,863,091</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10,894,113</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28,757,204</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DEL CENTRO</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10,568,402</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7,408,823</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17,977,225</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DEL PONIENTE</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10,461,166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5,874,775</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16,335,941</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DEL MAYAB</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11,815,707</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9,227,615</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21,043,322</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ARMONIZACIÓN CONTABLE</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1,247,484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1,247,484</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ACUERDO PARA EL FORTALECIMIENTO DE LAS ACCIONES DE SALUD PÚBLICA EN LOS ESTADOS (AFASPE)</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46,996,231</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46,996,231</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FORTALECIMIENTO A LA ATENCIÓN MÉDICA (CARAVANAS)</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7,662,239</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7,662,239</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CULTURA DEL AGUA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 A INSTITUCIONES ESTATALES DE CULTURA</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1,076,759</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1,076,759</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COMISIÓN FEDERAL PARA LA PROTECCIÓN CONTRA RIESGOS SANITARIOS (COFEPRIS)</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2,143,706</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2,143,706</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MODERNIZACIÓN INTEGRAL DEL REGISTRO CIVIL</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1,241,348</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525,000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1,766,348</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NACIONAL DE INGLÉS EN LA EDUCACIÓN BÁSICA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15,550,634</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15,550,634</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APOYO A LAS CULTURAS MUNICIPALES Y COMUNITARIAS PACMYC</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650,658</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100,000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750,658</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FONDO DE CULTURA (INSTITUCIONES ESTATALES DE CULTURA)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1,351,200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1,351,200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 FINANCIERO DEL SERVICIOS EDUCATIVO DENOMINADO TELEBACHILLERATO COMUNITARIO</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69,502,213</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69,502,213</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139,004,426</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 xml:space="preserve">U080 APOYOS A CENTROS Y ORGANIZACIONES DE EDUCACIÓN </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1,350,000,000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1,350,000,000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CONVENIO ESPECÍFICO CRESCA CONADIC CENADIC YUC 001</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2,489,116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2,489,116</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REHABILITACIÓN MODERNIZACIÓN TECNIFICADA Y EQUIPAMIENTO DE UNIDADES DE RIEGO</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31,000,000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31,000,000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CONVENIO DE COORDINACIÓN PARA LA CREACIÓN, OPERACIÓN Y APOYO FINANCIERO DEL ICATY</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6,251,544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6,251,544</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PARA EL DESARROLLO PROFESIONAL DOCENTE PARA LA EDUCACIÓN BÁSICA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1,421,582</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1,421,582</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 SOLIDARIO PARA LA OPERACIÓN DE LA UNIVERSIDAD POLITÉCNICA DE YUCATÁN</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4,479,289</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4,479,289</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APOYO A LA INFRAESTRUCTURA HIDROAGRÍCOLA CONAGUA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10,000,000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10,000,000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FONDO PARA EL BIENESTAR Y EL AVANCE DE LAS MUJERES (FOBAM)</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2,645,864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2,645,864</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ATENCIÓN A LA SALUD Y MEDICAMENTOS GRATUITOS PARA LA POBLACIÓN SIN SEGURIDAD SOCIAL LABORAL</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60,754,784</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60,754,784</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w:t>
            </w:r>
            <w:r w:rsidR="00D04924">
              <w:rPr>
                <w:rFonts w:eastAsia="Times New Roman" w:cs="Arial"/>
                <w:color w:val="111111"/>
                <w:lang w:eastAsia="es-MX"/>
              </w:rPr>
              <w:t xml:space="preserve"> </w:t>
            </w:r>
            <w:r w:rsidRPr="00185578">
              <w:rPr>
                <w:rFonts w:eastAsia="Times New Roman" w:cs="Arial"/>
                <w:color w:val="111111"/>
                <w:lang w:eastAsia="es-MX"/>
              </w:rPr>
              <w:t>FORTALECIMIENTO DE LA EXCELENCIA EDUCATIVA PFCE</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2,624,801</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2,624,801</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PREMIO A DEPORTISTAS Y ENTRENADORES DESTACADOS</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PRESTACIÓN GRATUITA DE SERVICIOS DE SALUD INSABI (LÍQUIDO)</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733,356,248</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389,640,927</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1,122,997,175</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FORTALECIMIENTO DE LOS SERVICIOS DE EDUCACIÓN ESPECIAL 2020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1,602,226</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1,602,226</w:t>
            </w:r>
          </w:p>
        </w:tc>
      </w:tr>
      <w:tr w:rsidR="00F64B80" w:rsidRPr="00EE6AF7" w:rsidTr="00207DB4">
        <w:trPr>
          <w:trHeight w:val="794"/>
          <w:jc w:val="center"/>
        </w:trPr>
        <w:tc>
          <w:tcPr>
            <w:tcW w:w="0" w:type="auto"/>
            <w:tcBorders>
              <w:top w:val="nil"/>
              <w:left w:val="nil"/>
              <w:bottom w:val="nil"/>
              <w:right w:val="nil"/>
            </w:tcBorders>
            <w:shd w:val="clear" w:color="000000" w:fill="4B4B4B"/>
            <w:vAlign w:val="center"/>
            <w:hideMark/>
          </w:tcPr>
          <w:p w:rsidR="00693B7B" w:rsidRPr="00185578" w:rsidRDefault="00693B7B" w:rsidP="00207DB4">
            <w:pPr>
              <w:jc w:val="left"/>
              <w:rPr>
                <w:rFonts w:eastAsia="Times New Roman" w:cs="Arial"/>
                <w:b/>
                <w:bCs/>
                <w:color w:val="FFFFFF"/>
                <w:lang w:eastAsia="es-MX"/>
              </w:rPr>
            </w:pPr>
            <w:r w:rsidRPr="00185578">
              <w:rPr>
                <w:rFonts w:eastAsia="Times New Roman" w:cs="Arial"/>
                <w:b/>
                <w:bCs/>
                <w:color w:val="FFFFFF"/>
                <w:lang w:eastAsia="es-MX"/>
              </w:rPr>
              <w:t>Total</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right"/>
              <w:rPr>
                <w:rFonts w:eastAsia="Times New Roman" w:cs="Arial"/>
                <w:b/>
                <w:bCs/>
                <w:color w:val="FFFFFF"/>
                <w:lang w:eastAsia="es-MX"/>
              </w:rPr>
            </w:pPr>
            <w:r w:rsidRPr="00185578">
              <w:rPr>
                <w:rFonts w:eastAsia="Times New Roman" w:cs="Arial"/>
                <w:b/>
                <w:bCs/>
                <w:color w:val="FFFFFF"/>
                <w:lang w:eastAsia="es-MX"/>
              </w:rPr>
              <w:t>5,353,431,953</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right"/>
              <w:rPr>
                <w:rFonts w:eastAsia="Times New Roman" w:cs="Arial"/>
                <w:b/>
                <w:bCs/>
                <w:color w:val="FFFFFF"/>
                <w:lang w:eastAsia="es-MX"/>
              </w:rPr>
            </w:pPr>
            <w:r w:rsidRPr="00185578">
              <w:rPr>
                <w:rFonts w:eastAsia="Times New Roman" w:cs="Arial"/>
                <w:b/>
                <w:bCs/>
                <w:color w:val="FFFFFF"/>
                <w:lang w:eastAsia="es-MX"/>
              </w:rPr>
              <w:t>1,016,717,153</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right"/>
              <w:rPr>
                <w:rFonts w:eastAsia="Times New Roman" w:cs="Arial"/>
                <w:b/>
                <w:bCs/>
                <w:color w:val="FFFFFF"/>
                <w:lang w:eastAsia="es-MX"/>
              </w:rPr>
            </w:pPr>
            <w:r w:rsidRPr="00185578">
              <w:rPr>
                <w:rFonts w:eastAsia="Times New Roman" w:cs="Arial"/>
                <w:b/>
                <w:bCs/>
                <w:color w:val="FFFFFF"/>
                <w:lang w:eastAsia="es-MX"/>
              </w:rPr>
              <w:t>6,370,149,106</w:t>
            </w:r>
          </w:p>
        </w:tc>
      </w:tr>
    </w:tbl>
    <w:p w:rsidR="00693B7B" w:rsidRDefault="00693B7B"/>
    <w:p w:rsidR="00FA49E9" w:rsidRDefault="00AE4AF1">
      <w:r w:rsidRPr="00AE4AF1">
        <w:t>Este anexo excluye el Convenio trianual con la Organización de las Naciones Unidas para la Educación, la Ciencia y la Cultura para el desarrollo del proyecto “Promoción de la economía creativa en el Estado de Yucatán”. Este contrato fue firmado en 2020 y abarca los ejercicios 2020, 2021 y 2022, por lo que no se considera concurrente ni es transferido desde la Federación.</w:t>
      </w:r>
      <w:r w:rsidR="009C1791">
        <w:br w:type="page"/>
      </w:r>
    </w:p>
    <w:p w:rsidR="00FA49E9" w:rsidRDefault="009C1791">
      <w:pPr>
        <w:pStyle w:val="Ttulo4"/>
      </w:pPr>
      <w:bookmarkStart w:id="43" w:name="X624f131cee143684cb593a469b79e60917a959d"/>
      <w:r>
        <w:t>ANEXO 7.5.1 PROGRAMAS CON RECURSOS CONCURRENTES CON INGRESO DESCENTRALIZADO*</w:t>
      </w:r>
    </w:p>
    <w:p w:rsidR="0036255B" w:rsidRDefault="0036255B" w:rsidP="0036255B"/>
    <w:p w:rsidR="00FA49E9" w:rsidRDefault="00FA49E9"/>
    <w:tbl>
      <w:tblPr>
        <w:tblW w:w="5000" w:type="pct"/>
        <w:tblCellMar>
          <w:left w:w="70" w:type="dxa"/>
          <w:right w:w="70" w:type="dxa"/>
        </w:tblCellMar>
        <w:tblLook w:val="04A0" w:firstRow="1" w:lastRow="0" w:firstColumn="1" w:lastColumn="0" w:noHBand="0" w:noVBand="1"/>
      </w:tblPr>
      <w:tblGrid>
        <w:gridCol w:w="4126"/>
        <w:gridCol w:w="3460"/>
        <w:gridCol w:w="1477"/>
        <w:gridCol w:w="1569"/>
        <w:gridCol w:w="240"/>
        <w:gridCol w:w="144"/>
        <w:gridCol w:w="144"/>
      </w:tblGrid>
      <w:tr w:rsidR="00F84BA5" w:rsidRPr="00EE6AF7" w:rsidTr="00287030">
        <w:trPr>
          <w:gridAfter w:val="3"/>
          <w:wAfter w:w="240" w:type="pct"/>
          <w:trHeight w:val="850"/>
        </w:trPr>
        <w:tc>
          <w:tcPr>
            <w:tcW w:w="1856" w:type="pct"/>
            <w:tcBorders>
              <w:top w:val="nil"/>
              <w:left w:val="nil"/>
              <w:bottom w:val="nil"/>
              <w:right w:val="nil"/>
            </w:tcBorders>
            <w:shd w:val="clear" w:color="000000" w:fill="4B4B4B"/>
            <w:vAlign w:val="center"/>
            <w:hideMark/>
          </w:tcPr>
          <w:p w:rsidR="00F84BA5" w:rsidRPr="00681A92"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PROGRAMA O PROYECTO</w:t>
            </w:r>
          </w:p>
        </w:tc>
        <w:tc>
          <w:tcPr>
            <w:tcW w:w="1554" w:type="pct"/>
            <w:tcBorders>
              <w:top w:val="nil"/>
              <w:left w:val="nil"/>
              <w:bottom w:val="nil"/>
              <w:right w:val="nil"/>
            </w:tcBorders>
            <w:shd w:val="clear" w:color="000000" w:fill="4B4B4B"/>
            <w:vAlign w:val="center"/>
            <w:hideMark/>
          </w:tcPr>
          <w:p w:rsidR="00F84BA5" w:rsidRPr="00681A92"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APORTACIÓN FEDERAL</w:t>
            </w:r>
          </w:p>
        </w:tc>
        <w:tc>
          <w:tcPr>
            <w:tcW w:w="654" w:type="pct"/>
            <w:tcBorders>
              <w:top w:val="nil"/>
              <w:left w:val="nil"/>
              <w:bottom w:val="nil"/>
              <w:right w:val="nil"/>
            </w:tcBorders>
            <w:shd w:val="clear" w:color="000000" w:fill="4B4B4B"/>
            <w:vAlign w:val="center"/>
            <w:hideMark/>
          </w:tcPr>
          <w:p w:rsidR="00F84BA5"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 xml:space="preserve">APORTACIÓN ESTATAL </w:t>
            </w:r>
          </w:p>
          <w:p w:rsidR="00F84BA5" w:rsidRPr="00681A92"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( 01 - 101)</w:t>
            </w:r>
          </w:p>
        </w:tc>
        <w:tc>
          <w:tcPr>
            <w:tcW w:w="696" w:type="pct"/>
            <w:tcBorders>
              <w:top w:val="nil"/>
              <w:left w:val="nil"/>
              <w:bottom w:val="nil"/>
              <w:right w:val="nil"/>
            </w:tcBorders>
            <w:shd w:val="clear" w:color="000000" w:fill="4B4B4B"/>
            <w:vAlign w:val="center"/>
            <w:hideMark/>
          </w:tcPr>
          <w:p w:rsidR="00F84BA5" w:rsidRPr="00681A92"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 xml:space="preserve">TOTAL ASIGNADO </w:t>
            </w:r>
          </w:p>
        </w:tc>
      </w:tr>
      <w:tr w:rsidR="00F84BA5" w:rsidRPr="00EE6AF7" w:rsidTr="00287030">
        <w:trPr>
          <w:gridAfter w:val="3"/>
          <w:wAfter w:w="240" w:type="pct"/>
          <w:trHeight w:val="850"/>
        </w:trPr>
        <w:tc>
          <w:tcPr>
            <w:tcW w:w="1856" w:type="pct"/>
            <w:tcBorders>
              <w:top w:val="nil"/>
              <w:left w:val="nil"/>
              <w:bottom w:val="nil"/>
              <w:right w:val="nil"/>
            </w:tcBorders>
            <w:shd w:val="clear" w:color="000000" w:fill="FFFFFF"/>
            <w:vAlign w:val="center"/>
            <w:hideMark/>
          </w:tcPr>
          <w:p w:rsidR="00F84BA5" w:rsidRPr="00681A92" w:rsidRDefault="00F84BA5" w:rsidP="00207DB4">
            <w:pPr>
              <w:jc w:val="left"/>
              <w:rPr>
                <w:rFonts w:eastAsia="Times New Roman" w:cs="Arial"/>
                <w:color w:val="111111"/>
                <w:lang w:eastAsia="es-MX"/>
              </w:rPr>
            </w:pPr>
            <w:r w:rsidRPr="00681A92">
              <w:rPr>
                <w:rFonts w:eastAsia="Times New Roman" w:cs="Arial"/>
                <w:color w:val="111111"/>
                <w:lang w:eastAsia="es-MX"/>
              </w:rPr>
              <w:t>CONVENIO DE COORDINACIÓN PARA LA CREACIÓN, OPERACIÓN Y APOYO FINANCIERO DE LOS INSTITUTOS TECNOLÓGICOS</w:t>
            </w:r>
          </w:p>
        </w:tc>
        <w:tc>
          <w:tcPr>
            <w:tcW w:w="1554" w:type="pct"/>
            <w:tcBorders>
              <w:top w:val="nil"/>
              <w:left w:val="nil"/>
              <w:bottom w:val="nil"/>
              <w:right w:val="nil"/>
            </w:tcBorders>
            <w:shd w:val="clear" w:color="000000" w:fill="FFFFFF"/>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122,288,194</w:t>
            </w:r>
          </w:p>
        </w:tc>
        <w:tc>
          <w:tcPr>
            <w:tcW w:w="654" w:type="pct"/>
            <w:tcBorders>
              <w:top w:val="nil"/>
              <w:left w:val="nil"/>
              <w:bottom w:val="nil"/>
              <w:right w:val="nil"/>
            </w:tcBorders>
            <w:shd w:val="clear" w:color="000000" w:fill="FFFFFF"/>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31,116,958</w:t>
            </w:r>
          </w:p>
        </w:tc>
        <w:tc>
          <w:tcPr>
            <w:tcW w:w="696" w:type="pct"/>
            <w:tcBorders>
              <w:top w:val="nil"/>
              <w:left w:val="nil"/>
              <w:bottom w:val="nil"/>
              <w:right w:val="nil"/>
            </w:tcBorders>
            <w:shd w:val="clear" w:color="000000" w:fill="FFFFFF"/>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153,405,152</w:t>
            </w:r>
          </w:p>
        </w:tc>
      </w:tr>
      <w:tr w:rsidR="00F84BA5" w:rsidRPr="00EE6AF7" w:rsidTr="00287030">
        <w:trPr>
          <w:gridAfter w:val="3"/>
          <w:wAfter w:w="240" w:type="pct"/>
          <w:trHeight w:val="850"/>
        </w:trPr>
        <w:tc>
          <w:tcPr>
            <w:tcW w:w="1856" w:type="pct"/>
            <w:tcBorders>
              <w:top w:val="nil"/>
              <w:left w:val="nil"/>
              <w:bottom w:val="nil"/>
              <w:right w:val="nil"/>
            </w:tcBorders>
            <w:shd w:val="clear" w:color="000000" w:fill="F3F3F3"/>
            <w:vAlign w:val="center"/>
            <w:hideMark/>
          </w:tcPr>
          <w:p w:rsidR="00F84BA5" w:rsidRPr="00681A92" w:rsidRDefault="00F84BA5" w:rsidP="00207DB4">
            <w:pPr>
              <w:jc w:val="left"/>
              <w:rPr>
                <w:rFonts w:eastAsia="Times New Roman" w:cs="Arial"/>
                <w:color w:val="111111"/>
                <w:lang w:eastAsia="es-MX"/>
              </w:rPr>
            </w:pPr>
            <w:r w:rsidRPr="00681A92">
              <w:rPr>
                <w:rFonts w:eastAsia="Times New Roman" w:cs="Arial"/>
                <w:color w:val="111111"/>
                <w:lang w:eastAsia="es-MX"/>
              </w:rPr>
              <w:t>PROGRAMA DE SANIDAD E INOCUIDAD AGROALIMENTARIA</w:t>
            </w:r>
          </w:p>
        </w:tc>
        <w:tc>
          <w:tcPr>
            <w:tcW w:w="1554" w:type="pct"/>
            <w:tcBorders>
              <w:top w:val="nil"/>
              <w:left w:val="nil"/>
              <w:bottom w:val="nil"/>
              <w:right w:val="nil"/>
            </w:tcBorders>
            <w:shd w:val="clear" w:color="000000" w:fill="F3F3F3"/>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40,335,379</w:t>
            </w:r>
          </w:p>
        </w:tc>
        <w:tc>
          <w:tcPr>
            <w:tcW w:w="654" w:type="pct"/>
            <w:tcBorders>
              <w:top w:val="nil"/>
              <w:left w:val="nil"/>
              <w:bottom w:val="nil"/>
              <w:right w:val="nil"/>
            </w:tcBorders>
            <w:shd w:val="clear" w:color="000000" w:fill="F3F3F3"/>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10,000,000</w:t>
            </w:r>
          </w:p>
        </w:tc>
        <w:tc>
          <w:tcPr>
            <w:tcW w:w="696" w:type="pct"/>
            <w:tcBorders>
              <w:top w:val="nil"/>
              <w:left w:val="nil"/>
              <w:bottom w:val="nil"/>
              <w:right w:val="nil"/>
            </w:tcBorders>
            <w:shd w:val="clear" w:color="000000" w:fill="F3F3F3"/>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50,335,379</w:t>
            </w:r>
          </w:p>
        </w:tc>
      </w:tr>
      <w:tr w:rsidR="00F84BA5" w:rsidRPr="00EE6AF7" w:rsidTr="00287030">
        <w:trPr>
          <w:gridAfter w:val="3"/>
          <w:wAfter w:w="240" w:type="pct"/>
          <w:trHeight w:val="850"/>
        </w:trPr>
        <w:tc>
          <w:tcPr>
            <w:tcW w:w="1856" w:type="pct"/>
            <w:tcBorders>
              <w:top w:val="nil"/>
              <w:left w:val="nil"/>
              <w:bottom w:val="nil"/>
              <w:right w:val="nil"/>
            </w:tcBorders>
            <w:shd w:val="clear" w:color="000000" w:fill="4B4B4B"/>
            <w:vAlign w:val="center"/>
            <w:hideMark/>
          </w:tcPr>
          <w:p w:rsidR="00F84BA5" w:rsidRPr="00681A92" w:rsidRDefault="00F84BA5" w:rsidP="00207DB4">
            <w:pPr>
              <w:jc w:val="left"/>
              <w:rPr>
                <w:rFonts w:eastAsia="Times New Roman" w:cs="Arial"/>
                <w:b/>
                <w:bCs/>
                <w:color w:val="FFFFFF"/>
                <w:lang w:eastAsia="es-MX"/>
              </w:rPr>
            </w:pPr>
            <w:r w:rsidRPr="00681A92">
              <w:rPr>
                <w:rFonts w:eastAsia="Times New Roman" w:cs="Arial"/>
                <w:b/>
                <w:bCs/>
                <w:color w:val="FFFFFF"/>
                <w:lang w:eastAsia="es-MX"/>
              </w:rPr>
              <w:t>TOTAL</w:t>
            </w:r>
          </w:p>
        </w:tc>
        <w:tc>
          <w:tcPr>
            <w:tcW w:w="1554" w:type="pct"/>
            <w:tcBorders>
              <w:top w:val="nil"/>
              <w:left w:val="nil"/>
              <w:bottom w:val="nil"/>
              <w:right w:val="nil"/>
            </w:tcBorders>
            <w:shd w:val="clear" w:color="000000" w:fill="4B4B4B"/>
            <w:vAlign w:val="center"/>
            <w:hideMark/>
          </w:tcPr>
          <w:p w:rsidR="00F84BA5" w:rsidRPr="00681A92" w:rsidRDefault="00F84BA5" w:rsidP="00207DB4">
            <w:pPr>
              <w:jc w:val="right"/>
              <w:rPr>
                <w:rFonts w:eastAsia="Times New Roman" w:cs="Arial"/>
                <w:b/>
                <w:bCs/>
                <w:color w:val="FFFFFF"/>
                <w:lang w:eastAsia="es-MX"/>
              </w:rPr>
            </w:pPr>
            <w:r w:rsidRPr="00681A92">
              <w:rPr>
                <w:rFonts w:eastAsia="Times New Roman" w:cs="Arial"/>
                <w:b/>
                <w:bCs/>
                <w:color w:val="FFFFFF"/>
                <w:lang w:eastAsia="es-MX"/>
              </w:rPr>
              <w:t>162,623,573</w:t>
            </w:r>
          </w:p>
        </w:tc>
        <w:tc>
          <w:tcPr>
            <w:tcW w:w="654" w:type="pct"/>
            <w:tcBorders>
              <w:top w:val="nil"/>
              <w:left w:val="nil"/>
              <w:bottom w:val="nil"/>
              <w:right w:val="nil"/>
            </w:tcBorders>
            <w:shd w:val="clear" w:color="000000" w:fill="4B4B4B"/>
            <w:vAlign w:val="center"/>
            <w:hideMark/>
          </w:tcPr>
          <w:p w:rsidR="00F84BA5" w:rsidRPr="00681A92" w:rsidRDefault="00F84BA5" w:rsidP="00207DB4">
            <w:pPr>
              <w:jc w:val="right"/>
              <w:rPr>
                <w:rFonts w:eastAsia="Times New Roman" w:cs="Arial"/>
                <w:b/>
                <w:bCs/>
                <w:color w:val="FFFFFF"/>
                <w:lang w:eastAsia="es-MX"/>
              </w:rPr>
            </w:pPr>
            <w:r w:rsidRPr="00681A92">
              <w:rPr>
                <w:rFonts w:eastAsia="Times New Roman" w:cs="Arial"/>
                <w:b/>
                <w:bCs/>
                <w:color w:val="FFFFFF"/>
                <w:lang w:eastAsia="es-MX"/>
              </w:rPr>
              <w:t>41,116,958</w:t>
            </w:r>
          </w:p>
        </w:tc>
        <w:tc>
          <w:tcPr>
            <w:tcW w:w="696" w:type="pct"/>
            <w:tcBorders>
              <w:top w:val="nil"/>
              <w:left w:val="nil"/>
              <w:bottom w:val="nil"/>
              <w:right w:val="nil"/>
            </w:tcBorders>
            <w:shd w:val="clear" w:color="000000" w:fill="4B4B4B"/>
            <w:vAlign w:val="center"/>
            <w:hideMark/>
          </w:tcPr>
          <w:p w:rsidR="00F84BA5" w:rsidRPr="00681A92" w:rsidRDefault="00F84BA5" w:rsidP="00207DB4">
            <w:pPr>
              <w:jc w:val="right"/>
              <w:rPr>
                <w:rFonts w:eastAsia="Times New Roman" w:cs="Arial"/>
                <w:b/>
                <w:bCs/>
                <w:color w:val="FFFFFF"/>
                <w:lang w:eastAsia="es-MX"/>
              </w:rPr>
            </w:pPr>
            <w:r w:rsidRPr="00681A92">
              <w:rPr>
                <w:rFonts w:eastAsia="Times New Roman" w:cs="Arial"/>
                <w:b/>
                <w:bCs/>
                <w:color w:val="FFFFFF"/>
                <w:lang w:eastAsia="es-MX"/>
              </w:rPr>
              <w:t>203,740,531</w:t>
            </w:r>
          </w:p>
        </w:tc>
      </w:tr>
      <w:tr w:rsidR="00F84BA5" w:rsidRPr="00EE6AF7" w:rsidTr="00287030">
        <w:trPr>
          <w:trHeight w:val="850"/>
        </w:trPr>
        <w:tc>
          <w:tcPr>
            <w:tcW w:w="4869" w:type="pct"/>
            <w:gridSpan w:val="5"/>
            <w:tcBorders>
              <w:top w:val="nil"/>
              <w:left w:val="nil"/>
              <w:bottom w:val="nil"/>
              <w:right w:val="nil"/>
            </w:tcBorders>
            <w:shd w:val="clear" w:color="auto" w:fill="auto"/>
            <w:noWrap/>
            <w:vAlign w:val="bottom"/>
            <w:hideMark/>
          </w:tcPr>
          <w:p w:rsidR="00F84BA5" w:rsidRPr="00681A92" w:rsidRDefault="00F84BA5" w:rsidP="00207DB4">
            <w:pPr>
              <w:jc w:val="left"/>
              <w:rPr>
                <w:rFonts w:eastAsia="Times New Roman" w:cs="Arial"/>
                <w:color w:val="000000"/>
                <w:lang w:eastAsia="es-MX"/>
              </w:rPr>
            </w:pPr>
            <w:r w:rsidRPr="00681A92">
              <w:rPr>
                <w:rFonts w:eastAsia="Times New Roman" w:cs="Arial"/>
                <w:color w:val="000000"/>
                <w:lang w:eastAsia="es-MX"/>
              </w:rPr>
              <w:t>*CONSIDERA LOS RECURSOS CONCURRENTES QUE RECIBEN LOS FIDEICOMISOS Y EJECUTORES DE MANERA DIRECTA.</w:t>
            </w:r>
          </w:p>
        </w:tc>
        <w:tc>
          <w:tcPr>
            <w:tcW w:w="65" w:type="pct"/>
            <w:tcBorders>
              <w:top w:val="nil"/>
              <w:left w:val="nil"/>
              <w:bottom w:val="nil"/>
              <w:right w:val="nil"/>
            </w:tcBorders>
            <w:shd w:val="clear" w:color="auto" w:fill="auto"/>
            <w:noWrap/>
            <w:vAlign w:val="bottom"/>
            <w:hideMark/>
          </w:tcPr>
          <w:p w:rsidR="00F84BA5" w:rsidRPr="00681A92" w:rsidRDefault="00F84BA5" w:rsidP="00207DB4">
            <w:pPr>
              <w:jc w:val="left"/>
              <w:rPr>
                <w:rFonts w:eastAsia="Times New Roman" w:cs="Arial"/>
                <w:color w:val="000000"/>
                <w:lang w:eastAsia="es-MX"/>
              </w:rPr>
            </w:pPr>
          </w:p>
        </w:tc>
        <w:tc>
          <w:tcPr>
            <w:tcW w:w="65" w:type="pct"/>
            <w:tcBorders>
              <w:top w:val="nil"/>
              <w:left w:val="nil"/>
              <w:bottom w:val="nil"/>
              <w:right w:val="nil"/>
            </w:tcBorders>
            <w:shd w:val="clear" w:color="auto" w:fill="auto"/>
            <w:noWrap/>
            <w:vAlign w:val="bottom"/>
            <w:hideMark/>
          </w:tcPr>
          <w:p w:rsidR="00F84BA5" w:rsidRPr="00681A92" w:rsidRDefault="00F84BA5" w:rsidP="00207DB4">
            <w:pPr>
              <w:jc w:val="left"/>
              <w:rPr>
                <w:rFonts w:ascii="Times New Roman" w:eastAsia="Times New Roman" w:hAnsi="Times New Roman"/>
                <w:sz w:val="20"/>
                <w:szCs w:val="20"/>
                <w:lang w:eastAsia="es-MX"/>
              </w:rPr>
            </w:pPr>
          </w:p>
        </w:tc>
      </w:tr>
    </w:tbl>
    <w:p w:rsidR="00FA49E9" w:rsidRDefault="00FA49E9"/>
    <w:p w:rsidR="00FA49E9" w:rsidRDefault="009C1791">
      <w:r>
        <w:br w:type="page"/>
      </w:r>
    </w:p>
    <w:p w:rsidR="00FA49E9" w:rsidRDefault="009C1791">
      <w:pPr>
        <w:pStyle w:val="Ttulo3"/>
      </w:pPr>
      <w:bookmarkStart w:id="44" w:name="X95ebe143e97b34f17d749712c471aa37906214d"/>
      <w:bookmarkEnd w:id="42"/>
      <w:bookmarkEnd w:id="43"/>
      <w:r>
        <w:t>ANEXO 7.6. PROGRAMAS SUJETOS A REGLAS DE OPERACIÓN</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SUJETOS A REGLAS DE OPERACIÓN</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179,511,626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367,230,043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AMPLIACIÓN DE LA COBERTURA PARA ACCESO A LOS SERVICIOS BÁSICOS DE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PERSONAS CON DISCAPACIDAD DEL ESTADO DE YUCATÁN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41,992,975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EN ALIMENTACIÓN A PERSONAS SUJETAS DE ASISTENCIA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DE IDENTIDAD Y PATRIMONIO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113,557,261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EMPLEO DE CALIDAD, INCLUYENTE Y FORMAL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17,800,558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235,571,046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FORMACIÓN DE CAPITAL HUMANO EN ÁREAS ESTRATÉGICAS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AL CONOCIMIENTO CIENTÍFICO, TECNOLÓGICO E INNOVACIÓN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EMPRESAS LOCALES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3,400,357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36,633,194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27,361,662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MODERNIZACIÓN DEL SISTEMA DE TRANSPORTE PÚBLICO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232,981,616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35,962,023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INDUSTRIAL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LABORAL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4,673,896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DE CALIDAD Y ESPACIOS EN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282,390,241</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2,163,499,731</w:t>
            </w:r>
          </w:p>
        </w:tc>
      </w:tr>
    </w:tbl>
    <w:p w:rsidR="00FA49E9" w:rsidRDefault="009C1791">
      <w:r>
        <w:br w:type="page"/>
      </w:r>
    </w:p>
    <w:p w:rsidR="00FA49E9" w:rsidRDefault="009C1791">
      <w:pPr>
        <w:pStyle w:val="Ttulo2"/>
      </w:pPr>
      <w:bookmarkStart w:id="45" w:name="anexo-8.-resumen-de-plazas"/>
      <w:bookmarkEnd w:id="37"/>
      <w:bookmarkEnd w:id="44"/>
      <w:r>
        <w:t>ANEXO 8. RESUMEN DE PLAZAS</w:t>
      </w:r>
    </w:p>
    <w:p w:rsidR="00967B81" w:rsidRPr="00967B81" w:rsidRDefault="00967B81" w:rsidP="00967B81"/>
    <w:tbl>
      <w:tblPr>
        <w:tblW w:w="12000" w:type="dxa"/>
        <w:tblCellMar>
          <w:left w:w="70" w:type="dxa"/>
          <w:right w:w="70" w:type="dxa"/>
        </w:tblCellMar>
        <w:tblLook w:val="04A0" w:firstRow="1" w:lastRow="0" w:firstColumn="1" w:lastColumn="0" w:noHBand="0" w:noVBand="1"/>
      </w:tblPr>
      <w:tblGrid>
        <w:gridCol w:w="9780"/>
        <w:gridCol w:w="2220"/>
      </w:tblGrid>
      <w:tr w:rsidR="00967B81" w:rsidRPr="00EE6AF7" w:rsidTr="00967B81">
        <w:trPr>
          <w:trHeight w:val="324"/>
        </w:trPr>
        <w:tc>
          <w:tcPr>
            <w:tcW w:w="9780" w:type="dxa"/>
            <w:tcBorders>
              <w:top w:val="nil"/>
              <w:left w:val="nil"/>
              <w:bottom w:val="single" w:sz="8" w:space="0" w:color="FFFFFF"/>
              <w:right w:val="nil"/>
            </w:tcBorders>
            <w:shd w:val="clear" w:color="000000" w:fill="4B4B4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SECTOR PÚBLICO CENTRAL</w:t>
            </w:r>
          </w:p>
        </w:tc>
        <w:tc>
          <w:tcPr>
            <w:tcW w:w="2220" w:type="dxa"/>
            <w:tcBorders>
              <w:top w:val="nil"/>
              <w:left w:val="nil"/>
              <w:bottom w:val="single" w:sz="8" w:space="0" w:color="FFFFFF"/>
              <w:right w:val="nil"/>
            </w:tcBorders>
            <w:shd w:val="clear" w:color="000000" w:fill="4B4B4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71,993</w:t>
            </w:r>
          </w:p>
        </w:tc>
      </w:tr>
      <w:tr w:rsidR="00967B81" w:rsidRPr="00EE6AF7" w:rsidTr="00967B81">
        <w:trPr>
          <w:trHeight w:val="324"/>
        </w:trPr>
        <w:tc>
          <w:tcPr>
            <w:tcW w:w="9780" w:type="dxa"/>
            <w:tcBorders>
              <w:top w:val="nil"/>
              <w:left w:val="nil"/>
              <w:bottom w:val="single" w:sz="8" w:space="0" w:color="FFFFFF"/>
              <w:right w:val="nil"/>
            </w:tcBorders>
            <w:shd w:val="clear" w:color="000000" w:fill="757575"/>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 xml:space="preserve">PODERES Y ORGANISMOS AUTÓNOMOS </w:t>
            </w:r>
          </w:p>
        </w:tc>
        <w:tc>
          <w:tcPr>
            <w:tcW w:w="2220" w:type="dxa"/>
            <w:tcBorders>
              <w:top w:val="nil"/>
              <w:left w:val="nil"/>
              <w:bottom w:val="single" w:sz="8" w:space="0" w:color="FFFFFF"/>
              <w:right w:val="nil"/>
            </w:tcBorders>
            <w:shd w:val="clear" w:color="000000" w:fill="757575"/>
            <w:noWrap/>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6,250</w:t>
            </w:r>
          </w:p>
        </w:tc>
      </w:tr>
      <w:tr w:rsidR="00967B81" w:rsidRPr="00EE6AF7" w:rsidTr="00967B81">
        <w:trPr>
          <w:trHeight w:val="300"/>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PODER LEGISLATIVO</w:t>
            </w:r>
          </w:p>
        </w:tc>
        <w:tc>
          <w:tcPr>
            <w:tcW w:w="2220" w:type="dxa"/>
            <w:tcBorders>
              <w:top w:val="nil"/>
              <w:left w:val="nil"/>
              <w:bottom w:val="nil"/>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400</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CONGRESO DEL ESTADO DE YUCATÁN</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216</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AUDITORÍA SUPERIOR DEL ESTADO DE YUCATÁN</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184</w:t>
            </w:r>
          </w:p>
        </w:tc>
      </w:tr>
      <w:tr w:rsidR="00967B81" w:rsidRPr="00EE6AF7" w:rsidTr="00967B81">
        <w:trPr>
          <w:trHeight w:val="300"/>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PODER JUDICIAL</w:t>
            </w:r>
          </w:p>
        </w:tc>
        <w:tc>
          <w:tcPr>
            <w:tcW w:w="2220" w:type="dxa"/>
            <w:tcBorders>
              <w:top w:val="nil"/>
              <w:left w:val="nil"/>
              <w:bottom w:val="nil"/>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1,233</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CONSEJO DE LA JUDICATURA DEL ESTADO DE YUCATÁN</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921</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TRIBUNAL SUPERIOR DE JUSTICIA DEL ESTADO DE YUCATÁN</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289</w:t>
            </w:r>
          </w:p>
        </w:tc>
      </w:tr>
      <w:tr w:rsidR="00967B81" w:rsidRPr="00EE6AF7" w:rsidTr="00967B81">
        <w:trPr>
          <w:trHeight w:val="6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xml:space="preserve">TRIBUNAL DE LOS TRABAJADORES AL SERVICIO DEL ESTADO Y DE LOS MUNICIPIOS </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23</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INSTITUTO ELECTORAL Y DE PARTICIPACIÓN CIUDADANA</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273</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TRIBUNAL ELECTORAL DEL ESTADO DE YUCATÁN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40</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COMISIÓN DE LOS DERECHOS HUMANOS DEL ESTADO DE YUCATÁN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120</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INSTITUTO ESTATAL DE ACCESO A LA INFORMACIÓN PÚBLICA</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63</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FISCALÍA ESPECIALIZADA EN EL COMBATE A LA CORRUPCIÓN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40</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UNIVERSIDAD AUTÓNOMA DE YUCATÁN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4,029</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TRIBUNAL DE JUSTICIA ADMINISTRATIVA DEL ESTADO DE YUCATÁN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52</w:t>
            </w:r>
          </w:p>
        </w:tc>
      </w:tr>
      <w:tr w:rsidR="00967B81" w:rsidRPr="00EE6AF7" w:rsidTr="00967B81">
        <w:trPr>
          <w:trHeight w:val="324"/>
        </w:trPr>
        <w:tc>
          <w:tcPr>
            <w:tcW w:w="9780" w:type="dxa"/>
            <w:tcBorders>
              <w:top w:val="nil"/>
              <w:left w:val="nil"/>
              <w:bottom w:val="single" w:sz="8" w:space="0" w:color="FFFFFF"/>
              <w:right w:val="nil"/>
            </w:tcBorders>
            <w:shd w:val="clear" w:color="000000" w:fill="757575"/>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PODER EJECUTIVO</w:t>
            </w:r>
          </w:p>
        </w:tc>
        <w:tc>
          <w:tcPr>
            <w:tcW w:w="2220" w:type="dxa"/>
            <w:tcBorders>
              <w:top w:val="nil"/>
              <w:left w:val="nil"/>
              <w:bottom w:val="single" w:sz="8" w:space="0" w:color="FFFFFF"/>
              <w:right w:val="nil"/>
            </w:tcBorders>
            <w:shd w:val="clear" w:color="000000" w:fill="757575"/>
            <w:noWrap/>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65,743</w:t>
            </w:r>
          </w:p>
        </w:tc>
      </w:tr>
      <w:tr w:rsidR="00967B81" w:rsidRPr="00EE6AF7" w:rsidTr="00967B81">
        <w:trPr>
          <w:trHeight w:val="300"/>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MAGISTERIO</w:t>
            </w:r>
          </w:p>
        </w:tc>
        <w:tc>
          <w:tcPr>
            <w:tcW w:w="2220" w:type="dxa"/>
            <w:tcBorders>
              <w:top w:val="nil"/>
              <w:left w:val="nil"/>
              <w:bottom w:val="nil"/>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53,465</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ESTATALES</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17,927</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FEDERALIZADOS</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35,538</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RESTO</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12,278</w:t>
            </w:r>
          </w:p>
        </w:tc>
      </w:tr>
      <w:tr w:rsidR="00967B81" w:rsidRPr="00EE6AF7" w:rsidTr="00967B81">
        <w:trPr>
          <w:trHeight w:val="312"/>
        </w:trPr>
        <w:tc>
          <w:tcPr>
            <w:tcW w:w="9780" w:type="dxa"/>
            <w:tcBorders>
              <w:top w:val="nil"/>
              <w:left w:val="nil"/>
              <w:bottom w:val="nil"/>
              <w:right w:val="nil"/>
            </w:tcBorders>
            <w:shd w:val="clear" w:color="000000" w:fill="757575"/>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SECTOR PÚBLICO PARAESTATAL</w:t>
            </w:r>
          </w:p>
        </w:tc>
        <w:tc>
          <w:tcPr>
            <w:tcW w:w="2220" w:type="dxa"/>
            <w:tcBorders>
              <w:top w:val="nil"/>
              <w:left w:val="nil"/>
              <w:bottom w:val="nil"/>
              <w:right w:val="nil"/>
            </w:tcBorders>
            <w:shd w:val="clear" w:color="000000" w:fill="757575"/>
            <w:noWrap/>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16,434</w:t>
            </w:r>
          </w:p>
        </w:tc>
      </w:tr>
      <w:tr w:rsidR="00967B81" w:rsidRPr="00EE6AF7" w:rsidTr="00967B81">
        <w:trPr>
          <w:trHeight w:val="300"/>
        </w:trPr>
        <w:tc>
          <w:tcPr>
            <w:tcW w:w="9780" w:type="dxa"/>
            <w:tcBorders>
              <w:top w:val="nil"/>
              <w:left w:val="nil"/>
              <w:bottom w:val="nil"/>
              <w:right w:val="nil"/>
            </w:tcBorders>
            <w:shd w:val="clear" w:color="000000" w:fill="FFFFFF"/>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w:t>
            </w:r>
          </w:p>
        </w:tc>
        <w:tc>
          <w:tcPr>
            <w:tcW w:w="2220" w:type="dxa"/>
            <w:tcBorders>
              <w:top w:val="nil"/>
              <w:left w:val="nil"/>
              <w:bottom w:val="nil"/>
              <w:right w:val="nil"/>
            </w:tcBorders>
            <w:shd w:val="clear" w:color="000000" w:fill="FFFFFF"/>
            <w:noWrap/>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w:t>
            </w:r>
          </w:p>
        </w:tc>
      </w:tr>
      <w:tr w:rsidR="00967B81" w:rsidRPr="00EE6AF7" w:rsidTr="00967B81">
        <w:trPr>
          <w:trHeight w:val="312"/>
        </w:trPr>
        <w:tc>
          <w:tcPr>
            <w:tcW w:w="9780" w:type="dxa"/>
            <w:tcBorders>
              <w:top w:val="nil"/>
              <w:left w:val="nil"/>
              <w:bottom w:val="nil"/>
              <w:right w:val="nil"/>
            </w:tcBorders>
            <w:shd w:val="clear" w:color="000000" w:fill="4B4B4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TOTAL PLAZAS GOBIERNO DEL ESTADO DE YUCATÁN</w:t>
            </w:r>
          </w:p>
        </w:tc>
        <w:tc>
          <w:tcPr>
            <w:tcW w:w="2220" w:type="dxa"/>
            <w:tcBorders>
              <w:top w:val="nil"/>
              <w:left w:val="nil"/>
              <w:bottom w:val="nil"/>
              <w:right w:val="nil"/>
            </w:tcBorders>
            <w:shd w:val="clear" w:color="000000" w:fill="4B4B4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88,427</w:t>
            </w:r>
          </w:p>
        </w:tc>
      </w:tr>
      <w:tr w:rsidR="00967B81" w:rsidRPr="00EE6AF7" w:rsidTr="00967B81">
        <w:trPr>
          <w:trHeight w:val="300"/>
        </w:trPr>
        <w:tc>
          <w:tcPr>
            <w:tcW w:w="9780" w:type="dxa"/>
            <w:tcBorders>
              <w:top w:val="nil"/>
              <w:left w:val="nil"/>
              <w:bottom w:val="nil"/>
              <w:right w:val="nil"/>
            </w:tcBorders>
            <w:shd w:val="clear" w:color="000000" w:fill="FFFFFF"/>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w:t>
            </w:r>
          </w:p>
        </w:tc>
        <w:tc>
          <w:tcPr>
            <w:tcW w:w="2220" w:type="dxa"/>
            <w:tcBorders>
              <w:top w:val="nil"/>
              <w:left w:val="nil"/>
              <w:bottom w:val="nil"/>
              <w:right w:val="nil"/>
            </w:tcBorders>
            <w:shd w:val="clear" w:color="000000" w:fill="FFFFFF"/>
            <w:noWrap/>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w:t>
            </w:r>
          </w:p>
        </w:tc>
      </w:tr>
      <w:tr w:rsidR="00967B81" w:rsidRPr="00EE6AF7" w:rsidTr="00967B81">
        <w:trPr>
          <w:trHeight w:val="324"/>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ASIMILABLES A PODERES Y AUTÓNOMOS</w:t>
            </w:r>
          </w:p>
        </w:tc>
        <w:tc>
          <w:tcPr>
            <w:tcW w:w="222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57</w:t>
            </w:r>
          </w:p>
        </w:tc>
      </w:tr>
      <w:tr w:rsidR="00967B81" w:rsidRPr="00EE6AF7" w:rsidTr="00967B81">
        <w:trPr>
          <w:trHeight w:val="312"/>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ASIMILABLES PODER EJECUTIVO</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1,762</w:t>
            </w:r>
          </w:p>
        </w:tc>
      </w:tr>
      <w:tr w:rsidR="00967B81" w:rsidRPr="00EE6AF7" w:rsidTr="00967B81">
        <w:trPr>
          <w:trHeight w:val="312"/>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ASIMILABLES SECTOR PÚBLICO PARAESTATAL</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2,544</w:t>
            </w:r>
          </w:p>
        </w:tc>
      </w:tr>
      <w:tr w:rsidR="00967B81" w:rsidRPr="00EE6AF7" w:rsidTr="00967B81">
        <w:trPr>
          <w:trHeight w:val="324"/>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HONORARIOS DE PODERES Y AUTÓNOMOS</w:t>
            </w:r>
          </w:p>
        </w:tc>
        <w:tc>
          <w:tcPr>
            <w:tcW w:w="222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76</w:t>
            </w:r>
          </w:p>
        </w:tc>
      </w:tr>
      <w:tr w:rsidR="00967B81" w:rsidRPr="00EE6AF7" w:rsidTr="00967B81">
        <w:trPr>
          <w:trHeight w:val="312"/>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HONORARIOS DEL PODER EJECUTIVO</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0</w:t>
            </w:r>
          </w:p>
        </w:tc>
      </w:tr>
      <w:tr w:rsidR="00967B81" w:rsidRPr="00EE6AF7" w:rsidTr="00967B81">
        <w:trPr>
          <w:trHeight w:val="624"/>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HONORARIOS DEL SECTOR PÚBLICO PARAESTATAL</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125</w:t>
            </w:r>
          </w:p>
        </w:tc>
      </w:tr>
      <w:tr w:rsidR="00967B81" w:rsidRPr="00EE6AF7" w:rsidTr="00967B81">
        <w:trPr>
          <w:trHeight w:val="312"/>
        </w:trPr>
        <w:tc>
          <w:tcPr>
            <w:tcW w:w="9780" w:type="dxa"/>
            <w:tcBorders>
              <w:top w:val="nil"/>
              <w:left w:val="nil"/>
              <w:bottom w:val="nil"/>
              <w:right w:val="nil"/>
            </w:tcBorders>
            <w:shd w:val="clear" w:color="auto" w:fill="auto"/>
            <w:vAlign w:val="center"/>
            <w:hideMark/>
          </w:tcPr>
          <w:p w:rsidR="00967B81" w:rsidRPr="00967B81" w:rsidRDefault="00967B81" w:rsidP="00967B81">
            <w:pPr>
              <w:jc w:val="right"/>
              <w:rPr>
                <w:rFonts w:eastAsia="Times New Roman" w:cs="Arial"/>
                <w:b/>
                <w:bCs/>
                <w:color w:val="FFFFFF"/>
                <w:lang w:eastAsia="es-MX"/>
              </w:rPr>
            </w:pP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left"/>
              <w:rPr>
                <w:rFonts w:ascii="Times New Roman" w:eastAsia="Times New Roman" w:hAnsi="Times New Roman"/>
                <w:sz w:val="20"/>
                <w:szCs w:val="20"/>
                <w:lang w:eastAsia="es-MX"/>
              </w:rPr>
            </w:pPr>
          </w:p>
        </w:tc>
      </w:tr>
      <w:tr w:rsidR="00967B81" w:rsidRPr="00EE6AF7" w:rsidTr="00967B81">
        <w:trPr>
          <w:trHeight w:val="312"/>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EVENTUALES MAGISTERIO (SEGEY)</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10,609</w:t>
            </w:r>
          </w:p>
        </w:tc>
      </w:tr>
      <w:tr w:rsidR="00967B81" w:rsidRPr="00EE6AF7" w:rsidTr="00967B81">
        <w:trPr>
          <w:trHeight w:val="312"/>
        </w:trPr>
        <w:tc>
          <w:tcPr>
            <w:tcW w:w="9780" w:type="dxa"/>
            <w:tcBorders>
              <w:top w:val="nil"/>
              <w:left w:val="nil"/>
              <w:bottom w:val="nil"/>
              <w:right w:val="nil"/>
            </w:tcBorders>
            <w:shd w:val="clear" w:color="auto" w:fill="auto"/>
            <w:vAlign w:val="bottom"/>
            <w:hideMark/>
          </w:tcPr>
          <w:p w:rsidR="00967B81" w:rsidRPr="00967B81" w:rsidRDefault="00967B81" w:rsidP="00967B81">
            <w:pPr>
              <w:jc w:val="right"/>
              <w:rPr>
                <w:rFonts w:eastAsia="Times New Roman" w:cs="Arial"/>
                <w:b/>
                <w:bCs/>
                <w:color w:val="FFFFFF"/>
                <w:lang w:eastAsia="es-MX"/>
              </w:rPr>
            </w:pPr>
          </w:p>
        </w:tc>
        <w:tc>
          <w:tcPr>
            <w:tcW w:w="2220" w:type="dxa"/>
            <w:tcBorders>
              <w:top w:val="nil"/>
              <w:left w:val="nil"/>
              <w:bottom w:val="nil"/>
              <w:right w:val="nil"/>
            </w:tcBorders>
            <w:shd w:val="clear" w:color="auto" w:fill="auto"/>
            <w:noWrap/>
            <w:vAlign w:val="bottom"/>
            <w:hideMark/>
          </w:tcPr>
          <w:p w:rsidR="00967B81" w:rsidRPr="00967B81" w:rsidRDefault="00967B81" w:rsidP="00967B81">
            <w:pPr>
              <w:jc w:val="left"/>
              <w:rPr>
                <w:rFonts w:ascii="Times New Roman" w:eastAsia="Times New Roman" w:hAnsi="Times New Roman"/>
                <w:sz w:val="20"/>
                <w:szCs w:val="20"/>
                <w:lang w:eastAsia="es-MX"/>
              </w:rPr>
            </w:pPr>
          </w:p>
        </w:tc>
      </w:tr>
      <w:tr w:rsidR="00967B81" w:rsidRPr="00EE6AF7" w:rsidTr="00967B81">
        <w:trPr>
          <w:trHeight w:val="312"/>
        </w:trPr>
        <w:tc>
          <w:tcPr>
            <w:tcW w:w="9780" w:type="dxa"/>
            <w:tcBorders>
              <w:top w:val="nil"/>
              <w:left w:val="nil"/>
              <w:bottom w:val="nil"/>
              <w:right w:val="nil"/>
            </w:tcBorders>
            <w:shd w:val="clear" w:color="000000" w:fill="4B4B4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HORAS/SEMANAS DEL MAGISTERIO</w:t>
            </w:r>
          </w:p>
        </w:tc>
        <w:tc>
          <w:tcPr>
            <w:tcW w:w="2220" w:type="dxa"/>
            <w:tcBorders>
              <w:top w:val="nil"/>
              <w:left w:val="nil"/>
              <w:bottom w:val="nil"/>
              <w:right w:val="nil"/>
            </w:tcBorders>
            <w:shd w:val="clear" w:color="000000" w:fill="4B4B4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176,488</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ESTATALES</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95,203</w:t>
            </w:r>
          </w:p>
        </w:tc>
      </w:tr>
      <w:tr w:rsidR="00967B81" w:rsidRPr="00EE6AF7" w:rsidTr="00967B81">
        <w:trPr>
          <w:trHeight w:val="300"/>
        </w:trPr>
        <w:tc>
          <w:tcPr>
            <w:tcW w:w="9780" w:type="dxa"/>
            <w:tcBorders>
              <w:top w:val="nil"/>
              <w:left w:val="nil"/>
              <w:bottom w:val="nil"/>
              <w:right w:val="nil"/>
            </w:tcBorders>
            <w:shd w:val="clear" w:color="000000" w:fill="F3F3F3"/>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FEDERALIZADOS</w:t>
            </w:r>
          </w:p>
        </w:tc>
        <w:tc>
          <w:tcPr>
            <w:tcW w:w="2220" w:type="dxa"/>
            <w:tcBorders>
              <w:top w:val="nil"/>
              <w:left w:val="nil"/>
              <w:bottom w:val="nil"/>
              <w:right w:val="nil"/>
            </w:tcBorders>
            <w:shd w:val="clear" w:color="000000" w:fill="F3F3F3"/>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80,408</w:t>
            </w:r>
          </w:p>
        </w:tc>
      </w:tr>
      <w:tr w:rsidR="00967B81" w:rsidRPr="00EE6AF7" w:rsidTr="00967B81">
        <w:trPr>
          <w:trHeight w:val="288"/>
        </w:trPr>
        <w:tc>
          <w:tcPr>
            <w:tcW w:w="9780" w:type="dxa"/>
            <w:tcBorders>
              <w:top w:val="nil"/>
              <w:left w:val="nil"/>
              <w:bottom w:val="nil"/>
              <w:right w:val="nil"/>
            </w:tcBorders>
            <w:shd w:val="clear" w:color="auto" w:fill="auto"/>
            <w:vAlign w:val="bottom"/>
            <w:hideMark/>
          </w:tcPr>
          <w:p w:rsidR="00967B81" w:rsidRPr="00967B81" w:rsidRDefault="00967B81" w:rsidP="00967B81">
            <w:pPr>
              <w:jc w:val="right"/>
              <w:rPr>
                <w:rFonts w:eastAsia="Times New Roman" w:cs="Arial"/>
                <w:color w:val="000000"/>
                <w:lang w:eastAsia="es-MX"/>
              </w:rPr>
            </w:pPr>
          </w:p>
        </w:tc>
        <w:tc>
          <w:tcPr>
            <w:tcW w:w="2220" w:type="dxa"/>
            <w:tcBorders>
              <w:top w:val="nil"/>
              <w:left w:val="nil"/>
              <w:bottom w:val="nil"/>
              <w:right w:val="nil"/>
            </w:tcBorders>
            <w:shd w:val="clear" w:color="auto" w:fill="auto"/>
            <w:noWrap/>
            <w:vAlign w:val="bottom"/>
            <w:hideMark/>
          </w:tcPr>
          <w:p w:rsidR="00967B81" w:rsidRPr="00967B81" w:rsidRDefault="00967B81" w:rsidP="00967B81">
            <w:pPr>
              <w:jc w:val="left"/>
              <w:rPr>
                <w:rFonts w:ascii="Times New Roman" w:eastAsia="Times New Roman" w:hAnsi="Times New Roman"/>
                <w:sz w:val="20"/>
                <w:szCs w:val="20"/>
                <w:lang w:eastAsia="es-MX"/>
              </w:rPr>
            </w:pPr>
          </w:p>
        </w:tc>
      </w:tr>
      <w:tr w:rsidR="00967B81" w:rsidRPr="00EE6AF7" w:rsidTr="00967B81">
        <w:trPr>
          <w:trHeight w:val="612"/>
        </w:trPr>
        <w:tc>
          <w:tcPr>
            <w:tcW w:w="9780" w:type="dxa"/>
            <w:tcBorders>
              <w:top w:val="nil"/>
              <w:left w:val="nil"/>
              <w:bottom w:val="nil"/>
              <w:right w:val="nil"/>
            </w:tcBorders>
            <w:shd w:val="clear" w:color="auto" w:fill="auto"/>
            <w:vAlign w:val="bottom"/>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Nota: Las plazas del magisterio incluyen 95,203 horas para las plazas estatales y 80,408 horas para las plazas federalizadas.</w:t>
            </w:r>
          </w:p>
        </w:tc>
        <w:tc>
          <w:tcPr>
            <w:tcW w:w="2220" w:type="dxa"/>
            <w:tcBorders>
              <w:top w:val="nil"/>
              <w:left w:val="nil"/>
              <w:bottom w:val="nil"/>
              <w:right w:val="nil"/>
            </w:tcBorders>
            <w:shd w:val="clear" w:color="auto" w:fill="auto"/>
            <w:noWrap/>
            <w:vAlign w:val="bottom"/>
            <w:hideMark/>
          </w:tcPr>
          <w:p w:rsidR="00967B81" w:rsidRPr="00967B81" w:rsidRDefault="00967B81" w:rsidP="00967B81">
            <w:pPr>
              <w:jc w:val="left"/>
              <w:rPr>
                <w:rFonts w:eastAsia="Times New Roman" w:cs="Arial"/>
                <w:color w:val="000000"/>
                <w:lang w:eastAsia="es-MX"/>
              </w:rPr>
            </w:pPr>
          </w:p>
        </w:tc>
      </w:tr>
    </w:tbl>
    <w:p w:rsidR="00FA49E9" w:rsidRDefault="009C1791">
      <w:r>
        <w:br w:type="page"/>
      </w:r>
    </w:p>
    <w:p w:rsidR="00FA49E9" w:rsidRDefault="009C1791">
      <w:pPr>
        <w:pStyle w:val="Ttulo2"/>
      </w:pPr>
      <w:bookmarkStart w:id="46" w:name="Xe7ed15425cfd00ddd336d215cbaa074dfade0ad"/>
      <w:bookmarkEnd w:id="45"/>
      <w:r>
        <w:t>ANEXO 9. PREVISIONES ECONÓMICAS PARA DESASTRES NATURALES</w:t>
      </w:r>
    </w:p>
    <w:p w:rsidR="00FA49E9" w:rsidRDefault="00FA49E9"/>
    <w:tbl>
      <w:tblPr>
        <w:tblW w:w="0" w:type="auto"/>
        <w:jc w:val="center"/>
        <w:tblLayout w:type="fixed"/>
        <w:tblLook w:val="0420" w:firstRow="1" w:lastRow="0" w:firstColumn="0" w:lastColumn="0" w:noHBand="0" w:noVBand="1"/>
      </w:tblPr>
      <w:tblGrid>
        <w:gridCol w:w="7949"/>
      </w:tblGrid>
      <w:tr w:rsidR="00FA49E9" w:rsidRPr="00EE6AF7">
        <w:trPr>
          <w:cantSplit/>
          <w:jc w:val="center"/>
        </w:trPr>
        <w:tc>
          <w:tcPr>
            <w:tcW w:w="794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ASIGNACIÓN PRESUPUESTAL PARA EL FONDO PARA LA ATENCIÓN DE EMERGENCIAS Y DESASTRES</w:t>
            </w:r>
          </w:p>
        </w:tc>
      </w:tr>
      <w:tr w:rsidR="00FA49E9" w:rsidRPr="00EE6AF7">
        <w:trPr>
          <w:cantSplit/>
          <w:jc w:val="center"/>
        </w:trPr>
        <w:tc>
          <w:tcPr>
            <w:tcW w:w="7949" w:type="dxa"/>
            <w:tcBorders>
              <w:top w:val="single" w:sz="3" w:space="0" w:color="000000"/>
              <w:left w:val="single" w:sz="3" w:space="0" w:color="000000"/>
              <w:bottom w:val="single" w:sz="8" w:space="0" w:color="FFFFFF"/>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center"/>
            </w:pPr>
            <w:r>
              <w:rPr>
                <w:rFonts w:eastAsia="Arial" w:cs="Arial"/>
                <w:color w:val="000000"/>
              </w:rPr>
              <w:t>$3,000,000.00</w:t>
            </w:r>
          </w:p>
        </w:tc>
      </w:tr>
      <w:tr w:rsidR="00FA49E9" w:rsidRPr="00EE6AF7">
        <w:trPr>
          <w:cantSplit/>
          <w:jc w:val="center"/>
        </w:trPr>
        <w:tc>
          <w:tcPr>
            <w:tcW w:w="7949" w:type="dxa"/>
            <w:tcBorders>
              <w:top w:val="single" w:sz="8" w:space="0" w:color="FFFFFF"/>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center"/>
            </w:pPr>
            <w:r>
              <w:rPr>
                <w:rFonts w:eastAsia="Arial" w:cs="Arial"/>
                <w:color w:val="000000"/>
              </w:rPr>
              <w:t>TRES MILLONES DE PESOS</w:t>
            </w:r>
          </w:p>
        </w:tc>
      </w:tr>
    </w:tbl>
    <w:p w:rsidR="00FA49E9" w:rsidRDefault="009C1791">
      <w:r>
        <w:br w:type="page"/>
      </w:r>
    </w:p>
    <w:p w:rsidR="00FA49E9" w:rsidRDefault="009C1791">
      <w:pPr>
        <w:pStyle w:val="Ttulo2"/>
      </w:pPr>
      <w:bookmarkStart w:id="47" w:name="X369a75009c467ff4c3c4289bece16215fecf8b8"/>
      <w:bookmarkEnd w:id="46"/>
      <w:r>
        <w:t>ANEXO 10. MONTOS MÁXIMOS DE ADQUISICIONES Y ADJUDICACIONES</w:t>
      </w:r>
    </w:p>
    <w:p w:rsidR="00FA49E9" w:rsidRDefault="00FA49E9"/>
    <w:p w:rsidR="00FA49E9" w:rsidRDefault="009C1791">
      <w:pPr>
        <w:pStyle w:val="Ttulo3"/>
      </w:pPr>
      <w:bookmarkStart w:id="48" w:name="Xd89c4b8d8fcd072f820a4132df5575336b394e1"/>
      <w:r>
        <w:t>ANEXO 10.1. MONTOS MÁXIMOS DE ADQUISICIONES, ARRENDAMIENTOS Y SERVICIOS RELACIONADOS CON BIENES MUEBLES</w:t>
      </w:r>
    </w:p>
    <w:p w:rsidR="00FA49E9" w:rsidRDefault="00FA49E9"/>
    <w:tbl>
      <w:tblPr>
        <w:tblW w:w="0" w:type="auto"/>
        <w:jc w:val="center"/>
        <w:tblCellMar>
          <w:left w:w="70" w:type="dxa"/>
          <w:right w:w="70" w:type="dxa"/>
        </w:tblCellMar>
        <w:tblLook w:val="04A0" w:firstRow="1" w:lastRow="0" w:firstColumn="1" w:lastColumn="0" w:noHBand="0" w:noVBand="1"/>
      </w:tblPr>
      <w:tblGrid>
        <w:gridCol w:w="2158"/>
        <w:gridCol w:w="2157"/>
        <w:gridCol w:w="2184"/>
        <w:gridCol w:w="4661"/>
      </w:tblGrid>
      <w:tr w:rsidR="004E169F" w:rsidRPr="00EE6AF7" w:rsidTr="00207DB4">
        <w:trPr>
          <w:trHeight w:val="454"/>
          <w:jc w:val="center"/>
        </w:trPr>
        <w:tc>
          <w:tcPr>
            <w:tcW w:w="0" w:type="auto"/>
            <w:gridSpan w:val="2"/>
            <w:tcBorders>
              <w:top w:val="single" w:sz="4" w:space="0" w:color="FFFFFF"/>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PRESUPUESTO DE ADQUISICIONES DE BIENES, ARRENDAMIENTOS Y SERVICIOS</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MONTO MÁXIMO TOTAL</w:t>
            </w:r>
            <w:r w:rsidRPr="002C6123">
              <w:rPr>
                <w:rFonts w:eastAsia="Times New Roman" w:cs="Arial"/>
                <w:color w:val="FFFFFF"/>
                <w:lang w:eastAsia="es-MX"/>
              </w:rPr>
              <w:br/>
              <w:t>DE CADA OPERACIÓN</w:t>
            </w:r>
            <w:r w:rsidRPr="002C6123">
              <w:rPr>
                <w:rFonts w:eastAsia="Times New Roman" w:cs="Arial"/>
                <w:color w:val="FFFFFF"/>
                <w:lang w:eastAsia="es-MX"/>
              </w:rPr>
              <w:br/>
              <w:t>QUE PODRÁ ADJUDICARSE</w:t>
            </w:r>
            <w:r w:rsidRPr="002C6123">
              <w:rPr>
                <w:rFonts w:eastAsia="Times New Roman" w:cs="Arial"/>
                <w:color w:val="FFFFFF"/>
                <w:lang w:eastAsia="es-MX"/>
              </w:rPr>
              <w:br/>
              <w:t>DIRECTAMENTE</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MONTO MÁXIMO TOTAL DE CADA OPERACIÓN QUE PODRÁ ADJUDICARSE MEDIANTE PROCEDIMIENTO DE CONTRATACIÓN, MEDIANTE INVITACIÓN, CONSIDERANDO POR LO MENOS TRES PROPUESTAS</w:t>
            </w:r>
          </w:p>
        </w:tc>
      </w:tr>
      <w:tr w:rsidR="004E169F" w:rsidRPr="00EE6AF7" w:rsidTr="00207DB4">
        <w:trPr>
          <w:trHeight w:val="454"/>
          <w:jc w:val="center"/>
        </w:trPr>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DESDE</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MENOR QUE</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000000"/>
                <w:lang w:eastAsia="es-MX"/>
              </w:rPr>
            </w:pPr>
            <w:r w:rsidRPr="002C6123">
              <w:rPr>
                <w:rFonts w:eastAsia="Times New Roman" w:cs="Arial"/>
                <w:color w:val="000000"/>
                <w:lang w:eastAsia="es-MX"/>
              </w:rPr>
              <w:t> </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000000"/>
                <w:lang w:eastAsia="es-MX"/>
              </w:rPr>
            </w:pPr>
            <w:r w:rsidRPr="002C6123">
              <w:rPr>
                <w:rFonts w:eastAsia="Times New Roman" w:cs="Arial"/>
                <w:color w:val="000000"/>
                <w:lang w:eastAsia="es-MX"/>
              </w:rPr>
              <w:t>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000000"/>
                <w:lang w:eastAsia="es-MX"/>
              </w:rPr>
            </w:pP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3,500,000.00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120,000.00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575,000.00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3,500,000.00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5,425,000.00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145,000.00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645,000.00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5,425,000.00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8,400,000.00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180,000.00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710,000.00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8,400,000.00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13,000,000.00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220,000.00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815,000.00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13,000,000.00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20,200,000.00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270,000.00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915,000.00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20,200,000.00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31,300,000.00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335,000.00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1,030,000.00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31,300,000.00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48,500,000.00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410,000.00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1,155,000.00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48,500,000.00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75,230,000.00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510,000.00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1,295,000.00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75,230,000.00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116,600,000.00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625,000.00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1,455,000.00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116,600,000.00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180,700,000.00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770,000.00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1,635,000.00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180,700,000.00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950,000.00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1,840,000.00 </w:t>
            </w:r>
          </w:p>
        </w:tc>
      </w:tr>
    </w:tbl>
    <w:p w:rsidR="00FA49E9" w:rsidRDefault="009C1791">
      <w:pPr>
        <w:pStyle w:val="Ttulo3"/>
      </w:pPr>
      <w:bookmarkStart w:id="49" w:name="Xa2c28c84358e6b0cbb22cdf08156d9ecb482e03"/>
      <w:bookmarkEnd w:id="48"/>
      <w:r>
        <w:t>ANEXO 10.2. MONTOS MÁXIMOS PARA LA ADJUDICACIÓN DE OBRAS PÚBLICAS</w:t>
      </w:r>
    </w:p>
    <w:p w:rsidR="00FA49E9" w:rsidRDefault="00FA49E9"/>
    <w:tbl>
      <w:tblPr>
        <w:tblW w:w="11554" w:type="dxa"/>
        <w:jc w:val="center"/>
        <w:tblLayout w:type="fixed"/>
        <w:tblCellMar>
          <w:left w:w="70" w:type="dxa"/>
          <w:right w:w="70" w:type="dxa"/>
        </w:tblCellMar>
        <w:tblLook w:val="04A0" w:firstRow="1" w:lastRow="0" w:firstColumn="1" w:lastColumn="0" w:noHBand="0" w:noVBand="1"/>
      </w:tblPr>
      <w:tblGrid>
        <w:gridCol w:w="1879"/>
        <w:gridCol w:w="1809"/>
        <w:gridCol w:w="2034"/>
        <w:gridCol w:w="2039"/>
        <w:gridCol w:w="1959"/>
        <w:gridCol w:w="1834"/>
      </w:tblGrid>
      <w:tr w:rsidR="00A262E1" w:rsidRPr="00EE6AF7" w:rsidTr="00207DB4">
        <w:trPr>
          <w:trHeight w:val="20"/>
          <w:jc w:val="center"/>
        </w:trPr>
        <w:tc>
          <w:tcPr>
            <w:tcW w:w="3688" w:type="dxa"/>
            <w:gridSpan w:val="2"/>
            <w:tcBorders>
              <w:top w:val="single" w:sz="4" w:space="0" w:color="FFFFFF"/>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EE6AF7">
              <w:rPr>
                <w:rFonts w:cs="Arial"/>
              </w:rPr>
              <w:br w:type="page"/>
            </w:r>
            <w:r w:rsidRPr="00BA2DC6">
              <w:rPr>
                <w:rFonts w:eastAsia="Times New Roman" w:cs="Arial"/>
                <w:color w:val="FFFFFF"/>
                <w:lang w:eastAsia="es-MX"/>
              </w:rPr>
              <w:t>PRESUPUESTO AUTORIZADO PARA REALIZAR OBRAS PÚBLICAS</w:t>
            </w:r>
          </w:p>
        </w:tc>
        <w:tc>
          <w:tcPr>
            <w:tcW w:w="2034" w:type="dxa"/>
            <w:vMerge w:val="restart"/>
            <w:tcBorders>
              <w:top w:val="single" w:sz="4" w:space="0" w:color="FFFFFF"/>
              <w:left w:val="nil"/>
              <w:bottom w:val="nil"/>
              <w:right w:val="single" w:sz="8" w:space="0" w:color="4B4B4B"/>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MONTO MÁXIMO TOTAL DE CADA OBRA QUE PODRÁ ADJUDICARSE DIRECTAMENTE</w:t>
            </w:r>
          </w:p>
        </w:tc>
        <w:tc>
          <w:tcPr>
            <w:tcW w:w="2039" w:type="dxa"/>
            <w:vMerge w:val="restart"/>
            <w:tcBorders>
              <w:top w:val="single" w:sz="4" w:space="0" w:color="FFFFFF"/>
              <w:left w:val="single" w:sz="8" w:space="0" w:color="4B4B4B"/>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MONTO MÁXIMO TOTAL DE CADA SERVICIO CONEXO DE OBRA PÚBLICA QUE PODRÁ ADJUDICARSE DIRECTAMENTE</w:t>
            </w:r>
          </w:p>
        </w:tc>
        <w:tc>
          <w:tcPr>
            <w:tcW w:w="1959" w:type="dxa"/>
            <w:vMerge w:val="restart"/>
            <w:tcBorders>
              <w:top w:val="single" w:sz="4" w:space="0" w:color="FFFFFF"/>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MONTO MÁXIMO TOTAL DE CADA OBRA QUE PODRÁ ADJUDICARSE MEDIANTE INVITACIÓN A CUANDO MENOS TRES PERSONAS</w:t>
            </w:r>
          </w:p>
        </w:tc>
        <w:tc>
          <w:tcPr>
            <w:tcW w:w="1834" w:type="dxa"/>
            <w:vMerge w:val="restart"/>
            <w:tcBorders>
              <w:top w:val="single" w:sz="4" w:space="0" w:color="FFFFFF"/>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MONTO MÁXIMO TOTAL DE CADA SERVICIO CONEXO DE OBRA PÚBLICA QUE PODRÁ ADJUDICARSE MEDIANTE INVITACIÓN A CUANDO MENOS TRES PERSONAS</w:t>
            </w:r>
          </w:p>
        </w:tc>
      </w:tr>
      <w:tr w:rsidR="00A262E1" w:rsidRPr="00EE6AF7" w:rsidTr="00207DB4">
        <w:trPr>
          <w:trHeight w:val="20"/>
          <w:jc w:val="center"/>
        </w:trPr>
        <w:tc>
          <w:tcPr>
            <w:tcW w:w="1879" w:type="dxa"/>
            <w:tcBorders>
              <w:top w:val="nil"/>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MAYOR QUE</w:t>
            </w:r>
          </w:p>
        </w:tc>
        <w:tc>
          <w:tcPr>
            <w:tcW w:w="1809" w:type="dxa"/>
            <w:tcBorders>
              <w:top w:val="nil"/>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HASTA</w:t>
            </w:r>
          </w:p>
        </w:tc>
        <w:tc>
          <w:tcPr>
            <w:tcW w:w="2034" w:type="dxa"/>
            <w:vMerge/>
            <w:tcBorders>
              <w:top w:val="single" w:sz="4" w:space="0" w:color="FFFFFF"/>
              <w:left w:val="nil"/>
              <w:bottom w:val="nil"/>
              <w:right w:val="single" w:sz="8" w:space="0" w:color="4B4B4B"/>
            </w:tcBorders>
            <w:vAlign w:val="center"/>
            <w:hideMark/>
          </w:tcPr>
          <w:p w:rsidR="00A262E1" w:rsidRPr="00BA2DC6" w:rsidRDefault="00A262E1" w:rsidP="00207DB4">
            <w:pPr>
              <w:jc w:val="left"/>
              <w:rPr>
                <w:rFonts w:eastAsia="Times New Roman" w:cs="Arial"/>
                <w:color w:val="FFFFFF"/>
                <w:lang w:eastAsia="es-MX"/>
              </w:rPr>
            </w:pPr>
          </w:p>
        </w:tc>
        <w:tc>
          <w:tcPr>
            <w:tcW w:w="2039" w:type="dxa"/>
            <w:vMerge/>
            <w:tcBorders>
              <w:top w:val="single" w:sz="4" w:space="0" w:color="FFFFFF"/>
              <w:left w:val="single" w:sz="8" w:space="0" w:color="4B4B4B"/>
              <w:bottom w:val="nil"/>
              <w:right w:val="nil"/>
            </w:tcBorders>
            <w:vAlign w:val="center"/>
            <w:hideMark/>
          </w:tcPr>
          <w:p w:rsidR="00A262E1" w:rsidRPr="00BA2DC6" w:rsidRDefault="00A262E1" w:rsidP="00207DB4">
            <w:pPr>
              <w:jc w:val="left"/>
              <w:rPr>
                <w:rFonts w:eastAsia="Times New Roman" w:cs="Arial"/>
                <w:color w:val="FFFFFF"/>
                <w:lang w:eastAsia="es-MX"/>
              </w:rPr>
            </w:pPr>
          </w:p>
        </w:tc>
        <w:tc>
          <w:tcPr>
            <w:tcW w:w="1959" w:type="dxa"/>
            <w:vMerge/>
            <w:tcBorders>
              <w:top w:val="single" w:sz="4" w:space="0" w:color="FFFFFF"/>
              <w:left w:val="nil"/>
              <w:bottom w:val="nil"/>
              <w:right w:val="nil"/>
            </w:tcBorders>
            <w:vAlign w:val="center"/>
            <w:hideMark/>
          </w:tcPr>
          <w:p w:rsidR="00A262E1" w:rsidRPr="00BA2DC6" w:rsidRDefault="00A262E1" w:rsidP="00207DB4">
            <w:pPr>
              <w:jc w:val="left"/>
              <w:rPr>
                <w:rFonts w:eastAsia="Times New Roman" w:cs="Arial"/>
                <w:color w:val="FFFFFF"/>
                <w:lang w:eastAsia="es-MX"/>
              </w:rPr>
            </w:pPr>
          </w:p>
        </w:tc>
        <w:tc>
          <w:tcPr>
            <w:tcW w:w="1834" w:type="dxa"/>
            <w:vMerge/>
            <w:tcBorders>
              <w:top w:val="single" w:sz="4" w:space="0" w:color="FFFFFF"/>
              <w:left w:val="nil"/>
              <w:bottom w:val="nil"/>
              <w:right w:val="nil"/>
            </w:tcBorders>
            <w:vAlign w:val="center"/>
            <w:hideMark/>
          </w:tcPr>
          <w:p w:rsidR="00A262E1" w:rsidRPr="00BA2DC6" w:rsidRDefault="00A262E1" w:rsidP="00207DB4">
            <w:pPr>
              <w:jc w:val="left"/>
              <w:rPr>
                <w:rFonts w:eastAsia="Times New Roman" w:cs="Arial"/>
                <w:color w:val="FFFFFF"/>
                <w:lang w:eastAsia="es-MX"/>
              </w:rPr>
            </w:pPr>
          </w:p>
        </w:tc>
      </w:tr>
      <w:tr w:rsidR="00A262E1" w:rsidRPr="00EE6AF7" w:rsidTr="00207DB4">
        <w:trPr>
          <w:trHeight w:val="20"/>
          <w:jc w:val="center"/>
        </w:trPr>
        <w:tc>
          <w:tcPr>
            <w:tcW w:w="187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0.00 </w:t>
            </w:r>
          </w:p>
        </w:tc>
        <w:tc>
          <w:tcPr>
            <w:tcW w:w="180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8,133,229.20 </w:t>
            </w:r>
          </w:p>
        </w:tc>
        <w:tc>
          <w:tcPr>
            <w:tcW w:w="20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170,953.90 </w:t>
            </w:r>
          </w:p>
        </w:tc>
        <w:tc>
          <w:tcPr>
            <w:tcW w:w="203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109,516.83 </w:t>
            </w:r>
          </w:p>
        </w:tc>
        <w:tc>
          <w:tcPr>
            <w:tcW w:w="195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1,832,313.73 </w:t>
            </w:r>
          </w:p>
        </w:tc>
        <w:tc>
          <w:tcPr>
            <w:tcW w:w="18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562,240.50 </w:t>
            </w:r>
          </w:p>
        </w:tc>
      </w:tr>
      <w:tr w:rsidR="00A262E1" w:rsidRPr="00EE6AF7" w:rsidTr="00207DB4">
        <w:trPr>
          <w:trHeight w:val="20"/>
          <w:jc w:val="center"/>
        </w:trPr>
        <w:tc>
          <w:tcPr>
            <w:tcW w:w="187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8,133,229.20 </w:t>
            </w:r>
          </w:p>
        </w:tc>
        <w:tc>
          <w:tcPr>
            <w:tcW w:w="180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24,330,251.14 </w:t>
            </w:r>
          </w:p>
        </w:tc>
        <w:tc>
          <w:tcPr>
            <w:tcW w:w="2034"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257,751.56 </w:t>
            </w:r>
          </w:p>
        </w:tc>
        <w:tc>
          <w:tcPr>
            <w:tcW w:w="203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140,224.79 </w:t>
            </w:r>
          </w:p>
        </w:tc>
        <w:tc>
          <w:tcPr>
            <w:tcW w:w="195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1,939,146.83 </w:t>
            </w:r>
          </w:p>
        </w:tc>
        <w:tc>
          <w:tcPr>
            <w:tcW w:w="1834"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884,102.28 </w:t>
            </w:r>
          </w:p>
        </w:tc>
      </w:tr>
      <w:tr w:rsidR="00A262E1" w:rsidRPr="00EE6AF7" w:rsidTr="00207DB4">
        <w:trPr>
          <w:trHeight w:val="20"/>
          <w:jc w:val="center"/>
        </w:trPr>
        <w:tc>
          <w:tcPr>
            <w:tcW w:w="187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24,330,251.14 </w:t>
            </w:r>
          </w:p>
        </w:tc>
        <w:tc>
          <w:tcPr>
            <w:tcW w:w="180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48,589,712.88 </w:t>
            </w:r>
          </w:p>
        </w:tc>
        <w:tc>
          <w:tcPr>
            <w:tcW w:w="20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598,305.34 </w:t>
            </w:r>
          </w:p>
        </w:tc>
        <w:tc>
          <w:tcPr>
            <w:tcW w:w="203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325,866.76 </w:t>
            </w:r>
          </w:p>
        </w:tc>
        <w:tc>
          <w:tcPr>
            <w:tcW w:w="195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2,262,351.01 </w:t>
            </w:r>
          </w:p>
        </w:tc>
        <w:tc>
          <w:tcPr>
            <w:tcW w:w="18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1,031,005.20 </w:t>
            </w:r>
          </w:p>
        </w:tc>
      </w:tr>
      <w:tr w:rsidR="00A262E1" w:rsidRPr="00EE6AF7" w:rsidTr="00207DB4">
        <w:trPr>
          <w:trHeight w:val="20"/>
          <w:jc w:val="center"/>
        </w:trPr>
        <w:tc>
          <w:tcPr>
            <w:tcW w:w="187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48,589,712.88 </w:t>
            </w:r>
          </w:p>
        </w:tc>
        <w:tc>
          <w:tcPr>
            <w:tcW w:w="180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80,982,403.81 </w:t>
            </w:r>
          </w:p>
        </w:tc>
        <w:tc>
          <w:tcPr>
            <w:tcW w:w="2034"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938,865.45 </w:t>
            </w:r>
          </w:p>
        </w:tc>
        <w:tc>
          <w:tcPr>
            <w:tcW w:w="203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407,330.81 </w:t>
            </w:r>
          </w:p>
        </w:tc>
        <w:tc>
          <w:tcPr>
            <w:tcW w:w="195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2,369,183.05 </w:t>
            </w:r>
          </w:p>
        </w:tc>
        <w:tc>
          <w:tcPr>
            <w:tcW w:w="1834"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1,079,095.53 </w:t>
            </w:r>
          </w:p>
        </w:tc>
      </w:tr>
      <w:tr w:rsidR="00A262E1" w:rsidRPr="00EE6AF7" w:rsidTr="00207DB4">
        <w:trPr>
          <w:trHeight w:val="20"/>
          <w:jc w:val="center"/>
        </w:trPr>
        <w:tc>
          <w:tcPr>
            <w:tcW w:w="187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80,982,403.81 </w:t>
            </w:r>
          </w:p>
        </w:tc>
        <w:tc>
          <w:tcPr>
            <w:tcW w:w="180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186,293,716.37 </w:t>
            </w:r>
          </w:p>
        </w:tc>
        <w:tc>
          <w:tcPr>
            <w:tcW w:w="20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1,109,803.49 </w:t>
            </w:r>
          </w:p>
        </w:tc>
        <w:tc>
          <w:tcPr>
            <w:tcW w:w="203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480,790.19 </w:t>
            </w:r>
          </w:p>
        </w:tc>
        <w:tc>
          <w:tcPr>
            <w:tcW w:w="195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3,012,906.62 </w:t>
            </w:r>
          </w:p>
        </w:tc>
        <w:tc>
          <w:tcPr>
            <w:tcW w:w="18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1,215,304.78 </w:t>
            </w:r>
          </w:p>
        </w:tc>
      </w:tr>
      <w:tr w:rsidR="00A262E1" w:rsidRPr="00EE6AF7" w:rsidTr="00207DB4">
        <w:trPr>
          <w:trHeight w:val="20"/>
          <w:jc w:val="center"/>
        </w:trPr>
        <w:tc>
          <w:tcPr>
            <w:tcW w:w="187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186,293,716.37 </w:t>
            </w:r>
          </w:p>
        </w:tc>
        <w:tc>
          <w:tcPr>
            <w:tcW w:w="180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242,945,880.67 </w:t>
            </w:r>
          </w:p>
        </w:tc>
        <w:tc>
          <w:tcPr>
            <w:tcW w:w="2034"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1,363,550.08 </w:t>
            </w:r>
          </w:p>
        </w:tc>
        <w:tc>
          <w:tcPr>
            <w:tcW w:w="203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532,871.75 </w:t>
            </w:r>
          </w:p>
        </w:tc>
        <w:tc>
          <w:tcPr>
            <w:tcW w:w="195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3,445,594.86 </w:t>
            </w:r>
          </w:p>
        </w:tc>
        <w:tc>
          <w:tcPr>
            <w:tcW w:w="1834"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1,387,589.43 </w:t>
            </w:r>
          </w:p>
        </w:tc>
      </w:tr>
      <w:tr w:rsidR="00A262E1" w:rsidRPr="00EE6AF7" w:rsidTr="00207DB4">
        <w:trPr>
          <w:trHeight w:val="20"/>
          <w:jc w:val="center"/>
        </w:trPr>
        <w:tc>
          <w:tcPr>
            <w:tcW w:w="187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242,945,880.67 </w:t>
            </w:r>
          </w:p>
        </w:tc>
        <w:tc>
          <w:tcPr>
            <w:tcW w:w="180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Mayor a 242,945,880.67</w:t>
            </w:r>
          </w:p>
        </w:tc>
        <w:tc>
          <w:tcPr>
            <w:tcW w:w="20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1,535,834.74 </w:t>
            </w:r>
          </w:p>
        </w:tc>
        <w:tc>
          <w:tcPr>
            <w:tcW w:w="203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599,637.16 </w:t>
            </w:r>
          </w:p>
        </w:tc>
        <w:tc>
          <w:tcPr>
            <w:tcW w:w="195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3,874,299.26 </w:t>
            </w:r>
          </w:p>
        </w:tc>
        <w:tc>
          <w:tcPr>
            <w:tcW w:w="18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1,563,880.12 </w:t>
            </w:r>
          </w:p>
        </w:tc>
      </w:tr>
    </w:tbl>
    <w:p w:rsidR="00FA49E9" w:rsidRDefault="009C1791">
      <w:r>
        <w:br w:type="page"/>
      </w:r>
    </w:p>
    <w:p w:rsidR="00FA49E9" w:rsidRDefault="009C1791">
      <w:pPr>
        <w:pStyle w:val="Ttulo2"/>
      </w:pPr>
      <w:bookmarkStart w:id="50" w:name="X5f78083ee93acd624fbabcb1e7464bd128454f5"/>
      <w:bookmarkEnd w:id="47"/>
      <w:bookmarkEnd w:id="49"/>
      <w:r>
        <w:t>ANEXO 11. TRANSFERENCIAS, ASIGNACIONES, SUBSIDIOS, DONATIVOS Y OTRAS AYUDAS</w:t>
      </w:r>
    </w:p>
    <w:p w:rsidR="00FA49E9" w:rsidRDefault="00FA49E9"/>
    <w:p w:rsidR="00FA49E9" w:rsidRDefault="009C1791">
      <w:pPr>
        <w:pStyle w:val="Ttulo3"/>
      </w:pPr>
      <w:bookmarkStart w:id="51" w:name="Xf0e430641f2436579a6d0a1fdd011a88943c54a"/>
      <w:r>
        <w:t>ANEXO 11.1. PRESUPUESTO ASIGNADO A DONATIVOS, SUBSIDIOS Y SUBVENCIONES</w:t>
      </w:r>
    </w:p>
    <w:p w:rsidR="00FA49E9" w:rsidRDefault="00FA49E9"/>
    <w:p w:rsidR="00FA49E9" w:rsidRDefault="009C1791">
      <w:pPr>
        <w:pStyle w:val="Ttulo4"/>
      </w:pPr>
      <w:bookmarkStart w:id="52" w:name="X08060c0936346f4c5028cb9d85211e1010b0f3a"/>
      <w:r>
        <w:t>ANEXO 11.1.1. PRESUPUESTO ASIGNADO A DONATIVOS</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DONATIVOS A INSTITUCIONES SIN FINES DE LUCRO</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ATENCIÓN Y DESARROLLO DE LAS ORGANIZACIONES SOCIALES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19,668,641</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ENTREGA DE DONATIVO A LA CRUZ ROJA</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1,668,641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ENTREGA DE DONATIVO A LA FUNDACIÓN DEL EMPRESARIADO YUCATECO MÉRIDA</w:t>
            </w:r>
          </w:p>
        </w:tc>
        <w:tc>
          <w:tcPr>
            <w:tcW w:w="3370" w:type="dxa"/>
            <w:shd w:val="clear" w:color="auto" w:fill="FFFFFF"/>
            <w:tcMar>
              <w:top w:w="0" w:type="dxa"/>
              <w:left w:w="0" w:type="dxa"/>
              <w:bottom w:w="0" w:type="dxa"/>
              <w:right w:w="0" w:type="dxa"/>
            </w:tcMar>
          </w:tcPr>
          <w:p w:rsidR="00FA49E9" w:rsidRPr="00EE6AF7" w:rsidRDefault="00637359">
            <w:pPr>
              <w:spacing w:before="120" w:after="120"/>
              <w:ind w:left="120" w:right="120"/>
              <w:jc w:val="right"/>
            </w:pPr>
            <w:r>
              <w:rPr>
                <w:rFonts w:eastAsia="Arial" w:cs="Arial"/>
                <w:color w:val="000000"/>
              </w:rPr>
              <w:t>4</w:t>
            </w:r>
            <w:r w:rsidR="009C1791">
              <w:rPr>
                <w:rFonts w:eastAsia="Arial" w:cs="Arial"/>
                <w:color w:val="000000"/>
              </w:rPr>
              <w:t>,000,000</w:t>
            </w:r>
          </w:p>
        </w:tc>
      </w:tr>
      <w:tr w:rsidR="0093254F" w:rsidRPr="00EE6AF7" w:rsidTr="00637359">
        <w:trPr>
          <w:cantSplit/>
          <w:jc w:val="center"/>
        </w:trPr>
        <w:tc>
          <w:tcPr>
            <w:tcW w:w="7862" w:type="dxa"/>
            <w:tcBorders>
              <w:bottom w:val="single" w:sz="16" w:space="0" w:color="FFFFFF"/>
            </w:tcBorders>
            <w:shd w:val="clear" w:color="auto" w:fill="F3F3F3"/>
            <w:tcMar>
              <w:top w:w="0" w:type="dxa"/>
              <w:left w:w="0" w:type="dxa"/>
              <w:bottom w:w="0" w:type="dxa"/>
              <w:right w:w="0" w:type="dxa"/>
            </w:tcMar>
          </w:tcPr>
          <w:p w:rsidR="0093254F" w:rsidRDefault="00637359">
            <w:pPr>
              <w:spacing w:before="120" w:after="120"/>
              <w:ind w:left="120" w:right="120"/>
              <w:jc w:val="left"/>
              <w:rPr>
                <w:rFonts w:eastAsia="Arial" w:cs="Arial"/>
                <w:color w:val="FFFFFF"/>
              </w:rPr>
            </w:pPr>
            <w:r w:rsidRPr="00EE6AF7">
              <w:rPr>
                <w:rFonts w:eastAsia="Arial" w:cs="Arial"/>
                <w:color w:val="000000"/>
              </w:rPr>
              <w:t>OTORGAMIENTO DE APOYO ECONÓMICO A ORGANIZACIONES DE LA SOCIEDAD CIVIL QUE TIENEN POR OBJETO LA ASISTENCIA SOCIAL</w:t>
            </w:r>
          </w:p>
        </w:tc>
        <w:tc>
          <w:tcPr>
            <w:tcW w:w="3370" w:type="dxa"/>
            <w:tcBorders>
              <w:bottom w:val="single" w:sz="16" w:space="0" w:color="FFFFFF"/>
            </w:tcBorders>
            <w:shd w:val="clear" w:color="auto" w:fill="F3F3F3"/>
            <w:tcMar>
              <w:top w:w="0" w:type="dxa"/>
              <w:left w:w="0" w:type="dxa"/>
              <w:bottom w:w="0" w:type="dxa"/>
              <w:right w:w="0" w:type="dxa"/>
            </w:tcMar>
            <w:vAlign w:val="center"/>
          </w:tcPr>
          <w:p w:rsidR="0093254F" w:rsidRDefault="00637359" w:rsidP="00637359">
            <w:pPr>
              <w:spacing w:before="120" w:after="120"/>
              <w:ind w:left="120" w:right="120"/>
              <w:jc w:val="right"/>
              <w:rPr>
                <w:rFonts w:eastAsia="Arial" w:cs="Arial"/>
                <w:color w:val="FFFFFF"/>
              </w:rPr>
            </w:pPr>
            <w:r w:rsidRPr="00EE6AF7">
              <w:rPr>
                <w:rFonts w:eastAsia="Arial" w:cs="Arial"/>
                <w:color w:val="000000"/>
              </w:rPr>
              <w:t>14,000,000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PRESERVACIÓN, FOMENTO Y DIFUSIÓN DEL PATRIMONIO HISTÓRICO, ARTÍSTICO Y BIOCULTURAL DEL ESTADO DE YUCATÁN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2,000,000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DONATIVOS ECONÓMICOS A MUSEOS DE LA CIUDAD DE MÉRIDA REGIDOS POR ASOCIACIONES CIVILES CON OBJETO DE PROMOCIÓN CULTURAL.</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21,668,641</w:t>
            </w:r>
          </w:p>
        </w:tc>
      </w:tr>
    </w:tbl>
    <w:p w:rsidR="00FA49E9" w:rsidRDefault="009C1791">
      <w:r>
        <w:br w:type="page"/>
      </w:r>
    </w:p>
    <w:p w:rsidR="00FA49E9" w:rsidRDefault="009C1791">
      <w:pPr>
        <w:pStyle w:val="Ttulo4"/>
      </w:pPr>
      <w:bookmarkStart w:id="53" w:name="X57a0234755b4d8b9338720d2ad11d9c676a3ab3"/>
      <w:bookmarkEnd w:id="52"/>
      <w:r>
        <w:t>ANEXO 11.1.2. PRESUPUESTO ASIGNADO A SUBSIDIOS Y SUBVENCIONES</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SUBSIDIOS Y SUBVENCIONES</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A LA PRESTACIÓN DE SERVICIOS PÚBLICOS</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100,535,566</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MODERNIZACIÓN DEL SISTEMA DE TRANSPORTE PÚBLICO</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100,265,566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LA SALUD MENTAL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A LA PRODUCCIÓN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216,400,000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3,050,000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174,000,000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RESTAURACIÓN Y CONSERVACIÓN DE LOS ECOSISTEMAS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PARA CAPACITACIÓN Y BECAS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44,828,458</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30,271,432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1,879,090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EDUCACIÓN PARA LA PROFESIONALIZACIÓN ARTÍSTICA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332,020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9,168,716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EMPLEO DE CALIDAD, INCLUYENTE Y FORMAL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INSTITUCIONES DE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137,200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CALIDAD EN INSTITUCIONES DE EDUCACIÓN SUPERIOR PÚBLICAS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PARA INVERSIÓN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280,439,200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CRECIMIENTO INDUSTRIAL SOSTENIBLE</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72,125,926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239,200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INCREMENTO DE LA INVERSIÓN EXTRANJERA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92,733,333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Y COMERCIALIZACIÓN EMPRESARIAL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113,340,741</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RENDICIÓN DE CUENTAS EN INSTITUCIONES DE SEGURIDAD, JUSTICIA Y GOBERNABILIDAD</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642,203,224</w:t>
            </w:r>
          </w:p>
        </w:tc>
      </w:tr>
    </w:tbl>
    <w:p w:rsidR="00FA49E9" w:rsidRDefault="009C1791">
      <w:r>
        <w:br w:type="page"/>
      </w:r>
    </w:p>
    <w:p w:rsidR="00FA49E9" w:rsidRDefault="009C1791">
      <w:pPr>
        <w:pStyle w:val="Ttulo3"/>
      </w:pPr>
      <w:bookmarkStart w:id="54" w:name="anexo-11.2.-subsidios-a-la-producción"/>
      <w:bookmarkEnd w:id="51"/>
      <w:bookmarkEnd w:id="53"/>
      <w:r>
        <w:t>ANEXO 11.2. SUBSIDIOS A LA PRODUCCIÓN</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SUBSIDIOS A LA PRODUCCIÓN</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3,050,000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174,000,000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RESTAURACIÓN Y CONSERVACIÓN DE LOS ECOSISTEMAS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800,000</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216,400,000</w:t>
            </w:r>
          </w:p>
        </w:tc>
      </w:tr>
    </w:tbl>
    <w:p w:rsidR="00FA49E9" w:rsidRDefault="009C1791">
      <w:r>
        <w:br w:type="page"/>
      </w:r>
    </w:p>
    <w:p w:rsidR="00FA49E9" w:rsidRDefault="009C1791">
      <w:pPr>
        <w:pStyle w:val="Ttulo3"/>
      </w:pPr>
      <w:bookmarkStart w:id="55" w:name="X2357a08dac811f548b5d72844b3ff198c9cd8ef"/>
      <w:bookmarkEnd w:id="54"/>
      <w:r>
        <w:t>ANEXO 11.3. PRESUPUESTO ASIGNADO PARA AYUDAS SOCIALES</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AYUDAS SOCIALES</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APOYO A LA VIVIENDA</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300,000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PRODUCTOS Y SERVICIOS TURÍSTICOS INCLUYENTES Y DE CALIDAD</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APOYO A VOLUNTARIOS QUE PARTICIPAN EN DIVERSOS PROGRAMAS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40,467,422</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DEL REZAGO EDUCATIVO Y ANALFABETISMO</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19,079,084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4,320,000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14,552,088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AL DEPORTE DE ALTO RENDIMIENTO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2,516,250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AYUDAS A INSTITUCIONES SIN FINES DE LUCRO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41,549,620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14,760,007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7,079,993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Y DESARROLLO DE LAS ORGANIZACIONES SOCIALES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409,337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Y DERECHOS HUMANOS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AL CONOCIMIENTO CIENTÍFICO, TECNOLÓGICO E INNOVACIÓN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11,265,594</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CALIDAD EN INSTITUCIONES DE EDUCACIÓN SUPERIOR PÚBLICAS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7,765,189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AYUDAS EXTRAORDINARIAS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168,430,927</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89,338,000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JURÍDICA AL SECTOR PÚBLICO Y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75,200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14,332,732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A MIGRANTES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47,600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A VÍCTIMAS DE VIOLENCIA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58,548,904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PRODUCTOS Y SERVICIOS TURÍSTICOS INCLUYENTES Y DE CALIDAD</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DIFUSIÓN DE LA CULTURA TRADICIONAL YUCATECA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201,352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484,622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A LAS VIOLENCIAS CONTRA LAS MUJERES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REDUCCIÓN DE LAS BRECHAS SOCIALES DE LOS PUEBLOS INDÍGENAS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REINSERCIÓN SOCIAL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2,720,517</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FINANCIAMIENTO PÚBLICO A PARTIDOS POLÍTICOS PARA ACTIVIDADES ESPECÍFICAS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6,842,662</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OPERACIÓN Y ADMINISTRACIÓN DEL IEPAC</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6,842,662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FINANCIAMIENTO PÚBLICO A PARTIDOS POLÍTICOS PARA ACTIVIDADES ORDINARIAS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97,752,321</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OPERACIÓN Y ADMINISTRACIÓN DEL IEPAC</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97,752,321</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GASTOS POR SERVICIOS DE TRASLADO DE PERSONAS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645,500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LA SALUD REPRODUCTIVA</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180,500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FORMACIÓN DE CAPITAL HUMANO EN ÁREAS ESTRATÉGICAS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GASTOS RELACIONADOS CON ACTIVIDADES CULTURALES, DEPORTIVAS Y RELIGIOSAS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58,850,000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58,100,000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SENSIBILIZACIÓN HACIA EL CONSUMO CULTURAL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PREMIOS, ESTÍMULOS, RECOMPENSAS Y BECAS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5,551,625</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CONSOLIDACIÓN DEL SISTEMA DE SEGUIMIENTO Y EVALUACIÓN DEL DESEMPEÑO</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DIFUSIÓN DE LA CULTURA TRADICIONAL YUCATECA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AL DEPORTE DE ALTO RENDIMIENTO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VINCULACIÓN, PROMOCIÓN Y GESTIÓN CON EL SECTOR PRODUCTIVO Y SOCIAL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1,381,625</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PREMIOS, RECOMPENSAS, PENSIONES DE GRACIA Y PENSIÓN RECREATIVA ESTUDIANTIL</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1,077,658</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INCLUYENTE A LA OFERTA CULTURAL</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LA CREACIÓN Y MANIFESTACIÓN ARTÍSTICA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DIFUSIÓN DE LA CULTURA TRADICIONAL YUCATECA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650,658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VIGILANCIA DE LA APLICACIÓN DE LOS RECURSOS PÚBLICOS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VINCULACIÓN, PROMOCIÓN Y GESTIÓN CON EL SECTOR PRODUCTIVO Y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PROGRAMAS DE CAPACITACIÓN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500,000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500,000</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421,967,735</w:t>
            </w:r>
          </w:p>
        </w:tc>
      </w:tr>
    </w:tbl>
    <w:p w:rsidR="00FA49E9" w:rsidRDefault="009C1791">
      <w:r>
        <w:br w:type="page"/>
      </w:r>
    </w:p>
    <w:p w:rsidR="00FA49E9" w:rsidRDefault="009C1791">
      <w:pPr>
        <w:pStyle w:val="Ttulo3"/>
      </w:pPr>
      <w:bookmarkStart w:id="56" w:name="Xda52cd8154eff24eaa441f7a0b06c3cb7670c45"/>
      <w:bookmarkEnd w:id="55"/>
      <w:r>
        <w:t>ANEXO 11.4. FINANCIAMIENTOS A PARTIDOS POLÍTICOS</w:t>
      </w:r>
    </w:p>
    <w:p w:rsidR="00FA49E9" w:rsidRDefault="00FA49E9"/>
    <w:p w:rsidR="00FA49E9" w:rsidRDefault="009C1791">
      <w:pPr>
        <w:pStyle w:val="Ttulo4"/>
      </w:pPr>
      <w:bookmarkStart w:id="57" w:name="Xd453c7c6beef26aa10c84c843c8d25cf45e9b90"/>
      <w:r>
        <w:t>ANEXO 11.4.1 PRERROGATIVAS A PARTIDOS POLÍTICOS</w:t>
      </w:r>
    </w:p>
    <w:p w:rsidR="00BE53A8" w:rsidRDefault="00BE53A8" w:rsidP="00BE53A8"/>
    <w:tbl>
      <w:tblPr>
        <w:tblW w:w="5927" w:type="dxa"/>
        <w:jc w:val="center"/>
        <w:tblCellMar>
          <w:left w:w="70" w:type="dxa"/>
          <w:right w:w="70" w:type="dxa"/>
        </w:tblCellMar>
        <w:tblLook w:val="04A0" w:firstRow="1" w:lastRow="0" w:firstColumn="1" w:lastColumn="0" w:noHBand="0" w:noVBand="1"/>
      </w:tblPr>
      <w:tblGrid>
        <w:gridCol w:w="4112"/>
        <w:gridCol w:w="1815"/>
      </w:tblGrid>
      <w:tr w:rsidR="003A47AF" w:rsidRPr="00EE6AF7" w:rsidTr="00EE6AF7">
        <w:trPr>
          <w:trHeight w:val="270"/>
          <w:jc w:val="center"/>
        </w:trPr>
        <w:tc>
          <w:tcPr>
            <w:tcW w:w="4112" w:type="dxa"/>
            <w:tcBorders>
              <w:top w:val="single" w:sz="8" w:space="0" w:color="auto"/>
              <w:left w:val="single" w:sz="8" w:space="0" w:color="auto"/>
              <w:bottom w:val="single" w:sz="8" w:space="0" w:color="auto"/>
              <w:right w:val="single" w:sz="4" w:space="0" w:color="auto"/>
            </w:tcBorders>
            <w:shd w:val="clear" w:color="auto" w:fill="BFBFBF"/>
            <w:noWrap/>
            <w:vAlign w:val="bottom"/>
            <w:hideMark/>
          </w:tcPr>
          <w:p w:rsidR="003A47AF" w:rsidRPr="003A47AF" w:rsidRDefault="003A47AF" w:rsidP="003A47AF">
            <w:pPr>
              <w:jc w:val="center"/>
              <w:rPr>
                <w:rFonts w:eastAsia="Times New Roman" w:cs="Arial"/>
                <w:lang w:eastAsia="es-MX"/>
              </w:rPr>
            </w:pPr>
            <w:r w:rsidRPr="003A47AF">
              <w:rPr>
                <w:rFonts w:eastAsia="Times New Roman" w:cs="Arial"/>
                <w:lang w:eastAsia="es-MX"/>
              </w:rPr>
              <w:t>PARTIDO</w:t>
            </w:r>
          </w:p>
        </w:tc>
        <w:tc>
          <w:tcPr>
            <w:tcW w:w="1815" w:type="dxa"/>
            <w:tcBorders>
              <w:top w:val="single" w:sz="8" w:space="0" w:color="auto"/>
              <w:left w:val="nil"/>
              <w:bottom w:val="single" w:sz="8" w:space="0" w:color="auto"/>
              <w:right w:val="single" w:sz="8" w:space="0" w:color="auto"/>
            </w:tcBorders>
            <w:shd w:val="clear" w:color="auto" w:fill="BFBFBF"/>
            <w:noWrap/>
            <w:vAlign w:val="bottom"/>
            <w:hideMark/>
          </w:tcPr>
          <w:p w:rsidR="003A47AF" w:rsidRPr="003A47AF" w:rsidRDefault="003A47AF" w:rsidP="003A47AF">
            <w:pPr>
              <w:jc w:val="center"/>
              <w:rPr>
                <w:rFonts w:eastAsia="Times New Roman" w:cs="Arial"/>
                <w:color w:val="000000"/>
                <w:lang w:eastAsia="es-MX"/>
              </w:rPr>
            </w:pPr>
            <w:r w:rsidRPr="003A47AF">
              <w:rPr>
                <w:rFonts w:eastAsia="Times New Roman" w:cs="Arial"/>
                <w:color w:val="000000"/>
                <w:lang w:eastAsia="es-MX"/>
              </w:rPr>
              <w:t>TOTAL</w:t>
            </w:r>
          </w:p>
        </w:tc>
      </w:tr>
      <w:tr w:rsidR="003A47AF" w:rsidRPr="00EE6AF7" w:rsidTr="06D1B7C6">
        <w:trPr>
          <w:trHeight w:val="255"/>
          <w:jc w:val="center"/>
        </w:trPr>
        <w:tc>
          <w:tcPr>
            <w:tcW w:w="4112" w:type="dxa"/>
            <w:tcBorders>
              <w:top w:val="single" w:sz="4" w:space="0" w:color="auto"/>
              <w:left w:val="single" w:sz="4" w:space="0" w:color="auto"/>
              <w:bottom w:val="single" w:sz="4" w:space="0" w:color="auto"/>
              <w:right w:val="single" w:sz="4" w:space="0" w:color="auto"/>
            </w:tcBorders>
            <w:shd w:val="clear" w:color="auto" w:fill="auto"/>
            <w:noWrap/>
            <w:hideMark/>
          </w:tcPr>
          <w:p w:rsidR="003A47AF" w:rsidRPr="003A47AF" w:rsidRDefault="003A47AF" w:rsidP="003A47AF">
            <w:pPr>
              <w:jc w:val="left"/>
              <w:rPr>
                <w:rFonts w:eastAsia="Times New Roman" w:cs="Arial"/>
                <w:lang w:eastAsia="es-MX"/>
              </w:rPr>
            </w:pPr>
            <w:r w:rsidRPr="003A47AF">
              <w:rPr>
                <w:rFonts w:eastAsia="Times New Roman" w:cs="Arial"/>
                <w:lang w:eastAsia="es-MX"/>
              </w:rPr>
              <w:t>PAN</w:t>
            </w:r>
          </w:p>
        </w:tc>
        <w:tc>
          <w:tcPr>
            <w:tcW w:w="1815" w:type="dxa"/>
            <w:tcBorders>
              <w:top w:val="single" w:sz="4" w:space="0" w:color="auto"/>
              <w:left w:val="nil"/>
              <w:bottom w:val="single" w:sz="4" w:space="0" w:color="auto"/>
              <w:right w:val="single" w:sz="4" w:space="0" w:color="auto"/>
            </w:tcBorders>
            <w:shd w:val="clear" w:color="auto" w:fill="auto"/>
            <w:noWrap/>
            <w:hideMark/>
          </w:tcPr>
          <w:p w:rsidR="003A47AF" w:rsidRPr="003A47AF" w:rsidRDefault="003A47AF" w:rsidP="003A47AF">
            <w:pPr>
              <w:jc w:val="right"/>
              <w:rPr>
                <w:rFonts w:eastAsia="Times New Roman" w:cs="Arial"/>
                <w:lang w:eastAsia="es-MX"/>
              </w:rPr>
            </w:pPr>
            <w:r w:rsidRPr="00EE6AF7">
              <w:rPr>
                <w:rFonts w:cs="Arial"/>
              </w:rPr>
              <w:t xml:space="preserve">29,847,352.35 </w:t>
            </w:r>
          </w:p>
        </w:tc>
      </w:tr>
      <w:tr w:rsidR="003A47AF" w:rsidRPr="00EE6AF7" w:rsidTr="00EE6AF7">
        <w:trPr>
          <w:trHeight w:val="255"/>
          <w:jc w:val="center"/>
        </w:trPr>
        <w:tc>
          <w:tcPr>
            <w:tcW w:w="4112" w:type="dxa"/>
            <w:tcBorders>
              <w:top w:val="nil"/>
              <w:left w:val="single" w:sz="4" w:space="0" w:color="auto"/>
              <w:bottom w:val="single" w:sz="4" w:space="0" w:color="auto"/>
              <w:right w:val="single" w:sz="4" w:space="0" w:color="auto"/>
            </w:tcBorders>
            <w:shd w:val="clear" w:color="auto" w:fill="F2F2F2"/>
            <w:noWrap/>
            <w:vAlign w:val="center"/>
            <w:hideMark/>
          </w:tcPr>
          <w:p w:rsidR="003A47AF" w:rsidRPr="003A47AF" w:rsidRDefault="003A47AF" w:rsidP="003A47AF">
            <w:pPr>
              <w:jc w:val="left"/>
              <w:rPr>
                <w:rFonts w:eastAsia="Times New Roman" w:cs="Arial"/>
                <w:lang w:eastAsia="es-MX"/>
              </w:rPr>
            </w:pPr>
            <w:r w:rsidRPr="003A47AF">
              <w:rPr>
                <w:rFonts w:eastAsia="Times New Roman" w:cs="Arial"/>
                <w:lang w:eastAsia="es-MX"/>
              </w:rPr>
              <w:t>PRI</w:t>
            </w:r>
          </w:p>
        </w:tc>
        <w:tc>
          <w:tcPr>
            <w:tcW w:w="1815" w:type="dxa"/>
            <w:tcBorders>
              <w:top w:val="nil"/>
              <w:left w:val="nil"/>
              <w:bottom w:val="single" w:sz="4" w:space="0" w:color="auto"/>
              <w:right w:val="single" w:sz="4" w:space="0" w:color="auto"/>
            </w:tcBorders>
            <w:shd w:val="clear" w:color="auto" w:fill="F2F2F2"/>
            <w:noWrap/>
            <w:vAlign w:val="center"/>
            <w:hideMark/>
          </w:tcPr>
          <w:p w:rsidR="003A47AF" w:rsidRPr="003A47AF" w:rsidRDefault="003A47AF" w:rsidP="003A47AF">
            <w:pPr>
              <w:jc w:val="right"/>
              <w:rPr>
                <w:rFonts w:eastAsia="Times New Roman" w:cs="Arial"/>
                <w:lang w:eastAsia="es-MX"/>
              </w:rPr>
            </w:pPr>
            <w:r w:rsidRPr="00EE6AF7">
              <w:rPr>
                <w:rFonts w:cs="Arial"/>
              </w:rPr>
              <w:t xml:space="preserve">20,526,347.12 </w:t>
            </w:r>
          </w:p>
        </w:tc>
      </w:tr>
      <w:tr w:rsidR="003A47AF" w:rsidRPr="00EE6AF7" w:rsidTr="06D1B7C6">
        <w:trPr>
          <w:trHeight w:val="255"/>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3A47AF" w:rsidRPr="003A47AF" w:rsidRDefault="003A47AF" w:rsidP="003A47AF">
            <w:pPr>
              <w:jc w:val="left"/>
              <w:rPr>
                <w:rFonts w:eastAsia="Times New Roman" w:cs="Arial"/>
                <w:lang w:eastAsia="es-MX"/>
              </w:rPr>
            </w:pPr>
            <w:r w:rsidRPr="003A47AF">
              <w:rPr>
                <w:rFonts w:eastAsia="Times New Roman" w:cs="Arial"/>
                <w:lang w:eastAsia="es-MX"/>
              </w:rPr>
              <w:t>PRD</w:t>
            </w:r>
          </w:p>
        </w:tc>
        <w:tc>
          <w:tcPr>
            <w:tcW w:w="1815" w:type="dxa"/>
            <w:tcBorders>
              <w:top w:val="nil"/>
              <w:left w:val="nil"/>
              <w:bottom w:val="single" w:sz="4" w:space="0" w:color="auto"/>
              <w:right w:val="single" w:sz="4" w:space="0" w:color="auto"/>
            </w:tcBorders>
            <w:shd w:val="clear" w:color="auto" w:fill="auto"/>
            <w:noWrap/>
            <w:vAlign w:val="bottom"/>
            <w:hideMark/>
          </w:tcPr>
          <w:p w:rsidR="003A47AF" w:rsidRPr="003A47AF" w:rsidRDefault="003A47AF" w:rsidP="003A47AF">
            <w:pPr>
              <w:jc w:val="right"/>
              <w:rPr>
                <w:rFonts w:eastAsia="Times New Roman" w:cs="Arial"/>
                <w:lang w:eastAsia="es-MX"/>
              </w:rPr>
            </w:pPr>
            <w:r w:rsidRPr="00EE6AF7">
              <w:rPr>
                <w:rFonts w:cs="Arial"/>
              </w:rPr>
              <w:t xml:space="preserve">6,254,717.60 </w:t>
            </w:r>
          </w:p>
        </w:tc>
      </w:tr>
      <w:tr w:rsidR="003A47AF" w:rsidRPr="00EE6AF7" w:rsidTr="00EE6AF7">
        <w:trPr>
          <w:trHeight w:val="255"/>
          <w:jc w:val="center"/>
        </w:trPr>
        <w:tc>
          <w:tcPr>
            <w:tcW w:w="4112" w:type="dxa"/>
            <w:tcBorders>
              <w:top w:val="nil"/>
              <w:left w:val="single" w:sz="4" w:space="0" w:color="auto"/>
              <w:bottom w:val="single" w:sz="4" w:space="0" w:color="auto"/>
              <w:right w:val="single" w:sz="4" w:space="0" w:color="auto"/>
            </w:tcBorders>
            <w:shd w:val="clear" w:color="auto" w:fill="F2F2F2"/>
            <w:noWrap/>
            <w:vAlign w:val="bottom"/>
            <w:hideMark/>
          </w:tcPr>
          <w:p w:rsidR="003A47AF" w:rsidRPr="003A47AF" w:rsidRDefault="003A47AF" w:rsidP="003A47AF">
            <w:pPr>
              <w:jc w:val="left"/>
              <w:rPr>
                <w:rFonts w:eastAsia="Times New Roman" w:cs="Arial"/>
                <w:lang w:eastAsia="es-MX"/>
              </w:rPr>
            </w:pPr>
            <w:r w:rsidRPr="003A47AF">
              <w:rPr>
                <w:rFonts w:eastAsia="Times New Roman" w:cs="Arial"/>
                <w:lang w:eastAsia="es-MX"/>
              </w:rPr>
              <w:t>PVEM</w:t>
            </w:r>
          </w:p>
        </w:tc>
        <w:tc>
          <w:tcPr>
            <w:tcW w:w="1815" w:type="dxa"/>
            <w:tcBorders>
              <w:top w:val="nil"/>
              <w:left w:val="nil"/>
              <w:bottom w:val="single" w:sz="4" w:space="0" w:color="auto"/>
              <w:right w:val="single" w:sz="4" w:space="0" w:color="auto"/>
            </w:tcBorders>
            <w:shd w:val="clear" w:color="auto" w:fill="F2F2F2"/>
            <w:noWrap/>
            <w:vAlign w:val="bottom"/>
            <w:hideMark/>
          </w:tcPr>
          <w:p w:rsidR="003A47AF" w:rsidRPr="003A47AF" w:rsidRDefault="003A47AF" w:rsidP="003A47AF">
            <w:pPr>
              <w:jc w:val="right"/>
              <w:rPr>
                <w:rFonts w:eastAsia="Times New Roman" w:cs="Arial"/>
                <w:lang w:eastAsia="es-MX"/>
              </w:rPr>
            </w:pPr>
            <w:r w:rsidRPr="00EE6AF7">
              <w:rPr>
                <w:rFonts w:cs="Arial"/>
              </w:rPr>
              <w:t xml:space="preserve">6,426,384.32 </w:t>
            </w:r>
          </w:p>
        </w:tc>
      </w:tr>
      <w:tr w:rsidR="003A47AF" w:rsidRPr="00EE6AF7" w:rsidTr="06D1B7C6">
        <w:trPr>
          <w:trHeight w:val="255"/>
          <w:jc w:val="center"/>
        </w:trPr>
        <w:tc>
          <w:tcPr>
            <w:tcW w:w="4112" w:type="dxa"/>
            <w:tcBorders>
              <w:top w:val="nil"/>
              <w:left w:val="single" w:sz="4" w:space="0" w:color="auto"/>
              <w:bottom w:val="single" w:sz="4" w:space="0" w:color="auto"/>
              <w:right w:val="single" w:sz="4" w:space="0" w:color="auto"/>
            </w:tcBorders>
            <w:shd w:val="clear" w:color="auto" w:fill="auto"/>
            <w:noWrap/>
            <w:vAlign w:val="center"/>
            <w:hideMark/>
          </w:tcPr>
          <w:p w:rsidR="003A47AF" w:rsidRPr="003A47AF" w:rsidRDefault="003A47AF" w:rsidP="003A47AF">
            <w:pPr>
              <w:jc w:val="left"/>
              <w:rPr>
                <w:rFonts w:eastAsia="Times New Roman" w:cs="Arial"/>
                <w:lang w:eastAsia="es-MX"/>
              </w:rPr>
            </w:pPr>
            <w:r w:rsidRPr="003A47AF">
              <w:rPr>
                <w:rFonts w:eastAsia="Times New Roman" w:cs="Arial"/>
                <w:lang w:eastAsia="es-MX"/>
              </w:rPr>
              <w:t>MORENA</w:t>
            </w:r>
          </w:p>
        </w:tc>
        <w:tc>
          <w:tcPr>
            <w:tcW w:w="1815" w:type="dxa"/>
            <w:tcBorders>
              <w:top w:val="nil"/>
              <w:left w:val="nil"/>
              <w:bottom w:val="single" w:sz="4" w:space="0" w:color="auto"/>
              <w:right w:val="single" w:sz="4" w:space="0" w:color="auto"/>
            </w:tcBorders>
            <w:shd w:val="clear" w:color="auto" w:fill="auto"/>
            <w:noWrap/>
            <w:vAlign w:val="center"/>
            <w:hideMark/>
          </w:tcPr>
          <w:p w:rsidR="003A47AF" w:rsidRPr="003A47AF" w:rsidRDefault="003A47AF" w:rsidP="003A47AF">
            <w:pPr>
              <w:jc w:val="right"/>
              <w:rPr>
                <w:rFonts w:eastAsia="Times New Roman" w:cs="Arial"/>
                <w:lang w:eastAsia="es-MX"/>
              </w:rPr>
            </w:pPr>
            <w:r w:rsidRPr="00EE6AF7">
              <w:rPr>
                <w:rFonts w:cs="Arial"/>
              </w:rPr>
              <w:t xml:space="preserve">22,301,943.72 </w:t>
            </w:r>
          </w:p>
        </w:tc>
      </w:tr>
      <w:tr w:rsidR="003A47AF" w:rsidRPr="00EE6AF7" w:rsidTr="00EE6AF7">
        <w:trPr>
          <w:trHeight w:val="255"/>
          <w:jc w:val="center"/>
        </w:trPr>
        <w:tc>
          <w:tcPr>
            <w:tcW w:w="4112" w:type="dxa"/>
            <w:tcBorders>
              <w:top w:val="nil"/>
              <w:left w:val="single" w:sz="4" w:space="0" w:color="auto"/>
              <w:bottom w:val="single" w:sz="4" w:space="0" w:color="auto"/>
              <w:right w:val="single" w:sz="4" w:space="0" w:color="auto"/>
            </w:tcBorders>
            <w:shd w:val="clear" w:color="auto" w:fill="F2F2F2"/>
            <w:noWrap/>
            <w:vAlign w:val="bottom"/>
            <w:hideMark/>
          </w:tcPr>
          <w:p w:rsidR="003A47AF" w:rsidRPr="003A47AF" w:rsidRDefault="003A47AF" w:rsidP="003A47AF">
            <w:pPr>
              <w:jc w:val="left"/>
              <w:rPr>
                <w:rFonts w:eastAsia="Times New Roman" w:cs="Arial"/>
                <w:lang w:eastAsia="es-MX"/>
              </w:rPr>
            </w:pPr>
            <w:r w:rsidRPr="003A47AF">
              <w:rPr>
                <w:rFonts w:eastAsia="Times New Roman" w:cs="Arial"/>
                <w:lang w:eastAsia="es-MX"/>
              </w:rPr>
              <w:t>NALY</w:t>
            </w:r>
          </w:p>
        </w:tc>
        <w:tc>
          <w:tcPr>
            <w:tcW w:w="1815" w:type="dxa"/>
            <w:tcBorders>
              <w:top w:val="nil"/>
              <w:left w:val="nil"/>
              <w:bottom w:val="single" w:sz="4" w:space="0" w:color="auto"/>
              <w:right w:val="single" w:sz="4" w:space="0" w:color="auto"/>
            </w:tcBorders>
            <w:shd w:val="clear" w:color="auto" w:fill="F2F2F2"/>
            <w:noWrap/>
            <w:vAlign w:val="bottom"/>
            <w:hideMark/>
          </w:tcPr>
          <w:p w:rsidR="003A47AF" w:rsidRPr="003A47AF" w:rsidRDefault="003A47AF" w:rsidP="003A47AF">
            <w:pPr>
              <w:jc w:val="right"/>
              <w:rPr>
                <w:rFonts w:eastAsia="Times New Roman" w:cs="Arial"/>
                <w:lang w:eastAsia="es-MX"/>
              </w:rPr>
            </w:pPr>
            <w:r w:rsidRPr="00EE6AF7">
              <w:rPr>
                <w:rFonts w:cs="Arial"/>
              </w:rPr>
              <w:t>5,752,</w:t>
            </w:r>
            <w:r w:rsidR="00155B1B" w:rsidRPr="00EE6AF7">
              <w:rPr>
                <w:rFonts w:cs="Arial"/>
              </w:rPr>
              <w:t>625.74</w:t>
            </w:r>
            <w:r w:rsidRPr="00EE6AF7">
              <w:rPr>
                <w:rFonts w:cs="Arial"/>
              </w:rPr>
              <w:t xml:space="preserve"> </w:t>
            </w:r>
          </w:p>
        </w:tc>
      </w:tr>
      <w:tr w:rsidR="003A47AF" w:rsidRPr="00EE6AF7" w:rsidTr="06D1B7C6">
        <w:trPr>
          <w:trHeight w:val="255"/>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3A47AF" w:rsidRPr="003A47AF" w:rsidRDefault="003A47AF" w:rsidP="003A47AF">
            <w:pPr>
              <w:jc w:val="left"/>
              <w:rPr>
                <w:rFonts w:eastAsia="Times New Roman" w:cs="Arial"/>
                <w:lang w:eastAsia="es-MX"/>
              </w:rPr>
            </w:pPr>
            <w:r w:rsidRPr="003A47AF">
              <w:rPr>
                <w:rFonts w:eastAsia="Times New Roman" w:cs="Arial"/>
                <w:lang w:eastAsia="es-MX"/>
              </w:rPr>
              <w:t>MOVIMIE</w:t>
            </w:r>
            <w:r>
              <w:rPr>
                <w:rFonts w:eastAsia="Times New Roman" w:cs="Arial"/>
                <w:lang w:eastAsia="es-MX"/>
              </w:rPr>
              <w:t>N</w:t>
            </w:r>
            <w:r w:rsidRPr="003A47AF">
              <w:rPr>
                <w:rFonts w:eastAsia="Times New Roman" w:cs="Arial"/>
                <w:lang w:eastAsia="es-MX"/>
              </w:rPr>
              <w:t>TO CIUDADANO</w:t>
            </w:r>
          </w:p>
        </w:tc>
        <w:tc>
          <w:tcPr>
            <w:tcW w:w="1815" w:type="dxa"/>
            <w:tcBorders>
              <w:top w:val="nil"/>
              <w:left w:val="nil"/>
              <w:bottom w:val="single" w:sz="4" w:space="0" w:color="auto"/>
              <w:right w:val="single" w:sz="4" w:space="0" w:color="auto"/>
            </w:tcBorders>
            <w:shd w:val="clear" w:color="auto" w:fill="auto"/>
            <w:noWrap/>
            <w:vAlign w:val="bottom"/>
            <w:hideMark/>
          </w:tcPr>
          <w:p w:rsidR="003A47AF" w:rsidRPr="003A47AF" w:rsidRDefault="003A47AF" w:rsidP="003A47AF">
            <w:pPr>
              <w:jc w:val="right"/>
              <w:rPr>
                <w:rFonts w:eastAsia="Times New Roman" w:cs="Arial"/>
                <w:lang w:eastAsia="es-MX"/>
              </w:rPr>
            </w:pPr>
            <w:r w:rsidRPr="00EE6AF7">
              <w:rPr>
                <w:rFonts w:cs="Arial"/>
              </w:rPr>
              <w:t xml:space="preserve">6,642,949.61 </w:t>
            </w:r>
          </w:p>
        </w:tc>
      </w:tr>
      <w:tr w:rsidR="003A47AF" w:rsidRPr="00EE6AF7" w:rsidTr="00EE6AF7">
        <w:trPr>
          <w:trHeight w:val="255"/>
          <w:jc w:val="center"/>
        </w:trPr>
        <w:tc>
          <w:tcPr>
            <w:tcW w:w="4112" w:type="dxa"/>
            <w:tcBorders>
              <w:top w:val="nil"/>
              <w:left w:val="single" w:sz="4" w:space="0" w:color="auto"/>
              <w:bottom w:val="single" w:sz="4" w:space="0" w:color="auto"/>
              <w:right w:val="single" w:sz="4" w:space="0" w:color="auto"/>
            </w:tcBorders>
            <w:shd w:val="clear" w:color="auto" w:fill="BFBFBF"/>
            <w:noWrap/>
            <w:vAlign w:val="center"/>
            <w:hideMark/>
          </w:tcPr>
          <w:p w:rsidR="003A47AF" w:rsidRPr="003A47AF" w:rsidRDefault="003A47AF" w:rsidP="003A47AF">
            <w:pPr>
              <w:jc w:val="left"/>
              <w:rPr>
                <w:rFonts w:eastAsia="Times New Roman" w:cs="Arial"/>
                <w:lang w:eastAsia="es-MX"/>
              </w:rPr>
            </w:pPr>
            <w:r w:rsidRPr="003A47AF">
              <w:rPr>
                <w:rFonts w:eastAsia="Times New Roman" w:cs="Arial"/>
                <w:lang w:eastAsia="es-MX"/>
              </w:rPr>
              <w:t>Total</w:t>
            </w:r>
          </w:p>
        </w:tc>
        <w:tc>
          <w:tcPr>
            <w:tcW w:w="1815" w:type="dxa"/>
            <w:tcBorders>
              <w:top w:val="nil"/>
              <w:left w:val="nil"/>
              <w:bottom w:val="single" w:sz="4" w:space="0" w:color="auto"/>
              <w:right w:val="single" w:sz="4" w:space="0" w:color="auto"/>
            </w:tcBorders>
            <w:shd w:val="clear" w:color="auto" w:fill="BFBFBF"/>
            <w:noWrap/>
            <w:vAlign w:val="center"/>
            <w:hideMark/>
          </w:tcPr>
          <w:p w:rsidR="003A47AF" w:rsidRPr="003A47AF" w:rsidRDefault="003A47AF" w:rsidP="003A47AF">
            <w:pPr>
              <w:jc w:val="right"/>
              <w:rPr>
                <w:rFonts w:eastAsia="Times New Roman" w:cs="Arial"/>
                <w:lang w:eastAsia="es-MX"/>
              </w:rPr>
            </w:pPr>
            <w:r w:rsidRPr="00EE6AF7">
              <w:rPr>
                <w:rFonts w:cs="Arial"/>
              </w:rPr>
              <w:t>97,752,</w:t>
            </w:r>
            <w:r w:rsidR="00155B1B" w:rsidRPr="00EE6AF7">
              <w:rPr>
                <w:rFonts w:cs="Arial"/>
              </w:rPr>
              <w:t>320.46</w:t>
            </w:r>
            <w:r w:rsidRPr="00EE6AF7">
              <w:rPr>
                <w:rFonts w:cs="Arial"/>
              </w:rPr>
              <w:t xml:space="preserve"> </w:t>
            </w:r>
          </w:p>
        </w:tc>
      </w:tr>
    </w:tbl>
    <w:p w:rsidR="00BE53A8" w:rsidRPr="00BE53A8" w:rsidRDefault="00BE53A8" w:rsidP="00BE53A8"/>
    <w:p w:rsidR="00FA49E9" w:rsidRDefault="009C1791">
      <w:r>
        <w:br w:type="page"/>
      </w:r>
    </w:p>
    <w:p w:rsidR="00FA49E9" w:rsidRDefault="009C1791">
      <w:pPr>
        <w:pStyle w:val="Ttulo3"/>
      </w:pPr>
      <w:bookmarkStart w:id="58" w:name="Xae0b0a7d2fd4b60aa582e32205648588e7fa1a4"/>
      <w:bookmarkEnd w:id="56"/>
      <w:bookmarkEnd w:id="57"/>
      <w:r>
        <w:t>ANEXO 11.5. DESTINO DEL FINANCIAMIENTO ADICIONAL A LOS PARTIDOS POLÍTICOS</w:t>
      </w:r>
    </w:p>
    <w:p w:rsidR="00300C3A" w:rsidRDefault="00300C3A" w:rsidP="00300C3A"/>
    <w:tbl>
      <w:tblPr>
        <w:tblW w:w="5807" w:type="dxa"/>
        <w:jc w:val="center"/>
        <w:tblCellMar>
          <w:left w:w="70" w:type="dxa"/>
          <w:right w:w="70" w:type="dxa"/>
        </w:tblCellMar>
        <w:tblLook w:val="04A0" w:firstRow="1" w:lastRow="0" w:firstColumn="1" w:lastColumn="0" w:noHBand="0" w:noVBand="1"/>
      </w:tblPr>
      <w:tblGrid>
        <w:gridCol w:w="3114"/>
        <w:gridCol w:w="2693"/>
      </w:tblGrid>
      <w:tr w:rsidR="001245A7" w:rsidRPr="00EE6AF7" w:rsidTr="001245A7">
        <w:trPr>
          <w:trHeight w:val="330"/>
          <w:jc w:val="center"/>
        </w:trPr>
        <w:tc>
          <w:tcPr>
            <w:tcW w:w="311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245A7" w:rsidRPr="001245A7" w:rsidRDefault="001245A7" w:rsidP="001245A7">
            <w:pPr>
              <w:jc w:val="center"/>
              <w:rPr>
                <w:rFonts w:eastAsia="Times New Roman" w:cs="Arial"/>
                <w:sz w:val="18"/>
                <w:szCs w:val="18"/>
                <w:lang w:eastAsia="es-MX"/>
              </w:rPr>
            </w:pPr>
            <w:r w:rsidRPr="001245A7">
              <w:rPr>
                <w:rFonts w:eastAsia="Times New Roman" w:cs="Arial"/>
                <w:sz w:val="18"/>
                <w:szCs w:val="18"/>
                <w:lang w:eastAsia="es-MX"/>
              </w:rPr>
              <w:t>PARTIDO</w:t>
            </w:r>
          </w:p>
        </w:tc>
        <w:tc>
          <w:tcPr>
            <w:tcW w:w="2693" w:type="dxa"/>
            <w:tcBorders>
              <w:top w:val="single" w:sz="4" w:space="0" w:color="auto"/>
              <w:left w:val="nil"/>
              <w:bottom w:val="single" w:sz="4" w:space="0" w:color="auto"/>
              <w:right w:val="single" w:sz="4" w:space="0" w:color="auto"/>
            </w:tcBorders>
            <w:shd w:val="clear" w:color="000000" w:fill="BFBFBF"/>
            <w:noWrap/>
            <w:vAlign w:val="bottom"/>
            <w:hideMark/>
          </w:tcPr>
          <w:p w:rsidR="001245A7" w:rsidRPr="001245A7" w:rsidRDefault="001245A7" w:rsidP="001245A7">
            <w:pPr>
              <w:jc w:val="center"/>
              <w:rPr>
                <w:rFonts w:eastAsia="Times New Roman" w:cs="Arial"/>
                <w:color w:val="000000"/>
                <w:sz w:val="18"/>
                <w:szCs w:val="18"/>
                <w:lang w:eastAsia="es-MX"/>
              </w:rPr>
            </w:pPr>
            <w:r w:rsidRPr="001245A7">
              <w:rPr>
                <w:rFonts w:eastAsia="Times New Roman" w:cs="Arial"/>
                <w:color w:val="000000"/>
                <w:sz w:val="18"/>
                <w:szCs w:val="18"/>
                <w:lang w:eastAsia="es-MX"/>
              </w:rPr>
              <w:t>TOTAL</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PAN</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2,089,314.66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000000" w:fill="F2F2F2"/>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PRI</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1,436,844.30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PRD</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437,830.23 </w:t>
            </w:r>
          </w:p>
        </w:tc>
      </w:tr>
      <w:tr w:rsidR="001245A7" w:rsidRPr="00EE6AF7" w:rsidTr="001245A7">
        <w:trPr>
          <w:trHeight w:val="330"/>
          <w:jc w:val="center"/>
        </w:trPr>
        <w:tc>
          <w:tcPr>
            <w:tcW w:w="3114" w:type="dxa"/>
            <w:tcBorders>
              <w:top w:val="nil"/>
              <w:left w:val="single" w:sz="4" w:space="0" w:color="auto"/>
              <w:bottom w:val="single" w:sz="4" w:space="0" w:color="auto"/>
              <w:right w:val="single" w:sz="4" w:space="0" w:color="auto"/>
            </w:tcBorders>
            <w:shd w:val="clear" w:color="000000" w:fill="F2F2F2"/>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PVEM</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449,846.90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MORENA</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1,561,136.06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000000" w:fill="F2F2F2"/>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NALY</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402,683.</w:t>
            </w:r>
            <w:r w:rsidR="00FD102F" w:rsidRPr="00EE6AF7">
              <w:rPr>
                <w:rFonts w:cs="Arial"/>
                <w:sz w:val="18"/>
                <w:szCs w:val="18"/>
              </w:rPr>
              <w:t>80</w:t>
            </w:r>
            <w:r w:rsidRPr="00EE6AF7">
              <w:rPr>
                <w:rFonts w:cs="Arial"/>
                <w:sz w:val="18"/>
                <w:szCs w:val="18"/>
              </w:rPr>
              <w:t xml:space="preserve">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MOVIMIENTO CIUDADANO</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465,006.47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000000" w:fill="BFBFBF"/>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Total</w:t>
            </w:r>
          </w:p>
        </w:tc>
        <w:tc>
          <w:tcPr>
            <w:tcW w:w="2693" w:type="dxa"/>
            <w:tcBorders>
              <w:top w:val="nil"/>
              <w:left w:val="nil"/>
              <w:bottom w:val="single" w:sz="4" w:space="0" w:color="auto"/>
              <w:right w:val="single" w:sz="4" w:space="0" w:color="auto"/>
            </w:tcBorders>
            <w:shd w:val="clear" w:color="000000" w:fill="BFBFBF"/>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6,842,662.</w:t>
            </w:r>
            <w:r w:rsidR="00FD102F" w:rsidRPr="00EE6AF7">
              <w:rPr>
                <w:rFonts w:cs="Arial"/>
                <w:sz w:val="18"/>
                <w:szCs w:val="18"/>
              </w:rPr>
              <w:t>42</w:t>
            </w:r>
            <w:r w:rsidRPr="00EE6AF7">
              <w:rPr>
                <w:rFonts w:cs="Arial"/>
                <w:sz w:val="18"/>
                <w:szCs w:val="18"/>
              </w:rPr>
              <w:t xml:space="preserve"> </w:t>
            </w:r>
          </w:p>
        </w:tc>
      </w:tr>
    </w:tbl>
    <w:p w:rsidR="00300C3A" w:rsidRPr="00300C3A" w:rsidRDefault="00300C3A" w:rsidP="00300C3A"/>
    <w:p w:rsidR="00FA49E9" w:rsidRDefault="009C1791">
      <w:r>
        <w:br w:type="page"/>
      </w:r>
    </w:p>
    <w:p w:rsidR="00FA49E9" w:rsidRDefault="009C1791">
      <w:pPr>
        <w:pStyle w:val="Ttulo3"/>
      </w:pPr>
      <w:bookmarkStart w:id="59" w:name="Xa7cc55c4caba330d827d97b53aaa026d8e6301b"/>
      <w:bookmarkEnd w:id="58"/>
      <w:r>
        <w:t>ANEXO 11.6. FINANCIAMIENTO A PARTIDOS POLÍTICOS PARA LA OBTENCIÓN DEL VOTO</w:t>
      </w:r>
    </w:p>
    <w:p w:rsidR="00563B1D" w:rsidRDefault="00563B1D" w:rsidP="00563B1D"/>
    <w:p w:rsidR="00563B1D" w:rsidRPr="00563B1D" w:rsidRDefault="00231942" w:rsidP="00563B1D">
      <w:r>
        <w:t>El año que se presupuesta no destina recursos para</w:t>
      </w:r>
      <w:r w:rsidR="00951A15">
        <w:t xml:space="preserve"> obtención del voto pues no corresponde a u</w:t>
      </w:r>
      <w:r w:rsidR="00A46494">
        <w:t>n año electoral.</w:t>
      </w:r>
    </w:p>
    <w:p w:rsidR="00FA49E9" w:rsidRDefault="009C1791">
      <w:r>
        <w:br w:type="page"/>
      </w:r>
    </w:p>
    <w:p w:rsidR="00FA49E9" w:rsidRDefault="009C1791">
      <w:pPr>
        <w:pStyle w:val="Ttulo3"/>
      </w:pPr>
      <w:bookmarkStart w:id="60" w:name="Xd59659af47aea9da5d548b521eb7f18c865e329"/>
      <w:bookmarkEnd w:id="59"/>
      <w:r>
        <w:t>ANEXO 11.7. CALENDARIO DE ENTREGA DE PRERROGATIVAS A PARTIDOS POLÍTICOS</w:t>
      </w:r>
    </w:p>
    <w:p w:rsidR="00431F16" w:rsidRDefault="00431F16" w:rsidP="00431F16"/>
    <w:tbl>
      <w:tblPr>
        <w:tblW w:w="10801" w:type="dxa"/>
        <w:jc w:val="center"/>
        <w:tblCellMar>
          <w:left w:w="70" w:type="dxa"/>
          <w:right w:w="70" w:type="dxa"/>
        </w:tblCellMar>
        <w:tblLook w:val="04A0" w:firstRow="1" w:lastRow="0" w:firstColumn="1" w:lastColumn="0" w:noHBand="0" w:noVBand="1"/>
      </w:tblPr>
      <w:tblGrid>
        <w:gridCol w:w="2301"/>
        <w:gridCol w:w="1360"/>
        <w:gridCol w:w="1360"/>
        <w:gridCol w:w="1420"/>
        <w:gridCol w:w="1420"/>
        <w:gridCol w:w="1580"/>
        <w:gridCol w:w="1360"/>
      </w:tblGrid>
      <w:tr w:rsidR="00431F16" w:rsidRPr="00EE6AF7" w:rsidTr="00EE6AF7">
        <w:trPr>
          <w:trHeight w:val="315"/>
          <w:jc w:val="center"/>
        </w:trPr>
        <w:tc>
          <w:tcPr>
            <w:tcW w:w="2301"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sz w:val="18"/>
                <w:szCs w:val="18"/>
                <w:lang w:eastAsia="es-MX"/>
              </w:rPr>
            </w:pPr>
            <w:r w:rsidRPr="00431F16">
              <w:rPr>
                <w:rFonts w:eastAsia="Times New Roman" w:cs="Arial"/>
                <w:sz w:val="18"/>
                <w:szCs w:val="18"/>
                <w:lang w:eastAsia="es-MX"/>
              </w:rPr>
              <w:t>PARTIDO</w:t>
            </w:r>
          </w:p>
        </w:tc>
        <w:tc>
          <w:tcPr>
            <w:tcW w:w="136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ENERO</w:t>
            </w:r>
          </w:p>
        </w:tc>
        <w:tc>
          <w:tcPr>
            <w:tcW w:w="136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FEBRERO</w:t>
            </w:r>
          </w:p>
        </w:tc>
        <w:tc>
          <w:tcPr>
            <w:tcW w:w="142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MARZO</w:t>
            </w:r>
          </w:p>
        </w:tc>
        <w:tc>
          <w:tcPr>
            <w:tcW w:w="142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ABRIL</w:t>
            </w:r>
          </w:p>
        </w:tc>
        <w:tc>
          <w:tcPr>
            <w:tcW w:w="158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MAYO</w:t>
            </w:r>
          </w:p>
        </w:tc>
        <w:tc>
          <w:tcPr>
            <w:tcW w:w="136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JUNIO</w:t>
            </w:r>
          </w:p>
        </w:tc>
      </w:tr>
      <w:tr w:rsidR="00431F16" w:rsidRPr="00EE6AF7" w:rsidTr="00431F16">
        <w:trPr>
          <w:trHeight w:val="315"/>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PAN</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58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r>
      <w:tr w:rsidR="00431F16" w:rsidRPr="00EE6AF7" w:rsidTr="00EE6AF7">
        <w:trPr>
          <w:trHeight w:val="315"/>
          <w:jc w:val="center"/>
        </w:trPr>
        <w:tc>
          <w:tcPr>
            <w:tcW w:w="2301" w:type="dxa"/>
            <w:tcBorders>
              <w:top w:val="nil"/>
              <w:left w:val="single" w:sz="4" w:space="0" w:color="auto"/>
              <w:bottom w:val="single" w:sz="4" w:space="0" w:color="auto"/>
              <w:right w:val="single" w:sz="4" w:space="0" w:color="auto"/>
            </w:tcBorders>
            <w:shd w:val="clear" w:color="auto" w:fill="F2F2F2"/>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PRI</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58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r>
      <w:tr w:rsidR="00431F16" w:rsidRPr="00EE6AF7" w:rsidTr="00431F16">
        <w:trPr>
          <w:trHeight w:val="315"/>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PRD</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58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r>
      <w:tr w:rsidR="00431F16" w:rsidRPr="00EE6AF7" w:rsidTr="00EE6AF7">
        <w:trPr>
          <w:trHeight w:val="315"/>
          <w:jc w:val="center"/>
        </w:trPr>
        <w:tc>
          <w:tcPr>
            <w:tcW w:w="2301" w:type="dxa"/>
            <w:tcBorders>
              <w:top w:val="nil"/>
              <w:left w:val="single" w:sz="4" w:space="0" w:color="auto"/>
              <w:bottom w:val="single" w:sz="4" w:space="0" w:color="auto"/>
              <w:right w:val="single" w:sz="4" w:space="0" w:color="auto"/>
            </w:tcBorders>
            <w:shd w:val="clear" w:color="auto" w:fill="F2F2F2"/>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PVEM</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58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r>
      <w:tr w:rsidR="00431F16" w:rsidRPr="00EE6AF7" w:rsidTr="00431F16">
        <w:trPr>
          <w:trHeight w:val="315"/>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MORENA</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58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r>
      <w:tr w:rsidR="00431F16" w:rsidRPr="00EE6AF7" w:rsidTr="00EE6AF7">
        <w:trPr>
          <w:trHeight w:val="315"/>
          <w:jc w:val="center"/>
        </w:trPr>
        <w:tc>
          <w:tcPr>
            <w:tcW w:w="2301" w:type="dxa"/>
            <w:tcBorders>
              <w:top w:val="nil"/>
              <w:left w:val="single" w:sz="4" w:space="0" w:color="auto"/>
              <w:bottom w:val="single" w:sz="4" w:space="0" w:color="auto"/>
              <w:right w:val="single" w:sz="4" w:space="0" w:color="auto"/>
            </w:tcBorders>
            <w:shd w:val="clear" w:color="auto" w:fill="F2F2F2"/>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NALY</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58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r>
      <w:tr w:rsidR="00431F16" w:rsidRPr="00EE6AF7" w:rsidTr="7E17D9DC">
        <w:trPr>
          <w:trHeight w:val="315"/>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MOVIMIENTO CIUDADANO</w:t>
            </w:r>
          </w:p>
        </w:tc>
        <w:tc>
          <w:tcPr>
            <w:tcW w:w="136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36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42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42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58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36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r>
      <w:tr w:rsidR="00431F16" w:rsidRPr="00EE6AF7" w:rsidTr="00EE6AF7">
        <w:trPr>
          <w:trHeight w:val="315"/>
          <w:jc w:val="center"/>
        </w:trPr>
        <w:tc>
          <w:tcPr>
            <w:tcW w:w="2301" w:type="dxa"/>
            <w:tcBorders>
              <w:top w:val="nil"/>
              <w:left w:val="single" w:sz="4" w:space="0" w:color="auto"/>
              <w:bottom w:val="single" w:sz="4" w:space="0" w:color="auto"/>
              <w:right w:val="single" w:sz="4" w:space="0" w:color="auto"/>
            </w:tcBorders>
            <w:shd w:val="clear" w:color="auto" w:fill="808080"/>
            <w:noWrap/>
            <w:vAlign w:val="bottom"/>
            <w:hideMark/>
          </w:tcPr>
          <w:p w:rsidR="00431F16" w:rsidRPr="00431F16" w:rsidRDefault="00431F16" w:rsidP="00431F16">
            <w:pPr>
              <w:jc w:val="left"/>
              <w:rPr>
                <w:rFonts w:eastAsia="Times New Roman" w:cs="Arial"/>
                <w:color w:val="FFFFFF"/>
                <w:sz w:val="18"/>
                <w:szCs w:val="18"/>
                <w:lang w:eastAsia="es-MX"/>
              </w:rPr>
            </w:pPr>
            <w:r w:rsidRPr="00431F16">
              <w:rPr>
                <w:rFonts w:eastAsia="Times New Roman" w:cs="Arial"/>
                <w:color w:val="FFFFFF"/>
                <w:sz w:val="18"/>
                <w:szCs w:val="18"/>
                <w:lang w:eastAsia="es-MX"/>
              </w:rPr>
              <w:t>Total</w:t>
            </w:r>
          </w:p>
        </w:tc>
        <w:tc>
          <w:tcPr>
            <w:tcW w:w="136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36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42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42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58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36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r>
    </w:tbl>
    <w:p w:rsidR="00431F16" w:rsidRDefault="00431F16" w:rsidP="00431F16"/>
    <w:p w:rsidR="00431F16" w:rsidRDefault="00431F16" w:rsidP="00431F16"/>
    <w:tbl>
      <w:tblPr>
        <w:tblW w:w="10801" w:type="dxa"/>
        <w:tblCellMar>
          <w:left w:w="70" w:type="dxa"/>
          <w:right w:w="70" w:type="dxa"/>
        </w:tblCellMar>
        <w:tblLook w:val="04A0" w:firstRow="1" w:lastRow="0" w:firstColumn="1" w:lastColumn="0" w:noHBand="0" w:noVBand="1"/>
      </w:tblPr>
      <w:tblGrid>
        <w:gridCol w:w="2301"/>
        <w:gridCol w:w="1360"/>
        <w:gridCol w:w="1360"/>
        <w:gridCol w:w="1420"/>
        <w:gridCol w:w="1420"/>
        <w:gridCol w:w="1580"/>
        <w:gridCol w:w="1360"/>
      </w:tblGrid>
      <w:tr w:rsidR="00431F16" w:rsidRPr="00EE6AF7" w:rsidTr="00431F16">
        <w:trPr>
          <w:trHeight w:val="315"/>
        </w:trPr>
        <w:tc>
          <w:tcPr>
            <w:tcW w:w="2301"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431F16" w:rsidRPr="00431F16" w:rsidRDefault="00D37689" w:rsidP="00431F16">
            <w:pPr>
              <w:jc w:val="center"/>
              <w:rPr>
                <w:rFonts w:eastAsia="Times New Roman" w:cs="Arial"/>
                <w:sz w:val="18"/>
                <w:szCs w:val="18"/>
                <w:lang w:eastAsia="es-MX"/>
              </w:rPr>
            </w:pPr>
            <w:r w:rsidRPr="00EE6AF7">
              <w:rPr>
                <w:rFonts w:cs="Arial"/>
                <w:sz w:val="18"/>
                <w:szCs w:val="18"/>
              </w:rPr>
              <w:t>PARTIDO</w:t>
            </w:r>
          </w:p>
        </w:tc>
        <w:tc>
          <w:tcPr>
            <w:tcW w:w="136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JULIO</w:t>
            </w:r>
          </w:p>
        </w:tc>
        <w:tc>
          <w:tcPr>
            <w:tcW w:w="136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AGOSTO</w:t>
            </w:r>
          </w:p>
        </w:tc>
        <w:tc>
          <w:tcPr>
            <w:tcW w:w="142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SEPTIEMBRE</w:t>
            </w:r>
          </w:p>
        </w:tc>
        <w:tc>
          <w:tcPr>
            <w:tcW w:w="142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OCTUBRE</w:t>
            </w:r>
          </w:p>
        </w:tc>
        <w:tc>
          <w:tcPr>
            <w:tcW w:w="158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NOVIEMBRE</w:t>
            </w:r>
          </w:p>
        </w:tc>
        <w:tc>
          <w:tcPr>
            <w:tcW w:w="136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DICIEMBRE</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auto" w:fill="auto"/>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PAN</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58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000000" w:fill="F2F2F2"/>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PRI</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58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auto" w:fill="auto"/>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PRD</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58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000000" w:fill="F2F2F2"/>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PVEM</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58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auto" w:fill="auto"/>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MORENA</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58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000000" w:fill="F2F2F2"/>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NALY</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58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auto" w:fill="auto"/>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MOVIMIENTO CIUDADANO</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58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r>
      <w:tr w:rsidR="00431F16" w:rsidRPr="00EE6AF7" w:rsidTr="00E37735">
        <w:trPr>
          <w:trHeight w:val="362"/>
        </w:trPr>
        <w:tc>
          <w:tcPr>
            <w:tcW w:w="2301" w:type="dxa"/>
            <w:tcBorders>
              <w:top w:val="nil"/>
              <w:left w:val="single" w:sz="4" w:space="0" w:color="auto"/>
              <w:bottom w:val="single" w:sz="4" w:space="0" w:color="auto"/>
              <w:right w:val="single" w:sz="4" w:space="0" w:color="auto"/>
            </w:tcBorders>
            <w:shd w:val="clear" w:color="000000" w:fill="808080"/>
            <w:noWrap/>
            <w:vAlign w:val="bottom"/>
          </w:tcPr>
          <w:p w:rsidR="00431F16" w:rsidRPr="00431F16" w:rsidRDefault="00D37689" w:rsidP="00431F16">
            <w:pPr>
              <w:jc w:val="left"/>
              <w:rPr>
                <w:rFonts w:eastAsia="Times New Roman" w:cs="Arial"/>
                <w:color w:val="FFFFFF"/>
                <w:sz w:val="18"/>
                <w:szCs w:val="18"/>
                <w:lang w:eastAsia="es-MX"/>
              </w:rPr>
            </w:pPr>
            <w:r w:rsidRPr="00EE6AF7">
              <w:rPr>
                <w:rFonts w:cs="Arial"/>
                <w:color w:val="FFFFFF"/>
                <w:sz w:val="18"/>
                <w:szCs w:val="18"/>
              </w:rPr>
              <w:t>Total</w:t>
            </w:r>
          </w:p>
        </w:tc>
        <w:tc>
          <w:tcPr>
            <w:tcW w:w="136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36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42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42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58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36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r>
    </w:tbl>
    <w:p w:rsidR="00431F16" w:rsidRPr="00431F16" w:rsidRDefault="00431F16" w:rsidP="00431F16"/>
    <w:p w:rsidR="008F7C69" w:rsidRDefault="008F7C69" w:rsidP="008F7C69"/>
    <w:p w:rsidR="008F7C69" w:rsidRPr="008F7C69" w:rsidRDefault="008F7C69" w:rsidP="008F7C69"/>
    <w:p w:rsidR="00FA49E9" w:rsidRDefault="00FA49E9"/>
    <w:p w:rsidR="00FA49E9" w:rsidRDefault="009C1791">
      <w:r>
        <w:br w:type="page"/>
      </w:r>
    </w:p>
    <w:p w:rsidR="00FA49E9" w:rsidRDefault="009C1791">
      <w:pPr>
        <w:pStyle w:val="Ttulo3"/>
      </w:pPr>
      <w:bookmarkStart w:id="61" w:name="X835b0008b7c7779a063010a894bf69aa9e9025d"/>
      <w:bookmarkEnd w:id="60"/>
      <w:r>
        <w:t>ANEXO 11.8 MONTOS ASIGNADOS A FIDEICOMISOS PÚBLICOS</w:t>
      </w:r>
    </w:p>
    <w:p w:rsidR="00FA49E9" w:rsidRDefault="00FA49E9"/>
    <w:tbl>
      <w:tblPr>
        <w:tblW w:w="5000" w:type="pct"/>
        <w:tblCellMar>
          <w:left w:w="0" w:type="dxa"/>
          <w:right w:w="0" w:type="dxa"/>
        </w:tblCellMar>
        <w:tblLook w:val="04A0" w:firstRow="1" w:lastRow="0" w:firstColumn="1" w:lastColumn="0" w:noHBand="0" w:noVBand="1"/>
      </w:tblPr>
      <w:tblGrid>
        <w:gridCol w:w="1165"/>
        <w:gridCol w:w="968"/>
        <w:gridCol w:w="1218"/>
        <w:gridCol w:w="1936"/>
        <w:gridCol w:w="1025"/>
        <w:gridCol w:w="1291"/>
        <w:gridCol w:w="1370"/>
        <w:gridCol w:w="1235"/>
        <w:gridCol w:w="842"/>
      </w:tblGrid>
      <w:tr w:rsidR="006A3321" w:rsidRPr="00EE6AF7" w:rsidTr="00513700">
        <w:trPr>
          <w:trHeight w:val="720"/>
          <w:tblHeader/>
        </w:trPr>
        <w:tc>
          <w:tcPr>
            <w:tcW w:w="527" w:type="pct"/>
            <w:tcBorders>
              <w:top w:val="single" w:sz="4" w:space="0" w:color="auto"/>
              <w:left w:val="single" w:sz="4" w:space="0" w:color="auto"/>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SIGLAS</w:t>
            </w:r>
          </w:p>
        </w:tc>
        <w:tc>
          <w:tcPr>
            <w:tcW w:w="438"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 xml:space="preserve">Fideicomiso o Fondo </w:t>
            </w:r>
          </w:p>
        </w:tc>
        <w:tc>
          <w:tcPr>
            <w:tcW w:w="551"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Entidad Administradora</w:t>
            </w:r>
          </w:p>
        </w:tc>
        <w:tc>
          <w:tcPr>
            <w:tcW w:w="876"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Nombre del Fideicomiso o Fondo</w:t>
            </w:r>
          </w:p>
        </w:tc>
        <w:tc>
          <w:tcPr>
            <w:tcW w:w="464"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Fiduciario / Banco</w:t>
            </w:r>
          </w:p>
        </w:tc>
        <w:tc>
          <w:tcPr>
            <w:tcW w:w="584"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No. De Contrato o Cuenta</w:t>
            </w:r>
          </w:p>
        </w:tc>
        <w:tc>
          <w:tcPr>
            <w:tcW w:w="620"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Saldo al 30 de septiembre de 2021</w:t>
            </w:r>
          </w:p>
        </w:tc>
        <w:tc>
          <w:tcPr>
            <w:tcW w:w="559"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Presupuestado 2022</w:t>
            </w:r>
          </w:p>
        </w:tc>
        <w:tc>
          <w:tcPr>
            <w:tcW w:w="381"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UBP o FF</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Infraestructura Hospitalaria</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SSY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Fideicomiso para la Construcción de la Infraestructura Hospitalaria del Estado de Yucatán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73745-9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$43,552.91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r w:rsidR="00513700" w:rsidRPr="00EE6AF7">
              <w:rPr>
                <w:rFonts w:cs="Arial"/>
                <w:color w:val="000000"/>
                <w:sz w:val="16"/>
                <w:szCs w:val="16"/>
              </w:rPr>
              <w:t> </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Construcción HRAE</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SSY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Fideicomiso para la Construcción del Hospital Regional de Alta Especialidad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1929-7</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$0.00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r w:rsidR="00513700" w:rsidRPr="00EE6AF7">
              <w:rPr>
                <w:rFonts w:cs="Arial"/>
                <w:color w:val="000000"/>
                <w:sz w:val="16"/>
                <w:szCs w:val="16"/>
              </w:rPr>
              <w:t> </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PROCEDES</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SSY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Fideicomiso para el Programa de Calidad, Equidad y Desarrollo en Salud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73768-8</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$1,789,518.06</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w:t>
            </w:r>
            <w:r w:rsidR="00BB210A" w:rsidRPr="00EE6AF7">
              <w:rPr>
                <w:rFonts w:cs="Arial"/>
                <w:color w:val="000000"/>
                <w:sz w:val="16"/>
                <w:szCs w:val="16"/>
              </w:rPr>
              <w:t>-</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Manutención Yucatán</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SEGEY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Fideicomiso del Programa Nacional de Becas para la Educación Superior del Estado de Yucatán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Banamex</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17891-6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$11,738,867.88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p>
        </w:tc>
      </w:tr>
      <w:tr w:rsidR="00513700" w:rsidRPr="00EE6AF7" w:rsidTr="00513700">
        <w:trPr>
          <w:trHeight w:val="12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FOMA</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SEGEY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Fideicomiso para el Programa Especial para el Financiamiento a la Vivienda para el Magisterio "Fondo Maestro"</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Santander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2112177</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$10,575,277.50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r w:rsidR="00513700" w:rsidRPr="00EE6AF7">
              <w:rPr>
                <w:rFonts w:cs="Arial"/>
                <w:color w:val="000000"/>
                <w:sz w:val="16"/>
                <w:szCs w:val="16"/>
              </w:rPr>
              <w:t> </w:t>
            </w:r>
          </w:p>
        </w:tc>
      </w:tr>
      <w:tr w:rsidR="00513700"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FAVID</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FGE</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Fondo de Apoyo a Victimas del Delito</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744798</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$7,014,387.71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w:t>
            </w:r>
            <w:r w:rsidR="00BB210A" w:rsidRPr="00EE6AF7">
              <w:rPr>
                <w:rFonts w:cs="Arial"/>
                <w:color w:val="000000"/>
                <w:sz w:val="16"/>
                <w:szCs w:val="16"/>
              </w:rPr>
              <w:t>-</w:t>
            </w:r>
          </w:p>
        </w:tc>
      </w:tr>
      <w:tr w:rsidR="00513700"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Becas Repetto Milán</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sz w:val="16"/>
                <w:szCs w:val="16"/>
              </w:rPr>
            </w:pPr>
            <w:r w:rsidRPr="00EE6AF7">
              <w:rPr>
                <w:rFonts w:cs="Arial"/>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UADY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Fondo de Becas Abogado Francisco Repetto Milán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Santander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2001393-1</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$1,642,764.71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p>
        </w:tc>
      </w:tr>
      <w:tr w:rsidR="00513700"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FARD</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IDEY</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Fideicomiso de Alto Rendimiento Deportivo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745013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$29,309.34</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p>
        </w:tc>
      </w:tr>
      <w:tr w:rsidR="006A3321" w:rsidRPr="00EE6AF7" w:rsidTr="00513700">
        <w:trPr>
          <w:trHeight w:val="12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FYDITRAC</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SOP</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Yucateco para la Dignificación y Desarrollo Integral de los Trabajadores de la Construcción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Nacional Financiera</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80546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$12,226,311.60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BB210A">
            <w:pPr>
              <w:jc w:val="center"/>
              <w:rPr>
                <w:rFonts w:cs="Arial"/>
                <w:color w:val="000000"/>
                <w:sz w:val="16"/>
                <w:szCs w:val="16"/>
              </w:rPr>
            </w:pPr>
            <w:r w:rsidRPr="00EE6AF7">
              <w:rPr>
                <w:rFonts w:cs="Arial"/>
                <w:color w:val="000000"/>
                <w:sz w:val="16"/>
                <w:szCs w:val="16"/>
              </w:rPr>
              <w:t>-</w:t>
            </w:r>
            <w:r w:rsidR="006A3321" w:rsidRPr="00EE6AF7">
              <w:rPr>
                <w:rFonts w:cs="Arial"/>
                <w:color w:val="000000"/>
                <w:sz w:val="16"/>
                <w:szCs w:val="16"/>
              </w:rPr>
              <w:t> </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FASP</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SSP</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de Aportación para la Seguridad Pública</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02636586367; 0263586376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$112,757,040.85</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$229,684,703.00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19839</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FOMEY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IMDUT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Fondo Metropolitano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Banobras</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FID-2143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$4,528,138.09</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FF: 2053, 4053</w:t>
            </w:r>
          </w:p>
        </w:tc>
      </w:tr>
      <w:tr w:rsidR="006A3321" w:rsidRPr="00EE6AF7" w:rsidTr="00BB210A">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SIT-MERIDA</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IMDUT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Sistema Integrado de Transporte en la zona metropolitana de Mérida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Banobras</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2272</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$40,037.66</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BB210A" w:rsidP="00BB210A">
            <w:pPr>
              <w:jc w:val="center"/>
              <w:rPr>
                <w:rFonts w:cs="Arial"/>
                <w:color w:val="000000"/>
                <w:sz w:val="16"/>
                <w:szCs w:val="16"/>
              </w:rPr>
            </w:pPr>
            <w:r w:rsidRPr="00EE6AF7">
              <w:rPr>
                <w:rFonts w:cs="Arial"/>
                <w:color w:val="000000"/>
                <w:sz w:val="16"/>
                <w:szCs w:val="16"/>
              </w:rPr>
              <w:t>-</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left"/>
              <w:rPr>
                <w:rFonts w:cs="Arial"/>
                <w:color w:val="000000"/>
                <w:sz w:val="16"/>
                <w:szCs w:val="16"/>
              </w:rPr>
            </w:pPr>
            <w:r w:rsidRPr="00EE6AF7">
              <w:rPr>
                <w:rFonts w:cs="Arial"/>
                <w:color w:val="000000"/>
                <w:sz w:val="16"/>
                <w:szCs w:val="16"/>
              </w:rPr>
              <w:t>Fondo de Movilidad</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IMDUT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left"/>
              <w:rPr>
                <w:rFonts w:cs="Arial"/>
                <w:color w:val="000000"/>
                <w:sz w:val="16"/>
                <w:szCs w:val="16"/>
              </w:rPr>
            </w:pPr>
            <w:r w:rsidRPr="00EE6AF7">
              <w:rPr>
                <w:rFonts w:cs="Arial"/>
                <w:color w:val="000000"/>
                <w:sz w:val="16"/>
                <w:szCs w:val="16"/>
              </w:rPr>
              <w:t>Fondo Estatal de Movilidad</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Banamex</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70168377280</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right"/>
              <w:rPr>
                <w:rFonts w:cs="Arial"/>
                <w:color w:val="000000"/>
                <w:sz w:val="16"/>
                <w:szCs w:val="16"/>
              </w:rPr>
            </w:pPr>
            <w:r w:rsidRPr="00EE6AF7">
              <w:rPr>
                <w:rFonts w:cs="Arial"/>
                <w:color w:val="000000"/>
                <w:sz w:val="16"/>
                <w:szCs w:val="16"/>
              </w:rPr>
              <w:t>$44,696,328.20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$5,417,737.00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UBP:</w:t>
            </w:r>
          </w:p>
          <w:p w:rsidR="00513700" w:rsidRPr="00EE6AF7" w:rsidRDefault="00513700" w:rsidP="00513700">
            <w:pPr>
              <w:jc w:val="center"/>
              <w:rPr>
                <w:rFonts w:cs="Arial"/>
                <w:color w:val="000000"/>
                <w:sz w:val="16"/>
                <w:szCs w:val="16"/>
              </w:rPr>
            </w:pPr>
            <w:r w:rsidRPr="00EE6AF7">
              <w:rPr>
                <w:rFonts w:cs="Arial"/>
                <w:color w:val="000000"/>
                <w:sz w:val="16"/>
                <w:szCs w:val="16"/>
              </w:rPr>
              <w:t>21176</w:t>
            </w:r>
          </w:p>
        </w:tc>
      </w:tr>
      <w:tr w:rsidR="006A3321" w:rsidRPr="00EE6AF7" w:rsidTr="00513700">
        <w:trPr>
          <w:trHeight w:val="3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Ambiental</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SDS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Ambiental</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N/A</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N/A</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w:t>
            </w:r>
            <w:r w:rsidR="00513700" w:rsidRPr="00EE6AF7">
              <w:rPr>
                <w:rFonts w:cs="Arial"/>
                <w:color w:val="000000"/>
                <w:sz w:val="16"/>
                <w:szCs w:val="16"/>
              </w:rPr>
              <w:t>/</w:t>
            </w:r>
            <w:r w:rsidRPr="00EE6AF7">
              <w:rPr>
                <w:rFonts w:cs="Arial"/>
                <w:color w:val="000000"/>
                <w:sz w:val="16"/>
                <w:szCs w:val="16"/>
              </w:rPr>
              <w:t>A</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$13,000,000.00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21566</w:t>
            </w:r>
          </w:p>
        </w:tc>
      </w:tr>
      <w:tr w:rsidR="006A3321" w:rsidRPr="00EE6AF7" w:rsidTr="00513700">
        <w:trPr>
          <w:trHeight w:val="3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FIAMBIYUC</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SDS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FIAMBIYUC</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Financiera Rural</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6231014144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$1,378,869.61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20425</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SEFOET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Integral para el Desarrollo Económico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Nacional Financiera</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80159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$42,884,083.75</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$1,000,100.00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20451, 20736</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FOPROFEY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SEFOET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de Promoción y Fomento a las Empresas en 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Banamex</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Acuerdo 34 del 22/dic/2003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$25,849,642.58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$278,200,000.00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21151, 20737, 20453</w:t>
            </w:r>
          </w:p>
        </w:tc>
      </w:tr>
      <w:tr w:rsidR="00BB210A" w:rsidRPr="00EE6AF7" w:rsidTr="00BB210A">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Empleo Permanente</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SEFOET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para la Consolidación y Fomento del Empleo Permanente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2028439516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$13,526,899.52</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FONDEY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SIIES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para Emprendedores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Scotia Bank</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1708768039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$937,775.04</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FOMIX</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SIIES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Mixto CONACYT- Gobierno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Nacional Financiera</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80223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$0.00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FEIY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SIIES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para Emprendedores e Innovadores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750194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$5,293,455.89</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FIPROTUY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 xml:space="preserve">SEFOTUR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para la Promoción y Fomento al Desarrollo Turistico y Económico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73630-4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$16,620,433.78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$30,874,997.00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14443</w:t>
            </w:r>
          </w:p>
        </w:tc>
      </w:tr>
      <w:tr w:rsidR="006A3321" w:rsidRPr="00EE6AF7" w:rsidTr="00513700">
        <w:trPr>
          <w:trHeight w:val="15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FOFAY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SEDER</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de Fomento Agropecuario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2373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$50,773,305.95</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513700" w:rsidP="00513700">
            <w:pPr>
              <w:jc w:val="center"/>
              <w:rPr>
                <w:rFonts w:cs="Arial"/>
                <w:color w:val="000000"/>
                <w:sz w:val="16"/>
                <w:szCs w:val="16"/>
              </w:rPr>
            </w:pPr>
            <w:r w:rsidRPr="00EE6AF7">
              <w:rPr>
                <w:rFonts w:cs="Arial"/>
                <w:color w:val="000000"/>
                <w:sz w:val="16"/>
                <w:szCs w:val="16"/>
              </w:rPr>
              <w:t>$51,000,000.00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6A3321" w:rsidRPr="00EE6AF7" w:rsidRDefault="006A3321">
            <w:pPr>
              <w:rPr>
                <w:rFonts w:cs="Arial"/>
                <w:color w:val="000000"/>
                <w:sz w:val="16"/>
                <w:szCs w:val="16"/>
              </w:rPr>
            </w:pPr>
            <w:r w:rsidRPr="00EE6AF7">
              <w:rPr>
                <w:rFonts w:cs="Arial"/>
                <w:color w:val="000000"/>
                <w:sz w:val="16"/>
                <w:szCs w:val="16"/>
              </w:rPr>
              <w:t>SEDER-14930-AP, SEDER-21233-AP y SEDER-17299-AP</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rPr>
                <w:rFonts w:cs="Arial"/>
                <w:color w:val="000000"/>
                <w:sz w:val="16"/>
                <w:szCs w:val="16"/>
              </w:rPr>
            </w:pPr>
            <w:r w:rsidRPr="00EE6AF7">
              <w:rPr>
                <w:rFonts w:cs="Arial"/>
                <w:color w:val="000000"/>
                <w:sz w:val="16"/>
                <w:szCs w:val="16"/>
              </w:rPr>
              <w:t>FOCAPY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SEDER</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de Crédito Agropecuario y Pesquero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Banco de Crédito Rural Peninsular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633654690</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$3,403,343.77</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FOMICY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SEDER</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de Micro Créditos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 xml:space="preserve">HSBC-Banorte </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282329369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$145,465.00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FOPROYUC</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SEDER</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de Apoyo a la Productividad Agropecuaria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Banco de Crédito Rural Peninsular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738023064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$17,755,838.31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FAED</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SGG</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para la Atención de Emergencias y Desastres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BBVA 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70369-4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$7,090,756.12</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$3,000,000.00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6399</w:t>
            </w:r>
          </w:p>
        </w:tc>
      </w:tr>
      <w:tr w:rsidR="006A3321" w:rsidRPr="00EE6AF7" w:rsidTr="00513700">
        <w:trPr>
          <w:trHeight w:val="12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FEAARI</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CEEAV</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de Inversión y Administración del Fondo Estatal de Ayuda, Asistencia y Reparación Integral</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F/4108163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$5,009,435.63</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$1,000,000.00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19087</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Protego F/0002</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Maestro Irrevocablede Administración y Fuente de Pago identificado bajo el número F/0002</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CIBanco</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 xml:space="preserve">F/0002 </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 xml:space="preserve">12,462,520.45 </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$439,608.00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17752</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Protego F/0007</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Público de Administración e Inversión número F/0007</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CIBanco</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 xml:space="preserve">F/0007 </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$52,729,929.73</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$579,325.00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17800</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Protego F/0019</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Irrevocable de Administración y Fuente Alterna de Pago F/0019</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CIBanco</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F/0019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$117,281,563.94</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$334,378.00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17800</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Justicia Penal</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del Estado de Yucatán para la Implementación del Sistema de Justicia Penal</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CIBanco</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F/0173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$5,516,275.89</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$334,059.00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17800</w:t>
            </w:r>
          </w:p>
        </w:tc>
      </w:tr>
      <w:tr w:rsidR="00BB210A" w:rsidRPr="00EE6AF7" w:rsidTr="00BB210A">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Protego F/0198</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 xml:space="preserve">Fideicomiso Irrevocable de Administración y Pago número 0198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CIBanco</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 xml:space="preserve">F/0198 </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$67,281.57</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sz w:val="16"/>
                <w:szCs w:val="16"/>
              </w:rPr>
            </w:pPr>
            <w:r w:rsidRPr="00EE6AF7">
              <w:rPr>
                <w:rFonts w:cs="Arial"/>
                <w:color w:val="000000"/>
                <w:sz w:val="16"/>
                <w:szCs w:val="16"/>
              </w:rPr>
              <w:t>-</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Protego F/0199</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de Administración número F/0199</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CIBanco</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F/0199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$1,007,346.42</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$557,467.00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17800</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Protego F/4109088</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Irrevocable de Administración y Fuente de Pago número F/4109088</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BBVA 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F/4109088</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$64,647,413.58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$386,736.00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20939, 21433, 21434 y 21435</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Protego F/4109146</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de Administración e Inversión número F/4109146</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BBVA 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F/4109146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$1,057,625,602.12</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$386,740.00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20939</w:t>
            </w:r>
          </w:p>
        </w:tc>
      </w:tr>
      <w:tr w:rsidR="00BB210A" w:rsidRPr="00EE6AF7" w:rsidTr="00BB210A">
        <w:trPr>
          <w:trHeight w:val="3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No aplica</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IEPAC</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de Participación Ciudadana</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HSBC</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250309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$5,372,281.57</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FIDESUR</w:t>
            </w:r>
            <w:r w:rsidRPr="00EE6AF7">
              <w:rPr>
                <w:rFonts w:cs="Arial"/>
                <w:color w:val="000000"/>
                <w:sz w:val="16"/>
                <w:szCs w:val="16"/>
                <w:vertAlign w:val="superscript"/>
              </w:rPr>
              <w:t>(1)</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SEPLAN</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Fideicomiso para el Desarrollo Regional del Sur Sureste</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Banobras</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2050</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$8,463,129.28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bl>
    <w:p w:rsidR="00CA755D" w:rsidRDefault="006A3321">
      <w:r>
        <w:t xml:space="preserve"> </w:t>
      </w:r>
    </w:p>
    <w:p w:rsidR="00FA49E9" w:rsidRDefault="009C1791">
      <w:r>
        <w:br w:type="page"/>
      </w:r>
    </w:p>
    <w:p w:rsidR="00FA49E9" w:rsidRDefault="009C1791">
      <w:pPr>
        <w:pStyle w:val="Ttulo2"/>
      </w:pPr>
      <w:bookmarkStart w:id="62" w:name="Xf51b21ac7491f7d1fae89e0d3fe4e1757e713c3"/>
      <w:bookmarkEnd w:id="50"/>
      <w:bookmarkEnd w:id="61"/>
      <w:r>
        <w:t>ANEXO 12. TRANSFERENCIAS DEL INSTITUTO DE SALUD PARA EL BIENESTAR</w:t>
      </w:r>
    </w:p>
    <w:p w:rsidR="00FA49E9" w:rsidRDefault="00FA49E9"/>
    <w:tbl>
      <w:tblPr>
        <w:tblW w:w="0" w:type="auto"/>
        <w:jc w:val="center"/>
        <w:tblLayout w:type="fixed"/>
        <w:tblLook w:val="0420" w:firstRow="1" w:lastRow="0" w:firstColumn="0" w:lastColumn="0" w:noHBand="0" w:noVBand="1"/>
      </w:tblPr>
      <w:tblGrid>
        <w:gridCol w:w="7862"/>
        <w:gridCol w:w="2808"/>
      </w:tblGrid>
      <w:tr w:rsidR="00FA49E9" w:rsidRPr="00EE6AF7">
        <w:trPr>
          <w:cantSplit/>
          <w:jc w:val="center"/>
        </w:trPr>
        <w:tc>
          <w:tcPr>
            <w:tcW w:w="7862"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TRANSFERENCIAS DEL INSTITUTO DE SALUD PARA EL BIENESTAR</w:t>
            </w:r>
          </w:p>
        </w:tc>
        <w:tc>
          <w:tcPr>
            <w:tcW w:w="2808"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INSABI PRESTACIÓN GRATUITA DE SERVICIOS DE SALUD</w:t>
            </w:r>
            <w:r w:rsidR="00D04924">
              <w:rPr>
                <w:rFonts w:eastAsia="Arial" w:cs="Arial"/>
                <w:color w:val="000000"/>
              </w:rPr>
              <w:t xml:space="preserve"> </w:t>
            </w:r>
            <w:r>
              <w:rPr>
                <w:rFonts w:eastAsia="Arial" w:cs="Arial"/>
                <w:color w:val="000000"/>
              </w:rPr>
              <w:t>MEDICAMENTOS Y DEMAS INSUMOS ASOCIADOS</w:t>
            </w:r>
          </w:p>
        </w:tc>
        <w:tc>
          <w:tcPr>
            <w:tcW w:w="2808"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733,356,248</w:t>
            </w:r>
          </w:p>
        </w:tc>
      </w:tr>
    </w:tbl>
    <w:p w:rsidR="00FA49E9" w:rsidRDefault="00FA49E9"/>
    <w:p w:rsidR="00FA49E9" w:rsidRDefault="009C1791">
      <w:r>
        <w:t>Nota: El Gobierno del Estado de Yucatán firmó en 2020 el acuerdo de coordinación para garantizar la prestación gratuita de servicios de salud, medicamentos y demás insumos asociados para las personas sin seguridad social.</w:t>
      </w:r>
    </w:p>
    <w:p w:rsidR="003556E7" w:rsidRDefault="003556E7"/>
    <w:p w:rsidR="003556E7" w:rsidRDefault="003556E7"/>
    <w:p w:rsidR="003556E7" w:rsidRDefault="003556E7"/>
    <w:p w:rsidR="003556E7" w:rsidRDefault="003556E7"/>
    <w:p w:rsidR="003556E7" w:rsidRDefault="003556E7"/>
    <w:p w:rsidR="00FA49E9" w:rsidRDefault="00FA49E9"/>
    <w:p w:rsidR="00FA49E9" w:rsidRDefault="009C1791" w:rsidP="00743E44">
      <w:pPr>
        <w:pStyle w:val="Ttulo2"/>
        <w:ind w:left="708"/>
      </w:pPr>
      <w:bookmarkStart w:id="63" w:name="Xd4fbdbf4af0960118022048e2187de359beac16"/>
      <w:bookmarkEnd w:id="62"/>
      <w:r>
        <w:t>ANEXO 13. PRESUPUESTO ASIGNADO A GASTOS DE COMUNICACION SOCIAL</w:t>
      </w:r>
    </w:p>
    <w:p w:rsidR="00FA49E9" w:rsidRDefault="00FA49E9"/>
    <w:tbl>
      <w:tblPr>
        <w:tblW w:w="0" w:type="auto"/>
        <w:jc w:val="center"/>
        <w:tblLayout w:type="fixed"/>
        <w:tblLook w:val="0420" w:firstRow="1" w:lastRow="0" w:firstColumn="0" w:lastColumn="0" w:noHBand="0" w:noVBand="1"/>
      </w:tblPr>
      <w:tblGrid>
        <w:gridCol w:w="6229"/>
        <w:gridCol w:w="2225"/>
      </w:tblGrid>
      <w:tr w:rsidR="00FA49E9" w:rsidRPr="00EE6AF7">
        <w:trPr>
          <w:cantSplit/>
          <w:jc w:val="center"/>
        </w:trPr>
        <w:tc>
          <w:tcPr>
            <w:tcW w:w="622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GASTO EN COMUNICACIÓN SOCIAL</w:t>
            </w:r>
          </w:p>
        </w:tc>
        <w:tc>
          <w:tcPr>
            <w:tcW w:w="2225"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622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DIRECCIÓN GENERAL DE COMUNICACIÓN SOCIAL</w:t>
            </w:r>
          </w:p>
        </w:tc>
        <w:tc>
          <w:tcPr>
            <w:tcW w:w="2225"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C577E9">
            <w:pPr>
              <w:spacing w:before="120" w:after="120"/>
              <w:ind w:left="120" w:right="120"/>
              <w:jc w:val="right"/>
            </w:pPr>
            <w:r w:rsidRPr="0083601D">
              <w:rPr>
                <w:rFonts w:eastAsia="Arial" w:cs="Arial"/>
                <w:color w:val="000000"/>
              </w:rPr>
              <w:t>120,773,408</w:t>
            </w:r>
          </w:p>
        </w:tc>
      </w:tr>
    </w:tbl>
    <w:p w:rsidR="00FA49E9" w:rsidRDefault="009C1791" w:rsidP="00743E44">
      <w:pPr>
        <w:ind w:left="708"/>
      </w:pPr>
      <w:r>
        <w:br w:type="page"/>
      </w:r>
    </w:p>
    <w:p w:rsidR="00FA49E9" w:rsidRDefault="009C1791">
      <w:pPr>
        <w:pStyle w:val="Ttulo2"/>
      </w:pPr>
      <w:bookmarkStart w:id="64" w:name="Xc7e34277b0345d7a407e71cb93e94ce13277b2f"/>
      <w:bookmarkEnd w:id="63"/>
      <w:r>
        <w:t>ANEXO 14. GASTOS OBLIGATORIOS, EROGACIONES Y COMPROMISOS PLURIANUALES</w:t>
      </w:r>
    </w:p>
    <w:p w:rsidR="001B712E" w:rsidRDefault="001B712E" w:rsidP="001B712E"/>
    <w:p w:rsidR="001B712E" w:rsidRDefault="001B712E" w:rsidP="001B712E"/>
    <w:tbl>
      <w:tblPr>
        <w:tblW w:w="0" w:type="auto"/>
        <w:jc w:val="center"/>
        <w:tblCellMar>
          <w:left w:w="70" w:type="dxa"/>
          <w:right w:w="70" w:type="dxa"/>
        </w:tblCellMar>
        <w:tblLook w:val="04A0" w:firstRow="1" w:lastRow="0" w:firstColumn="1" w:lastColumn="0" w:noHBand="0" w:noVBand="1"/>
      </w:tblPr>
      <w:tblGrid>
        <w:gridCol w:w="1684"/>
        <w:gridCol w:w="2090"/>
        <w:gridCol w:w="2358"/>
        <w:gridCol w:w="1257"/>
        <w:gridCol w:w="1257"/>
        <w:gridCol w:w="1257"/>
        <w:gridCol w:w="1257"/>
      </w:tblGrid>
      <w:tr w:rsidR="001B712E" w:rsidRPr="00EE6AF7" w:rsidTr="001B712E">
        <w:trPr>
          <w:trHeight w:val="555"/>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DEPENDENCIA</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CONTRATO</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DESCRIPCIÓN</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2021</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2022</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2023</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2024</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SECRETARIA GENERAL DE GOBIERNO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ARRENDAMIENTO DE INMUEBLE</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INMUEBLE PARA USO COMO OFICINAS PARA LA DIRECCIÓN DE ADMINSTRACIÓN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1,103,037.12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1,167,132.00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1,234,965.72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980,056.44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OBRAS PÚBLICAS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CONTRATO INDIVIDUAL S/N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EQUIPO Y BIENES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95,856.00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79,880.00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GEY-SSP-011/2019</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A PRECIOS FACTOR DE RENTA FIJO DE VEHÍCULOS NUEVOS DE PATRULLAJE CON ACCESORIOS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35,015,328.24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35,015,328.24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POR EXCEPCIÓN NÚMERO GEY-SSP-AD-ESTATAL-013/2018</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CONTRATACIÓN DEL ARRENDAMIENTO DE (4) VEHÍCULOS BLINDADOS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6,973,046.28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6,973,046.28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5,229,784.71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8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PRESENCIAL No. LIC-GEY-SSP-004/2019-ARRENDAMIENTO DE AERONAVE DE ALA ROTATIVA (HELICÓPTERO)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SERVICIO DE ARRENDAMIENTO DE AERONAVE DE ALA ROTATIVA (HELICOPTERO)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USD $2,992,800.00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USD $2,992,800.00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USD $2,992,800.00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USD $2,992,800.00</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POR EXCEPCIÓN NÚMERO NO. GEY-SSP-AD-ESTATAL-015/2020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DE DOCE AMBULANCIAS TIPO II S.V.A. URGENCIAS AVANZADAS, PARA EL AUXILIO Y ATENCIÓN A LA SOCIEDAD, DERIVADO DEL COVID-19</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8,939,566.68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8,939,566.68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8,939,566.68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4,469,783.34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POR EXCEPCIÓN DE LICITACIÓN PÚBLICA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CAMIONETAS TIPO SUV BLINDADAS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8,026,190.80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9,631,428.96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9,631,428.96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8,026,190.80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EDUCACIÓN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PAGO DE POSGRADOS</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PARA EL PERSONAL SEGEY</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85,200.00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85,200.00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85,200.00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ARTICULOS DE EQUIPO Y ARTICULOS DE COMPUTO PARA LAS DIVERSAS DIRECCIONES DE LA SEDER</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820,000.00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825,000.00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SUMINISTRO DE BIENES DE LOS SERVICIOS DE FOTO COPIAS , IMPRESIONES Y ESCANEOS PARA LAS DIFERENTES OFICINAS DE LA SECRETARIA DE DESARROLLO RURAL.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990,000.00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SERVICIOS DE SEGURIDAD Y VIGILANCIA BAJO LA MODALIDAD DE CONTRATO ABIERTO PARA LAS INSTALACIONES DE LA SEDER.</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1,250,000.00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1,690,000.00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 BAJO LA MODALIDAD DE CONTRATO ABIERTO</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PARA LAS INSTALACIONES DE LA SEDER</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1,400,000.00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1,920,000.00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EL PROVEEDOR SE OBLIGA A LA ENTREGA EN ARRENDAMIENTO DE LOS VEHICULOS DE TRANSPORTE, CARGA Y MAQUINARIA NUEVOS, BAJO LA MODALIDAD DE CONTRATO ABIERTO A PRECIO/FACTOR DE RENTA FIJO MENSUAL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4,639,440.00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4,639,440.00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EL PROVEEDOR SE OBLIGA A LA ENTREGA EN ARRENDAMIENTO DE LOS VEHICULOS DE TRANSPORTE, CARGA Y MAQUINARIA NUEVOS, BAJO LA MODALIDAD DE CONTRATO ABIERTO A PRECIO/FACTOR DE RENTA FIJO MENSUAL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6,972,000.00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6,972,000.00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24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SAF-SA-ARRENDAMIENTO DE EQUIPOS Y ARTÍCULOS DE CÓMPUTO-01-2019</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EL PROVEEDOR SE OBLIGA A ENTREGAR EN ARRENDAMIENTO LOS EQUIPOS Y ARTÍCULOS DE CÓMPUTO, DE CONFORMIDAD CON LO SEÑALADO EN EL NUMERAL XI, ESPECIFICAMENTE EN EL LOTE 8 DE LAS BASES DE LA LICITACIÓN PÚBLICA ESTATAL NÚMERO SAF-SA-ARRENDAMIENTO DE EQUIPOS Y ARTÍCULOS DE CÓMPUTO-01-2019, LOTE 4.</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445,666.56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865,668.00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865,668.00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865,668.00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EXCEPCIÓN A LA LICITACIÓN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PAGO DE CUOTA ANUAL ASOCIACIÓN MEXICANA DE SECRETARIÓS DE DESARROLLO ECONÓMICO A.C.</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250,000.00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250,000.00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250,000.00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250,000.00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EXCEPCIÓN A LA LICITACIÓN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PARTICIPACIÓN EN LA FERIA AEROESPACIAL MEXICANA 2022</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510,000.00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500,000.00 </w:t>
            </w:r>
          </w:p>
        </w:tc>
      </w:tr>
      <w:tr w:rsidR="001B712E" w:rsidRPr="00EE6AF7" w:rsidTr="001B712E">
        <w:trPr>
          <w:trHeight w:val="24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DIRECTA(ART. 26 DE LA LEY DE ADQUISICIONES ARRENDAMIENTOS Y PRESTACIÓN DE SERVICIOS RELACIONADOS EN BIENES MUEBLES)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LOS INMUEBLES MARCADOS CON LOS NÚMEROS 438, 440 Y 440 INT. "DEPARTAMENTO ER", UBICADOS EN LA CALLE 66 DE LA CIUDAD DE MÉRIDA, YUCATÁN, PARA ESTABLECER LAS OFICINAS DE LA SUBSECRETARÍA DE TRABAJO DEL SERVICIO NACIONAL DE EMPLEO,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2,398,356.00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2,484,000.00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2,608,200.00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2,738,610.00 </w:t>
            </w:r>
          </w:p>
        </w:tc>
      </w:tr>
      <w:tr w:rsidR="001B712E" w:rsidRPr="00EE6AF7" w:rsidTr="001B712E">
        <w:trPr>
          <w:trHeight w:val="60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POR EXCEPCIÓN A LA LICITACIÓN PÚBLICA BAJO EL AMPARO DEL ARTÍCULO 25 FRACC. III DE LEY DE ADQUISICIONES, ARRENDAMIENTOS Y PRESTACIÓN DE SERVICIOS RELACIONADOS CON BIENES MUEBLES, DE CONFORMIDAD CON EL ART. 75 FRACC. III INCISO A) DEL DECRETO 159/2019 POR EL QUE SE EMITE EL PRESUPUESTO DE EGRESOS DEL GOBIERNO DEL ESTADO DE YUCATÁN PARA EL EJERCICIO FISCAL 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INTEGRAL PARA LA PRODUCCIÓN Y DESARROLLO DEL SMART CITY EXPO LATAM CONGRESS POR 3 EDICIONES CONSECUTIVAS</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QUE COMPRENDAN LOS AÑOS 2020, 2021 Y 2022, ORGANIZADO POR “FIRA BARCELONA MÉXICO”, S. DE R.L.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12,200,000.00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24,200,000.00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EDIFICIO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709,908.00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745,403.40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782,673.57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821,807.25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ESTACIONAMIENTO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346,069.00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363,372.45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381,541.07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400,618.13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w:t>
            </w:r>
            <w:r w:rsidR="009050F5"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No. SDS-02-2019 ARRENDAMIENTO DE VEHÍCULOS, MAQUINARIA Y/O EQUIPO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VEHÍCULOS BARREDORA Y TRACTOR</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2,048,688.00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2,048,499.52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2,048,499.52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CONSOLIDADA SAF-SA-SERVICIO DE SEGURIDAD, VIGILANCIA Y LIMPIEZA -01-2020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VIGILANCIA DE SDS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1,220,993.00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1,224,000.00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CONSOLIDADA SAF-SA-SERVICIO DE SEGURIDAD, VIGILANCIA Y LIMPIEZA -01-2020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 DE SDS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585,413.00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582,010.44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8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 -ARRENDAMIENTO DE VEHICULOS DE TRANSPORTE, CARGA Y MAQUINARIA-01-2019 PARTIDA 2</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BAJO LA MODALIDAD DE CONTRATO ABIERTO A PRECIO/ FACTOR DE RENTA FIJA MENSUAL DE VEHÍCULOS NUEVOS DE TRANSPORTE Y CARGA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9,065,781.60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5,288,373.00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SAF-ARRENDAMIENTO EQUIPO DE EQUIPOS Y ARTICULOS DE COMPUTO -01-2019</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BAJO LA MODALIDAD DE CONTRATO ABIERTO A PRECIO FIJO DE EQUIPO Y ARTÍCULOS DE COMPUTO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2,145,996.00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2,063,612.85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8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 -ARRENDAMIENTO DE VEHICULOS DE TRANSPORTE, CARGA Y MAQUINARIA-01-2019 PARTIDA 2</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BAJO LA MODALIDAD DE CONTRATO ABIERTO A PRECIO/ FACTOR DE RENTA FIJA MENSUAL DE VEHÍCULOS NUEVOS DE TRANSPORTE Y CARGA (LOKOMAT)</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6,665,590.20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3,762,833.17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SAF-SA-SERVICIO DE SEGURIDAD, VIGILANCIA Y LIMPIEZA-01-2020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 SERVICIO DE SEGURIDAD Y VIGILANCIA, BAJO LA MODALIDAD DE CONTRATO ABIERTO A PRECIO FIJO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1,107,696.00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1,010,571.13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SAF-SA-SERVICIOS DE SEGURIDAD, VIGILANCIA Y LIMPIEZA-01-2020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 SERVICIO DE LIMPIEZA, BAJO LA MODALIDAD DE CONTRATO ABIERTO A PRECIO FIJO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560,014.59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560,014.59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LA CULTURA Y LAS ARTES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CONTRATO PPS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CONTRAPRESTACIÓN DEL CONTRATO DEL PROYECTO DE PRESTACIÓN DE SERVICIOS DEL GRAN MUSEO DEL MUNDO MAYA DE MÉRIDA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185,016,644.34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209,237,011.46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217,606,491.48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236,893,057.48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RENTAS DE EDIFICIOS PARA OFICINAS DE LA SAF</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3,082,906.81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3,237,777.00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3,399,665.85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2,677,236.86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RENTA DE ESTACIONAMIENTO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815,376.00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856,140.00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898,947.00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707,920.76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OM-002-2011 Y SAF-001-2015</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ARRENDAMIENTOS DE VEHICULOS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13,685,446.00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16,196,893.20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16,196,893.20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16,196,893.20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 ARRENDAMIENTO DE EQUIPOS Y ARTICULOS DE COMPUTO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6,017,304.00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6,017,304.00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MANTENIMIENTO A SERVIDOR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6,874,668.00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6,874,668.00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 DENTRO DE LAS INSTALACIONES DE LA SECRETARIA DE ADMINISTRACION Y FINANZAS, Y SERVICIOS DE RECOLECCION DE BASURA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12,441,244.00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12,441,244.00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SEGURIDAD Y VIGILANCIA PARA LA SECRETARIA DE ADMINISTRACION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15,685,233.00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15,879,864.00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 ARRENDAMIENTO DE EQUIPOS Y ARTICULOS DE COMPUTO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10,400,000.00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10,545,476.00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SEGURIDAD Y VIGILANCIA PARA LA SECRETARIA DE ADMINISTRACION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13,086,847.68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13,086,847.68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D2B6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OM-002-2011 Y SAF-001-2015</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ARRENDAMIENTOS DE VEHICULOS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83,614,708.80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79,633,056.00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79,633,056.00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79,633,056.00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COMBUSTIBLES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424,860,481.86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553,147,309.14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ARRENDAMIENTO DE VEHICULOS, MAQUINARIA Y / O EQUIPO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ARRENDAMIENTOS DE MAQUINARIA Y VEHICULOS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156,200,000.00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171,600,000.00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171,600,000.00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171,600,000.00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INVESTIGACIÓN, INNOVACIÓN Y EDUCACIÓN SUPERIOR</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1,079,088.00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1,080,000.00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1,080,000.00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1,080,000.00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LAS MUJERES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CONCURSO CON INVITACIÓN A TRES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FOTOCOPIADO, IMPRESIÓN Y ESCANEO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180,000.00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LAS MUJERES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EQUIPO DE CÓMPUTO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235,000.00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235,000.00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PESCA Y ACUACULTURA SUSTENTABLE DE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SAF-SA-ARRENDAMIENTO DE EQUIPOS Y ARTÍCULOS DE CÓMPUTO-01-2019</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EQUIPO DE COOMPUTO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629,400.00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504,422.50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DEL DEPORTE DEL ESTADO DE YUCATÁN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SAF-SA-SEGURIDAD,</w:t>
            </w:r>
            <w:r w:rsidR="003E4DAE"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VIGILANCIA Y LIMPIEZA-01-2020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VIGILANCIA PARA UNIDADES DEPORTIVAS DEL IDEY</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3,285,346.90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3,285,346.90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CASA DE LAS ARTESANIAS DEL ESTADO DE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RENTA DE OFICINAS ADMINISTRATIVAS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316,437.84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332,259.74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348,872.80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366,316.36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PATRONATO DE LAS UNIDADES DE SERVICIOS CULTURALES Y TURÍSTICOS DEL ESTADO DE YUCATÁN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SEGUROS CONTRATADOS CONTRA DAÑOS EN NUEVO CENTRO DE CONVENCIONES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5,600,000.00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5,600,000.00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SECRETARIA TÉCNICA DE PLANEACIÓN Y EVALUACIÓN.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SAF-SA-SERVICIO DE SEGURIDAD, VIGILANCIA Y LIMPIEZA-02-2020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PRESTACIÓN DEL SERVICIO DE 2 PERSONAS DE LIMPIEZA DENTRO DE LAS INSTALACIONES DE LA SECRETARÍA TÉCNICA DE PLANEACIÓN Y EVALUACIÓN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240,000.00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PROMOTOR DE FERIAS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 ARRENDAMIENTO DE EDIFICIO</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Y LOCALES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CONTRATO DE ARRENDAMIENTO PARA EL USO TEMPORAL DEL INMUEBLE UBICADO EN COLONIA ITZIMNÁ</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618,000.00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618,000.00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630,000.00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666,000.00 </w:t>
            </w:r>
          </w:p>
        </w:tc>
      </w:tr>
      <w:tr w:rsidR="001B712E" w:rsidRPr="00EE6AF7" w:rsidTr="001B712E">
        <w:trPr>
          <w:trHeight w:val="18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DE MOVILIDAD Y DESARROLLO URBANO TERRITORIAL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LICITACIÓN PÚBLICA No. IMDUT-ADQ-LP-001-2019 -PLATAFORMA TECNOLÓGICA PARA EL TRANSPORTE DEL ESTADO DE YUCATAN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SERVICIO DE DESARROLLO DE UNA PLATAFORMA TECNOLÓGICA PARA EL TRANSPORTE PÚBLICO DE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27,783,660.00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27,783,600.00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27,783,600.00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DE MOVILIDAD Y DESARROLLO URBANO TERRITORIAL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CONJUNTA</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SAF-SA-SERVICIO DE SEGURIDAD, VIGILANCIA Y LIMPIEZA-01-2020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CONTRATACIÓN DE LOS SERVICIOS DE VIGILANCIA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1,104,114.00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1,104,114.00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DE MOVILIDAD Y DESARROLLO URBANO TERRITORIAL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CONJUNTA</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SAF-SA-SERVICIO DE SEGURIDAD, VIGILANCIA Y LIMPIEZA-01-2020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 LOS SERVICIOS DE LIMPIEZA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538,986.24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538,986.24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EJECUTIVA DEL SISTEMA ESTATAL ANTICORRUPCIÓN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HONORARIOS COMITÉ DE PARTICIPACIÓN CIUDADANA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3,646,944.00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3,646,944.00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3,646,944.00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3,646,944.00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EJECUTIVA DEL SISTEMA ESTATAL ANTICORRUPCIÓN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EDIFICIO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691,016.42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746,320.00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806,001.00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SAF-SA-SEGURIDAD, VIGILANCIA Y LIMPIEZA-01-2020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 DENTRO DE LAS INSTALACIONES DE LA SECRETARIA DE ADMINISTRACIÓN Y FINANZAS DEL GOBIERNO DEL ESTADO DE YUCATÁN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12,352,122.32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12,334,297.55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SAF-SERVICIO DE CONCILIACIÓN, ADMINISTRACION Y ALMACENAMIENTO-01-2021</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CONCILIACIÓN, ADMINISTRACIÓN Y ALMACENAMIENTO CFDIS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EE6AF7">
              <w:rPr>
                <w:rFonts w:cs="Arial"/>
                <w:color w:val="000000"/>
                <w:sz w:val="16"/>
                <w:szCs w:val="16"/>
              </w:rPr>
              <w:t>3,</w:t>
            </w:r>
            <w:r w:rsidR="003E4DAE" w:rsidRPr="00EE6AF7">
              <w:rPr>
                <w:rFonts w:cs="Arial"/>
                <w:color w:val="000000"/>
                <w:sz w:val="16"/>
                <w:szCs w:val="16"/>
              </w:rPr>
              <w:t>700</w:t>
            </w:r>
            <w:r w:rsidRPr="00EE6AF7">
              <w:rPr>
                <w:rFonts w:cs="Arial"/>
                <w:color w:val="000000"/>
                <w:sz w:val="16"/>
                <w:szCs w:val="16"/>
              </w:rPr>
              <w:t xml:space="preserve">,000.00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3E4DAE" w:rsidP="001B712E">
            <w:pPr>
              <w:jc w:val="right"/>
              <w:rPr>
                <w:rFonts w:eastAsia="Times New Roman" w:cs="Arial"/>
                <w:color w:val="000000"/>
                <w:sz w:val="16"/>
                <w:szCs w:val="16"/>
                <w:lang w:eastAsia="es-MX"/>
              </w:rPr>
            </w:pPr>
            <w:r w:rsidRPr="00EE6AF7">
              <w:rPr>
                <w:rFonts w:cs="Arial"/>
                <w:color w:val="000000"/>
                <w:sz w:val="16"/>
                <w:szCs w:val="16"/>
              </w:rPr>
              <w:t>10,200</w:t>
            </w:r>
            <w:r w:rsidR="001B712E" w:rsidRPr="00EE6AF7">
              <w:rPr>
                <w:rFonts w:cs="Arial"/>
                <w:color w:val="000000"/>
                <w:sz w:val="16"/>
                <w:szCs w:val="16"/>
              </w:rPr>
              <w:t xml:space="preserve">,000.00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3E4DAE" w:rsidP="001B712E">
            <w:pPr>
              <w:jc w:val="right"/>
              <w:rPr>
                <w:rFonts w:eastAsia="Times New Roman" w:cs="Arial"/>
                <w:color w:val="000000"/>
                <w:sz w:val="16"/>
                <w:szCs w:val="16"/>
                <w:lang w:eastAsia="es-MX"/>
              </w:rPr>
            </w:pPr>
            <w:r w:rsidRPr="00EE6AF7">
              <w:rPr>
                <w:rFonts w:cs="Arial"/>
                <w:color w:val="000000"/>
                <w:sz w:val="16"/>
                <w:szCs w:val="16"/>
              </w:rPr>
              <w:t>10,200</w:t>
            </w:r>
            <w:r w:rsidR="001B712E" w:rsidRPr="00EE6AF7">
              <w:rPr>
                <w:rFonts w:cs="Arial"/>
                <w:color w:val="000000"/>
                <w:sz w:val="16"/>
                <w:szCs w:val="16"/>
              </w:rPr>
              <w:t xml:space="preserve">,000.00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3E4DAE" w:rsidP="001B712E">
            <w:pPr>
              <w:jc w:val="right"/>
              <w:rPr>
                <w:rFonts w:eastAsia="Times New Roman" w:cs="Arial"/>
                <w:color w:val="000000"/>
                <w:sz w:val="16"/>
                <w:szCs w:val="16"/>
                <w:lang w:eastAsia="es-MX"/>
              </w:rPr>
            </w:pPr>
            <w:r w:rsidRPr="00EE6AF7">
              <w:rPr>
                <w:rFonts w:cs="Arial"/>
                <w:color w:val="000000"/>
                <w:sz w:val="16"/>
                <w:szCs w:val="16"/>
              </w:rPr>
              <w:t>7,650</w:t>
            </w:r>
            <w:r w:rsidR="001B712E" w:rsidRPr="00EE6AF7">
              <w:rPr>
                <w:rFonts w:cs="Arial"/>
                <w:color w:val="000000"/>
                <w:sz w:val="16"/>
                <w:szCs w:val="16"/>
              </w:rPr>
              <w:t xml:space="preserve">,000.00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SAF-SEGURIDAD Y VIGILANCIA-01-2021</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SEGURIDAD Y VIGILANCIA PARA LA SECRETARIA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12,000,000.00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16,000,000.00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SAF-TRASLADO DE VALORES-01-2021</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TRASLADO DE VALORES EN LAS OFICINAS RECAUDADORAS DE LA DIRECCIÓN DE RECAUDACIÓN DE LA AGENCIA DE ADMINISTRACIÓN FISCAL DE YUCATÁN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6,500,000.00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SAF-MANTENIMIENTO TECNOLOGICO-01-2021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MANTENIMIENTO DE SITIOS DE COMUNICACIONES, TORRES DE TELECOMUNICACIONES Y SERVIDORES DEL PODER EJECUTIVO DEL GOBIERNO DEL ESTADO DE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5,800,000.00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52,200,000.00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ANALISIS, CONSILIACIÓN Y CARGA DE CONCILIACIONES BANCARIAS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1,073,000.00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1,073,000.00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PARA DICTAMINAR LOS ESTADOS FINANCIEROS E INFORMACIÓN FINANCIERA CORRESPONDIENTE AL EJERCICIO 2021 DEL PODER EJECUTIVO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2,137,338.92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2,137,338.92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SAF-SA-SEGURO DE VIDA-01-2021</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SEGURO DE VIDA COLECTIVO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106,800,000.00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106,800,000.00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SAF-SA-SEGURO DE VEHÍCULOS-01-2021</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SEGURO DE VEHICULOS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50,125,666.39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50,125,666.39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SAF-SA-COMBUSTIBLE-01-2021</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ADQUISICIÓN Y SUMINISTRO DE COMBUSTIBLE A TRAVÉS DE TARJETAS ELECTRÓNICAS, ETIQUETAS AUTOADHERIBLES Y VALES DE PAPEL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450,000,000.00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450,000,000.00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bl>
    <w:p w:rsidR="001B712E" w:rsidRPr="001B712E" w:rsidRDefault="001B712E" w:rsidP="001B712E"/>
    <w:p w:rsidR="00FA49E9" w:rsidRDefault="009C1791">
      <w:r>
        <w:br w:type="page"/>
      </w:r>
    </w:p>
    <w:p w:rsidR="00FA49E9" w:rsidRDefault="009C1791">
      <w:pPr>
        <w:pStyle w:val="Ttulo2"/>
      </w:pPr>
      <w:bookmarkStart w:id="65" w:name="X164b241959f726a9ac8e9b5a5159c8ed2d9dc1c"/>
      <w:bookmarkEnd w:id="64"/>
      <w:r>
        <w:t>ANEXO 15. PROGRAMAS Y PROYECTOS DE INVERSIÓN EN CARTERA</w:t>
      </w:r>
    </w:p>
    <w:p w:rsidR="00FA49E9" w:rsidRDefault="00FA49E9"/>
    <w:tbl>
      <w:tblPr>
        <w:tblW w:w="5000" w:type="pct"/>
        <w:tblCellMar>
          <w:left w:w="70" w:type="dxa"/>
          <w:right w:w="70" w:type="dxa"/>
        </w:tblCellMar>
        <w:tblLook w:val="04A0" w:firstRow="1" w:lastRow="0" w:firstColumn="1" w:lastColumn="0" w:noHBand="0" w:noVBand="1"/>
      </w:tblPr>
      <w:tblGrid>
        <w:gridCol w:w="850"/>
        <w:gridCol w:w="5297"/>
        <w:gridCol w:w="1567"/>
        <w:gridCol w:w="1446"/>
        <w:gridCol w:w="2000"/>
      </w:tblGrid>
      <w:tr w:rsidR="00747961" w:rsidRPr="00EE6AF7" w:rsidTr="00042E0C">
        <w:trPr>
          <w:trHeight w:val="720"/>
          <w:tblHeader/>
        </w:trPr>
        <w:tc>
          <w:tcPr>
            <w:tcW w:w="381"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No</w:t>
            </w:r>
          </w:p>
        </w:tc>
        <w:tc>
          <w:tcPr>
            <w:tcW w:w="2373"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ESTUDIOS, PROGRAMAS Y PROYECTOS DE INVERSIÓN</w:t>
            </w:r>
          </w:p>
        </w:tc>
        <w:tc>
          <w:tcPr>
            <w:tcW w:w="702"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MONTO DE INVERSIÓN</w:t>
            </w:r>
          </w:p>
        </w:tc>
        <w:tc>
          <w:tcPr>
            <w:tcW w:w="648"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EJECUTOR</w:t>
            </w:r>
          </w:p>
        </w:tc>
        <w:tc>
          <w:tcPr>
            <w:tcW w:w="896"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SECTOR</w:t>
            </w:r>
          </w:p>
        </w:tc>
      </w:tr>
      <w:tr w:rsidR="00747961" w:rsidRPr="00EE6AF7" w:rsidTr="00747961">
        <w:trPr>
          <w:trHeight w:val="960"/>
        </w:trPr>
        <w:tc>
          <w:tcPr>
            <w:tcW w:w="38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w:t>
            </w:r>
          </w:p>
        </w:tc>
        <w:tc>
          <w:tcPr>
            <w:tcW w:w="2373"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 ESTUDIOS DEL PLAN MAESTRO CIUDAD UCÚ (SEGUNDA Y TERCERA ETAPA).</w:t>
            </w:r>
          </w:p>
        </w:tc>
        <w:tc>
          <w:tcPr>
            <w:tcW w:w="702" w:type="pct"/>
            <w:tcBorders>
              <w:top w:val="single" w:sz="4" w:space="0" w:color="auto"/>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11,000,000</w:t>
            </w:r>
          </w:p>
        </w:tc>
        <w:tc>
          <w:tcPr>
            <w:tcW w:w="648"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FIDARTU</w:t>
            </w:r>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INFRAESTRUCTURA URBANA PARA CIUDAD UCÚ.</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11,250,000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FIDARTU</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PROGRAMA DE MODERNIZACIÓN DEL SISTEMA DE TRANSPORTE PÚBLICO.</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15,400,000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IMDUT</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COMUNICACIONES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CALLES EN EL INTERIOR DEL ANILLO PERIFÉRICO DE LA LOCALIDAD Y MUNICIPIO DE MÉRIDA DEL ESTADO DE YUCATÁN (4A ETAPA).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28,000,000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COMUNICACIONES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Y LIMPIEZA DE ÁREAS VERDES EN 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18,032,563</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DEL SISTEMA DE ALUMBRADO PÚBLICO EN TRAMOS CARRETEROS Y PERIFÉRICO DE LA CIUDAD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16,197,677</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REHABILITACIÓN DE CUNETAS RECOLECTORAS DE AGUA PLUVIAL EN LOS DERECHOS DE VÍA EN TRAMOS CARRETEROS EN EL ESTADO.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21,000,000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RECONSTRUCCIÓN Y CONSERVACIÓN DE CALLES EN LA LOCALIDAD Y MUNICIPIO DE KANASÍN, YUCATÁN (1A ETAPA).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COMUNICACIONES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Y CONSERVACIÓN DE LOS CENTROS DE REINSERCIÓN SOCIAL EN EL ESTADO.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JUSTICIA</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MANTENIMIENTO Y CONSERVACIÓN EN EL MALECÓN TRADICIONAL 3A ETAPA EN LA LOCALIDAD Y MUNICIPIO DE PROGRESO.</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28,000,000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CANCHA DE BASKETBALL EN LA LOCALIDAD Y MUNICIPIO DE TICUL.</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DEPORTE</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TRABAJOS COMPLEMENTARIOS EN PUENTES PEATONALES EN EL PERIFÉRICO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DEL ESTUDIO PARA EL PROYECTO DENOMINADO LA PLANCHA EN LA LOCALIDAD Y MUNICIPIO DE MÉRIDA,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4,500,000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SOCIAL</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14</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NUEVO EDIFICIO DEL CAIMEDE EN LA LOCALIDAD Y MUNICIPIO DE MÉRIDA.</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100,000,000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SOCIAL</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MERCADO EN LA LOCALIDAD Y MUNICIPIO DE KANASÍN.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SOCIAL</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ESTANDARIZACIÓN DE LOS CENTROS DE SALUD  DEL ESTADO EN DIVERSOS MUNICIPIOS.</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SALUD</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ÁREA DE RIESGO DEL TEATRO JOSÉ PEÓN CONTRERAS EN LA LOCALIDAD Y MUNICIPIO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3,500,000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CULTURA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INTERVENCIÓN EN ÁREA DE SUBESTACIÓN DEL EDIFICIO DEL PALACIO DE GOBIERNO EN LA LOCALIDAD Y MUNICIPIO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DE GOBIERNO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ALBERGUES PARA MUJERES EN SITUACIÓN DE VIOLENCIA EXTREMA EN TEKAX (8 NÚCLEOS) Y TÍCUL ( 2 NÚCLEOS).</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12,500,000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SOCIAL</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REHABILITACIÓN DE LA INFRAESTRUCTURA DEL RECINTO FERIAL, EN LA LOCALIDAD DE XMATKUIL, MUNICIPIO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20,265,000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IPFY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CASA DIGNA MODALIDAD COCINA ECOLÓGICA CON ESTUFA Y CHIMENEA INSTALADAS.</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16,484,000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CASA DIGNA MODALIDAD SANITARIOS ECOLÓGICOS CON BIODIGESTOR.</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85,228,000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CASA DIGNA MODALIDAD CUARTO DORMITORIO.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106,220,839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24</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REMODELACIÓN Y EQUIPAMIENTO DE EDIFICIOS DEL INSTITUTO DE VIVIENDA CONTINUACIÓN.</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DE GOBIERNO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 ESTUDIOS PARA UN DESARROLLO HABITACIONAL SOCIAL EN LA ZONA SUR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5,990,000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ESTUDIOS DE PRE-INVERSIÓN DEL PROYECTO PARQUE LINEAL CIÉNEGA EN EL MUNICIPIO  DE PROGRESO,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5,300,000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27</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2.5 KM DEL PROYECTO PARQUE LINEAL CIÉNEGA DE PROGRESO. (PRIMERA ETAPA).</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46,000,000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VIVIENDAS EN EL MUNICIPIO DE PROGRESO.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72,000,000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 ESTUDIOS PARA UN DESARROLLO HABITACIONAL SOCIAL EN EL MUNICIPIO DE PROGRESO.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1,650,000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VIVIENDAS EN UN DESARROLLO HABITACIONAL EN EL SUR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SANITARIOS CON BIODIGESTOR EN LOCALIDADES Y MUNICIPIOS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55,603,400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SUDZAL CHICO, DEL MUNICIPIO DE TEKAX.</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3,008,290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 xml:space="preserve">CONSTRUCCIÓN DEL SISTEMA DE ABASTECIMIENTO DE AGUA POTABLE DE LA LOCALIDAD DE AYIM DOS DEL MUNICIPIO DE TEKAX YUCATÁN. </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1,982,000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SAN SALVADOR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2,084,000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CHAN DZINUP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1,491,920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YALCOBA NUEVO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2,355,230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KANTEMÓ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2,788,338</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SAN ANTONIO TUK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1,846,450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DEL ANTEPROYECTO ARQUITECTÓNICO PARA LA SUSTITUCIÓN DEL HOSPITAL AGUSTÍN O`HORAN EN MÉRIDA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OPD SALUD</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SALUD</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DE LA INFRAESTRUCTURA FÍSICA EDUCATIVA EN CENTROS EDUCATIVOS DE NIVEL PREESCOLAR.</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4,089,804</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DE LA INFRAESTRUCTURA FÍSICA EDUCATIVA EN CENTROS EDUCATIVOS DE NIVEL PRIMARIA.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5,900,398</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DE LA INFRAESTRUCTURA FÍSICA EDUCATIVA EN CENTROS EDUCATIVOS DE NIVEL SECUNDARIA.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2,848,842</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AMPLIACIÓN DE ESPACIOS EDUCATIVOS EN EL NIVEL PREESCOLAR.</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25,990,000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 xml:space="preserve">AMPLIACIÓN DE ESPACIOS EDUCATIVOS EN EL NIVEL DE EDUCACIÓN PRIMARIA </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24,870,000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AMPLIACIÓN DE ESPACIOS EDUCATIVOS EN EL NIVEL DE EDUCACIÓN SECUNDARIA.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26,199,998</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 xml:space="preserve">MANTENIMIENTO EMERGENTE A PLANTELES DE EDUCACIÓN PREESCOLAR. </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8,212,805</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EMERGENTE A PLANTELES DE EDUCACIÓN PRIMARIA.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1,100,000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EMERGENTE A PLANTELES DE EDUCACIÓN SECUNDARIA.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3,400,000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 ESPACIOS EDUCATIVOS EN LA PREPARATORIA ESTATAL NO.12, EN LA LOCALIDAD Y MUNICIPIO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2,687,187</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 AULAS VIRTUALES EN LAS PREPARATORIAS ESTATALES DEL MUNICIPIO CHUMAYEL Y SAN FELIPE.</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777,120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 UN AULA DE CÓMPUTO EN LA PREPARATORIA ESTATAL NO.11.</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388,565</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AULA EDUCATIVA PLANTEL CECYTE 08 CONKAL.</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339,760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REHABILITACIÓN Y EQUIPAMIENTO  TALLER DE ELECTRICIDAD PLANTEL CECYTE 01 ESPITA.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339,760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 xml:space="preserve">CONSTRUCCIÓN Y EQUIPAMIENTO DE AULAS DIDÁCTICAS Y EDIFICIO ADMINISTRATIVO DE LA PREPARATORIA ESTATAL NO.13 EN LA LOCALIDAD Y MUNICIPIO DE MÉRIDA (PRIMERA ETAPA). </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1,520,829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ESCALERA  Y AULA EDUCATIVA EN SEGUNDA PLANTA EN PLANTEL CECYTE 06 EMILIANO ZAPATA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710,409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EQUIPAMIENTO DE BIBLIOTECAS EN PLANTELES EDUCATIVOS DEL COLEGIO DE BACHILLERES DEL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463,310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REHABILITACIÓN DE MÓDULO DE SERVICIOS SANITARIOS EN PLANTEL PETO DEL COLEGIO DE BACHILLERES DEL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308,870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 ESPACIOS EDUCATIVOS EN PLANTELES DEL COLEGIO DE BACHILLERES DEL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1,698,799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AMPLIACIÓN DE INFRAESTRUCTURA Y EQUIPAMIENTO DEL INSTITUTO TECNOLÓGICO SUPERIOR DE VALLADOLID.</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3,566,400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Y ADQUISICIÓN DE EQUIPOS PARA INSTALACIONES DE LA UNIVERSIDAD TECNOLÓGICA DEL CENTRO EN IZAMAL</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5,188,884</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CORRECTIVO A LAS INSTALACIONES DE LA UNIVERSIDAD TECNOLÓGICA DEL MAYAB EN LA LOCALIDAD Y MUNICIPIO DE PETO.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DEL INSTITUTO TECNOLÓGICO SUPERIOR DEL SUR DEL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6,719,369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ESPECIALIZADO DE UN TALLER DE USOS MÚLTIPLES EN EL INSTITUTO TECNOLÓGICO SUPERIOR DE MOTUL (CUARTA ETAPA).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8343F5">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TERMINACIÓN DE LA FACULTAD DE CONTADURÍA Y ADMINISTRACIÓN DEL CAMPUS DE CIENCIAS SOCIALES, ECONÓMICO ADMINISTRATIVAS Y HUMANIDADES.</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UADY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6912D1" w:rsidRPr="00EE6AF7" w:rsidTr="008343F5">
        <w:trPr>
          <w:trHeight w:val="960"/>
        </w:trPr>
        <w:tc>
          <w:tcPr>
            <w:tcW w:w="381" w:type="pct"/>
            <w:tcBorders>
              <w:top w:val="nil"/>
              <w:left w:val="single" w:sz="4" w:space="0" w:color="auto"/>
              <w:bottom w:val="nil"/>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65</w:t>
            </w:r>
          </w:p>
        </w:tc>
        <w:tc>
          <w:tcPr>
            <w:tcW w:w="2373" w:type="pct"/>
            <w:tcBorders>
              <w:top w:val="nil"/>
              <w:left w:val="nil"/>
              <w:bottom w:val="nil"/>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IMPLEMENTACIÓN DE SISTEMA FOTOVOLTAICO INTERCONECTADO A LA RED DE LA CFE PARA LA FACULTAD DE INGENIERÍA QUÍMICA.</w:t>
            </w:r>
          </w:p>
        </w:tc>
        <w:tc>
          <w:tcPr>
            <w:tcW w:w="702" w:type="pct"/>
            <w:tcBorders>
              <w:top w:val="nil"/>
              <w:left w:val="nil"/>
              <w:bottom w:val="nil"/>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15,000,000</w:t>
            </w:r>
          </w:p>
        </w:tc>
        <w:tc>
          <w:tcPr>
            <w:tcW w:w="648"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UADY</w:t>
            </w:r>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973CA5" w:rsidRPr="00EE6AF7" w:rsidTr="008343F5">
        <w:trPr>
          <w:gridAfter w:val="2"/>
          <w:wAfter w:w="1544" w:type="pct"/>
          <w:trHeight w:val="960"/>
        </w:trPr>
        <w:tc>
          <w:tcPr>
            <w:tcW w:w="2754" w:type="pct"/>
            <w:gridSpan w:val="2"/>
            <w:tcBorders>
              <w:top w:val="single" w:sz="4" w:space="0" w:color="auto"/>
              <w:left w:val="single" w:sz="4" w:space="0" w:color="auto"/>
              <w:bottom w:val="single" w:sz="4" w:space="0" w:color="auto"/>
              <w:right w:val="single" w:sz="4" w:space="0" w:color="auto"/>
            </w:tcBorders>
            <w:shd w:val="clear" w:color="auto" w:fill="4B4B4B"/>
            <w:vAlign w:val="center"/>
          </w:tcPr>
          <w:p w:rsidR="00973CA5" w:rsidRPr="006912D1" w:rsidRDefault="00973CA5" w:rsidP="00747961">
            <w:pPr>
              <w:rPr>
                <w:rFonts w:ascii="Barlow" w:eastAsia="Times New Roman" w:hAnsi="Barlow" w:cs="Calibri"/>
                <w:b/>
                <w:bCs/>
                <w:color w:val="000000"/>
                <w:sz w:val="22"/>
                <w:szCs w:val="22"/>
                <w:lang w:eastAsia="es-MX"/>
              </w:rPr>
            </w:pPr>
            <w:r w:rsidRPr="00EE6AF7">
              <w:rPr>
                <w:rFonts w:ascii="Barlow" w:eastAsia="Times New Roman" w:hAnsi="Barlow" w:cs="Calibri"/>
                <w:b/>
                <w:bCs/>
                <w:color w:val="FFFFFF"/>
                <w:sz w:val="22"/>
                <w:szCs w:val="22"/>
                <w:lang w:eastAsia="es-MX"/>
              </w:rPr>
              <w:t>TOTAL</w:t>
            </w:r>
          </w:p>
        </w:tc>
        <w:tc>
          <w:tcPr>
            <w:tcW w:w="702" w:type="pct"/>
            <w:tcBorders>
              <w:top w:val="single" w:sz="4" w:space="0" w:color="auto"/>
              <w:left w:val="nil"/>
              <w:bottom w:val="single" w:sz="4" w:space="0" w:color="auto"/>
              <w:right w:val="single" w:sz="4" w:space="0" w:color="auto"/>
            </w:tcBorders>
            <w:shd w:val="clear" w:color="auto" w:fill="4B4B4B"/>
            <w:noWrap/>
            <w:vAlign w:val="center"/>
          </w:tcPr>
          <w:p w:rsidR="00973CA5" w:rsidRPr="00EE6AF7" w:rsidRDefault="00973CA5" w:rsidP="00973CA5">
            <w:pPr>
              <w:jc w:val="right"/>
              <w:rPr>
                <w:rFonts w:ascii="Barlow" w:hAnsi="Barlow" w:cs="Calibri"/>
                <w:b/>
                <w:bCs/>
                <w:color w:val="000000"/>
                <w:sz w:val="22"/>
                <w:szCs w:val="22"/>
              </w:rPr>
            </w:pPr>
            <w:r w:rsidRPr="00EE6AF7">
              <w:rPr>
                <w:rFonts w:ascii="Barlow" w:hAnsi="Barlow" w:cs="Calibri"/>
                <w:b/>
                <w:bCs/>
                <w:color w:val="FFFFFF"/>
                <w:sz w:val="22"/>
                <w:szCs w:val="22"/>
              </w:rPr>
              <w:t>1,107,498,816</w:t>
            </w:r>
          </w:p>
        </w:tc>
      </w:tr>
    </w:tbl>
    <w:p w:rsidR="00F72CF5" w:rsidRDefault="00F72CF5" w:rsidP="00F72CF5"/>
    <w:p w:rsidR="00F72CF5" w:rsidRDefault="00F72CF5" w:rsidP="00F72CF5">
      <w:r>
        <w:t>Nota: Los Programas y/o proyectos que se encuentran sombreados, se consideran multianuales.</w:t>
      </w:r>
    </w:p>
    <w:p w:rsidR="00BA113C" w:rsidRDefault="00BA113C"/>
    <w:p w:rsidR="001E6796" w:rsidRPr="00EE6AF7" w:rsidRDefault="001E6796">
      <w:pPr>
        <w:jc w:val="left"/>
        <w:rPr>
          <w:rFonts w:eastAsia="Times New Roman"/>
          <w:b/>
          <w:color w:val="000000"/>
          <w:szCs w:val="26"/>
        </w:rPr>
      </w:pPr>
      <w:bookmarkStart w:id="66" w:name="X3d4099b8b5d2cdd53691f4ebb4bf97fe7aa0741"/>
      <w:bookmarkEnd w:id="65"/>
      <w:r>
        <w:br w:type="page"/>
      </w:r>
    </w:p>
    <w:p w:rsidR="00FA49E9" w:rsidRDefault="009C1791">
      <w:pPr>
        <w:pStyle w:val="Ttulo2"/>
      </w:pPr>
      <w:r>
        <w:t>ANEXO 16. FORMATOS DE LA LEY DE DISCIPLINA FINANCIERA</w:t>
      </w:r>
    </w:p>
    <w:p w:rsidR="00FA49E9" w:rsidRDefault="009C1791">
      <w:pPr>
        <w:pStyle w:val="Ttulo3"/>
      </w:pPr>
      <w:bookmarkStart w:id="67" w:name="anexo-16.1.-balance-presupuestario"/>
      <w:r>
        <w:t>ANEXO 16.1. BALANCE PRESUPUESTARIO</w:t>
      </w:r>
    </w:p>
    <w:tbl>
      <w:tblPr>
        <w:tblW w:w="0" w:type="auto"/>
        <w:tblCellMar>
          <w:left w:w="70" w:type="dxa"/>
          <w:right w:w="70" w:type="dxa"/>
        </w:tblCellMar>
        <w:tblLook w:val="04A0" w:firstRow="1" w:lastRow="0" w:firstColumn="1" w:lastColumn="0" w:noHBand="0" w:noVBand="1"/>
      </w:tblPr>
      <w:tblGrid>
        <w:gridCol w:w="5934"/>
        <w:gridCol w:w="1742"/>
        <w:gridCol w:w="1742"/>
        <w:gridCol w:w="1742"/>
      </w:tblGrid>
      <w:tr w:rsidR="00924F22" w:rsidRPr="00EE6AF7" w:rsidTr="00924F22">
        <w:trPr>
          <w:trHeight w:val="20"/>
        </w:trPr>
        <w:tc>
          <w:tcPr>
            <w:tcW w:w="0" w:type="auto"/>
            <w:gridSpan w:val="4"/>
            <w:tcBorders>
              <w:top w:val="nil"/>
              <w:left w:val="nil"/>
              <w:bottom w:val="nil"/>
              <w:right w:val="nil"/>
            </w:tcBorders>
            <w:shd w:val="clear" w:color="auto" w:fill="auto"/>
            <w:vAlign w:val="center"/>
            <w:hideMark/>
          </w:tcPr>
          <w:p w:rsidR="00924F22" w:rsidRPr="00924F22" w:rsidRDefault="00924F22" w:rsidP="00924F22">
            <w:pPr>
              <w:jc w:val="center"/>
              <w:rPr>
                <w:rFonts w:eastAsia="Times New Roman" w:cs="Arial"/>
                <w:b/>
                <w:bCs/>
                <w:color w:val="000000"/>
                <w:sz w:val="18"/>
                <w:szCs w:val="18"/>
                <w:lang w:eastAsia="es-MX"/>
              </w:rPr>
            </w:pPr>
            <w:r w:rsidRPr="00924F22">
              <w:rPr>
                <w:rFonts w:eastAsia="Times New Roman" w:cs="Arial"/>
                <w:b/>
                <w:bCs/>
                <w:color w:val="000000"/>
                <w:sz w:val="18"/>
                <w:szCs w:val="18"/>
                <w:lang w:eastAsia="es-MX"/>
              </w:rPr>
              <w:t>ENTE PÚBLICO: PODER EJECUTIVO</w:t>
            </w:r>
            <w:r w:rsidRPr="00924F22">
              <w:rPr>
                <w:rFonts w:eastAsia="Times New Roman" w:cs="Arial"/>
                <w:b/>
                <w:bCs/>
                <w:color w:val="000000"/>
                <w:sz w:val="18"/>
                <w:szCs w:val="18"/>
                <w:lang w:eastAsia="es-MX"/>
              </w:rPr>
              <w:br/>
              <w:t>Balance Presupuestario - LDF</w:t>
            </w:r>
            <w:r w:rsidRPr="00924F22">
              <w:rPr>
                <w:rFonts w:eastAsia="Times New Roman" w:cs="Arial"/>
                <w:b/>
                <w:bCs/>
                <w:color w:val="000000"/>
                <w:sz w:val="18"/>
                <w:szCs w:val="18"/>
                <w:lang w:eastAsia="es-MX"/>
              </w:rPr>
              <w:br/>
              <w:t>Del 1 de enero al 31 de diciembre de 202</w:t>
            </w:r>
            <w:r w:rsidR="00C705EE">
              <w:rPr>
                <w:rFonts w:eastAsia="Times New Roman" w:cs="Arial"/>
                <w:b/>
                <w:bCs/>
                <w:color w:val="000000"/>
                <w:sz w:val="18"/>
                <w:szCs w:val="18"/>
                <w:lang w:eastAsia="es-MX"/>
              </w:rPr>
              <w:t>2</w:t>
            </w:r>
            <w:r w:rsidRPr="00924F22">
              <w:rPr>
                <w:rFonts w:eastAsia="Times New Roman" w:cs="Arial"/>
                <w:b/>
                <w:bCs/>
                <w:color w:val="000000"/>
                <w:sz w:val="18"/>
                <w:szCs w:val="18"/>
                <w:lang w:eastAsia="es-MX"/>
              </w:rPr>
              <w:br/>
              <w:t>(PESOS)</w:t>
            </w: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 ( c )</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Estimado/</w:t>
            </w:r>
            <w:r w:rsidRPr="00924F22">
              <w:rPr>
                <w:rFonts w:eastAsia="Times New Roman" w:cs="Arial"/>
                <w:b/>
                <w:bCs/>
                <w:color w:val="FFFFFF"/>
                <w:sz w:val="18"/>
                <w:szCs w:val="18"/>
                <w:lang w:eastAsia="es-MX"/>
              </w:rPr>
              <w:br/>
              <w:t>Aprobado(d)</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Recaudado/</w:t>
            </w:r>
            <w:r w:rsidRPr="00924F22">
              <w:rPr>
                <w:rFonts w:eastAsia="Times New Roman" w:cs="Arial"/>
                <w:b/>
                <w:bCs/>
                <w:color w:val="FFFFFF"/>
                <w:sz w:val="18"/>
                <w:szCs w:val="18"/>
                <w:lang w:eastAsia="es-MX"/>
              </w:rPr>
              <w:b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 Ingresos Totales (A = A1+A2+A3)</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A</w:t>
            </w:r>
            <w:r w:rsidR="003D5A02">
              <w:rPr>
                <w:rFonts w:eastAsia="Times New Roman" w:cs="Arial"/>
                <w:color w:val="000000"/>
                <w:sz w:val="18"/>
                <w:szCs w:val="18"/>
                <w:lang w:eastAsia="es-MX"/>
              </w:rPr>
              <w:t>p</w:t>
            </w:r>
            <w:r w:rsidRPr="00924F22">
              <w:rPr>
                <w:rFonts w:eastAsia="Times New Roman" w:cs="Arial"/>
                <w:color w:val="000000"/>
                <w:sz w:val="18"/>
                <w:szCs w:val="18"/>
                <w:lang w:eastAsia="es-MX"/>
              </w:rPr>
              <w:t>1. Ingresos de Libre Disposición</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$22,398,355,804.00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$22,398,355,804.00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$22,398,355,804.00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A2. Transferencias Federales Etiquetadas</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$20,237,380,255.00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$20,237,380,255.00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$20,237,380,255.00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A3. Financiamiento Neto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-$615,946,307.00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-$615,946,307.00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-$615,946,307.00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B. Egresos Presupuestarios1 (B = B1+B2)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B1. Gasto No Etiquetado (sin incluir Amortización de la Deuda Pública)</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$22,331,492,249.00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$22,331,492,249.00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$22,331,492,249.00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B2. Gasto Etiquetado (sin incluir Amortización de la Deuda Pública)</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$19,688,297,503.00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$19,688,297,503.00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$19,688,297,503.00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C. Remanentes del Ejercicio Anterior ( C = C1 + C2 )</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C1. Remanentes de Ingresos de Libre Disposición aplicados en el periodo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C2. Remanentes de Transferencias Federales Etiquetadas aplicados en el periodo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I. Balance Presupuestario (I = A - B + C)</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II. Balance Presupuestario sin Financiamiento Neto (II = I - A3)</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III. Balance Presupuestario sin Financiamiento Neto y sin Remanentes del Ejercicio Anterior (III= II - C)</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r>
      <w:tr w:rsidR="00924F22" w:rsidRPr="00EE6AF7" w:rsidTr="00924F22">
        <w:trPr>
          <w:trHeight w:val="20"/>
        </w:trPr>
        <w:tc>
          <w:tcPr>
            <w:tcW w:w="0" w:type="auto"/>
            <w:tcBorders>
              <w:top w:val="nil"/>
              <w:left w:val="nil"/>
              <w:bottom w:val="nil"/>
              <w:right w:val="nil"/>
            </w:tcBorders>
            <w:shd w:val="clear" w:color="auto" w:fill="auto"/>
            <w:vAlign w:val="bottom"/>
            <w:hideMark/>
          </w:tcPr>
          <w:p w:rsidR="00924F22" w:rsidRPr="00924F22" w:rsidRDefault="00924F22" w:rsidP="00924F22">
            <w:pPr>
              <w:jc w:val="right"/>
              <w:rPr>
                <w:rFonts w:eastAsia="Times New Roman" w:cs="Arial"/>
                <w:b/>
                <w:bCs/>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Aprobado</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E. Intereses, Comisiones y Gastos de la Deuda (E = E1+ E2)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$629,630,340.00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$629,630,340.00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$629,630,340.00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E1. Intereses, Comisiones y Gastos de la Deuda con Gasto No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$221,330,700.00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$221,330,700.00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$221,330,700.00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E2. Intereses, Comisiones y Gastos de la Deuda con Gasto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$408,299,640.00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$408,299,640.00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$408,299,640.00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IV. Balance Primario (IV = III + E)</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$1,245,576,647.00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$1,245,576,647.00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$1,245,576,647.00</w:t>
            </w:r>
          </w:p>
        </w:tc>
      </w:tr>
      <w:tr w:rsidR="00924F22" w:rsidRPr="00EE6AF7" w:rsidTr="00924F22">
        <w:trPr>
          <w:trHeight w:val="20"/>
        </w:trPr>
        <w:tc>
          <w:tcPr>
            <w:tcW w:w="0" w:type="auto"/>
            <w:tcBorders>
              <w:top w:val="nil"/>
              <w:left w:val="nil"/>
              <w:bottom w:val="nil"/>
              <w:right w:val="nil"/>
            </w:tcBorders>
            <w:shd w:val="clear" w:color="auto" w:fill="auto"/>
            <w:vAlign w:val="bottom"/>
            <w:hideMark/>
          </w:tcPr>
          <w:p w:rsidR="00924F22" w:rsidRPr="00924F22" w:rsidRDefault="00924F22" w:rsidP="00924F22">
            <w:pPr>
              <w:jc w:val="right"/>
              <w:rPr>
                <w:rFonts w:eastAsia="Times New Roman" w:cs="Arial"/>
                <w:b/>
                <w:bCs/>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 ( c )</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Estimado/</w:t>
            </w:r>
            <w:r w:rsidRPr="00924F22">
              <w:rPr>
                <w:rFonts w:eastAsia="Times New Roman" w:cs="Arial"/>
                <w:b/>
                <w:bCs/>
                <w:color w:val="FFFFFF"/>
                <w:sz w:val="18"/>
                <w:szCs w:val="18"/>
                <w:lang w:eastAsia="es-MX"/>
              </w:rPr>
              <w:br/>
              <w:t>Aprobado(d)</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Recaudado/</w:t>
            </w:r>
            <w:r w:rsidRPr="00924F22">
              <w:rPr>
                <w:rFonts w:eastAsia="Times New Roman" w:cs="Arial"/>
                <w:b/>
                <w:bCs/>
                <w:color w:val="FFFFFF"/>
                <w:sz w:val="18"/>
                <w:szCs w:val="18"/>
                <w:lang w:eastAsia="es-MX"/>
              </w:rPr>
              <w:b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F. Financiamiento (F = F1 + F2)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F1. Financiamiento con Fuente de Pago de Ingresos de Libre Disposición</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F2. Financiamiento con Fuente de Pago de Transferencias Federales Etiquetadas</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G. Amortización de la Deuda (G = G1 + G2)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G1. Amortización de la Deuda Pública con Gasto No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$66,863,555.00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$66,863,555.00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$66,863,555.00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G2. Amortización de la Deuda Pública con Gasto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$549,082,752.00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$549,082,752.00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$549,082,752.00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A3. Financiamiento Neto (A3 = F- G )</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r>
      <w:tr w:rsidR="00924F22" w:rsidRPr="00EE6AF7" w:rsidTr="00924F22">
        <w:trPr>
          <w:trHeight w:val="20"/>
        </w:trPr>
        <w:tc>
          <w:tcPr>
            <w:tcW w:w="0" w:type="auto"/>
            <w:tcBorders>
              <w:top w:val="nil"/>
              <w:left w:val="nil"/>
              <w:bottom w:val="nil"/>
              <w:right w:val="nil"/>
            </w:tcBorders>
            <w:shd w:val="clear" w:color="auto" w:fill="auto"/>
            <w:vAlign w:val="bottom"/>
            <w:hideMark/>
          </w:tcPr>
          <w:p w:rsidR="00924F22" w:rsidRPr="00924F22" w:rsidRDefault="00924F22" w:rsidP="00924F22">
            <w:pPr>
              <w:jc w:val="right"/>
              <w:rPr>
                <w:rFonts w:eastAsia="Times New Roman" w:cs="Arial"/>
                <w:b/>
                <w:bCs/>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 ( c )</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Estimado/</w:t>
            </w:r>
            <w:r w:rsidRPr="00924F22">
              <w:rPr>
                <w:rFonts w:eastAsia="Times New Roman" w:cs="Arial"/>
                <w:b/>
                <w:bCs/>
                <w:color w:val="FFFFFF"/>
                <w:sz w:val="18"/>
                <w:szCs w:val="18"/>
                <w:lang w:eastAsia="es-MX"/>
              </w:rPr>
              <w:br/>
              <w:t>Aprobado(d)</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Recaudado/</w:t>
            </w:r>
            <w:r w:rsidRPr="00924F22">
              <w:rPr>
                <w:rFonts w:eastAsia="Times New Roman" w:cs="Arial"/>
                <w:b/>
                <w:bCs/>
                <w:color w:val="FFFFFF"/>
                <w:sz w:val="18"/>
                <w:szCs w:val="18"/>
                <w:lang w:eastAsia="es-MX"/>
              </w:rPr>
              <w:b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A1. Ingresos de Libre Disposición</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$22,398,355,804.00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$22,398,355,804.00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$22,398,355,804.00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A3.1 Financiamiento Neto con Fuente de Pago de Ingresos de Libre Disposición (A3.1 = F1- G1)</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F1. Financiamiento con Fuente de Pago de Ingresos de Libre Disposición</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G1. Amortización de la Deuda Pública con Gasto No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B1. Gasto No Etiquetado (sin incluir Amortización de la Deuda Pública)</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$22,331,492,249.00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$22,331,492,249.00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$22,331,492,249.00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C1. Remanentes de Ingresos de Libre Disposición aplicados en el periodo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V. Balance Presupuestario de Recursos Disponibles (V = A1 + A3.1 -– B 1 + C1)</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VI. Balance Presupuestario de Recursos Disponibles sin Financiamiento Neto (VI = V- A3.1)</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r>
      <w:tr w:rsidR="00924F22" w:rsidRPr="00EE6AF7" w:rsidTr="00924F22">
        <w:trPr>
          <w:trHeight w:val="20"/>
        </w:trPr>
        <w:tc>
          <w:tcPr>
            <w:tcW w:w="0" w:type="auto"/>
            <w:tcBorders>
              <w:top w:val="nil"/>
              <w:left w:val="nil"/>
              <w:bottom w:val="nil"/>
              <w:right w:val="nil"/>
            </w:tcBorders>
            <w:shd w:val="clear" w:color="auto" w:fill="auto"/>
            <w:vAlign w:val="bottom"/>
            <w:hideMark/>
          </w:tcPr>
          <w:p w:rsidR="00924F22" w:rsidRPr="00924F22" w:rsidRDefault="00924F22" w:rsidP="00924F22">
            <w:pPr>
              <w:jc w:val="right"/>
              <w:rPr>
                <w:rFonts w:eastAsia="Times New Roman" w:cs="Arial"/>
                <w:b/>
                <w:bCs/>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 ( c )</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Estimado/</w:t>
            </w:r>
            <w:r w:rsidRPr="00924F22">
              <w:rPr>
                <w:rFonts w:eastAsia="Times New Roman" w:cs="Arial"/>
                <w:b/>
                <w:bCs/>
                <w:color w:val="FFFFFF"/>
                <w:sz w:val="18"/>
                <w:szCs w:val="18"/>
                <w:lang w:eastAsia="es-MX"/>
              </w:rPr>
              <w:br/>
              <w:t>Aprobado(d)</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Recaudado/</w:t>
            </w:r>
            <w:r w:rsidRPr="00924F22">
              <w:rPr>
                <w:rFonts w:eastAsia="Times New Roman" w:cs="Arial"/>
                <w:b/>
                <w:bCs/>
                <w:color w:val="FFFFFF"/>
                <w:sz w:val="18"/>
                <w:szCs w:val="18"/>
                <w:lang w:eastAsia="es-MX"/>
              </w:rPr>
              <w:b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A2. Transferencias Federales Etiquetadas</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$20,237,380,255.00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$20,237,380,255.00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$20,237,380,255.00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A3.2 Financiamiento Neto con Fuente de Pago de Transferencias Federales Etiquetadas (A3.2 = F2 - G2)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F2. Financiamiento con Fuente de Pago de Transferencias Federales Etiquetadas</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G2. Amortización de la Deuda Pública con Gasto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B2. Gasto Etiquetado (sin incluir Amortización de la Deuda Pública)</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$19,688,297,503.00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$19,688,297,503.00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$19,688,297,503.00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C2. Remanentes de Transferencias Federales Etiquetadas aplicados en el periodo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VII. Balance Presupuestario de Recursos Etiquetados (VII = A2 + A3.2 - B2 + C2)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VIII. Balance Presupuestario de Recursos Etiquetados sin Financiamiento Neto (VIII = VII -  A3.2)</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r>
    </w:tbl>
    <w:p w:rsidR="00924F22" w:rsidRPr="00924F22" w:rsidRDefault="000A51CD" w:rsidP="00924F22">
      <w:r w:rsidRPr="000A51CD">
        <w:t>Bajo protesta de decir verdad declaramos que los Estados Financieros y sus Notas son razonablemente correctos y responsabilidad del emisor.</w:t>
      </w:r>
    </w:p>
    <w:p w:rsidR="00F552E0" w:rsidRPr="00F552E0" w:rsidRDefault="00F552E0" w:rsidP="00F552E0"/>
    <w:p w:rsidR="00FA49E9" w:rsidRDefault="009C1791">
      <w:pPr>
        <w:pStyle w:val="Ttulo3"/>
      </w:pPr>
      <w:bookmarkStart w:id="68" w:name="anexo-16.2.-proyección-de-egresos"/>
      <w:bookmarkEnd w:id="67"/>
      <w:r>
        <w:t>ANEXO 16.2. PROYECCIÓN DE EGRESOS</w:t>
      </w:r>
    </w:p>
    <w:p w:rsidR="00461E3D" w:rsidRDefault="00461E3D" w:rsidP="00461E3D"/>
    <w:tbl>
      <w:tblPr>
        <w:tblW w:w="12048" w:type="dxa"/>
        <w:jc w:val="center"/>
        <w:tblCellMar>
          <w:left w:w="70" w:type="dxa"/>
          <w:right w:w="70" w:type="dxa"/>
        </w:tblCellMar>
        <w:tblLook w:val="04A0" w:firstRow="1" w:lastRow="0" w:firstColumn="1" w:lastColumn="0" w:noHBand="0" w:noVBand="1"/>
      </w:tblPr>
      <w:tblGrid>
        <w:gridCol w:w="3928"/>
        <w:gridCol w:w="1339"/>
        <w:gridCol w:w="1339"/>
        <w:gridCol w:w="1339"/>
        <w:gridCol w:w="1339"/>
        <w:gridCol w:w="1339"/>
        <w:gridCol w:w="1425"/>
      </w:tblGrid>
      <w:tr w:rsidR="00461E3D" w:rsidRPr="00EE6AF7" w:rsidTr="004A0BCB">
        <w:trPr>
          <w:trHeight w:val="20"/>
          <w:jc w:val="center"/>
        </w:trPr>
        <w:tc>
          <w:tcPr>
            <w:tcW w:w="12048" w:type="dxa"/>
            <w:gridSpan w:val="7"/>
            <w:tcBorders>
              <w:top w:val="single" w:sz="4" w:space="0" w:color="auto"/>
              <w:left w:val="single" w:sz="4" w:space="0" w:color="auto"/>
              <w:bottom w:val="single" w:sz="4" w:space="0" w:color="auto"/>
              <w:right w:val="single" w:sz="4" w:space="0" w:color="000000"/>
            </w:tcBorders>
            <w:shd w:val="clear" w:color="000000" w:fill="D9D9D9"/>
            <w:vAlign w:val="center"/>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Yucatán</w:t>
            </w:r>
            <w:r w:rsidRPr="00461E3D">
              <w:rPr>
                <w:rFonts w:eastAsia="Times New Roman" w:cs="Arial"/>
                <w:b/>
                <w:color w:val="000000"/>
                <w:sz w:val="14"/>
                <w:szCs w:val="14"/>
                <w:lang w:eastAsia="es-MX"/>
              </w:rPr>
              <w:br/>
              <w:t>Proyecciones de Egresos - LDF</w:t>
            </w:r>
            <w:r w:rsidRPr="00461E3D">
              <w:rPr>
                <w:rFonts w:eastAsia="Times New Roman" w:cs="Arial"/>
                <w:b/>
                <w:color w:val="000000"/>
                <w:sz w:val="14"/>
                <w:szCs w:val="14"/>
                <w:lang w:eastAsia="es-MX"/>
              </w:rPr>
              <w:br/>
              <w:t>(Pesos)</w:t>
            </w:r>
            <w:r w:rsidRPr="00461E3D">
              <w:rPr>
                <w:rFonts w:eastAsia="Times New Roman" w:cs="Arial"/>
                <w:b/>
                <w:color w:val="000000"/>
                <w:sz w:val="14"/>
                <w:szCs w:val="14"/>
                <w:lang w:eastAsia="es-MX"/>
              </w:rPr>
              <w:br/>
              <w:t>(Cifras Nominales)</w:t>
            </w:r>
          </w:p>
        </w:tc>
      </w:tr>
      <w:tr w:rsidR="00461E3D" w:rsidRPr="00EE6AF7" w:rsidTr="004A0BCB">
        <w:trPr>
          <w:trHeight w:val="20"/>
          <w:jc w:val="center"/>
        </w:trPr>
        <w:tc>
          <w:tcPr>
            <w:tcW w:w="0" w:type="auto"/>
            <w:tcBorders>
              <w:top w:val="nil"/>
              <w:left w:val="single" w:sz="4" w:space="0" w:color="auto"/>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Concepto</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2022</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2023</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2024</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2025</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2026</w:t>
            </w:r>
          </w:p>
        </w:tc>
        <w:tc>
          <w:tcPr>
            <w:tcW w:w="1391" w:type="dxa"/>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2027</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jc w:val="left"/>
              <w:rPr>
                <w:rFonts w:eastAsia="Times New Roman" w:cs="Arial"/>
                <w:b/>
                <w:color w:val="000000"/>
                <w:sz w:val="14"/>
                <w:szCs w:val="14"/>
                <w:lang w:eastAsia="es-MX"/>
              </w:rPr>
            </w:pPr>
            <w:r w:rsidRPr="00461E3D">
              <w:rPr>
                <w:rFonts w:eastAsia="Times New Roman" w:cs="Arial"/>
                <w:b/>
                <w:color w:val="000000"/>
                <w:sz w:val="14"/>
                <w:szCs w:val="14"/>
                <w:lang w:eastAsia="es-MX"/>
              </w:rPr>
              <w:t>1. Gasto No Etiquetado (1=A+B+C+D+E+F+G+H+I)</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 xml:space="preserve">22,398,355,804.00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23,279,978,710.70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24,924,852,141.22</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26,357,190,710.50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28,011,962,474.60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30,315,968,827.20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A. Servicios Personales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5,734,081,370.00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5,947,907,292.60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6,328,454,401.18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6,751,580,447.16</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7,183,528,101.10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7,620,825,374.26</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B. Materiales y Suministros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1,125,041,257.00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1,166,994,443.43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1,241,658,747.92</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1,324,677,147.55</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1,409,426,368.95</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1,495,225,199.16</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C. Servicios Generales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2,794,127,413.00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2,898,321,412.60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3,083,756,016.57</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3,289,938,665.18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3,500,419,944.22</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3,713,508,008.33</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D. Transferencias, Asignaciones, Subsidios y Otras Ayudas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8,076,675,454.00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8,377,857,538.64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8,913,872,863.96</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9,509,862,269.93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10,118,277,252.02</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10,734,227,379.74</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E. Bienes Muebles, Inmuebles e Intangibles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116,767,025.00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124,479,487.00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132,443,684.58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140,506,193.88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149,059,508.43</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158,133,506.01</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F. Inversión Pública</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169,621,029.64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610,871,633.00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G. Inversiones Financieras y Otras Provisiones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21,300,100.00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22,706,971.61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24,159,763.65</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25,630,489.26</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27,190,745.29</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28,845,981.91</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H. Participaciones y Aportaciones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4,092,168,930.00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4,362,456,687.83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4,641,566,666.71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4,924,122,037.55</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5,223,877,966.59</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5,541,881,537.80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I. Deuda Pública</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438,194,255.00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379,254,877.00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389,318,967.00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390,873,460.00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400,182,588.00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412,450,207.00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jc w:val="left"/>
              <w:rPr>
                <w:rFonts w:eastAsia="Times New Roman" w:cs="Arial"/>
                <w:b/>
                <w:color w:val="000000"/>
                <w:sz w:val="14"/>
                <w:szCs w:val="14"/>
                <w:lang w:eastAsia="es-MX"/>
              </w:rPr>
            </w:pPr>
            <w:r w:rsidRPr="00461E3D">
              <w:rPr>
                <w:rFonts w:eastAsia="Times New Roman" w:cs="Arial"/>
                <w:b/>
                <w:color w:val="000000"/>
                <w:sz w:val="14"/>
                <w:szCs w:val="14"/>
                <w:lang w:eastAsia="es-MX"/>
              </w:rPr>
              <w:t>2. Gasto Etiquetado (2=A+B+C+D+E+F+G+H+I)</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 xml:space="preserve">20,237,380,255.00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21,507,215,655.54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22,667,717,889.13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23,901,064,143.03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25,181,355,363.70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26,543,820,603.88</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A. Servicios Personales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8,043,537,957.00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8,284,844,095.71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8,533,389,418.58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8,789,391,101.14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9,053,072,834.17</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9,324,665,019.20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B. Materiales y Suministros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109,399,433.00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116,625,265.55</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124,086,950.04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131,640,743.12</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139,654,373.36</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148,155,833.34</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 xml:space="preserve">C. Servicios Generales </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351,985,792.00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375,234,453.56</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399,241,953.90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423,545,807.84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449,329,158.90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476,682,071.44</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D. Transferencias, Asignaciones, Subsidios y Otras Ayudas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7,168,224,793.00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7,383,271,536.79</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7,604,769,682.89</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7,832,912,773.38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8,067,900,156.58</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8,309,937,161.28</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E. Bienes Muebles, Inmuebles e Intangibles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844,089.00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869,411.67</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895,494.02</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922,358.84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950,029.61</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978,530.49</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F. Inversión Pública</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111,846,456.00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734,377,135.97</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1,233,338,063.71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2,345,590,734.31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2,961,903,542.99</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3,632,077,277.32</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G. Inversiones Financieras y Otras Provisiones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H. Participaciones y Aportaciones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3,494,159,343.00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3,598,984,123.29</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3,706,953,646.99</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3,818,162,256.40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3,932,707,124.09</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4,050,688,337.81</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I. Deuda Pública</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957,382,392.00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1,013,009,633.00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1,065,042,679.00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558,898,368.00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575,838,144.00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600,636,373.00</w:t>
            </w:r>
          </w:p>
        </w:tc>
      </w:tr>
      <w:tr w:rsidR="00461E3D" w:rsidRPr="00EE6AF7" w:rsidTr="004A0BCB">
        <w:trPr>
          <w:trHeight w:val="20"/>
          <w:jc w:val="center"/>
        </w:trPr>
        <w:tc>
          <w:tcPr>
            <w:tcW w:w="0" w:type="auto"/>
            <w:tcBorders>
              <w:top w:val="nil"/>
              <w:left w:val="single" w:sz="4" w:space="0" w:color="auto"/>
              <w:bottom w:val="single" w:sz="4" w:space="0" w:color="auto"/>
              <w:right w:val="nil"/>
            </w:tcBorders>
            <w:shd w:val="clear" w:color="auto" w:fill="auto"/>
            <w:noWrap/>
            <w:vAlign w:val="bottom"/>
            <w:hideMark/>
          </w:tcPr>
          <w:p w:rsidR="00461E3D" w:rsidRPr="00461E3D" w:rsidRDefault="00461E3D" w:rsidP="00461E3D">
            <w:pPr>
              <w:jc w:val="left"/>
              <w:rPr>
                <w:rFonts w:eastAsia="Times New Roman" w:cs="Arial"/>
                <w:b/>
                <w:color w:val="000000"/>
                <w:sz w:val="14"/>
                <w:szCs w:val="14"/>
                <w:lang w:eastAsia="es-MX"/>
              </w:rPr>
            </w:pPr>
            <w:r w:rsidRPr="00461E3D">
              <w:rPr>
                <w:rFonts w:eastAsia="Times New Roman" w:cs="Arial"/>
                <w:b/>
                <w:color w:val="000000"/>
                <w:sz w:val="14"/>
                <w:szCs w:val="14"/>
                <w:lang w:eastAsia="es-MX"/>
              </w:rPr>
              <w:t>3. Total del Resultado de Egresos (3=1+2)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 xml:space="preserve">42,635,736,059.00 </w:t>
            </w:r>
          </w:p>
        </w:tc>
        <w:tc>
          <w:tcPr>
            <w:tcW w:w="0" w:type="auto"/>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44,787,194,366.24</w:t>
            </w:r>
          </w:p>
        </w:tc>
        <w:tc>
          <w:tcPr>
            <w:tcW w:w="0" w:type="auto"/>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47,592,570,030.35</w:t>
            </w:r>
          </w:p>
        </w:tc>
        <w:tc>
          <w:tcPr>
            <w:tcW w:w="0" w:type="auto"/>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50,258,254,853.54</w:t>
            </w:r>
          </w:p>
        </w:tc>
        <w:tc>
          <w:tcPr>
            <w:tcW w:w="0" w:type="auto"/>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53,193,317,838.30</w:t>
            </w:r>
          </w:p>
        </w:tc>
        <w:tc>
          <w:tcPr>
            <w:tcW w:w="1391" w:type="dxa"/>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56,859,789,431.09</w:t>
            </w:r>
          </w:p>
        </w:tc>
      </w:tr>
    </w:tbl>
    <w:p w:rsidR="00461E3D" w:rsidRPr="00461E3D" w:rsidRDefault="00461E3D" w:rsidP="00461E3D"/>
    <w:p w:rsidR="00FA49E9" w:rsidRDefault="00FA49E9"/>
    <w:p w:rsidR="00FA49E9" w:rsidRDefault="009C1791">
      <w:r>
        <w:br w:type="page"/>
      </w:r>
    </w:p>
    <w:p w:rsidR="00FA49E9" w:rsidRDefault="009C1791" w:rsidP="00BB0375">
      <w:pPr>
        <w:pStyle w:val="Ttulo3"/>
      </w:pPr>
      <w:bookmarkStart w:id="69" w:name="anexo-16.3.-resultado-de-egresos"/>
      <w:bookmarkEnd w:id="68"/>
      <w:r>
        <w:t>ANEXO 16.3. RESULTADO DE EGRESOS</w:t>
      </w:r>
    </w:p>
    <w:p w:rsidR="006C5730" w:rsidRPr="006C5730" w:rsidRDefault="006C5730" w:rsidP="006C5730"/>
    <w:tbl>
      <w:tblPr>
        <w:tblW w:w="11194" w:type="dxa"/>
        <w:jc w:val="center"/>
        <w:tblCellMar>
          <w:left w:w="70" w:type="dxa"/>
          <w:right w:w="70" w:type="dxa"/>
        </w:tblCellMar>
        <w:tblLook w:val="04A0" w:firstRow="1" w:lastRow="0" w:firstColumn="1" w:lastColumn="0" w:noHBand="0" w:noVBand="1"/>
      </w:tblPr>
      <w:tblGrid>
        <w:gridCol w:w="3558"/>
        <w:gridCol w:w="1228"/>
        <w:gridCol w:w="1228"/>
        <w:gridCol w:w="1228"/>
        <w:gridCol w:w="1228"/>
        <w:gridCol w:w="1228"/>
        <w:gridCol w:w="1496"/>
      </w:tblGrid>
      <w:tr w:rsidR="006C5730" w:rsidRPr="00EE6AF7" w:rsidTr="0072153F">
        <w:trPr>
          <w:trHeight w:val="20"/>
          <w:jc w:val="center"/>
        </w:trPr>
        <w:tc>
          <w:tcPr>
            <w:tcW w:w="11194" w:type="dxa"/>
            <w:gridSpan w:val="7"/>
            <w:tcBorders>
              <w:top w:val="single" w:sz="4" w:space="0" w:color="auto"/>
              <w:left w:val="single" w:sz="4" w:space="0" w:color="auto"/>
              <w:bottom w:val="single" w:sz="4" w:space="0" w:color="auto"/>
              <w:right w:val="single" w:sz="4" w:space="0" w:color="000000"/>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Yucatán</w:t>
            </w:r>
            <w:r w:rsidRPr="006C5730">
              <w:rPr>
                <w:rFonts w:eastAsia="Times New Roman" w:cs="Arial"/>
                <w:b/>
                <w:bCs/>
                <w:color w:val="000000"/>
                <w:sz w:val="12"/>
                <w:szCs w:val="12"/>
                <w:lang w:eastAsia="es-MX"/>
              </w:rPr>
              <w:br/>
              <w:t>Resultado de Egresos - LDF</w:t>
            </w:r>
            <w:r w:rsidRPr="006C5730">
              <w:rPr>
                <w:rFonts w:eastAsia="Times New Roman" w:cs="Arial"/>
                <w:b/>
                <w:bCs/>
                <w:color w:val="000000"/>
                <w:sz w:val="12"/>
                <w:szCs w:val="12"/>
                <w:lang w:eastAsia="es-MX"/>
              </w:rPr>
              <w:br/>
              <w:t>(Pesos)</w:t>
            </w:r>
          </w:p>
        </w:tc>
      </w:tr>
      <w:tr w:rsidR="006C5730" w:rsidRPr="00EE6AF7" w:rsidTr="0072153F">
        <w:trPr>
          <w:trHeight w:val="20"/>
          <w:jc w:val="center"/>
        </w:trPr>
        <w:tc>
          <w:tcPr>
            <w:tcW w:w="0" w:type="auto"/>
            <w:tcBorders>
              <w:top w:val="nil"/>
              <w:left w:val="single" w:sz="4" w:space="0" w:color="auto"/>
              <w:bottom w:val="single" w:sz="4" w:space="0" w:color="auto"/>
              <w:right w:val="nil"/>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Concepto</w:t>
            </w:r>
          </w:p>
        </w:tc>
        <w:tc>
          <w:tcPr>
            <w:tcW w:w="0" w:type="auto"/>
            <w:tcBorders>
              <w:top w:val="nil"/>
              <w:left w:val="single" w:sz="4" w:space="0" w:color="auto"/>
              <w:bottom w:val="single" w:sz="4" w:space="0" w:color="auto"/>
              <w:right w:val="single" w:sz="4" w:space="0" w:color="auto"/>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2016</w:t>
            </w:r>
            <w:r w:rsidRPr="006C5730">
              <w:rPr>
                <w:rFonts w:eastAsia="Times New Roman" w:cs="Arial"/>
                <w:color w:val="000000"/>
                <w:sz w:val="12"/>
                <w:szCs w:val="12"/>
                <w:vertAlign w:val="superscript"/>
                <w:lang w:eastAsia="es-MX"/>
              </w:rPr>
              <w:t>1</w:t>
            </w:r>
          </w:p>
        </w:tc>
        <w:tc>
          <w:tcPr>
            <w:tcW w:w="0" w:type="auto"/>
            <w:tcBorders>
              <w:top w:val="nil"/>
              <w:left w:val="nil"/>
              <w:bottom w:val="single" w:sz="4" w:space="0" w:color="auto"/>
              <w:right w:val="single" w:sz="4" w:space="0" w:color="auto"/>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2017</w:t>
            </w:r>
            <w:r w:rsidRPr="006C5730">
              <w:rPr>
                <w:rFonts w:eastAsia="Times New Roman" w:cs="Arial"/>
                <w:color w:val="000000"/>
                <w:sz w:val="12"/>
                <w:szCs w:val="12"/>
                <w:vertAlign w:val="superscript"/>
                <w:lang w:eastAsia="es-MX"/>
              </w:rPr>
              <w:t>1</w:t>
            </w:r>
          </w:p>
        </w:tc>
        <w:tc>
          <w:tcPr>
            <w:tcW w:w="0" w:type="auto"/>
            <w:tcBorders>
              <w:top w:val="nil"/>
              <w:left w:val="nil"/>
              <w:bottom w:val="single" w:sz="4" w:space="0" w:color="auto"/>
              <w:right w:val="nil"/>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2018</w:t>
            </w:r>
            <w:r w:rsidRPr="006C5730">
              <w:rPr>
                <w:rFonts w:eastAsia="Times New Roman" w:cs="Arial"/>
                <w:color w:val="000000"/>
                <w:sz w:val="12"/>
                <w:szCs w:val="12"/>
                <w:vertAlign w:val="superscript"/>
                <w:lang w:eastAsia="es-MX"/>
              </w:rPr>
              <w:t>1</w:t>
            </w:r>
          </w:p>
        </w:tc>
        <w:tc>
          <w:tcPr>
            <w:tcW w:w="0" w:type="auto"/>
            <w:tcBorders>
              <w:top w:val="nil"/>
              <w:left w:val="single" w:sz="4" w:space="0" w:color="auto"/>
              <w:bottom w:val="single" w:sz="4" w:space="0" w:color="auto"/>
              <w:right w:val="single" w:sz="4" w:space="0" w:color="auto"/>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2019</w:t>
            </w:r>
            <w:r w:rsidRPr="006C5730">
              <w:rPr>
                <w:rFonts w:eastAsia="Times New Roman" w:cs="Arial"/>
                <w:color w:val="000000"/>
                <w:sz w:val="12"/>
                <w:szCs w:val="12"/>
                <w:vertAlign w:val="superscript"/>
                <w:lang w:eastAsia="es-MX"/>
              </w:rPr>
              <w:t>1</w:t>
            </w:r>
          </w:p>
        </w:tc>
        <w:tc>
          <w:tcPr>
            <w:tcW w:w="0" w:type="auto"/>
            <w:tcBorders>
              <w:top w:val="nil"/>
              <w:left w:val="nil"/>
              <w:bottom w:val="single" w:sz="4" w:space="0" w:color="auto"/>
              <w:right w:val="nil"/>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2020</w:t>
            </w:r>
            <w:r w:rsidRPr="006C5730">
              <w:rPr>
                <w:rFonts w:eastAsia="Times New Roman" w:cs="Arial"/>
                <w:color w:val="000000"/>
                <w:sz w:val="12"/>
                <w:szCs w:val="12"/>
                <w:vertAlign w:val="superscript"/>
                <w:lang w:eastAsia="es-MX"/>
              </w:rPr>
              <w:t>1</w:t>
            </w:r>
          </w:p>
        </w:tc>
        <w:tc>
          <w:tcPr>
            <w:tcW w:w="1391" w:type="dxa"/>
            <w:tcBorders>
              <w:top w:val="nil"/>
              <w:left w:val="nil"/>
              <w:bottom w:val="single" w:sz="4" w:space="0" w:color="auto"/>
              <w:right w:val="nil"/>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2021</w:t>
            </w:r>
            <w:r w:rsidRPr="006C5730">
              <w:rPr>
                <w:rFonts w:eastAsia="Times New Roman" w:cs="Arial"/>
                <w:b/>
                <w:bCs/>
                <w:color w:val="000000"/>
                <w:sz w:val="12"/>
                <w:szCs w:val="12"/>
                <w:vertAlign w:val="superscript"/>
                <w:lang w:eastAsia="es-MX"/>
              </w:rPr>
              <w:t>2</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left"/>
              <w:rPr>
                <w:rFonts w:eastAsia="Times New Roman" w:cs="Arial"/>
                <w:b/>
                <w:bCs/>
                <w:color w:val="000000"/>
                <w:sz w:val="12"/>
                <w:szCs w:val="12"/>
                <w:lang w:eastAsia="es-MX"/>
              </w:rPr>
            </w:pPr>
            <w:r w:rsidRPr="006C5730">
              <w:rPr>
                <w:rFonts w:eastAsia="Times New Roman" w:cs="Arial"/>
                <w:b/>
                <w:bCs/>
                <w:color w:val="000000"/>
                <w:sz w:val="12"/>
                <w:szCs w:val="12"/>
                <w:lang w:eastAsia="es-MX"/>
              </w:rPr>
              <w:t>1. Gasto No Etiquetado (1=A+B+C+D+E+F+G+H+I)</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15,634,547,581.47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18,209,713,681.53</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19,549,402,863.19</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19,374,892,022.80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21,741,330,582.27</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20,432,164,425.24</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A. Servicios Personales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4,267,633,858.62</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3,872,013,133.72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3,750,930,750.86</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5,046,974,154.50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4,886,813,592.81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5,417,822,537.10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B. Materiales y Suministros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522,517,793.68</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842,900,356.85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898,743,415.96</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694,095,622.88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880,814,112.66</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756,718,355.39</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C. Servicios Generales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1,504,193,153.77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2,036,382,144.38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2,193,695,114.37</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2,365,949,000.89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2,355,968,178.31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2,113,559,145.02</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D. Transferencias, Asignaciones, Subsidios y Otras Ayudas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6,092,837,438.27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7,879,460,009.20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8,633,680,033.50</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7,252,467,789.07</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8,607,260,793.83</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6,853,210,720.05</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E. Bienes Muebles, Inmuebles e Intangibles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152,479,964.52</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95,721,867.61</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66,920,761.26</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77,126,829.45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123,714,238.01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73,221,785.31</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F. Inversión Pública</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1,066,600.00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195,018,422.73</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216,536,235.89</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1,031,240,606.60</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678,627,590.56</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G. Inversiones Financieras y Otras Provisiones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55,122,127.77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16,546,510.00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24,026,717.15</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41,932,881.00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87,410,989.01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5,776,147.98</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H. Participaciones y Aportaciones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3,005,026,487.07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3,113,998,720.95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3,470,259,908.94</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3,675,546,028.96</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3,715,580,754.75</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3,765,384,797.04</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I. Deuda Pública</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33,670,157.77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157,672,516.09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294,609,925.26</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220,799,716.05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52,527,316.29</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767,843,346.79</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left"/>
              <w:rPr>
                <w:rFonts w:eastAsia="Times New Roman" w:cs="Arial"/>
                <w:b/>
                <w:bCs/>
                <w:color w:val="000000"/>
                <w:sz w:val="12"/>
                <w:szCs w:val="12"/>
                <w:lang w:eastAsia="es-MX"/>
              </w:rPr>
            </w:pPr>
            <w:r w:rsidRPr="006C5730">
              <w:rPr>
                <w:rFonts w:eastAsia="Times New Roman" w:cs="Arial"/>
                <w:b/>
                <w:bCs/>
                <w:color w:val="000000"/>
                <w:sz w:val="12"/>
                <w:szCs w:val="12"/>
                <w:lang w:eastAsia="es-MX"/>
              </w:rPr>
              <w:t>2. Gasto Etiquetado (2=A+B+C+D+E+F+G+H+I)</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20,008,721,112.76</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20,534,493,053.48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20,250,642,635.38</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18,766,022,351.99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19,742,600,548.53</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19,222,552,718.76</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A. Servicios Personales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5,988,068,181.34</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7,249,694,492.96</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7,969,645,323.05</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7,108,170,037.61</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7,575,046,793.73</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7,621,554,077.80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B. Materiales y Suministros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255,624,064.60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181,790,208.97</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240,744,973.72</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125,593,154.32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148,302,276.31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109,122,531.62</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 xml:space="preserve">C. Servicios Generales </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792,839,876.60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842,523,996.75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725,251,748.19</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370,632,897.32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321,424,252.06</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318,450,609.68</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D. Transferencias, Asignaciones, Subsidios y Otras Ayudas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9,796,860,050.73</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8,563,866,698.68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7,901,013,203.21</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7,619,891,140.43</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7,846,959,492.32</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7,239,359,494.63</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E. Bienes Muebles, Inmuebles e Intangibles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83,296,865.75</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62,743,035.87</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90,026,951.51</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33,105,278.89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8,189,033.17</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1,792,379.67</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F. Inversión Pública</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148,726,459.98</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194,989,767.39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174,911,805.64</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10,120,437.98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9,952,653.25</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109,663,354.00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G. Inversiones Financieras y Otras Provisiones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H. Participaciones y Aportaciones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2,341,580,015.00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2,553,582,250.20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2,738,112,984.32</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3,074,680,985.62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3,140,461,777.30</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3,103,306,379.00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I. Deuda Pública</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601,725,598.76</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885,302,602.66</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410,935,645.74</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423,828,419.82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692,264,270.39</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719,303,892.36</w:t>
            </w:r>
          </w:p>
        </w:tc>
      </w:tr>
      <w:tr w:rsidR="006C5730" w:rsidRPr="00EE6AF7" w:rsidTr="0072153F">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C5730" w:rsidRPr="006C5730" w:rsidRDefault="006C5730" w:rsidP="006C5730">
            <w:pPr>
              <w:jc w:val="left"/>
              <w:rPr>
                <w:rFonts w:eastAsia="Times New Roman" w:cs="Arial"/>
                <w:b/>
                <w:bCs/>
                <w:color w:val="000000"/>
                <w:sz w:val="12"/>
                <w:szCs w:val="12"/>
                <w:lang w:eastAsia="es-MX"/>
              </w:rPr>
            </w:pPr>
            <w:r w:rsidRPr="006C5730">
              <w:rPr>
                <w:rFonts w:eastAsia="Times New Roman" w:cs="Arial"/>
                <w:b/>
                <w:bCs/>
                <w:color w:val="000000"/>
                <w:sz w:val="12"/>
                <w:szCs w:val="12"/>
                <w:lang w:eastAsia="es-MX"/>
              </w:rPr>
              <w:t>3. Total del Resultado de Egresos (3=1+2)</w:t>
            </w:r>
          </w:p>
        </w:tc>
        <w:tc>
          <w:tcPr>
            <w:tcW w:w="0" w:type="auto"/>
            <w:tcBorders>
              <w:top w:val="nil"/>
              <w:left w:val="nil"/>
              <w:bottom w:val="single" w:sz="4" w:space="0" w:color="auto"/>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35,643,268,694.23</w:t>
            </w:r>
          </w:p>
        </w:tc>
        <w:tc>
          <w:tcPr>
            <w:tcW w:w="0" w:type="auto"/>
            <w:tcBorders>
              <w:top w:val="nil"/>
              <w:left w:val="nil"/>
              <w:bottom w:val="single" w:sz="4" w:space="0" w:color="auto"/>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38,744,206,735.01</w:t>
            </w:r>
          </w:p>
        </w:tc>
        <w:tc>
          <w:tcPr>
            <w:tcW w:w="0" w:type="auto"/>
            <w:tcBorders>
              <w:top w:val="nil"/>
              <w:left w:val="nil"/>
              <w:bottom w:val="single" w:sz="4" w:space="0" w:color="auto"/>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39,800,045,498.57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38,140,914,374.79</w:t>
            </w:r>
          </w:p>
        </w:tc>
        <w:tc>
          <w:tcPr>
            <w:tcW w:w="0" w:type="auto"/>
            <w:tcBorders>
              <w:top w:val="nil"/>
              <w:left w:val="nil"/>
              <w:bottom w:val="single" w:sz="4" w:space="0" w:color="auto"/>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41,483,931,130.80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39,654,717,144.00</w:t>
            </w:r>
          </w:p>
        </w:tc>
      </w:tr>
      <w:tr w:rsidR="006C5730" w:rsidRPr="00EE6AF7" w:rsidTr="0072153F">
        <w:trPr>
          <w:trHeight w:val="20"/>
          <w:jc w:val="center"/>
        </w:trPr>
        <w:tc>
          <w:tcPr>
            <w:tcW w:w="0" w:type="auto"/>
            <w:gridSpan w:val="2"/>
            <w:tcBorders>
              <w:top w:val="nil"/>
              <w:left w:val="nil"/>
              <w:bottom w:val="nil"/>
              <w:right w:val="nil"/>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vertAlign w:val="superscript"/>
                <w:lang w:eastAsia="es-MX"/>
              </w:rPr>
              <w:t>1</w:t>
            </w:r>
            <w:r w:rsidRPr="006C5730">
              <w:rPr>
                <w:rFonts w:eastAsia="Times New Roman" w:cs="Arial"/>
                <w:color w:val="000000"/>
                <w:sz w:val="12"/>
                <w:szCs w:val="12"/>
                <w:lang w:eastAsia="es-MX"/>
              </w:rPr>
              <w:t>Los importes corresponden a los egresos totales devengados.</w:t>
            </w:r>
          </w:p>
        </w:tc>
        <w:tc>
          <w:tcPr>
            <w:tcW w:w="0" w:type="auto"/>
            <w:tcBorders>
              <w:top w:val="nil"/>
              <w:left w:val="nil"/>
              <w:bottom w:val="nil"/>
              <w:right w:val="nil"/>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c>
          <w:tcPr>
            <w:tcW w:w="1391" w:type="dxa"/>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r>
      <w:tr w:rsidR="006C5730" w:rsidRPr="00EE6AF7" w:rsidTr="0072153F">
        <w:trPr>
          <w:trHeight w:val="20"/>
          <w:jc w:val="center"/>
        </w:trPr>
        <w:tc>
          <w:tcPr>
            <w:tcW w:w="0" w:type="auto"/>
            <w:gridSpan w:val="5"/>
            <w:tcBorders>
              <w:top w:val="nil"/>
              <w:left w:val="nil"/>
              <w:bottom w:val="nil"/>
              <w:right w:val="nil"/>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vertAlign w:val="superscript"/>
                <w:lang w:eastAsia="es-MX"/>
              </w:rPr>
              <w:t>2</w:t>
            </w:r>
            <w:r w:rsidRPr="006C5730">
              <w:rPr>
                <w:rFonts w:eastAsia="Times New Roman" w:cs="Arial"/>
                <w:color w:val="000000"/>
                <w:sz w:val="12"/>
                <w:szCs w:val="12"/>
                <w:lang w:eastAsia="es-MX"/>
              </w:rPr>
              <w:t>Los importes corresponden a los egresos devengados al cierre trimestral más reciente disponible y estimados para el resto del ejercicio.</w:t>
            </w:r>
          </w:p>
        </w:tc>
        <w:tc>
          <w:tcPr>
            <w:tcW w:w="0" w:type="auto"/>
            <w:tcBorders>
              <w:top w:val="nil"/>
              <w:left w:val="nil"/>
              <w:bottom w:val="nil"/>
              <w:right w:val="nil"/>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p>
        </w:tc>
        <w:tc>
          <w:tcPr>
            <w:tcW w:w="1391" w:type="dxa"/>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r>
    </w:tbl>
    <w:p w:rsidR="006C5730" w:rsidRPr="006C5730" w:rsidRDefault="006C5730" w:rsidP="006C5730"/>
    <w:p w:rsidR="00FA49E9" w:rsidRDefault="009C1791">
      <w:r>
        <w:br w:type="page"/>
      </w:r>
    </w:p>
    <w:p w:rsidR="00FA49E9" w:rsidRDefault="009C1791">
      <w:pPr>
        <w:pStyle w:val="Ttulo3"/>
      </w:pPr>
      <w:bookmarkStart w:id="70" w:name="X71f2471282b282822dc927faf38c1f82ff7a592"/>
      <w:bookmarkEnd w:id="69"/>
      <w:r>
        <w:t>ANEXO 16.4. CLASIFICADOR POR OBJETO DEL GASTO, A NIVEL CAPÍTULO</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CAPÍTULO</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PERSONALES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13,777,619,327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Y SUMINISTROS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1,234,440,690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GENERALES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3,146,113,205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ASIGNACIONES, SUBSIDIOS Y OTRAS AYUDAS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18,647,214,509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BIENES MUEBLES, INMUEBLES E INTANGIBLES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117,611,114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INVERSIÓN PÚBLICA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111,846,456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INVERSIONES FINANCIERAS Y OTRAS PROVISIONES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21,300,100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Y APORTACIONES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7,586,328,273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1,395,576,647</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71" w:name="X470d215632ec93b22647941846818cd65f4a016"/>
      <w:bookmarkEnd w:id="70"/>
      <w:r>
        <w:t>ANEXO 16.5. CLASIFICADOR POR OBJETO DEL GASTO A NIVEL CAPÍTULO Y CONCEPTO</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CAPÍTULO / CONCEPTO</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PERSONALES</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13,777,619,327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REMUNERACIONES AL PERSONAL DE CARÁCTER PERMANENTE</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6,978,020,778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REMUNERACIONES AL PERSONAL DE CARÁCTER TRANSITORIO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1,060,753,446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REMUNERACIONES ADICIONALES Y ESPECIALES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1,868,103,551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SEGURIDAD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1,296,562,641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OTRAS PRESTACIONES SOCIALES Y ECONÓMICAS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1,090,157,559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PREVISIONES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245,942,764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PAGO DE ESTÍMULOS A SERVIDORES PÚBLICOS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1,238,078,588</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MATERIALES Y SUMINISTROS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1,234,440,690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DE ADMINISTRACIÓN, EMISIÓN DE DOCUMENTOS Y ARTÍCULOS OFICIALES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337,322,632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ALIMENTOS Y UTENSILIOS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180,841,821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Y ARTÍCULOS DE CONSTRUCCIÓN Y DE REPARACIÓN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69,236,379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QUÍMICOS, FARMACÉUTICOS Y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44,132,993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COMBUSTIBLES, LUBRICANTES Y ADITIVOS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361,147,153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VESTUARIO, BLANCOS, PRENDAS DE PROTECCIÓN Y ARTÍCULOS DEPORTIVOS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81,833,739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HERRAMIENTAS, REFACCIONES Y ACCESORIOS MENORES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159,925,973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GENERALES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3,146,113,205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BÁSICOS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258,111,101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ARRENDAMIENTO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860,263,259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PROFESIONALES, CIENTÍFICOS, TÉCNICOS Y OTROS SERVICIOS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409,072,161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FINANCIEROS, BANCARIOS Y COMERCIALES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209,275,458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INSTALACIÓN, REPARACIÓN, MANTENIMIENTO Y CONSERVACIÓN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669,144,244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COMUNICACIÓN SOCIAL Y PUBLICIDAD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83,936,130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TRASLADO Y VIÁTICOS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40,416,199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OFICIALES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48,961,277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SERVICIOS GENERALES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566,933,376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TRANSFERENCIAS, ASIGNACIONES, SUBSIDIOS Y OTRAS AYUDAS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18,647,214,509</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INTERNAS Y ASIGNACIONES AL SECTOR PÚBLICO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15,051,906,761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AL RESTO DEL SECTOR PÚBLICO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453,786,800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SUBSIDIOS Y SUBVENCIONES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642,203,224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AYUDAS SOCIALES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421,967,735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PENSIONES Y JUBILACIONES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2,055,681,348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DONATIVOS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21,668,641</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BIENES MUEBLES, INMUEBLES E INTANGIBLES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117,611,114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MOBILIARIO Y EQUIPO DE ADMINISTRACIÓN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30,763,819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MOBILIARIO Y EQUIPO EDUCACIONAL Y RECREATIVO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736,451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 E INSTRUMENTAL MÉDICO Y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88,896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VEHÍCULOS Y EQUIPO DE TRANSPORTE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70,240,000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MAQUINARIA, OTROS EQUIPOS Y HERRAMIENTAS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1,781,948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ACTIVOS INTANGIBLES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14,000,000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INVERSIÓN PÚBLICA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111,846,456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OBRA PÚBLICA EN BIENES PROPIOS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111,846,456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INVERSIONES FINANCIERAS Y OTRAS PROVISIONES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21,300,100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INVERSIONES PARA EL FOMENTO DE ACTIVIDADES PRODUCTIVAS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3,700,100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ACCIONES Y PARTICIPACIONES DE CAPITAL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INVERSIONES EN FIDEICOMISOS, MANDATOS Y OTROS ANÁLOGOS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PROVISIONES PARA CONTINGENCIAS Y OTRAS EROGACIONES ESPECIALES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16,000,000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PARTICIPACIONES Y APORTACIONES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7,586,328,273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DEUDA PÚBLICA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1,395,576,647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AMORTIZACIÓN DE LA DEUDA PÚBLICA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615,946,307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INTERESES DE LA DEUDA PÚBLICA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582,328,808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LA DEUDA PÚBLICA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3,629,072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COSTO POR COBERTURAS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43,672,460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ADEUDOS DE EJERCICIOS FISCALES ANTERIORES (ADEFAS)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150,000,000</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72" w:name="anexo-16.6.-clasificación-administrativa"/>
      <w:bookmarkEnd w:id="71"/>
      <w:r>
        <w:t>ANEXO 16.6. CLASIFICACIÓN ADMINISTRATIVA</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CLASIFICACIÓN ADMINISTRATIVA</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 GASTO NO ETIQUETADO</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25,800,670,066</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COMISIÓN DE LOS DERECHOS HUMANOS DEL ESTADO DE YUCATÁN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36,796,032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CONSEJERÍA JURÍDICA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190,037,177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DESPACHO DEL GOBERNADOR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28,767,200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562,908,986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FISCALIA ESPECIALIZADA EN COMBATE A LA CORRUPCIÓN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19,777,095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FISCALÍA GENERAL DEL ESTADO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460,721,055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ELECTORAL Y DE PARTICIPACION CIUDADANA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ESTATAL DE TRANSPARENCIA, ACCESO A LA INFORMACIÓN PÚBLICA Y PROTECCIÓN DE DATOS PERSONALES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24,874,222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 Y PENSIONES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803,870,620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APORTACIONES Y TRANSFERENCIAS A MUNICIPIOS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PODER JUDICIAL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633,836,980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PODER LEGISLATIVO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224,335,966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ADMINISTRACIÓN Y FINANZAS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3,614,675,717</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RURAL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360,038,367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835,957,713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SUSTENTABLE</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653,046,296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3,252,145,590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ECONÓMICO Y TRABAJO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627,020,347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TURÍSTICO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422,483,804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316,825,550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CONTRALORÍA GENERAL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113,386,551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CULTURA Y LAS ARTES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449,181,142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LAS MUJERES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60,035,231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OBRAS PÚBLICAS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1,562,324,758</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PESCA Y ACUACULTURA SUSTENTABLES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105,548,096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SALUD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2,187,961,393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SEGURIDAD PÚBLICA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3,072,439,618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EJECUTIVA DEL SISTEMA ESTATAL ANTICORRUPCIÓN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14,988,486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GENERAL DE GOBIERNO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541,326,813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DE JUSTICIA ADMINISTRATIVA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35,086,127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ELECTORAL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28,525,758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AUTÓNOMA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251,695,344</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II. GASTO ETIQUETADO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20,237,380,255</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CONSEJERÍA JURÍDICA</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1,241,348</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957,382,392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APORTACIONES Y TRANSFERENCIAS A MUNICIPIOS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PODER LEGISLATIVO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1,247,484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RURAL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292,998,880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9,190,718,109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243,718,411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CULTURA Y LAS ARTES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3,391,697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LAS MUJERES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22,496,175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OBRAS PÚBLICAS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292,391,767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SALUD</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3,314,855,400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SEGURIDAD PÚBLICA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177,684,703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AUTÓNOMA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2,204,094,546</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73" w:name="Xfd415e2de108a2c2fb59c5007c5694617aa7a8b"/>
      <w:bookmarkEnd w:id="72"/>
      <w:r>
        <w:t>ANEXO 16.7. CLASIFICACIÓN FUNCIONAL POR FINALIDAD, EJE, FUNCIÓN, SUBFUNCIÓN</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CLASIFICACIÓN FUNCIONAL</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FINALIDAD 01- GOBIERNO</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7,291,794,023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07- PAZ, JUSTICIA Y GOBERNABILIDAD</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5,510,318,621</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01.07.01- LEGISLACIÓN</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01.07.01.01- LEGISLACIÓN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01.07.02- JUSTICIA</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1,556,559,713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01.07.02.01- IMPARTICIÓN DE JUSTICIA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697,448,865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01.07.02.02- PROCURACIÓN DE JUSTICIA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561,388,237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01.07.02.03- RECLUSIÓN Y READAPTACIÓN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01.07.02.04- DERECHOS HUMANOS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36,796,032</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01.07.03- COORDINACIÓN DE LA POLÍTICA DE GOBIERNO</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266,106,284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01.07.03.01- PRESIDENCIA / GUBERNATURA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114,187,472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01.07.03.02- POLÍTICA INTERIOR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43,533,282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01.07.03.05- ASUNTOS JURÍDICOS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108,268,876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01.07.03.07- POBLACIÓN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116,654</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01.07.07- ASUNTOS DE ORDEN PÚBLICO Y SEGURIDAD INTERIOR</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3,276,371,527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01.07.07.01- POLICÍA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2,636,241,141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01.07.07.02- PROTECCIÓN CIVIL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81,867,029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01.07.07.03- OTROS ASUNTOS DE ORDEN PÚBLICO Y SEGURIDAD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558,263,357</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01.07.08- OTROS SERVICIOS GENERALES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271,157,185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01.07.08.01- SERVICIOS REGISTRALES, ADMINISTRATIVOS Y PATRIMONIALES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113,557,261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01.07.08.03- SERVICIOS DE COMUNICACIÓN Y MEDIOS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157,599,924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08- GOBIERNO ABIERTO, EFICIENTE Y CON FINANZAS SANAS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1,574,264,477</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01.08.03- COORDINACIÓN DE LA POLÍTICA DE GOBIERNO</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806,906,846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01.08.03.04- FUNCIÓN PÚBLICA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200,292,960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01.08.03.06- ORGANIZACIÓN DE PROCESOS ELECTORALES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01.08.03.09- OTROS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388,730,784</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01.08.05- ASUNTOS FINANCIEROS Y HACENDARIOS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680,797,847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01.08.05.02- ASUNTOS HACENDARIOS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680,797,847</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01.08.08- OTROS SERVICIOS GENERALES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86,559,784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01.08.08.01- SERVICIOS REGISTRALES, ADMINISTRATIVOS Y PATRIMONIALES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32,704,710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01.08.08.04- ACCESO A LA INFORMACIÓN PÚBLICA GUBERNAMENTAL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53,855,074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09- CIUDADES Y COMUNIDADES SOSTENIBLES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207,210,925</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01.09.03- COORDINACIÓN DE LA POLÍTICA DE GOBIERNO</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01.09.03.08- TERRITORIO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FINALIDAD 02- DESARROLLO SOCIAL</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27,231,906,314</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02- YUCATÁN CON CALIDAD DE VIDA Y BIENESTAR SOCIAL</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21,893,658,106</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02.02.02- VIVIENDA Y SERVICIOS A LA COMUNIDAD</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02.02.02.05- VIVIENDA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02.02.03- SALUD</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5,330,350,151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02.02.03.01- PRESTACIÓN DE SERVICIOS DE SALUD A LA COMUNIDAD</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412,856,723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02.02.03.02- PRESTACIÓN DE SERVICIOS DE SALUD A LA PERSONA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4,838,949,876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02.02.03.04- RECTORÍA DEL SISTEMA DE SALUD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78,543,552</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02.02.05- EDUCACIÓN</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12,377,762,778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02.02.05.01- EDUCACIÓN BÁSICA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8,685,098,786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02.02.05.02- EDUCACIÓN MEDIA SUPERIOR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3,498,531,546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02.02.05.05- EDUCACIÓN PARA ADULTOS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192,710,864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02.02.05.06- OTROS SERVICIOS EDUCATIVOS Y ACTIVIDADES INHERENTES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1,421,582</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02.02.06- PROTECCIÓN SOCIAL</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4,012,715,341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02.02.06.05- ALIMENTACIÓN Y NUTRICIÓN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02.02.06.06- APOYO SOCIAL PARA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282,390,241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02.02.06.07- INDÍGENAS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02.02.06.09- OTROS DE SEGURIDAD SOCIAL Y ASISTENCIA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3,431,563,387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03- YUCATÁN CULTURAL CON IDENTIDAD PARA EL DESARROLLO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761,731,900</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02.03.04- RECREACIÓN, CULTURA Y OTRAS MANIFESTACIONES SOCIALES</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761,731,900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02.03.04.01- DEPORTE Y RECREACIÓN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211,007,247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02.03.04.02- CULTURA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550,724,653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04- YUCATÁN VERDE Y SUSTENTABLE</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665,696,416</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02.04.01- PROTECCIÓN AMBIENTAL</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253,788,471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02.04.01.01- ORDENACIÓN DE DESECHOS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70,363,000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02.04.01.04- REDUCCIÓN DE LA CONTAMINACIÓN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9,726,112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02.04.01.05- PROTECCIÓN A LA DIVERSIDAD BIOLÓGICA Y DEL PAISAJE</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42,731,931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02.04.01.06- OTROS DE PROTECCIÓN AMBIENTAL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130,967,428</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02.04.02- VIVIENDA Y SERVICIOS A LA COMUNIDAD</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411,907,945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02.04.02.03- ABASTECIMIENTO DE AGUA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411,907,945</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05- IGUALDAD DE GÉNERO, OPORTUNIDADES Y NO DISCRIMINACIÓN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568,253,467</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02.05.03- SALUD</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48,207,566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02.05.03.02- PRESTACIÓN DE SERVICIOS DE SALUD A LA PERSONA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48,207,566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02.05.06- PROTECCIÓN SOCIAL</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340,496,426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02.05.06.08- OTROS GRUPOS VULNERABLES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340,496,426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02.05.07- OTROS ASUNTOS SOCIALES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179,549,475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02.05.07.01- OTROS ASUNTOS SOCIALES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179,549,475</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06- INNOVACIÓN, CONOCIMIENTO Y TECNOLOGÍA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798,187,684</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02.06.05- EDUCACIÓN</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798,187,684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02.06.05.03- EDUCACIÓN SUPERIOR</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612,100,665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02.06.05.04- POSGRADO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02.06.05.06- OTROS SERVICIOS EDUCATIVOS Y ACTIVIDADES INHERENTES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185,637,019</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08- GOBIERNO ABIERTO, EFICIENTE Y CON FINANZAS SANAS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2,154,778,766</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02.08.06- PROTECCIÓN SOCIAL</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02.08.06.02- EDAD AVANZADA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09- CIUDADES Y COMUNIDADES SOSTENIBLES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389,599,975</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02.09.02- VIVIENDA Y SERVICIOS A LA COMUNIDAD</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389,599,975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02.09.02.01- URBANIZACIÓN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389,599,975</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FINALIDAD 03- DESARROLLO ECONÓMICO</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2,352,730,333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01- YUCATÁN CON ECONOMÍA INCLUSIVA</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1,541,195,002</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03.01.01- ASUNTOS ECONÓMICOS, COMERCIALES Y LABORALES EN GENERAL</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501,025,861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03.01.01.01- ASUNTOS ECONÓMICOS Y COMERCIALES EN GENERAL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478,551,407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03.01.01.02- ASUNTOS LABORALES GENERALES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22,474,454</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03.01.02- AGROPECUARIA, SILVICULTURA, PESCA Y CAZA</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358,280,426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03.01.02.01- AGROPECUARIA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262,932,708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03.01.02.03- ACUACULTURA, PESCA Y CAZA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03.01.07- TURISMO</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213,019,246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03.01.07.01- TURISMO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213,019,246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03.01.09- OTRAS INDUSTRIAS Y OTROS ASUNTOS ECONÓMICOS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468,869,469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03.01.09.03- OTROS ASUNTOS ECONÓMICOS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468,869,469</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04- YUCATÁN VERDE Y SUSTENTABLE</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405,112,568</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03.04.03- COMBUSTIBLE Y ENERGÍA</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3,297,163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03.04.03.06- ENERGÍA NO ELÉCTRICA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3,297,163</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03.04.05- TRANSPORTE</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401,815,405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03.04.05.06- OTROS RELACIONADOS CON TRANSPORTE</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401,815,405</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05- IGUALDAD DE GÉNERO, OPORTUNIDADES Y NO DISCRIMINACIÓN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4,015,876</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03.05.01- ASUNTOS ECONÓMICOS, COMERCIALES Y LABORALES EN GENERAL</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4,015,876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03.05.01.02- ASUNTOS LABORALES GENERALES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4,015,876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06- INNOVACIÓN, CONOCIMIENTO Y TECNOLOGÍA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36,650,087</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03.06.08- CIENCIA, TECNOLOGÍA E INNOVACIÓN</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36,650,087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03.06.08.01- INVESTIGACIÓN CIENTÍFICA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03.06.08.03- SERVICIOS CIENTÍFICOS Y TECNOLÓGICOS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6,644,016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09- CIUDADES Y COMUNIDADES SOSTENIBLES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365,756,800</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03.09.05- TRANSPORTE</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03.09.05.01- TRANSPORTE POR CARRETERA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03.09.06- COMUNICACIONES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142,541,556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03.09.06.01- COMUNICACIONES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142,541,556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03.09.09- OTRAS INDUSTRIAS Y OTROS ASUNTOS ECONÓMICOS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84,471,993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03.09.09.03- OTROS ASUNTOS ECONÓMICOS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84,471,993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FINALIDAD 04- OTRAS NO CLASIFICADAS EN FUNCIONES ANTERIORES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9,161,619,651</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07- PAZ, JUSTICIA Y GOBERNABILIDAD</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4,092,168,930</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04.07.02- TRANSFERENCIAS, PARTICIPACIONES Y APORTACIONES ENTRE DIFERENTES NIVELES Y ÓRDENES DE GOBIERNO</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04.07.02.02- PARTICIPACIONES ENTRE DIFERENTES NIVELES Y ÓRDENES DE GOBIERNO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08- GOBIERNO ABIERTO, EFICIENTE Y CON FINANZAS SANAS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1,575,291,378</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04.08.01- TRANSACCIONES DE LA DEUDA PÚBLICA / COSTO FINANCIERO DE LA DEUDA</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04.08.01.01- DEUDA PÚBLICA INTERNA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04.08.03- ADEUDOS DE EJERCICIOS FISCALES ANTERIORES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04.08.03.01- ADEUDOS DE EJERCICIOS FISCALES ANTERIORES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09- CIUDADES Y COMUNIDADES SOSTENIBLES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3,494,159,343</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04.09.02- TRANSFERENCIAS, PARTICIPACIONES Y APORTACIONES ENTRE DIFERENTES NIVELES Y ÓRDENES DE GOBIERNO</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04.09.02.03- APORTACIONES ENTRE DIFERENTES NIVELES Y ÓRDENES DE GOBIERNO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FA49E9"/>
    <w:p w:rsidR="00FA49E9" w:rsidRDefault="009C1791">
      <w:r>
        <w:br w:type="page"/>
      </w:r>
    </w:p>
    <w:p w:rsidR="00FA49E9" w:rsidRDefault="009C1791">
      <w:pPr>
        <w:pStyle w:val="Ttulo3"/>
      </w:pPr>
      <w:bookmarkStart w:id="74" w:name="X9353f41c9e29cfb83a6d940f37f77f054228c98"/>
      <w:bookmarkEnd w:id="73"/>
      <w:r>
        <w:t>ANEXO 16.8. INFORME ANÁLITICO DE LA DEUDA PÚBLICA Y OTROS PASIVOS</w:t>
      </w:r>
    </w:p>
    <w:p w:rsidR="00FA49E9" w:rsidRDefault="00FA49E9"/>
    <w:tbl>
      <w:tblPr>
        <w:tblW w:w="0" w:type="auto"/>
        <w:jc w:val="center"/>
        <w:tblCellMar>
          <w:left w:w="70" w:type="dxa"/>
          <w:right w:w="70" w:type="dxa"/>
        </w:tblCellMar>
        <w:tblLook w:val="04A0" w:firstRow="1" w:lastRow="0" w:firstColumn="1" w:lastColumn="0" w:noHBand="0" w:noVBand="1"/>
      </w:tblPr>
      <w:tblGrid>
        <w:gridCol w:w="2302"/>
        <w:gridCol w:w="1149"/>
        <w:gridCol w:w="1173"/>
        <w:gridCol w:w="996"/>
        <w:gridCol w:w="1102"/>
        <w:gridCol w:w="1193"/>
        <w:gridCol w:w="1153"/>
        <w:gridCol w:w="1045"/>
        <w:gridCol w:w="1047"/>
      </w:tblGrid>
      <w:tr w:rsidR="00CA5792" w:rsidRPr="00EE6AF7" w:rsidTr="00207DB4">
        <w:trPr>
          <w:trHeight w:val="20"/>
          <w:jc w:val="center"/>
        </w:trPr>
        <w:tc>
          <w:tcPr>
            <w:tcW w:w="0" w:type="auto"/>
            <w:gridSpan w:val="9"/>
            <w:tcBorders>
              <w:top w:val="nil"/>
              <w:left w:val="nil"/>
              <w:bottom w:val="nil"/>
              <w:right w:val="nil"/>
            </w:tcBorders>
            <w:shd w:val="clear" w:color="auto" w:fill="auto"/>
            <w:vAlign w:val="bottom"/>
            <w:hideMark/>
          </w:tcPr>
          <w:p w:rsidR="00CA5792" w:rsidRPr="00F35DC4" w:rsidRDefault="00CA5792" w:rsidP="00207DB4">
            <w:pPr>
              <w:jc w:val="center"/>
              <w:rPr>
                <w:rFonts w:eastAsia="Times New Roman" w:cs="Arial"/>
                <w:b/>
                <w:bCs/>
                <w:color w:val="000000"/>
                <w:sz w:val="12"/>
                <w:szCs w:val="12"/>
                <w:lang w:eastAsia="es-MX"/>
              </w:rPr>
            </w:pPr>
            <w:r w:rsidRPr="00F35DC4">
              <w:rPr>
                <w:rFonts w:eastAsia="Times New Roman" w:cs="Arial"/>
                <w:b/>
                <w:bCs/>
                <w:color w:val="000000"/>
                <w:sz w:val="12"/>
                <w:szCs w:val="12"/>
                <w:lang w:eastAsia="es-MX"/>
              </w:rPr>
              <w:t>ENTE PÚBLICO: PODER EJECUTIVO</w:t>
            </w:r>
            <w:r w:rsidRPr="00F35DC4">
              <w:rPr>
                <w:rFonts w:eastAsia="Times New Roman" w:cs="Arial"/>
                <w:b/>
                <w:bCs/>
                <w:color w:val="000000"/>
                <w:sz w:val="12"/>
                <w:szCs w:val="12"/>
                <w:lang w:eastAsia="es-MX"/>
              </w:rPr>
              <w:br/>
              <w:t>Informe Analítico de la Deuda Pública y Otros Pasivos - LDF</w:t>
            </w:r>
            <w:r w:rsidRPr="00F35DC4">
              <w:rPr>
                <w:rFonts w:eastAsia="Times New Roman" w:cs="Arial"/>
                <w:b/>
                <w:bCs/>
                <w:color w:val="000000"/>
                <w:sz w:val="12"/>
                <w:szCs w:val="12"/>
                <w:lang w:eastAsia="es-MX"/>
              </w:rPr>
              <w:br/>
              <w:t>Del 1 de enero al 31 de diciembre de 2022</w:t>
            </w:r>
            <w:r w:rsidRPr="00F35DC4">
              <w:rPr>
                <w:rFonts w:eastAsia="Times New Roman" w:cs="Arial"/>
                <w:b/>
                <w:bCs/>
                <w:color w:val="000000"/>
                <w:sz w:val="12"/>
                <w:szCs w:val="12"/>
                <w:lang w:eastAsia="es-MX"/>
              </w:rPr>
              <w:br/>
              <w:t>(PESOS)</w:t>
            </w:r>
          </w:p>
        </w:tc>
      </w:tr>
      <w:tr w:rsidR="00D31C30" w:rsidRPr="00EE6AF7" w:rsidTr="00EE6AF7">
        <w:trPr>
          <w:trHeight w:val="20"/>
          <w:jc w:val="center"/>
        </w:trPr>
        <w:tc>
          <w:tcPr>
            <w:tcW w:w="0" w:type="auto"/>
            <w:gridSpan w:val="2"/>
            <w:tcBorders>
              <w:top w:val="single" w:sz="4" w:space="0" w:color="auto"/>
              <w:left w:val="single" w:sz="4" w:space="0" w:color="auto"/>
              <w:bottom w:val="single" w:sz="4" w:space="0" w:color="auto"/>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Denominación de la Deuda Pública y Otros Pasivos</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Saldo</w:t>
            </w:r>
            <w:r w:rsidRPr="00F35DC4">
              <w:rPr>
                <w:rFonts w:eastAsia="Times New Roman" w:cs="Arial"/>
                <w:b/>
                <w:bCs/>
                <w:color w:val="FFFFFF"/>
                <w:sz w:val="12"/>
                <w:szCs w:val="12"/>
                <w:lang w:eastAsia="es-MX"/>
              </w:rPr>
              <w:br/>
              <w:t>31 de diciembre de 2020 (d)</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Disposiciones del Periodo (e)</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Amortizaciones del Periodo (f)</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Revaluaciones, Reclasificaciones</w:t>
            </w:r>
            <w:r w:rsidRPr="00F35DC4">
              <w:rPr>
                <w:rFonts w:eastAsia="Times New Roman" w:cs="Arial"/>
                <w:b/>
                <w:bCs/>
                <w:color w:val="FFFFFF"/>
                <w:sz w:val="12"/>
                <w:szCs w:val="12"/>
                <w:lang w:eastAsia="es-MX"/>
              </w:rPr>
              <w:br/>
              <w:t>y Otros Ajustes (g)</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Saldo Final del Periodo</w:t>
            </w:r>
            <w:r w:rsidRPr="00F35DC4">
              <w:rPr>
                <w:rFonts w:eastAsia="Times New Roman" w:cs="Arial"/>
                <w:b/>
                <w:bCs/>
                <w:color w:val="FFFFFF"/>
                <w:sz w:val="12"/>
                <w:szCs w:val="12"/>
                <w:lang w:eastAsia="es-MX"/>
              </w:rPr>
              <w:br/>
              <w:t>(h)</w:t>
            </w:r>
            <w:r w:rsidRPr="00F35DC4">
              <w:rPr>
                <w:rFonts w:eastAsia="Times New Roman" w:cs="Arial"/>
                <w:b/>
                <w:bCs/>
                <w:color w:val="FFFFFF"/>
                <w:sz w:val="12"/>
                <w:szCs w:val="12"/>
                <w:lang w:eastAsia="es-MX"/>
              </w:rPr>
              <w:br/>
              <w:t>h=d+e-f+g</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 xml:space="preserve">Pago de </w:t>
            </w:r>
            <w:r w:rsidRPr="00F35DC4">
              <w:rPr>
                <w:rFonts w:eastAsia="Times New Roman" w:cs="Arial"/>
                <w:b/>
                <w:bCs/>
                <w:color w:val="FFFFFF"/>
                <w:sz w:val="12"/>
                <w:szCs w:val="12"/>
                <w:lang w:eastAsia="es-MX"/>
              </w:rPr>
              <w:br/>
              <w:t xml:space="preserve">Intereses del </w:t>
            </w:r>
            <w:r w:rsidRPr="00F35DC4">
              <w:rPr>
                <w:rFonts w:eastAsia="Times New Roman" w:cs="Arial"/>
                <w:b/>
                <w:bCs/>
                <w:color w:val="FFFFFF"/>
                <w:sz w:val="12"/>
                <w:szCs w:val="12"/>
                <w:lang w:eastAsia="es-MX"/>
              </w:rPr>
              <w:br/>
              <w:t>Periodo (i)</w:t>
            </w:r>
          </w:p>
        </w:tc>
        <w:tc>
          <w:tcPr>
            <w:tcW w:w="0" w:type="auto"/>
            <w:tcBorders>
              <w:top w:val="single" w:sz="4" w:space="0" w:color="auto"/>
              <w:left w:val="nil"/>
              <w:bottom w:val="single" w:sz="4" w:space="0" w:color="auto"/>
              <w:right w:val="single" w:sz="4" w:space="0" w:color="auto"/>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Pago de Comisiones y demás costos asociados durante el Periodo (j)</w:t>
            </w:r>
          </w:p>
        </w:tc>
      </w:tr>
      <w:tr w:rsidR="00CA5792" w:rsidRPr="00EE6AF7" w:rsidTr="00207DB4">
        <w:trPr>
          <w:trHeight w:val="20"/>
          <w:jc w:val="center"/>
        </w:trPr>
        <w:tc>
          <w:tcPr>
            <w:tcW w:w="0" w:type="auto"/>
            <w:gridSpan w:val="2"/>
            <w:tcBorders>
              <w:top w:val="single" w:sz="4" w:space="0" w:color="auto"/>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1. Deuda Pública (1=A+B)</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$7,744,435,094.85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$615,946,307.00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$7,128,488,787.85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$707,043,539.00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$47,301,532.00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xml:space="preserve">        A. Corto Plazo (A=a1+a2+a3)</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$1,500,000,000.00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$550,000,000.00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$950,000,000.00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$124,714,731.00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a1) Instituciones de Crédito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$1,500,000,000.00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$550,000,000.00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$950,000,000.00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$124,714,731.00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a2) Títulos y Valores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a3) Arrendamientos Financieros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xml:space="preserve">        B. Largo Plazo (B=b1+b2+b3)</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$6,244,435,094.85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$65,946,307.00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$6,178,488,787.85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$582,328,808.00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$47,301,532.00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b1) Instituciones de Crédito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$6,244,435,094.85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$65,946,307.00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$6,178,488,787.85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$582,328,808.00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$47,301,532.00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b2) Títulos y Valores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b3) Arrendamientos Financieros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2. Otros Pasivos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3. Total de la Deuda Pública y Otros Pasivos (3=1+2)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$7,744,435,094.85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$615,946,307.00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$7,128,488,787.85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$707,043,539.00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$47,301,532.00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4. Deuda Contingente</w:t>
            </w:r>
            <w:r w:rsidRPr="00F35DC4">
              <w:rPr>
                <w:rFonts w:eastAsia="Times New Roman" w:cs="Arial"/>
                <w:b/>
                <w:bCs/>
                <w:color w:val="000000"/>
                <w:sz w:val="12"/>
                <w:szCs w:val="12"/>
                <w:vertAlign w:val="superscript"/>
                <w:lang w:eastAsia="es-MX"/>
              </w:rPr>
              <w:t>1</w:t>
            </w:r>
            <w:r w:rsidRPr="00F35DC4">
              <w:rPr>
                <w:rFonts w:eastAsia="Times New Roman" w:cs="Arial"/>
                <w:b/>
                <w:bCs/>
                <w:color w:val="000000"/>
                <w:sz w:val="12"/>
                <w:szCs w:val="12"/>
                <w:lang w:eastAsia="es-MX"/>
              </w:rPr>
              <w:t xml:space="preserve"> (informativo)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 Deuda Contingente 1</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 Deuda Contingente 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C. Deuda Contingente XX</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5. Valor de Instrumentos Bono Cupón Cero</w:t>
            </w:r>
            <w:r w:rsidRPr="00F35DC4">
              <w:rPr>
                <w:rFonts w:eastAsia="Times New Roman" w:cs="Arial"/>
                <w:b/>
                <w:bCs/>
                <w:color w:val="000000"/>
                <w:sz w:val="12"/>
                <w:szCs w:val="12"/>
                <w:vertAlign w:val="superscript"/>
                <w:lang w:eastAsia="es-MX"/>
              </w:rPr>
              <w:t>2</w:t>
            </w:r>
            <w:r w:rsidRPr="00F35DC4">
              <w:rPr>
                <w:rFonts w:eastAsia="Times New Roman" w:cs="Arial"/>
                <w:b/>
                <w:bCs/>
                <w:color w:val="000000"/>
                <w:sz w:val="12"/>
                <w:szCs w:val="12"/>
                <w:lang w:eastAsia="es-MX"/>
              </w:rPr>
              <w:t xml:space="preserve"> (Informativo)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 Instrumento Bono Cupón Cero 1</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 Instrumento Bono Cupón Cero 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single" w:sz="4" w:space="0" w:color="auto"/>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C. Instrumento Bono Cupón Cero XX</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9"/>
            <w:tcBorders>
              <w:top w:val="nil"/>
              <w:left w:val="nil"/>
              <w:bottom w:val="nil"/>
              <w:right w:val="nil"/>
            </w:tcBorders>
            <w:shd w:val="clear" w:color="auto" w:fill="auto"/>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vertAlign w:val="superscript"/>
                <w:lang w:eastAsia="es-MX"/>
              </w:rPr>
              <w:t>1</w:t>
            </w:r>
            <w:r w:rsidRPr="00F35DC4">
              <w:rPr>
                <w:rFonts w:eastAsia="Times New Roman" w:cs="Arial"/>
                <w:color w:val="000000"/>
                <w:sz w:val="12"/>
                <w:szCs w:val="12"/>
                <w:lang w:eastAsia="es-MX"/>
              </w:rPr>
              <w:t>Se refiere a 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Municipios con sus respectivos organismos descentralizados y empresas de participación municipal mayoritaria.</w:t>
            </w:r>
          </w:p>
        </w:tc>
      </w:tr>
      <w:tr w:rsidR="00CA5792" w:rsidRPr="00EE6AF7" w:rsidTr="00207DB4">
        <w:trPr>
          <w:trHeight w:val="20"/>
          <w:jc w:val="center"/>
        </w:trPr>
        <w:tc>
          <w:tcPr>
            <w:tcW w:w="0" w:type="auto"/>
            <w:gridSpan w:val="9"/>
            <w:tcBorders>
              <w:top w:val="nil"/>
              <w:left w:val="nil"/>
              <w:bottom w:val="nil"/>
              <w:right w:val="nil"/>
            </w:tcBorders>
            <w:shd w:val="clear" w:color="auto" w:fill="auto"/>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vertAlign w:val="superscript"/>
                <w:lang w:eastAsia="es-MX"/>
              </w:rPr>
              <w:t>2</w:t>
            </w:r>
            <w:r w:rsidRPr="00F35DC4">
              <w:rPr>
                <w:rFonts w:eastAsia="Times New Roman" w:cs="Arial"/>
                <w:color w:val="000000"/>
                <w:sz w:val="12"/>
                <w:szCs w:val="12"/>
                <w:lang w:eastAsia="es-MX"/>
              </w:rPr>
              <w:t>Se refiere al valor del Bono Cupón Cero que respalda el pago de los créditos asociados al mismo (Activo)</w:t>
            </w:r>
          </w:p>
        </w:tc>
      </w:tr>
      <w:tr w:rsidR="00CA5792" w:rsidRPr="00EE6AF7" w:rsidTr="00207DB4">
        <w:trPr>
          <w:trHeight w:val="20"/>
          <w:jc w:val="center"/>
        </w:trPr>
        <w:tc>
          <w:tcPr>
            <w:tcW w:w="0" w:type="auto"/>
            <w:gridSpan w:val="2"/>
            <w:tcBorders>
              <w:top w:val="nil"/>
              <w:left w:val="nil"/>
              <w:bottom w:val="single" w:sz="4" w:space="0" w:color="auto"/>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B87E7B">
        <w:trPr>
          <w:trHeight w:val="20"/>
          <w:jc w:val="center"/>
        </w:trPr>
        <w:tc>
          <w:tcPr>
            <w:tcW w:w="0" w:type="auto"/>
            <w:vMerge w:val="restart"/>
            <w:tcBorders>
              <w:top w:val="nil"/>
              <w:left w:val="single" w:sz="4" w:space="0" w:color="auto"/>
              <w:bottom w:val="single" w:sz="4" w:space="0" w:color="000000"/>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Obligaciones a Corto Plazo (k)</w:t>
            </w:r>
          </w:p>
        </w:tc>
        <w:tc>
          <w:tcPr>
            <w:tcW w:w="0" w:type="auto"/>
            <w:tcBorders>
              <w:top w:val="nil"/>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Monto</w:t>
            </w:r>
          </w:p>
        </w:tc>
        <w:tc>
          <w:tcPr>
            <w:tcW w:w="0" w:type="auto"/>
            <w:tcBorders>
              <w:top w:val="single" w:sz="4" w:space="0" w:color="auto"/>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Plazo</w:t>
            </w:r>
          </w:p>
        </w:tc>
        <w:tc>
          <w:tcPr>
            <w:tcW w:w="0" w:type="auto"/>
            <w:tcBorders>
              <w:top w:val="single" w:sz="4" w:space="0" w:color="auto"/>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Tasa de Interés</w:t>
            </w:r>
          </w:p>
        </w:tc>
        <w:tc>
          <w:tcPr>
            <w:tcW w:w="0" w:type="auto"/>
            <w:vMerge w:val="restart"/>
            <w:tcBorders>
              <w:top w:val="single" w:sz="4" w:space="0" w:color="auto"/>
              <w:left w:val="nil"/>
              <w:bottom w:val="single" w:sz="4" w:space="0" w:color="000000"/>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Comisiones y Costos Relacionados (o)</w:t>
            </w:r>
          </w:p>
        </w:tc>
        <w:tc>
          <w:tcPr>
            <w:tcW w:w="0" w:type="auto"/>
            <w:tcBorders>
              <w:top w:val="single" w:sz="4" w:space="0" w:color="auto"/>
              <w:left w:val="nil"/>
              <w:bottom w:val="nil"/>
              <w:right w:val="single" w:sz="4" w:space="0" w:color="auto"/>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Tasa Efectiva</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b/>
                <w:bCs/>
                <w:color w:val="FFFFFF"/>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B87E7B">
        <w:trPr>
          <w:trHeight w:val="20"/>
          <w:jc w:val="center"/>
        </w:trPr>
        <w:tc>
          <w:tcPr>
            <w:tcW w:w="0" w:type="auto"/>
            <w:vMerge/>
            <w:tcBorders>
              <w:top w:val="nil"/>
              <w:left w:val="single" w:sz="4" w:space="0" w:color="auto"/>
              <w:bottom w:val="single" w:sz="4" w:space="0" w:color="000000"/>
              <w:right w:val="nil"/>
            </w:tcBorders>
            <w:shd w:val="clear" w:color="auto" w:fill="808080"/>
            <w:vAlign w:val="center"/>
            <w:hideMark/>
          </w:tcPr>
          <w:p w:rsidR="00CA5792" w:rsidRPr="00F35DC4" w:rsidRDefault="00CA5792" w:rsidP="00207DB4">
            <w:pPr>
              <w:jc w:val="left"/>
              <w:rPr>
                <w:rFonts w:eastAsia="Times New Roman" w:cs="Arial"/>
                <w:b/>
                <w:bCs/>
                <w:color w:val="FFFFFF"/>
                <w:sz w:val="12"/>
                <w:szCs w:val="12"/>
                <w:lang w:eastAsia="es-MX"/>
              </w:rPr>
            </w:pPr>
          </w:p>
        </w:tc>
        <w:tc>
          <w:tcPr>
            <w:tcW w:w="0" w:type="auto"/>
            <w:tcBorders>
              <w:top w:val="nil"/>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Contratado (I)</w:t>
            </w:r>
          </w:p>
        </w:tc>
        <w:tc>
          <w:tcPr>
            <w:tcW w:w="0" w:type="auto"/>
            <w:tcBorders>
              <w:top w:val="nil"/>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Pactado</w:t>
            </w:r>
          </w:p>
        </w:tc>
        <w:tc>
          <w:tcPr>
            <w:tcW w:w="0" w:type="auto"/>
            <w:tcBorders>
              <w:top w:val="nil"/>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(n)</w:t>
            </w:r>
          </w:p>
        </w:tc>
        <w:tc>
          <w:tcPr>
            <w:tcW w:w="0" w:type="auto"/>
            <w:vMerge/>
            <w:tcBorders>
              <w:top w:val="single" w:sz="4" w:space="0" w:color="auto"/>
              <w:left w:val="nil"/>
              <w:bottom w:val="single" w:sz="4" w:space="0" w:color="000000"/>
              <w:right w:val="nil"/>
            </w:tcBorders>
            <w:shd w:val="clear" w:color="auto" w:fill="808080"/>
            <w:vAlign w:val="center"/>
            <w:hideMark/>
          </w:tcPr>
          <w:p w:rsidR="00CA5792" w:rsidRPr="00F35DC4" w:rsidRDefault="00CA5792" w:rsidP="00207DB4">
            <w:pPr>
              <w:jc w:val="left"/>
              <w:rPr>
                <w:rFonts w:eastAsia="Times New Roman" w:cs="Arial"/>
                <w:b/>
                <w:bCs/>
                <w:color w:val="FFFFFF"/>
                <w:sz w:val="12"/>
                <w:szCs w:val="12"/>
                <w:lang w:eastAsia="es-MX"/>
              </w:rPr>
            </w:pPr>
          </w:p>
        </w:tc>
        <w:tc>
          <w:tcPr>
            <w:tcW w:w="0" w:type="auto"/>
            <w:tcBorders>
              <w:top w:val="nil"/>
              <w:left w:val="nil"/>
              <w:bottom w:val="nil"/>
              <w:right w:val="single" w:sz="4" w:space="0" w:color="auto"/>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(p)</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b/>
                <w:bCs/>
                <w:color w:val="FFFFFF"/>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B87E7B">
        <w:trPr>
          <w:trHeight w:val="20"/>
          <w:jc w:val="center"/>
        </w:trPr>
        <w:tc>
          <w:tcPr>
            <w:tcW w:w="0" w:type="auto"/>
            <w:vMerge/>
            <w:tcBorders>
              <w:top w:val="nil"/>
              <w:left w:val="single" w:sz="4" w:space="0" w:color="auto"/>
              <w:bottom w:val="single" w:sz="4" w:space="0" w:color="000000"/>
              <w:right w:val="nil"/>
            </w:tcBorders>
            <w:shd w:val="clear" w:color="auto" w:fill="808080"/>
            <w:vAlign w:val="center"/>
            <w:hideMark/>
          </w:tcPr>
          <w:p w:rsidR="00CA5792" w:rsidRPr="00F35DC4" w:rsidRDefault="00CA5792" w:rsidP="00207DB4">
            <w:pPr>
              <w:jc w:val="left"/>
              <w:rPr>
                <w:rFonts w:eastAsia="Times New Roman" w:cs="Arial"/>
                <w:b/>
                <w:bCs/>
                <w:color w:val="FFFFFF"/>
                <w:sz w:val="12"/>
                <w:szCs w:val="12"/>
                <w:lang w:eastAsia="es-MX"/>
              </w:rPr>
            </w:pPr>
          </w:p>
        </w:tc>
        <w:tc>
          <w:tcPr>
            <w:tcW w:w="0" w:type="auto"/>
            <w:tcBorders>
              <w:top w:val="nil"/>
              <w:left w:val="nil"/>
              <w:bottom w:val="single" w:sz="4" w:space="0" w:color="auto"/>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 </w:t>
            </w:r>
          </w:p>
        </w:tc>
        <w:tc>
          <w:tcPr>
            <w:tcW w:w="0" w:type="auto"/>
            <w:tcBorders>
              <w:top w:val="nil"/>
              <w:left w:val="nil"/>
              <w:bottom w:val="single" w:sz="4" w:space="0" w:color="auto"/>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(m)</w:t>
            </w:r>
          </w:p>
        </w:tc>
        <w:tc>
          <w:tcPr>
            <w:tcW w:w="0" w:type="auto"/>
            <w:tcBorders>
              <w:top w:val="nil"/>
              <w:left w:val="nil"/>
              <w:bottom w:val="single" w:sz="4" w:space="0" w:color="auto"/>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 </w:t>
            </w:r>
          </w:p>
        </w:tc>
        <w:tc>
          <w:tcPr>
            <w:tcW w:w="0" w:type="auto"/>
            <w:vMerge/>
            <w:tcBorders>
              <w:top w:val="single" w:sz="4" w:space="0" w:color="auto"/>
              <w:left w:val="nil"/>
              <w:bottom w:val="single" w:sz="4" w:space="0" w:color="000000"/>
              <w:right w:val="nil"/>
            </w:tcBorders>
            <w:shd w:val="clear" w:color="auto" w:fill="808080"/>
            <w:vAlign w:val="center"/>
            <w:hideMark/>
          </w:tcPr>
          <w:p w:rsidR="00CA5792" w:rsidRPr="00F35DC4" w:rsidRDefault="00CA5792" w:rsidP="00207DB4">
            <w:pPr>
              <w:jc w:val="left"/>
              <w:rPr>
                <w:rFonts w:eastAsia="Times New Roman" w:cs="Arial"/>
                <w:b/>
                <w:bCs/>
                <w:color w:val="FFFFFF"/>
                <w:sz w:val="12"/>
                <w:szCs w:val="12"/>
                <w:lang w:eastAsia="es-MX"/>
              </w:rPr>
            </w:pPr>
          </w:p>
        </w:tc>
        <w:tc>
          <w:tcPr>
            <w:tcW w:w="0" w:type="auto"/>
            <w:tcBorders>
              <w:top w:val="nil"/>
              <w:left w:val="nil"/>
              <w:bottom w:val="single" w:sz="4" w:space="0" w:color="auto"/>
              <w:right w:val="single" w:sz="4" w:space="0" w:color="auto"/>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b/>
                <w:bCs/>
                <w:color w:val="FFFFFF"/>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6. Obligaciones a Corto Plazo (Informativo)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$1,700,000,000.00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 Scotiabank Inverlat</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$700,000,000.00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+ 0.68</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5.45%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 HSBC México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$200,000,000.00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+ 0.90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5.67%</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C. Banco Mercantil del Norte</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+ 1.02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5.79%</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D. Banco Santander</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+ 0.62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6.17%</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E. BBVA Bancomer</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$200,000,000.00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+ 0.63</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6.18%</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F. HSBC México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$275,000,000.00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+ 0.64</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6.19%</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single" w:sz="4" w:space="0" w:color="auto"/>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G. HSBC México</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$125,000,000.00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+ 0.74</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6.29%</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gridSpan w:val="6"/>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Bajo protesta de decir verdad declaramos que los Estados Financieros y sus Notas son razonablemente correctos y responsabilidad del emisor.</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bl>
    <w:p w:rsidR="00FA49E9" w:rsidRDefault="009C1791">
      <w:r>
        <w:br w:type="page"/>
      </w:r>
    </w:p>
    <w:p w:rsidR="00FA49E9" w:rsidRDefault="009C1791">
      <w:pPr>
        <w:pStyle w:val="Ttulo3"/>
      </w:pPr>
      <w:bookmarkStart w:id="75" w:name="Xad66df7c1e9966921a1c62712f5f2bf28a78285"/>
      <w:bookmarkEnd w:id="74"/>
      <w:r>
        <w:t>ANEXO 16.9. INFORME ANALÍTICO DE OBLIGACIONES DIFERENTES DE FINANCIAMIENTOS</w:t>
      </w:r>
    </w:p>
    <w:p w:rsidR="00FA49E9" w:rsidRDefault="00FA49E9"/>
    <w:tbl>
      <w:tblPr>
        <w:tblW w:w="5000" w:type="pct"/>
        <w:jc w:val="center"/>
        <w:tblCellMar>
          <w:left w:w="70" w:type="dxa"/>
          <w:right w:w="70" w:type="dxa"/>
        </w:tblCellMar>
        <w:tblLook w:val="04A0" w:firstRow="1" w:lastRow="0" w:firstColumn="1" w:lastColumn="0" w:noHBand="0" w:noVBand="1"/>
      </w:tblPr>
      <w:tblGrid>
        <w:gridCol w:w="1332"/>
        <w:gridCol w:w="865"/>
        <w:gridCol w:w="858"/>
        <w:gridCol w:w="904"/>
        <w:gridCol w:w="1195"/>
        <w:gridCol w:w="711"/>
        <w:gridCol w:w="1147"/>
        <w:gridCol w:w="140"/>
        <w:gridCol w:w="491"/>
        <w:gridCol w:w="450"/>
        <w:gridCol w:w="821"/>
        <w:gridCol w:w="236"/>
        <w:gridCol w:w="821"/>
        <w:gridCol w:w="236"/>
        <w:gridCol w:w="953"/>
      </w:tblGrid>
      <w:tr w:rsidR="004E68FC" w:rsidRPr="00EE6AF7" w:rsidTr="009670C6">
        <w:trPr>
          <w:trHeight w:val="20"/>
          <w:jc w:val="center"/>
        </w:trPr>
        <w:tc>
          <w:tcPr>
            <w:tcW w:w="5000" w:type="pct"/>
            <w:gridSpan w:val="15"/>
            <w:tcBorders>
              <w:top w:val="nil"/>
              <w:left w:val="nil"/>
              <w:bottom w:val="nil"/>
              <w:right w:val="nil"/>
            </w:tcBorders>
            <w:shd w:val="clear" w:color="auto" w:fill="auto"/>
            <w:noWrap/>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ENTE PÚBLICO: PODER EJECUTIVO</w:t>
            </w:r>
          </w:p>
        </w:tc>
      </w:tr>
      <w:tr w:rsidR="004E68FC" w:rsidRPr="00EE6AF7" w:rsidTr="009670C6">
        <w:trPr>
          <w:trHeight w:val="20"/>
          <w:jc w:val="center"/>
        </w:trPr>
        <w:tc>
          <w:tcPr>
            <w:tcW w:w="5000" w:type="pct"/>
            <w:gridSpan w:val="15"/>
            <w:tcBorders>
              <w:top w:val="nil"/>
              <w:left w:val="nil"/>
              <w:bottom w:val="nil"/>
              <w:right w:val="nil"/>
            </w:tcBorders>
            <w:shd w:val="clear" w:color="auto" w:fill="auto"/>
            <w:noWrap/>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Informe Analítico de Obligaciones Diferentes de Financiamientos - LDF</w:t>
            </w:r>
          </w:p>
        </w:tc>
      </w:tr>
      <w:tr w:rsidR="004E68FC" w:rsidRPr="00EE6AF7" w:rsidTr="009670C6">
        <w:trPr>
          <w:trHeight w:val="20"/>
          <w:jc w:val="center"/>
        </w:trPr>
        <w:tc>
          <w:tcPr>
            <w:tcW w:w="5000" w:type="pct"/>
            <w:gridSpan w:val="15"/>
            <w:tcBorders>
              <w:top w:val="nil"/>
              <w:left w:val="nil"/>
              <w:bottom w:val="nil"/>
              <w:right w:val="nil"/>
            </w:tcBorders>
            <w:shd w:val="clear" w:color="auto" w:fill="auto"/>
            <w:noWrap/>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Del 1 de enero al 31 de diciembre de 2022</w:t>
            </w:r>
          </w:p>
        </w:tc>
      </w:tr>
      <w:tr w:rsidR="004E68FC" w:rsidRPr="00EE6AF7" w:rsidTr="009670C6">
        <w:trPr>
          <w:trHeight w:val="20"/>
          <w:jc w:val="center"/>
        </w:trPr>
        <w:tc>
          <w:tcPr>
            <w:tcW w:w="5000" w:type="pct"/>
            <w:gridSpan w:val="15"/>
            <w:tcBorders>
              <w:top w:val="nil"/>
              <w:left w:val="nil"/>
              <w:bottom w:val="nil"/>
              <w:right w:val="nil"/>
            </w:tcBorders>
            <w:shd w:val="clear" w:color="auto" w:fill="auto"/>
            <w:noWrap/>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(PESOS)</w:t>
            </w:r>
          </w:p>
        </w:tc>
      </w:tr>
      <w:tr w:rsidR="00D31C30" w:rsidRPr="00EE6AF7" w:rsidTr="00EE6AF7">
        <w:trPr>
          <w:trHeight w:val="20"/>
          <w:jc w:val="center"/>
        </w:trPr>
        <w:tc>
          <w:tcPr>
            <w:tcW w:w="580" w:type="pct"/>
            <w:tcBorders>
              <w:top w:val="single" w:sz="4" w:space="0" w:color="auto"/>
              <w:left w:val="single" w:sz="4" w:space="0" w:color="auto"/>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Denominación de las Obligaciones Diferentes de Financiamiento (c)</w:t>
            </w:r>
          </w:p>
        </w:tc>
        <w:tc>
          <w:tcPr>
            <w:tcW w:w="375"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Fecha del Contrato (d)</w:t>
            </w:r>
          </w:p>
        </w:tc>
        <w:tc>
          <w:tcPr>
            <w:tcW w:w="372"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Fecha de inicio de operación del proyecto (e)</w:t>
            </w:r>
          </w:p>
        </w:tc>
        <w:tc>
          <w:tcPr>
            <w:tcW w:w="392"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Fecha de vencimiento (f)</w:t>
            </w:r>
          </w:p>
        </w:tc>
        <w:tc>
          <w:tcPr>
            <w:tcW w:w="520"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de la inversión pactado (g)</w:t>
            </w:r>
          </w:p>
        </w:tc>
        <w:tc>
          <w:tcPr>
            <w:tcW w:w="307"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Plazo pactado (h)</w:t>
            </w:r>
          </w:p>
        </w:tc>
        <w:tc>
          <w:tcPr>
            <w:tcW w:w="499"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promedio mensual del pago de la contraprestación (i)</w:t>
            </w:r>
          </w:p>
        </w:tc>
        <w:tc>
          <w:tcPr>
            <w:tcW w:w="622" w:type="pct"/>
            <w:gridSpan w:val="3"/>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promedio mensual del pago de la contraprestación correspondiente al pago de inversión (j)</w:t>
            </w:r>
          </w:p>
        </w:tc>
        <w:tc>
          <w:tcPr>
            <w:tcW w:w="459" w:type="pct"/>
            <w:gridSpan w:val="2"/>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pagado de la inversión al 31 de diciembre de 2022 (k)</w:t>
            </w:r>
          </w:p>
        </w:tc>
        <w:tc>
          <w:tcPr>
            <w:tcW w:w="459" w:type="pct"/>
            <w:gridSpan w:val="2"/>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pagado de la inversión actualizado al 31 de diciembre de 2022 (l)</w:t>
            </w:r>
          </w:p>
        </w:tc>
        <w:tc>
          <w:tcPr>
            <w:tcW w:w="413" w:type="pct"/>
            <w:tcBorders>
              <w:top w:val="single" w:sz="4" w:space="0" w:color="auto"/>
              <w:left w:val="nil"/>
              <w:bottom w:val="single" w:sz="4" w:space="0" w:color="auto"/>
              <w:right w:val="single" w:sz="4" w:space="0" w:color="auto"/>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Saldo pendiente por pagar de la inversión al 31 de diciembre de 2022 (m = g - l)</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A. Asociaciones Público Privadas (APP’s) (A=a+b+c+d)</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$4,063,963,449.00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237 meses</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$17,492,483.32</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$16,491,771.81</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$1,669,742,357.63</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$3,266,116,700.06</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$797,846,748.94</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a) Gran Museo del Mundo Maya</w:t>
            </w:r>
          </w:p>
        </w:tc>
        <w:tc>
          <w:tcPr>
            <w:tcW w:w="375"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14/06/2011</w:t>
            </w:r>
          </w:p>
        </w:tc>
        <w:tc>
          <w:tcPr>
            <w:tcW w:w="372"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01/10/2012</w:t>
            </w:r>
          </w:p>
        </w:tc>
        <w:tc>
          <w:tcPr>
            <w:tcW w:w="392"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14/06/2032</w:t>
            </w: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$4,063,963,449.00</w:t>
            </w:r>
          </w:p>
        </w:tc>
        <w:tc>
          <w:tcPr>
            <w:tcW w:w="307" w:type="pct"/>
            <w:tcBorders>
              <w:top w:val="nil"/>
              <w:left w:val="nil"/>
              <w:bottom w:val="nil"/>
              <w:right w:val="nil"/>
            </w:tcBorders>
            <w:shd w:val="clear" w:color="auto" w:fill="auto"/>
            <w:vAlign w:val="center"/>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237 meses</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$17,492,483.32</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$16,491,771.81</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$1,669,742,357.63</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$3,266,116,700.06</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$797,846,748.94</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b) APP 2</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c) APP 3</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d) APP XX</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B. Otros Instrumentos (B=a+b+c+d)</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a) Otro Instrumento 1</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b) Otro Instrumento 2</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c) Otro Instrumento 3</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d) Otro Instrumento XX</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single" w:sz="4" w:space="0" w:color="auto"/>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C. Total de Obligaciones Diferentes de Financiamiento (C=A+B)</w:t>
            </w:r>
          </w:p>
        </w:tc>
        <w:tc>
          <w:tcPr>
            <w:tcW w:w="375" w:type="pct"/>
            <w:tcBorders>
              <w:top w:val="nil"/>
              <w:left w:val="nil"/>
              <w:bottom w:val="single" w:sz="4" w:space="0" w:color="auto"/>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372" w:type="pct"/>
            <w:tcBorders>
              <w:top w:val="nil"/>
              <w:left w:val="nil"/>
              <w:bottom w:val="single" w:sz="4" w:space="0" w:color="auto"/>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392" w:type="pct"/>
            <w:tcBorders>
              <w:top w:val="nil"/>
              <w:left w:val="nil"/>
              <w:bottom w:val="single" w:sz="4" w:space="0" w:color="auto"/>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520" w:type="pct"/>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$4,063,963,449.00</w:t>
            </w:r>
          </w:p>
        </w:tc>
        <w:tc>
          <w:tcPr>
            <w:tcW w:w="307" w:type="pct"/>
            <w:tcBorders>
              <w:top w:val="nil"/>
              <w:left w:val="nil"/>
              <w:bottom w:val="single" w:sz="4" w:space="0" w:color="auto"/>
              <w:right w:val="nil"/>
            </w:tcBorders>
            <w:shd w:val="clear" w:color="auto" w:fill="auto"/>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237 meses</w:t>
            </w:r>
          </w:p>
        </w:tc>
        <w:tc>
          <w:tcPr>
            <w:tcW w:w="499" w:type="pct"/>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$17,492,483.32</w:t>
            </w:r>
          </w:p>
        </w:tc>
        <w:tc>
          <w:tcPr>
            <w:tcW w:w="622" w:type="pct"/>
            <w:gridSpan w:val="3"/>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$16,491,771.81</w:t>
            </w:r>
          </w:p>
        </w:tc>
        <w:tc>
          <w:tcPr>
            <w:tcW w:w="459" w:type="pct"/>
            <w:gridSpan w:val="2"/>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$1,669,742,357.63</w:t>
            </w:r>
          </w:p>
        </w:tc>
        <w:tc>
          <w:tcPr>
            <w:tcW w:w="459" w:type="pct"/>
            <w:gridSpan w:val="2"/>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$3,266,116,700.06</w:t>
            </w:r>
          </w:p>
        </w:tc>
        <w:tc>
          <w:tcPr>
            <w:tcW w:w="413" w:type="pct"/>
            <w:tcBorders>
              <w:top w:val="nil"/>
              <w:left w:val="nil"/>
              <w:bottom w:val="single" w:sz="4" w:space="0" w:color="auto"/>
              <w:right w:val="single" w:sz="4" w:space="0" w:color="auto"/>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$797,846,748.94</w:t>
            </w:r>
          </w:p>
        </w:tc>
      </w:tr>
      <w:tr w:rsidR="004E68FC" w:rsidRPr="00EE6AF7" w:rsidTr="009670C6">
        <w:trPr>
          <w:trHeight w:val="20"/>
          <w:jc w:val="center"/>
        </w:trPr>
        <w:tc>
          <w:tcPr>
            <w:tcW w:w="5000" w:type="pct"/>
            <w:gridSpan w:val="15"/>
            <w:tcBorders>
              <w:top w:val="nil"/>
              <w:left w:val="nil"/>
              <w:bottom w:val="nil"/>
              <w:right w:val="nil"/>
            </w:tcBorders>
            <w:shd w:val="clear" w:color="auto" w:fill="auto"/>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Nota:</w:t>
            </w:r>
            <w:r w:rsidRPr="00714224">
              <w:rPr>
                <w:rFonts w:eastAsia="Times New Roman" w:cs="Arial"/>
                <w:color w:val="000000"/>
                <w:sz w:val="12"/>
                <w:szCs w:val="12"/>
                <w:lang w:eastAsia="es-MX"/>
              </w:rPr>
              <w:br/>
              <w:t xml:space="preserve">Cifras estimadas del valor presente de la inversión pactada del Contrato de Prestación de Servicios del Gran Museo del Mundo Maya de Mérida de julio 2012 por 965md, conforme a los Lineamientos de la Metodología para el Cálculo del Menor Costo Financiero y de los Procesos Competitivos de los Financiamientos y Obligaciones. </w:t>
            </w:r>
          </w:p>
        </w:tc>
      </w:tr>
      <w:tr w:rsidR="009670C6" w:rsidRPr="00EE6AF7" w:rsidTr="009670C6">
        <w:trPr>
          <w:trHeight w:val="20"/>
          <w:jc w:val="center"/>
        </w:trPr>
        <w:tc>
          <w:tcPr>
            <w:tcW w:w="3098" w:type="pct"/>
            <w:gridSpan w:val="8"/>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Bajo protesta de decir verdad declaramos que los Estados Financieros y sus Notas son razonablemente correctos y responsabilidad del emisor.</w:t>
            </w:r>
          </w:p>
        </w:tc>
        <w:tc>
          <w:tcPr>
            <w:tcW w:w="299" w:type="pct"/>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color w:val="000000"/>
                <w:sz w:val="12"/>
                <w:szCs w:val="12"/>
                <w:lang w:eastAsia="es-MX"/>
              </w:rPr>
            </w:pPr>
          </w:p>
        </w:tc>
        <w:tc>
          <w:tcPr>
            <w:tcW w:w="630" w:type="pct"/>
            <w:gridSpan w:val="2"/>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sz w:val="12"/>
                <w:szCs w:val="12"/>
                <w:lang w:eastAsia="es-MX"/>
              </w:rPr>
            </w:pPr>
          </w:p>
        </w:tc>
        <w:tc>
          <w:tcPr>
            <w:tcW w:w="459" w:type="pct"/>
            <w:gridSpan w:val="2"/>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sz w:val="12"/>
                <w:szCs w:val="12"/>
                <w:lang w:eastAsia="es-MX"/>
              </w:rPr>
            </w:pPr>
          </w:p>
        </w:tc>
        <w:tc>
          <w:tcPr>
            <w:tcW w:w="513" w:type="pct"/>
            <w:gridSpan w:val="2"/>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sz w:val="12"/>
                <w:szCs w:val="12"/>
                <w:lang w:eastAsia="es-MX"/>
              </w:rPr>
            </w:pPr>
          </w:p>
        </w:tc>
      </w:tr>
    </w:tbl>
    <w:p w:rsidR="00FA49E9" w:rsidRDefault="009C1791">
      <w:r>
        <w:br w:type="page"/>
      </w:r>
    </w:p>
    <w:p w:rsidR="00FA49E9" w:rsidRDefault="009C1791">
      <w:pPr>
        <w:pStyle w:val="Ttulo3"/>
      </w:pPr>
      <w:bookmarkStart w:id="76" w:name="X3bb6a56003382a400ada9ea2df3c93ef07c6f8d"/>
      <w:bookmarkEnd w:id="75"/>
      <w:r>
        <w:t>ANEXO 16.10. INFORME SOBRE ESTUDIOS ACTUARIALES</w:t>
      </w:r>
    </w:p>
    <w:p w:rsidR="006B7B6C" w:rsidRPr="006B7B6C" w:rsidRDefault="006B7B6C" w:rsidP="006B7B6C"/>
    <w:p w:rsidR="00FA49E9" w:rsidRPr="006B7B6C" w:rsidRDefault="006B7B6C" w:rsidP="006B7B6C">
      <w:pPr>
        <w:jc w:val="center"/>
        <w:rPr>
          <w:b/>
          <w:bCs/>
        </w:rPr>
      </w:pPr>
      <w:r w:rsidRPr="006B7B6C">
        <w:rPr>
          <w:b/>
          <w:bCs/>
        </w:rPr>
        <w:t>Instituto de Seguridad Social de los Trabajadores del Estado de Yucatán</w:t>
      </w:r>
    </w:p>
    <w:p w:rsidR="006B7B6C" w:rsidRPr="006B7B6C" w:rsidRDefault="006B7B6C" w:rsidP="006B7B6C">
      <w:pPr>
        <w:jc w:val="center"/>
        <w:rPr>
          <w:b/>
          <w:bCs/>
        </w:rPr>
      </w:pPr>
      <w:r w:rsidRPr="006B7B6C">
        <w:rPr>
          <w:b/>
          <w:bCs/>
        </w:rPr>
        <w:t>Informe sobre Estudios Actuariales – LDF</w:t>
      </w:r>
    </w:p>
    <w:p w:rsidR="006B7B6C" w:rsidRDefault="006B7B6C"/>
    <w:tbl>
      <w:tblPr>
        <w:tblW w:w="0" w:type="auto"/>
        <w:jc w:val="center"/>
        <w:tblCellMar>
          <w:left w:w="70" w:type="dxa"/>
          <w:right w:w="70" w:type="dxa"/>
        </w:tblCellMar>
        <w:tblLook w:val="04A0" w:firstRow="1" w:lastRow="0" w:firstColumn="1" w:lastColumn="0" w:noHBand="0" w:noVBand="1"/>
      </w:tblPr>
      <w:tblGrid>
        <w:gridCol w:w="1494"/>
        <w:gridCol w:w="1592"/>
        <w:gridCol w:w="1592"/>
        <w:gridCol w:w="1591"/>
        <w:gridCol w:w="1591"/>
        <w:gridCol w:w="1592"/>
        <w:gridCol w:w="1708"/>
      </w:tblGrid>
      <w:tr w:rsidR="002E3716" w:rsidRPr="00EE6AF7" w:rsidTr="00207DB4">
        <w:trPr>
          <w:trHeight w:val="20"/>
          <w:tblHeader/>
          <w:jc w:val="center"/>
        </w:trPr>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 </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Pensiones y jubilaciones</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Salud</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Riesgos de trabajo</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Invalidez y vida</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Otras prestaciones sociales</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Total</w:t>
            </w:r>
          </w:p>
        </w:tc>
      </w:tr>
      <w:tr w:rsidR="002E3716" w:rsidRPr="00EE6AF7" w:rsidTr="00207DB4">
        <w:trPr>
          <w:trHeight w:val="20"/>
          <w:jc w:val="center"/>
        </w:trPr>
        <w:tc>
          <w:tcPr>
            <w:tcW w:w="0" w:type="auto"/>
            <w:tcBorders>
              <w:top w:val="nil"/>
              <w:left w:val="nil"/>
              <w:bottom w:val="nil"/>
              <w:right w:val="nil"/>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Tipo de Sistema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Prestación laboral o Fondo general para trabajadores del estado o municipio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Beneficio definido, Contribución definida o Mixto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center"/>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Población afiliada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Activos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31,182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máxima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92.00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mínima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18.00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promedio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43.55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Pensionados y Jubilados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5,409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316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822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6,547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máxima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90.00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90.00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90.00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90.00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mínima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47.00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18.00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28.00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18.00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promedio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64.23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54.85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65.65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63.96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Beneficiarios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Promedio de años de servicio (trabajadores activos)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12.63 </w:t>
            </w:r>
          </w:p>
        </w:tc>
      </w:tr>
      <w:tr w:rsidR="002E3716" w:rsidRPr="00EE6AF7" w:rsidTr="00207DB4">
        <w:trPr>
          <w:trHeight w:val="20"/>
          <w:jc w:val="center"/>
        </w:trPr>
        <w:tc>
          <w:tcPr>
            <w:tcW w:w="0" w:type="auto"/>
            <w:tcBorders>
              <w:top w:val="nil"/>
              <w:left w:val="nil"/>
              <w:bottom w:val="nil"/>
              <w:right w:val="nil"/>
            </w:tcBorders>
            <w:shd w:val="clear" w:color="auto" w:fill="auto"/>
            <w:vAlign w:val="center"/>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Aportación individual al plan de pensión como % del salario *</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6.00%</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Aportación del ente público al plan de pensión como % del salario *</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7.75%</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Crecimiento esperado de los pensionados y jubilados (como %)</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10.75%</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Crecimiento esperado de los activos (como %)</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1.08%</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de Jubilación o Pensión</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58.63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Esperanza de vida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22.88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sz w:val="18"/>
                <w:szCs w:val="18"/>
                <w:lang w:eastAsia="es-MX"/>
              </w:rPr>
            </w:pPr>
            <w:r w:rsidRPr="00F8270D">
              <w:rPr>
                <w:rFonts w:eastAsia="Times New Roman" w:cs="Arial"/>
                <w:b/>
                <w:bCs/>
                <w:sz w:val="18"/>
                <w:szCs w:val="18"/>
                <w:lang w:eastAsia="es-MX"/>
              </w:rPr>
              <w:t>Ingresos del Fondo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Ingresos Anuales al Fondo de Pensiones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636,025,733.90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sz w:val="18"/>
                <w:szCs w:val="18"/>
                <w:lang w:eastAsia="es-MX"/>
              </w:rPr>
            </w:pPr>
            <w:r w:rsidRPr="00F8270D">
              <w:rPr>
                <w:rFonts w:eastAsia="Times New Roman" w:cs="Arial"/>
                <w:b/>
                <w:bCs/>
                <w:sz w:val="18"/>
                <w:szCs w:val="18"/>
                <w:lang w:eastAsia="es-MX"/>
              </w:rPr>
              <w:t>Nómina anual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Activos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4,578,844,473.12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Pensionados y Jubilados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742,574,239.20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28,885,071.60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64,388,152.80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835,847,463.60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Beneficiarios de Pensionados y Jubilados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sz w:val="18"/>
                <w:szCs w:val="18"/>
                <w:lang w:eastAsia="es-MX"/>
              </w:rPr>
            </w:pPr>
            <w:r w:rsidRPr="00F8270D">
              <w:rPr>
                <w:rFonts w:eastAsia="Times New Roman" w:cs="Arial"/>
                <w:b/>
                <w:bCs/>
                <w:sz w:val="18"/>
                <w:szCs w:val="18"/>
                <w:lang w:eastAsia="es-MX"/>
              </w:rPr>
              <w:t>Monto mensual por pensión</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Máximo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29,572.80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24,581.70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27,483.30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29,572.80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Mínimo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1,255.80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861.60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510.30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510.30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Promedio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11,440.41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7,617.37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6,527.59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10,639.06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Monto de la reserva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128,753,065.64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Valor presente de las obligaciones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a</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b</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c</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d</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e</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Pensiones y Jubilaciones en curso de pago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13,553,004,858.08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1,217,374,653.33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580,352,106.09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1,063,832,028.79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127,907,054.79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16,542,470,701.08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Generación actual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57,808,487,805.97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7,559,041,203.68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1,558,754,541.75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2,606,826,614.94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6,737,779,882.12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76,270,890,048.47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71,585,722,681.17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17,164,266,332.30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6,008,714,971.34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4,356,427,675.98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18,164,143,797.22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117,279,275,458.01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Valor presente de las contribuciones asociadas a los sueldos futuros de cotización 2.00%</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Generación actual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7,846,335,269.81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25,849,389,576.33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Valor presente de aportaciones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Generación actual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11,908,598,972.83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23,942,228,611.49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Otros Ingresos GA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5,786,390,994.37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Otros Ingresos NG</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9,399,778,027.76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Déficit/superávit actuarial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Generación actual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right"/>
              <w:rPr>
                <w:rFonts w:eastAsia="Times New Roman" w:cs="Arial"/>
                <w:color w:val="000000"/>
                <w:sz w:val="18"/>
                <w:szCs w:val="18"/>
                <w:lang w:eastAsia="es-MX"/>
              </w:rPr>
            </w:pPr>
            <w:r w:rsidRPr="00EE6AF7">
              <w:rPr>
                <w:rFonts w:eastAsia="Times New Roman" w:cs="Arial"/>
                <w:color w:val="000000"/>
                <w:sz w:val="18"/>
                <w:szCs w:val="18"/>
                <w:lang w:eastAsia="es-MX"/>
              </w:rPr>
              <w:t>(67,143,282,446.90)</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right"/>
              <w:rPr>
                <w:rFonts w:eastAsia="Times New Roman" w:cs="Arial"/>
                <w:color w:val="000000"/>
                <w:sz w:val="18"/>
                <w:szCs w:val="18"/>
                <w:lang w:eastAsia="es-MX"/>
              </w:rPr>
            </w:pPr>
            <w:r w:rsidRPr="00EE6AF7">
              <w:rPr>
                <w:rFonts w:eastAsia="Times New Roman" w:cs="Arial"/>
                <w:color w:val="000000"/>
                <w:sz w:val="18"/>
                <w:szCs w:val="18"/>
                <w:lang w:eastAsia="es-MX"/>
              </w:rPr>
              <w:t>(58,087,879,242.44)</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Periodo de suficiencia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Año de descapitalización</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2021</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Tasa de rendimiento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2.00%</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center"/>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Estudio actuarial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Año de elaboración del estudio actuarial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2021</w:t>
            </w:r>
          </w:p>
        </w:tc>
      </w:tr>
      <w:tr w:rsidR="002E3716" w:rsidRPr="00EE6AF7" w:rsidTr="00207DB4">
        <w:trPr>
          <w:trHeight w:val="20"/>
          <w:jc w:val="center"/>
        </w:trPr>
        <w:tc>
          <w:tcPr>
            <w:tcW w:w="0" w:type="auto"/>
            <w:tcBorders>
              <w:top w:val="nil"/>
              <w:left w:val="nil"/>
              <w:bottom w:val="single" w:sz="4" w:space="0" w:color="auto"/>
              <w:right w:val="nil"/>
            </w:tcBorders>
            <w:shd w:val="clear" w:color="auto" w:fill="auto"/>
            <w:vAlign w:val="center"/>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Empresa que elaboró el estudio actuarial</w:t>
            </w:r>
          </w:p>
        </w:tc>
        <w:tc>
          <w:tcPr>
            <w:tcW w:w="0" w:type="auto"/>
            <w:tcBorders>
              <w:top w:val="nil"/>
              <w:left w:val="single" w:sz="4" w:space="0" w:color="969696"/>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Valuaciones Actuariales del Norte, S. C.</w:t>
            </w:r>
          </w:p>
        </w:tc>
      </w:tr>
    </w:tbl>
    <w:p w:rsidR="00FA49E9" w:rsidRDefault="009C1791">
      <w:r>
        <w:br w:type="page"/>
      </w:r>
    </w:p>
    <w:p w:rsidR="00FA49E9" w:rsidRDefault="009C1791">
      <w:pPr>
        <w:pStyle w:val="Ttulo2"/>
      </w:pPr>
      <w:bookmarkStart w:id="77" w:name="anexo-17.-cuentas-bancarias-productivas"/>
      <w:bookmarkEnd w:id="66"/>
      <w:bookmarkEnd w:id="76"/>
      <w:r>
        <w:t>ANEXO 17. CUENTAS BANCARIAS PRODUCTIVAS</w:t>
      </w:r>
    </w:p>
    <w:p w:rsidR="00FA49E9" w:rsidRDefault="00FA49E9"/>
    <w:tbl>
      <w:tblPr>
        <w:tblW w:w="5000" w:type="pct"/>
        <w:tblCellMar>
          <w:left w:w="70" w:type="dxa"/>
          <w:right w:w="70" w:type="dxa"/>
        </w:tblCellMar>
        <w:tblLook w:val="04A0" w:firstRow="1" w:lastRow="0" w:firstColumn="1" w:lastColumn="0" w:noHBand="0" w:noVBand="1"/>
      </w:tblPr>
      <w:tblGrid>
        <w:gridCol w:w="4870"/>
        <w:gridCol w:w="3089"/>
        <w:gridCol w:w="3201"/>
      </w:tblGrid>
      <w:tr w:rsidR="004044D1" w:rsidRPr="00EE6AF7" w:rsidTr="00D769E9">
        <w:trPr>
          <w:trHeight w:val="240"/>
          <w:tblHeader/>
        </w:trPr>
        <w:tc>
          <w:tcPr>
            <w:tcW w:w="2182"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rsidR="004044D1" w:rsidRPr="004044D1" w:rsidRDefault="004044D1" w:rsidP="004044D1">
            <w:pPr>
              <w:jc w:val="center"/>
              <w:rPr>
                <w:rFonts w:eastAsia="Times New Roman" w:cs="Arial"/>
                <w:b/>
                <w:bCs/>
                <w:color w:val="FFFFFF"/>
                <w:lang w:eastAsia="es-MX"/>
              </w:rPr>
            </w:pPr>
            <w:r w:rsidRPr="004044D1">
              <w:rPr>
                <w:rFonts w:eastAsia="Times New Roman" w:cs="Arial"/>
                <w:b/>
                <w:bCs/>
                <w:color w:val="FFFFFF"/>
                <w:lang w:eastAsia="es-MX"/>
              </w:rPr>
              <w:t>FONDO, PROGRAMA O CONVENIO</w:t>
            </w:r>
          </w:p>
        </w:tc>
        <w:tc>
          <w:tcPr>
            <w:tcW w:w="2818" w:type="pct"/>
            <w:gridSpan w:val="2"/>
            <w:tcBorders>
              <w:top w:val="single" w:sz="4" w:space="0" w:color="FFFFFF"/>
              <w:left w:val="nil"/>
              <w:bottom w:val="single" w:sz="4" w:space="0" w:color="FFFFFF"/>
              <w:right w:val="single" w:sz="4" w:space="0" w:color="FFFFFF"/>
            </w:tcBorders>
            <w:shd w:val="clear" w:color="000000" w:fill="000000"/>
            <w:noWrap/>
            <w:vAlign w:val="center"/>
            <w:hideMark/>
          </w:tcPr>
          <w:p w:rsidR="004044D1" w:rsidRPr="004044D1" w:rsidRDefault="004044D1" w:rsidP="004044D1">
            <w:pPr>
              <w:jc w:val="center"/>
              <w:rPr>
                <w:rFonts w:eastAsia="Times New Roman" w:cs="Arial"/>
                <w:b/>
                <w:bCs/>
                <w:color w:val="FFFFFF"/>
                <w:lang w:eastAsia="es-MX"/>
              </w:rPr>
            </w:pPr>
            <w:r w:rsidRPr="004044D1">
              <w:rPr>
                <w:rFonts w:eastAsia="Times New Roman" w:cs="Arial"/>
                <w:b/>
                <w:bCs/>
                <w:color w:val="FFFFFF"/>
                <w:lang w:eastAsia="es-MX"/>
              </w:rPr>
              <w:t>DATOS DE LA CUENTA BANCARIA</w:t>
            </w:r>
          </w:p>
        </w:tc>
      </w:tr>
      <w:tr w:rsidR="00F71AD8" w:rsidRPr="00EE6AF7" w:rsidTr="00D769E9">
        <w:trPr>
          <w:trHeight w:val="240"/>
          <w:tblHeader/>
        </w:trPr>
        <w:tc>
          <w:tcPr>
            <w:tcW w:w="2182" w:type="pct"/>
            <w:vMerge/>
            <w:tcBorders>
              <w:top w:val="single" w:sz="4" w:space="0" w:color="FFFFFF"/>
              <w:left w:val="single" w:sz="4" w:space="0" w:color="FFFFFF"/>
              <w:bottom w:val="single" w:sz="4" w:space="0" w:color="FFFFFF"/>
              <w:right w:val="single" w:sz="4" w:space="0" w:color="FFFFFF"/>
            </w:tcBorders>
            <w:vAlign w:val="center"/>
            <w:hideMark/>
          </w:tcPr>
          <w:p w:rsidR="004044D1" w:rsidRPr="004044D1" w:rsidRDefault="004044D1" w:rsidP="004044D1">
            <w:pPr>
              <w:jc w:val="left"/>
              <w:rPr>
                <w:rFonts w:eastAsia="Times New Roman" w:cs="Arial"/>
                <w:b/>
                <w:bCs/>
                <w:color w:val="FFFFFF"/>
                <w:lang w:eastAsia="es-MX"/>
              </w:rPr>
            </w:pPr>
          </w:p>
        </w:tc>
        <w:tc>
          <w:tcPr>
            <w:tcW w:w="1384" w:type="pct"/>
            <w:tcBorders>
              <w:top w:val="nil"/>
              <w:left w:val="nil"/>
              <w:bottom w:val="single" w:sz="4" w:space="0" w:color="FFFFFF"/>
              <w:right w:val="single" w:sz="4" w:space="0" w:color="FFFFFF"/>
            </w:tcBorders>
            <w:shd w:val="clear" w:color="000000" w:fill="000000"/>
            <w:noWrap/>
            <w:vAlign w:val="center"/>
            <w:hideMark/>
          </w:tcPr>
          <w:p w:rsidR="004044D1" w:rsidRPr="004044D1" w:rsidRDefault="004044D1" w:rsidP="004044D1">
            <w:pPr>
              <w:jc w:val="center"/>
              <w:rPr>
                <w:rFonts w:eastAsia="Times New Roman" w:cs="Arial"/>
                <w:b/>
                <w:bCs/>
                <w:color w:val="FFFFFF"/>
                <w:lang w:eastAsia="es-MX"/>
              </w:rPr>
            </w:pPr>
            <w:r w:rsidRPr="004044D1">
              <w:rPr>
                <w:rFonts w:eastAsia="Times New Roman" w:cs="Arial"/>
                <w:b/>
                <w:bCs/>
                <w:color w:val="FFFFFF"/>
                <w:lang w:eastAsia="es-MX"/>
              </w:rPr>
              <w:t>INSTITUCIÓN BANCARIA</w:t>
            </w:r>
          </w:p>
        </w:tc>
        <w:tc>
          <w:tcPr>
            <w:tcW w:w="1434" w:type="pct"/>
            <w:tcBorders>
              <w:top w:val="nil"/>
              <w:left w:val="nil"/>
              <w:bottom w:val="single" w:sz="4" w:space="0" w:color="FFFFFF"/>
              <w:right w:val="single" w:sz="4" w:space="0" w:color="FFFFFF"/>
            </w:tcBorders>
            <w:shd w:val="clear" w:color="000000" w:fill="000000"/>
            <w:noWrap/>
            <w:vAlign w:val="center"/>
            <w:hideMark/>
          </w:tcPr>
          <w:p w:rsidR="004044D1" w:rsidRPr="004044D1" w:rsidRDefault="004044D1" w:rsidP="004044D1">
            <w:pPr>
              <w:jc w:val="center"/>
              <w:rPr>
                <w:rFonts w:eastAsia="Times New Roman" w:cs="Arial"/>
                <w:b/>
                <w:bCs/>
                <w:color w:val="FFFFFF"/>
                <w:lang w:eastAsia="es-MX"/>
              </w:rPr>
            </w:pPr>
            <w:r w:rsidRPr="004044D1">
              <w:rPr>
                <w:rFonts w:eastAsia="Times New Roman" w:cs="Arial"/>
                <w:b/>
                <w:bCs/>
                <w:color w:val="FFFFFF"/>
                <w:lang w:eastAsia="es-MX"/>
              </w:rPr>
              <w:t>NÚMERO DE CUENTA</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 xml:space="preserve">FONDO DE APORTACIONES PARA LA NOMINA EDUCATIVA Y GASTO OPERATIVO (FONE) OTROS DE GASTO CORRIENTE </w:t>
            </w:r>
          </w:p>
        </w:tc>
        <w:tc>
          <w:tcPr>
            <w:tcW w:w="1384" w:type="pct"/>
            <w:tcBorders>
              <w:top w:val="nil"/>
              <w:left w:val="nil"/>
              <w:bottom w:val="single" w:sz="4" w:space="0" w:color="auto"/>
              <w:right w:val="single" w:sz="4" w:space="0" w:color="auto"/>
            </w:tcBorders>
            <w:shd w:val="clear" w:color="000000" w:fill="FFFFFF"/>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BBVA BANCOMER</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0117866453</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 xml:space="preserve">FONDO DE APORTACIONES PARA LA NOMINA EDUCATIVA Y GASTO OPERATIVO (FONE) GASTO DE OPERACIÓN </w:t>
            </w:r>
          </w:p>
        </w:tc>
        <w:tc>
          <w:tcPr>
            <w:tcW w:w="1384" w:type="pct"/>
            <w:tcBorders>
              <w:top w:val="nil"/>
              <w:left w:val="nil"/>
              <w:bottom w:val="single" w:sz="4" w:space="0" w:color="auto"/>
              <w:right w:val="single" w:sz="4" w:space="0" w:color="auto"/>
            </w:tcBorders>
            <w:shd w:val="clear" w:color="000000" w:fill="FFFFFF"/>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BBVA BANCOMER</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0117866488</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 xml:space="preserve">FONDO DE APORTACIONES PARA LA NOMINA EDUCATIVA Y GASTO OPERATIVO  (FONE) FONDO DE COMPENSACION </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BBVA BANCOMER</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0117866534</w:t>
            </w:r>
          </w:p>
        </w:tc>
      </w:tr>
      <w:tr w:rsidR="004044D1" w:rsidRPr="00EE6AF7" w:rsidTr="004044D1">
        <w:trPr>
          <w:trHeight w:val="456"/>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LOS SERVICIOS DE SALUD  (FASSA)</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1132563939</w:t>
            </w:r>
          </w:p>
        </w:tc>
      </w:tr>
      <w:tr w:rsidR="004044D1" w:rsidRPr="00EE6AF7" w:rsidTr="004044D1">
        <w:trPr>
          <w:trHeight w:val="456"/>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INFRAESTRUCTURA SOCIAL ENTIDADES (FISE)</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HSBC</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4066554130</w:t>
            </w:r>
          </w:p>
        </w:tc>
      </w:tr>
      <w:tr w:rsidR="004044D1" w:rsidRPr="00EE6AF7" w:rsidTr="004044D1">
        <w:trPr>
          <w:trHeight w:val="912"/>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INFRAESTRUCTURA SOCIAL MUNICIPAL Y DE LAS DEMARCACIONES TERRITORIALES DEL DISTRITO FEDERAL (FISMDF)</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1132563948</w:t>
            </w:r>
          </w:p>
        </w:tc>
      </w:tr>
      <w:tr w:rsidR="004044D1" w:rsidRPr="00EE6AF7" w:rsidTr="004044D1">
        <w:trPr>
          <w:trHeight w:val="912"/>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EL FORTALECIMIENTO DE LOS MUNICIPIOS Y DE LAS DEMARCACIONES TERRITORIALES DEL DISTRITO FEDERAL  (FORTAMUN)</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1147330742</w:t>
            </w:r>
          </w:p>
        </w:tc>
      </w:tr>
      <w:tr w:rsidR="004044D1" w:rsidRPr="00EE6AF7" w:rsidTr="004044D1">
        <w:trPr>
          <w:trHeight w:val="456"/>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MÚLTIPLES ASISTENCIA SOCIAL (FAM-AS)</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D769E9" w:rsidP="004044D1">
            <w:pPr>
              <w:jc w:val="center"/>
              <w:rPr>
                <w:rFonts w:eastAsia="Times New Roman" w:cs="Arial"/>
                <w:lang w:eastAsia="es-MX"/>
              </w:rPr>
            </w:pPr>
            <w:r>
              <w:rPr>
                <w:rFonts w:eastAsia="Times New Roman" w:cs="Arial"/>
                <w:lang w:eastAsia="es-MX"/>
              </w:rPr>
              <w:t>CITI</w:t>
            </w:r>
            <w:r w:rsidR="004044D1" w:rsidRPr="004044D1">
              <w:rPr>
                <w:rFonts w:eastAsia="Times New Roman" w:cs="Arial"/>
                <w:lang w:eastAsia="es-MX"/>
              </w:rPr>
              <w:t>BANAMEX</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70165099263</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MÚLTIPLES INFRAESTRUCTURA EDUCATIVA BÁSICA   (FAM - IEB)</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241FF" w:rsidP="004044D1">
            <w:pPr>
              <w:jc w:val="center"/>
              <w:rPr>
                <w:rFonts w:eastAsia="Times New Roman" w:cs="Arial"/>
                <w:lang w:eastAsia="es-MX"/>
              </w:rPr>
            </w:pPr>
            <w:r>
              <w:rPr>
                <w:rFonts w:eastAsia="Times New Roman" w:cs="Arial"/>
                <w:lang w:eastAsia="es-MX"/>
              </w:rPr>
              <w:t>CITI</w:t>
            </w:r>
            <w:r w:rsidR="004044D1" w:rsidRPr="004044D1">
              <w:rPr>
                <w:rFonts w:eastAsia="Times New Roman" w:cs="Arial"/>
                <w:lang w:eastAsia="es-MX"/>
              </w:rPr>
              <w:t>BANAMEX</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70165099271</w:t>
            </w:r>
          </w:p>
        </w:tc>
      </w:tr>
      <w:tr w:rsidR="004044D1" w:rsidRPr="00EE6AF7" w:rsidTr="004044D1">
        <w:trPr>
          <w:trHeight w:val="300"/>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MÚLTIPLES INFRAESTRUCTURA EDUCATIVA MEDIA SUPERIOR (FAM-IEMS)</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1147330751</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MÚLTIPLES INFRAESTRUCTURA EDUCATIVA SUPERIOR (FAM-IES)</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1147330760</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EDUCACIÓN TECNOLÓGICA Y DE ADULTOS EDUCACIÓN TECNOLÓGICA (FAETA-CONALEP)</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HSBC</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4066554114</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EDUCACIÓN TECNOLÓGICA Y DE ADULTOS EDUCACIÓN DE ADULTOS (FAETA-INEA)</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HSBC</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4066554122</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SEGURIDAD PÚBLICA DE LOS ESTADOS Y DEL DISTRITO FEDERAL (FASP)</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BANCO AZTECA</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01720164313200</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EL FORTALECIMIENTO DE LAS ENTIDADES FEDERATIVAS  (FAFEF)</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241FF" w:rsidP="004044D1">
            <w:pPr>
              <w:jc w:val="center"/>
              <w:rPr>
                <w:rFonts w:eastAsia="Times New Roman" w:cs="Arial"/>
                <w:lang w:eastAsia="es-MX"/>
              </w:rPr>
            </w:pPr>
            <w:r>
              <w:rPr>
                <w:rFonts w:eastAsia="Times New Roman" w:cs="Arial"/>
                <w:lang w:eastAsia="es-MX"/>
              </w:rPr>
              <w:t>CITI</w:t>
            </w:r>
            <w:r w:rsidR="004044D1" w:rsidRPr="004044D1">
              <w:rPr>
                <w:rFonts w:eastAsia="Times New Roman" w:cs="Arial"/>
                <w:lang w:eastAsia="es-MX"/>
              </w:rPr>
              <w:t>BANAMEX</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70165204407</w:t>
            </w:r>
          </w:p>
        </w:tc>
      </w:tr>
      <w:tr w:rsidR="004044D1" w:rsidRPr="00EE6AF7" w:rsidTr="004044D1">
        <w:trPr>
          <w:trHeight w:val="228"/>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PARTICIPACIONES FEDERALES 2022</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1147330779</w:t>
            </w:r>
          </w:p>
        </w:tc>
      </w:tr>
    </w:tbl>
    <w:p w:rsidR="00FA49E9" w:rsidRDefault="009C1791">
      <w:r>
        <w:br w:type="page"/>
      </w:r>
    </w:p>
    <w:p w:rsidR="00FA49E9" w:rsidRDefault="009C1791">
      <w:pPr>
        <w:pStyle w:val="Ttulo2"/>
      </w:pPr>
      <w:bookmarkStart w:id="78" w:name="anexo-18.-anexos-transversales"/>
      <w:bookmarkEnd w:id="77"/>
      <w:r>
        <w:t>ANEXO 18. ANEXOS TRANSVERSALES</w:t>
      </w:r>
    </w:p>
    <w:p w:rsidR="00FA49E9" w:rsidRDefault="00FA49E9"/>
    <w:p w:rsidR="00100FA0" w:rsidRDefault="009C1791">
      <w:pPr>
        <w:pStyle w:val="Ttulo3"/>
      </w:pPr>
      <w:bookmarkStart w:id="79" w:name="X497bcf019066cee8b2572f09079ff62a1e5be21"/>
      <w:r>
        <w:t>ANEXO 18.1. PRESUPUESTARIO TRANSVERSAL DE INVERSIÓN PARA LA INFANCIA TEMPRANA</w:t>
      </w:r>
    </w:p>
    <w:p w:rsidR="00CA5D51" w:rsidRPr="00371E93" w:rsidRDefault="00CA5D51" w:rsidP="00CA5D51">
      <w:pPr>
        <w:spacing w:before="100" w:beforeAutospacing="1" w:after="100" w:afterAutospacing="1"/>
        <w:rPr>
          <w:rFonts w:eastAsia="Arial" w:cs="Arial"/>
        </w:rPr>
      </w:pPr>
      <w:r w:rsidRPr="00371E93">
        <w:rPr>
          <w:rFonts w:cs="Arial"/>
          <w:b/>
        </w:rPr>
        <w:t>Metodología</w:t>
      </w:r>
      <w:r w:rsidRPr="00371E93">
        <w:rPr>
          <w:rFonts w:eastAsia="Arial" w:cs="Arial"/>
        </w:rPr>
        <w:t xml:space="preserve"> </w:t>
      </w:r>
    </w:p>
    <w:p w:rsidR="00CA5D51" w:rsidRPr="00371E93" w:rsidRDefault="00CA5D51" w:rsidP="00CA5D51">
      <w:pPr>
        <w:spacing w:before="100" w:beforeAutospacing="1" w:after="100" w:afterAutospacing="1"/>
        <w:rPr>
          <w:rFonts w:eastAsia="Arial" w:cs="Arial"/>
        </w:rPr>
      </w:pPr>
      <w:r w:rsidRPr="00371E93">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371E93">
        <w:rPr>
          <w:rFonts w:eastAsia="Arial" w:cs="Arial"/>
          <w:vertAlign w:val="superscript"/>
        </w:rPr>
        <w:footnoteReference w:id="2"/>
      </w:r>
      <w:r w:rsidRPr="00371E93">
        <w:rPr>
          <w:rFonts w:eastAsia="Arial" w:cs="Arial"/>
          <w:vertAlign w:val="superscript"/>
        </w:rPr>
        <w:t>.</w:t>
      </w:r>
    </w:p>
    <w:p w:rsidR="00CA5D51" w:rsidRPr="00371E93" w:rsidRDefault="00CA5D51" w:rsidP="00CA5D51">
      <w:pPr>
        <w:spacing w:before="100" w:beforeAutospacing="1" w:after="100" w:afterAutospacing="1"/>
        <w:rPr>
          <w:rFonts w:eastAsia="Arial" w:cs="Arial"/>
        </w:rPr>
      </w:pPr>
      <w:r w:rsidRPr="00371E93">
        <w:rPr>
          <w:rFonts w:eastAsia="Arial" w:cs="Arial"/>
        </w:rPr>
        <w:t>Los pasos a seguir para la integración de este Anexo se describen a continuación:</w:t>
      </w:r>
    </w:p>
    <w:p w:rsidR="00CA5D51" w:rsidRPr="00371E93" w:rsidRDefault="00CA5D51" w:rsidP="00CA5D51">
      <w:pPr>
        <w:widowControl w:val="0"/>
        <w:spacing w:before="100" w:beforeAutospacing="1" w:after="100" w:afterAutospacing="1"/>
        <w:ind w:left="-360" w:firstLine="360"/>
        <w:rPr>
          <w:rFonts w:cs="Arial"/>
          <w:b/>
          <w:i/>
        </w:rPr>
      </w:pPr>
      <w:r w:rsidRPr="00371E93">
        <w:rPr>
          <w:rFonts w:cs="Arial"/>
          <w:b/>
          <w:i/>
        </w:rPr>
        <w:t>1. Análisis de los programas, actividades institucionales, obras y acciones 2022</w:t>
      </w:r>
    </w:p>
    <w:p w:rsidR="00CA5D51" w:rsidRPr="00371E93" w:rsidRDefault="00CA5D51" w:rsidP="00CA5D51">
      <w:pPr>
        <w:spacing w:before="100" w:beforeAutospacing="1" w:after="100" w:afterAutospacing="1"/>
        <w:rPr>
          <w:rFonts w:cs="Arial"/>
        </w:rPr>
      </w:pPr>
      <w:r w:rsidRPr="00371E93">
        <w:rPr>
          <w:rFonts w:cs="Arial"/>
        </w:rPr>
        <w:t xml:space="preserve">Se identificaron por institución responsable los programas, actividades institucionales, obras y acciones del Anteproyecto de Presupuesto 2022 en los que se establece para un año fiscal los objetivos, los entregables con las metas y el presupuesto destinado a </w:t>
      </w:r>
      <w:r>
        <w:rPr>
          <w:rFonts w:cs="Arial"/>
        </w:rPr>
        <w:t xml:space="preserve">proporcionar </w:t>
      </w:r>
      <w:r w:rsidRPr="00371E93">
        <w:rPr>
          <w:rFonts w:cs="Arial"/>
        </w:rPr>
        <w:t>servicios</w:t>
      </w:r>
      <w:r>
        <w:rPr>
          <w:rFonts w:cs="Arial"/>
        </w:rPr>
        <w:t xml:space="preserve">, </w:t>
      </w:r>
      <w:r w:rsidRPr="00371E93">
        <w:rPr>
          <w:rFonts w:cs="Arial"/>
        </w:rPr>
        <w:t>ayudas,</w:t>
      </w:r>
      <w:r>
        <w:rPr>
          <w:rFonts w:cs="Arial"/>
        </w:rPr>
        <w:t xml:space="preserve"> subsidios,</w:t>
      </w:r>
      <w:r w:rsidRPr="00371E93">
        <w:rPr>
          <w:rFonts w:cs="Arial"/>
        </w:rPr>
        <w:t xml:space="preserve"> </w:t>
      </w:r>
      <w:r>
        <w:rPr>
          <w:rFonts w:cs="Arial"/>
        </w:rPr>
        <w:t xml:space="preserve">al desarrollo de </w:t>
      </w:r>
      <w:r w:rsidRPr="00371E93">
        <w:rPr>
          <w:rFonts w:cs="Arial"/>
        </w:rPr>
        <w:t>actividades de soporte o apoyo</w:t>
      </w:r>
      <w:r>
        <w:rPr>
          <w:rFonts w:cs="Arial"/>
        </w:rPr>
        <w:t xml:space="preserve"> así como a </w:t>
      </w:r>
      <w:r w:rsidRPr="00371E93">
        <w:rPr>
          <w:rFonts w:cs="Arial"/>
        </w:rPr>
        <w:t>los servicios personales que destinan parcial o totalmente su presupuesto a la Inversión en Infancia temprana.</w:t>
      </w:r>
    </w:p>
    <w:p w:rsidR="00CA5D51" w:rsidRPr="00371E93" w:rsidRDefault="00CA5D51" w:rsidP="00CA5D51">
      <w:pPr>
        <w:spacing w:before="100" w:beforeAutospacing="1" w:after="100" w:afterAutospacing="1"/>
        <w:rPr>
          <w:rFonts w:cs="Arial"/>
        </w:rPr>
      </w:pPr>
      <w:r w:rsidRPr="00371E93">
        <w:rPr>
          <w:rFonts w:cs="Arial"/>
        </w:rPr>
        <w:t>El análisis central consiste en la selección de aquellas intervenciones destinadas a financiar programas que benefician en forma directa a niños y niñas (población de 0 a 6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considera la inversión en infraestructura diseñada considerando las necesidades de los niños y niñas de 0 a 6 años.</w:t>
      </w:r>
    </w:p>
    <w:p w:rsidR="00CA5D51" w:rsidRPr="00371E93" w:rsidRDefault="00CA5D51" w:rsidP="00CA5D51">
      <w:pPr>
        <w:spacing w:before="100" w:beforeAutospacing="1" w:after="100" w:afterAutospacing="1"/>
        <w:rPr>
          <w:rFonts w:eastAsia="Arial" w:cs="Arial"/>
        </w:rPr>
      </w:pPr>
      <w:r w:rsidRPr="00371E93">
        <w:rPr>
          <w:rFonts w:eastAsia="Arial" w:cs="Arial"/>
        </w:rPr>
        <w:t xml:space="preserve">Este ejercicio no se considera las </w:t>
      </w:r>
      <w:r w:rsidRPr="00371E93">
        <w:rPr>
          <w:rFonts w:cs="Arial"/>
        </w:rPr>
        <w:t>intervenciones</w:t>
      </w:r>
      <w:r w:rsidRPr="00371E93">
        <w:rPr>
          <w:rFonts w:eastAsia="Arial" w:cs="Arial"/>
        </w:rPr>
        <w:t xml:space="preserve"> con gastos generales de las oficinas tales como suministro de servicios básicos, arrendamientos entre otros, ya que no tienen impacto en la atención a los niños, niñas de 0 a 6 años de edad.  </w:t>
      </w:r>
    </w:p>
    <w:p w:rsidR="00CA5D51" w:rsidRPr="00371E93" w:rsidRDefault="00CA5D51" w:rsidP="00CA5D51">
      <w:pPr>
        <w:spacing w:before="100" w:beforeAutospacing="1" w:after="100" w:afterAutospacing="1"/>
        <w:rPr>
          <w:rFonts w:cs="Arial"/>
        </w:rPr>
      </w:pPr>
      <w:r w:rsidRPr="00371E93">
        <w:rPr>
          <w:rFonts w:eastAsia="Arial" w:cs="Arial"/>
        </w:rPr>
        <w:t xml:space="preserve">Una vez identificadas las </w:t>
      </w:r>
      <w:r w:rsidRPr="00371E93">
        <w:rPr>
          <w:rFonts w:cs="Arial"/>
        </w:rPr>
        <w:t>intervenciones</w:t>
      </w:r>
      <w:r w:rsidRPr="00371E93">
        <w:rPr>
          <w:rFonts w:eastAsia="Arial" w:cs="Arial"/>
        </w:rPr>
        <w:t>, deben clasificarse considerando su población objetivo de acuerdo con las categorías siguientes</w:t>
      </w:r>
      <w:r w:rsidRPr="00371E93">
        <w:rPr>
          <w:rFonts w:cs="Arial"/>
        </w:rPr>
        <w:t>:</w:t>
      </w:r>
    </w:p>
    <w:p w:rsidR="00CA5D51" w:rsidRPr="00371E93" w:rsidRDefault="00CA5D51" w:rsidP="00CA5D51">
      <w:pPr>
        <w:pStyle w:val="Prrafodelista"/>
        <w:numPr>
          <w:ilvl w:val="0"/>
          <w:numId w:val="13"/>
        </w:numPr>
        <w:spacing w:before="100" w:beforeAutospacing="1" w:after="100" w:afterAutospacing="1" w:line="240" w:lineRule="auto"/>
        <w:rPr>
          <w:rFonts w:ascii="Arial" w:eastAsia="Arial" w:hAnsi="Arial" w:cs="Arial"/>
          <w:szCs w:val="24"/>
        </w:rPr>
      </w:pPr>
      <w:r w:rsidRPr="00371E93">
        <w:rPr>
          <w:rFonts w:ascii="Arial" w:eastAsia="Arial" w:hAnsi="Arial" w:cs="Arial"/>
          <w:szCs w:val="24"/>
        </w:rPr>
        <w:t>Categoría 1. Población de 0 a 6 años.</w:t>
      </w:r>
    </w:p>
    <w:p w:rsidR="00CA5D51" w:rsidRPr="00180D8C" w:rsidRDefault="00CA5D51" w:rsidP="00CA5D51">
      <w:pPr>
        <w:pStyle w:val="Prrafodelista"/>
        <w:numPr>
          <w:ilvl w:val="0"/>
          <w:numId w:val="13"/>
        </w:numPr>
        <w:spacing w:before="100" w:beforeAutospacing="1" w:after="100" w:afterAutospacing="1" w:line="240" w:lineRule="auto"/>
        <w:rPr>
          <w:rFonts w:ascii="Arial" w:eastAsia="Arial" w:hAnsi="Arial" w:cs="Arial"/>
          <w:szCs w:val="24"/>
        </w:rPr>
      </w:pPr>
      <w:r w:rsidRPr="00371E93">
        <w:rPr>
          <w:rFonts w:ascii="Arial" w:eastAsia="Arial" w:hAnsi="Arial" w:cs="Arial"/>
          <w:szCs w:val="24"/>
        </w:rPr>
        <w:t>Categ</w:t>
      </w:r>
      <w:r>
        <w:rPr>
          <w:rFonts w:ascii="Arial" w:eastAsia="Arial" w:hAnsi="Arial" w:cs="Arial"/>
          <w:szCs w:val="24"/>
        </w:rPr>
        <w:t xml:space="preserve">oría 2. Población de </w:t>
      </w:r>
      <w:r w:rsidRPr="00180D8C">
        <w:rPr>
          <w:rFonts w:ascii="Arial" w:eastAsia="Arial" w:hAnsi="Arial" w:cs="Arial"/>
          <w:szCs w:val="24"/>
        </w:rPr>
        <w:t>0 a menores de 18 años.</w:t>
      </w:r>
    </w:p>
    <w:p w:rsidR="00CA5D51" w:rsidRPr="00180D8C" w:rsidRDefault="00CA5D51" w:rsidP="00CA5D51">
      <w:pPr>
        <w:pStyle w:val="Prrafodelista"/>
        <w:numPr>
          <w:ilvl w:val="0"/>
          <w:numId w:val="13"/>
        </w:numPr>
        <w:spacing w:before="100" w:beforeAutospacing="1" w:after="100" w:afterAutospacing="1" w:line="240" w:lineRule="auto"/>
        <w:rPr>
          <w:rFonts w:ascii="Arial" w:eastAsia="Arial" w:hAnsi="Arial" w:cs="Arial"/>
          <w:szCs w:val="24"/>
        </w:rPr>
      </w:pPr>
      <w:r w:rsidRPr="00180D8C">
        <w:rPr>
          <w:rFonts w:ascii="Arial" w:eastAsia="Arial" w:hAnsi="Arial" w:cs="Arial"/>
          <w:szCs w:val="24"/>
        </w:rPr>
        <w:t>Categoría 3. Población de 7 a menores de 18 años.</w:t>
      </w:r>
    </w:p>
    <w:p w:rsidR="00CA5D51" w:rsidRPr="00371E93" w:rsidRDefault="00CA5D51" w:rsidP="00CA5D51">
      <w:pPr>
        <w:pStyle w:val="Prrafodelista"/>
        <w:numPr>
          <w:ilvl w:val="0"/>
          <w:numId w:val="13"/>
        </w:numPr>
        <w:spacing w:before="100" w:beforeAutospacing="1" w:after="100" w:afterAutospacing="1" w:line="240" w:lineRule="auto"/>
        <w:rPr>
          <w:rFonts w:ascii="Arial" w:eastAsia="Arial" w:hAnsi="Arial" w:cs="Arial"/>
          <w:szCs w:val="24"/>
        </w:rPr>
      </w:pPr>
      <w:r w:rsidRPr="00371E93">
        <w:rPr>
          <w:rFonts w:ascii="Arial" w:eastAsia="Arial" w:hAnsi="Arial" w:cs="Arial"/>
          <w:szCs w:val="24"/>
        </w:rPr>
        <w:t>Categoría 4. Población de 0 y más años</w:t>
      </w:r>
      <w:r w:rsidRPr="00371E93">
        <w:rPr>
          <w:rFonts w:ascii="Arial" w:hAnsi="Arial" w:cs="Arial"/>
          <w:szCs w:val="24"/>
          <w:vertAlign w:val="superscript"/>
        </w:rPr>
        <w:footnoteReference w:id="3"/>
      </w:r>
      <w:r w:rsidRPr="00371E93">
        <w:rPr>
          <w:rFonts w:ascii="Arial" w:eastAsia="Arial" w:hAnsi="Arial" w:cs="Arial"/>
          <w:szCs w:val="24"/>
        </w:rPr>
        <w:t xml:space="preserve">. </w:t>
      </w:r>
    </w:p>
    <w:p w:rsidR="00CA5D51" w:rsidRPr="00371E93" w:rsidRDefault="00CA5D51" w:rsidP="00CA5D51">
      <w:pPr>
        <w:pStyle w:val="Prrafodelista"/>
        <w:spacing w:before="100" w:beforeAutospacing="1" w:after="100" w:afterAutospacing="1" w:line="240" w:lineRule="auto"/>
        <w:ind w:left="0"/>
        <w:rPr>
          <w:rFonts w:ascii="Arial" w:hAnsi="Arial" w:cs="Arial"/>
          <w:b/>
          <w:bCs/>
          <w:szCs w:val="24"/>
        </w:rPr>
      </w:pPr>
    </w:p>
    <w:p w:rsidR="00CA5D51" w:rsidRPr="00371E93" w:rsidRDefault="00CA5D51" w:rsidP="00CA5D51">
      <w:pPr>
        <w:pStyle w:val="Prrafodelista"/>
        <w:spacing w:before="100" w:beforeAutospacing="1" w:after="100" w:afterAutospacing="1" w:line="240" w:lineRule="auto"/>
        <w:ind w:left="0"/>
        <w:rPr>
          <w:rFonts w:ascii="Arial" w:eastAsia="Arial" w:hAnsi="Arial" w:cs="Arial"/>
          <w:szCs w:val="24"/>
          <w:lang w:val="es-ES_tradnl" w:eastAsia="es-ES"/>
        </w:rPr>
      </w:pPr>
      <w:r w:rsidRPr="00371E93">
        <w:rPr>
          <w:rFonts w:ascii="Arial" w:eastAsia="Arial" w:hAnsi="Arial" w:cs="Arial"/>
          <w:szCs w:val="24"/>
          <w:lang w:val="es-ES_tradnl" w:eastAsia="es-ES"/>
        </w:rPr>
        <w:t>La importancia de la categoría 1 radica en que ahí se encuentran las intervenciones directas para la infancia temprana.</w:t>
      </w:r>
    </w:p>
    <w:p w:rsidR="00CA5D51" w:rsidRPr="00371E93" w:rsidRDefault="00CA5D51" w:rsidP="00CA5D51">
      <w:pPr>
        <w:spacing w:before="100" w:beforeAutospacing="1" w:after="100" w:afterAutospacing="1"/>
        <w:rPr>
          <w:rFonts w:eastAsia="Arial" w:cs="Arial"/>
        </w:rPr>
      </w:pPr>
      <w:r w:rsidRPr="00371E93">
        <w:rPr>
          <w:rFonts w:eastAsia="Arial" w:cs="Arial"/>
        </w:rPr>
        <w:t xml:space="preserve">Las categorías 2 y 4, se consideran como inversión que debe ser ponderada, ya que atiende a grupos de población más amplios que los considerados para el rubro de infancia temprana. </w:t>
      </w:r>
    </w:p>
    <w:p w:rsidR="00CA5D51" w:rsidRPr="00C552C7" w:rsidRDefault="00CA5D51" w:rsidP="00CA5D51">
      <w:pPr>
        <w:spacing w:before="100" w:beforeAutospacing="1" w:after="100" w:afterAutospacing="1"/>
        <w:rPr>
          <w:rFonts w:eastAsia="Arial" w:cs="Arial"/>
        </w:rPr>
      </w:pPr>
      <w:r w:rsidRPr="00371E93">
        <w:rPr>
          <w:rFonts w:eastAsia="Arial" w:cs="Arial"/>
        </w:rPr>
        <w:t xml:space="preserve">Las </w:t>
      </w:r>
      <w:r w:rsidRPr="00371E93">
        <w:rPr>
          <w:rFonts w:cs="Arial"/>
        </w:rPr>
        <w:t>intervenciones</w:t>
      </w:r>
      <w:r w:rsidRPr="00371E93">
        <w:rPr>
          <w:rFonts w:eastAsia="Arial" w:cs="Arial"/>
        </w:rPr>
        <w:t xml:space="preserve"> que se clasifiquen e</w:t>
      </w:r>
      <w:r>
        <w:rPr>
          <w:rFonts w:eastAsia="Arial" w:cs="Arial"/>
        </w:rPr>
        <w:t xml:space="preserve">n la </w:t>
      </w:r>
      <w:r w:rsidRPr="00180D8C">
        <w:rPr>
          <w:rFonts w:eastAsia="Arial" w:cs="Arial"/>
        </w:rPr>
        <w:t>categoría 3 “Población de 7 a menores de 18 años” no se consideran en el análisis debido a que no atienden directa o indirectamente a población de 0 a 6 años.</w:t>
      </w:r>
      <w:r w:rsidRPr="00C552C7">
        <w:rPr>
          <w:rFonts w:eastAsia="Arial" w:cs="Arial"/>
        </w:rPr>
        <w:t xml:space="preserve"> </w:t>
      </w:r>
    </w:p>
    <w:p w:rsidR="00CA5D51" w:rsidRDefault="00CA5D51">
      <w:pPr>
        <w:jc w:val="left"/>
        <w:rPr>
          <w:rFonts w:eastAsia="Arial" w:cs="Arial"/>
          <w:b/>
          <w:bCs/>
          <w:w w:val="103"/>
        </w:rPr>
      </w:pPr>
      <w:r>
        <w:rPr>
          <w:rFonts w:eastAsia="Arial" w:cs="Arial"/>
          <w:b/>
          <w:bCs/>
          <w:w w:val="103"/>
        </w:rPr>
        <w:br w:type="page"/>
      </w:r>
    </w:p>
    <w:p w:rsidR="00CA5D51" w:rsidRDefault="00CA5D51" w:rsidP="00CA5D51">
      <w:pPr>
        <w:spacing w:before="100" w:beforeAutospacing="1" w:after="100" w:afterAutospacing="1"/>
        <w:jc w:val="center"/>
        <w:rPr>
          <w:rFonts w:eastAsia="Arial" w:cs="Arial"/>
          <w:b/>
          <w:bCs/>
          <w:w w:val="103"/>
        </w:rPr>
      </w:pPr>
      <w:r w:rsidRPr="00C552C7">
        <w:rPr>
          <w:rFonts w:eastAsia="Arial" w:cs="Arial"/>
          <w:b/>
          <w:bCs/>
          <w:w w:val="103"/>
        </w:rPr>
        <w:t>Gráfico 1. Categorías para identificar la inversión en infancia temprana</w:t>
      </w:r>
    </w:p>
    <w:p w:rsidR="00CA5D51" w:rsidRPr="00C552C7" w:rsidRDefault="008A5EAC" w:rsidP="00CA5D51">
      <w:pPr>
        <w:spacing w:before="100" w:beforeAutospacing="1" w:after="100" w:afterAutospacing="1"/>
        <w:jc w:val="center"/>
        <w:rPr>
          <w:rFonts w:eastAsia="Arial" w:cs="Arial"/>
          <w:b/>
          <w:bCs/>
          <w:w w:val="103"/>
        </w:rPr>
      </w:pPr>
      <w:r w:rsidRPr="00EE6AF7">
        <w:rPr>
          <w:rFonts w:eastAsia="Arial" w:cs="Arial"/>
          <w:b/>
          <w:noProof/>
          <w:w w:val="103"/>
          <w:lang w:eastAsia="es-MX"/>
        </w:rPr>
        <w:drawing>
          <wp:inline distT="0" distB="0" distL="0" distR="0">
            <wp:extent cx="5924550" cy="2809875"/>
            <wp:effectExtent l="0" t="0" r="0" b="0"/>
            <wp:docPr id="1" name="Imagen 12"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nterfaz de usuario gráfica, Texto, Aplicación, Chat o mensaje de texto&#10;&#10;Descripción generada automáticamente"/>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924550" cy="2809875"/>
                    </a:xfrm>
                    <a:prstGeom prst="rect">
                      <a:avLst/>
                    </a:prstGeom>
                    <a:noFill/>
                    <a:ln>
                      <a:noFill/>
                    </a:ln>
                  </pic:spPr>
                </pic:pic>
              </a:graphicData>
            </a:graphic>
          </wp:inline>
        </w:drawing>
      </w:r>
    </w:p>
    <w:p w:rsidR="00CA5D51" w:rsidRPr="008910F1" w:rsidRDefault="00CA5D51" w:rsidP="00CA5D51">
      <w:pPr>
        <w:pStyle w:val="Prrafodelista"/>
        <w:spacing w:after="100" w:afterAutospacing="1" w:line="240" w:lineRule="auto"/>
        <w:ind w:left="0"/>
        <w:jc w:val="center"/>
        <w:rPr>
          <w:rFonts w:ascii="Arial" w:hAnsi="Arial" w:cs="Arial"/>
          <w:szCs w:val="24"/>
        </w:rPr>
      </w:pPr>
      <w:r w:rsidRPr="00C552C7">
        <w:rPr>
          <w:rFonts w:ascii="Arial" w:eastAsia="Arial" w:hAnsi="Arial" w:cs="Arial"/>
          <w:szCs w:val="24"/>
        </w:rPr>
        <w:t>Fuente: Elaboración propia basada basada en metodología de Unicef.</w:t>
      </w:r>
    </w:p>
    <w:p w:rsidR="00CA5D51" w:rsidRDefault="00CA5D51" w:rsidP="00CA5D51">
      <w:pPr>
        <w:spacing w:before="100" w:beforeAutospacing="1" w:after="100" w:afterAutospacing="1"/>
        <w:rPr>
          <w:rFonts w:eastAsia="Arial" w:cs="Arial"/>
          <w:b/>
          <w:i/>
        </w:rPr>
      </w:pPr>
    </w:p>
    <w:p w:rsidR="00CA5D51" w:rsidRPr="005A3FC6" w:rsidRDefault="00CA5D51" w:rsidP="00CA5D51">
      <w:pPr>
        <w:spacing w:before="100" w:beforeAutospacing="1" w:after="100" w:afterAutospacing="1"/>
        <w:rPr>
          <w:rFonts w:eastAsia="Arial" w:cs="Arial"/>
        </w:rPr>
      </w:pPr>
      <w:r w:rsidRPr="005A3FC6">
        <w:rPr>
          <w:rFonts w:eastAsia="Arial" w:cs="Arial"/>
          <w:b/>
          <w:i/>
        </w:rPr>
        <w:t>2. A</w:t>
      </w:r>
      <w:r w:rsidRPr="005A3FC6">
        <w:rPr>
          <w:rFonts w:cs="Arial"/>
          <w:b/>
          <w:i/>
        </w:rPr>
        <w:t>nálisis basado en los derechos que reconoce la Convención de los Derechos del Niño (CDN)</w:t>
      </w:r>
    </w:p>
    <w:p w:rsidR="00CA5D51" w:rsidRPr="0085244D" w:rsidRDefault="00CA5D51" w:rsidP="00CA5D51">
      <w:pPr>
        <w:spacing w:before="100" w:beforeAutospacing="1" w:after="100" w:afterAutospacing="1"/>
        <w:rPr>
          <w:rFonts w:eastAsia="Arial" w:cs="Arial"/>
        </w:rPr>
      </w:pPr>
      <w:r w:rsidRPr="00C552C7">
        <w:rPr>
          <w:rFonts w:eastAsia="Arial" w:cs="Arial"/>
        </w:rPr>
        <w:t xml:space="preserve">El siguiente paso es el estudio de </w:t>
      </w:r>
      <w:r w:rsidRPr="0085244D">
        <w:rPr>
          <w:rFonts w:eastAsia="Arial" w:cs="Arial"/>
        </w:rPr>
        <w:t>los derechos de la niñez en las intervenciones, éstas se clasifican de acuerdo con los derechos estipulados en la Convención de los Derechos del Niño (CDN), y desglosa éstos en temas específicos (Tabla1):</w:t>
      </w:r>
    </w:p>
    <w:p w:rsidR="00CA5D51" w:rsidRDefault="00CA5D51">
      <w:pPr>
        <w:jc w:val="left"/>
        <w:rPr>
          <w:rFonts w:eastAsia="Arial" w:cs="Arial"/>
          <w:b/>
          <w:bCs/>
          <w:w w:val="103"/>
        </w:rPr>
      </w:pPr>
      <w:r>
        <w:rPr>
          <w:rFonts w:eastAsia="Arial" w:cs="Arial"/>
          <w:b/>
          <w:bCs/>
          <w:w w:val="103"/>
        </w:rPr>
        <w:br w:type="page"/>
      </w:r>
    </w:p>
    <w:p w:rsidR="00CA5D51" w:rsidRPr="0085244D" w:rsidRDefault="00CA5D51" w:rsidP="00CA5D51">
      <w:pPr>
        <w:spacing w:before="100" w:beforeAutospacing="1" w:after="100" w:afterAutospacing="1"/>
        <w:jc w:val="center"/>
        <w:rPr>
          <w:rFonts w:eastAsia="Arial" w:cs="Arial"/>
          <w:b/>
          <w:bCs/>
          <w:w w:val="103"/>
        </w:rPr>
      </w:pPr>
      <w:r w:rsidRPr="0085244D">
        <w:rPr>
          <w:rFonts w:eastAsia="Arial" w:cs="Arial"/>
          <w:b/>
          <w:bCs/>
          <w:w w:val="103"/>
        </w:rPr>
        <w:t>Tabla 1. Derechos de la Niñez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6356"/>
        <w:gridCol w:w="2953"/>
      </w:tblGrid>
      <w:tr w:rsidR="00D31C30" w:rsidRPr="00EE6AF7" w:rsidTr="00EE6AF7">
        <w:trPr>
          <w:trHeight w:val="647"/>
          <w:tblHeader/>
          <w:jc w:val="center"/>
        </w:trPr>
        <w:tc>
          <w:tcPr>
            <w:tcW w:w="1980" w:type="dxa"/>
            <w:shd w:val="clear" w:color="auto" w:fill="808080"/>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w:t>
            </w:r>
          </w:p>
        </w:tc>
        <w:tc>
          <w:tcPr>
            <w:tcW w:w="8930" w:type="dxa"/>
            <w:shd w:val="clear" w:color="auto" w:fill="808080"/>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Conceptualización</w:t>
            </w:r>
          </w:p>
        </w:tc>
        <w:tc>
          <w:tcPr>
            <w:tcW w:w="3480" w:type="dxa"/>
            <w:shd w:val="clear" w:color="auto" w:fill="808080"/>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Tema Específico</w:t>
            </w:r>
          </w:p>
        </w:tc>
      </w:tr>
      <w:tr w:rsidR="00D31C30" w:rsidRPr="00EE6AF7" w:rsidTr="00EE6AF7">
        <w:trPr>
          <w:trHeight w:val="1474"/>
          <w:jc w:val="center"/>
        </w:trPr>
        <w:tc>
          <w:tcPr>
            <w:tcW w:w="1980" w:type="dxa"/>
            <w:tcBorders>
              <w:top w:val="single" w:sz="8" w:space="0" w:color="4472C4"/>
              <w:left w:val="single" w:sz="8" w:space="0" w:color="4472C4"/>
              <w:bottom w:val="single" w:sz="8" w:space="0" w:color="4472C4"/>
            </w:tcBorders>
            <w:shd w:val="clear" w:color="auto" w:fill="auto"/>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 a la Supervivencia</w:t>
            </w:r>
          </w:p>
        </w:tc>
        <w:tc>
          <w:tcPr>
            <w:tcW w:w="8930" w:type="dxa"/>
            <w:tcBorders>
              <w:top w:val="single" w:sz="8" w:space="0" w:color="4472C4"/>
              <w:bottom w:val="single" w:sz="8" w:space="0" w:color="4472C4"/>
            </w:tcBorders>
            <w:shd w:val="clear" w:color="auto" w:fill="auto"/>
            <w:vAlign w:val="center"/>
          </w:tcPr>
          <w:p w:rsidR="00CA5D51" w:rsidRPr="00EE6AF7" w:rsidRDefault="00CA5D51" w:rsidP="00EE6AF7">
            <w:pPr>
              <w:autoSpaceDE w:val="0"/>
              <w:autoSpaceDN w:val="0"/>
              <w:adjustRightInd w:val="0"/>
              <w:spacing w:before="100" w:beforeAutospacing="1" w:after="100" w:afterAutospacing="1"/>
              <w:jc w:val="center"/>
              <w:rPr>
                <w:rFonts w:cs="Arial"/>
              </w:rPr>
            </w:pPr>
            <w:r w:rsidRPr="00EE6AF7">
              <w:rPr>
                <w:rFonts w:cs="Arial"/>
              </w:rPr>
              <w:t>Se refiere al derecho a los recursos, las aptitudes y las contribuciones necesarias para la supervivencia del niño. Estos derechos exigen que existan los medios para lograr que se cumplan, y también que se garantice el acceso a ellos.</w:t>
            </w:r>
          </w:p>
        </w:tc>
        <w:tc>
          <w:tcPr>
            <w:tcW w:w="3480" w:type="dxa"/>
            <w:tcBorders>
              <w:top w:val="single" w:sz="8" w:space="0" w:color="4472C4"/>
              <w:bottom w:val="single" w:sz="8" w:space="0" w:color="4472C4"/>
              <w:right w:val="single" w:sz="8" w:space="0" w:color="4472C4"/>
            </w:tcBorders>
            <w:shd w:val="clear" w:color="auto" w:fill="auto"/>
            <w:vAlign w:val="center"/>
          </w:tcPr>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eastAsia="Times New Roman" w:hAnsi="Arial" w:cs="Arial"/>
                <w:szCs w:val="24"/>
                <w:lang w:val="es-ES_tradnl" w:eastAsia="es-ES"/>
              </w:rPr>
            </w:pPr>
            <w:r w:rsidRPr="00EE6AF7">
              <w:rPr>
                <w:rFonts w:ascii="Arial" w:eastAsia="Times New Roman" w:hAnsi="Arial" w:cs="Arial"/>
                <w:szCs w:val="24"/>
                <w:lang w:val="es-ES_tradnl" w:eastAsia="es-ES"/>
              </w:rPr>
              <w:t>Salud</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eastAsia="Times New Roman" w:hAnsi="Arial" w:cs="Arial"/>
                <w:szCs w:val="24"/>
                <w:lang w:val="es-ES_tradnl" w:eastAsia="es-ES"/>
              </w:rPr>
            </w:pPr>
            <w:r w:rsidRPr="00EE6AF7">
              <w:rPr>
                <w:rFonts w:ascii="Arial" w:eastAsia="Times New Roman" w:hAnsi="Arial" w:cs="Arial"/>
                <w:szCs w:val="24"/>
                <w:lang w:val="es-ES_tradnl" w:eastAsia="es-ES"/>
              </w:rPr>
              <w:t>Vivienda y su infraestructura</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eastAsia="Times New Roman" w:hAnsi="Arial" w:cs="Arial"/>
                <w:szCs w:val="24"/>
                <w:lang w:val="es-ES_tradnl" w:eastAsia="es-ES"/>
              </w:rPr>
            </w:pPr>
            <w:r w:rsidRPr="00EE6AF7">
              <w:rPr>
                <w:rFonts w:ascii="Arial" w:eastAsia="Times New Roman" w:hAnsi="Arial" w:cs="Arial"/>
                <w:szCs w:val="24"/>
                <w:lang w:val="es-ES_tradnl" w:eastAsia="es-ES"/>
              </w:rPr>
              <w:t>Alimentación y Nutrición</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eastAsia="Times New Roman" w:hAnsi="Arial" w:cs="Arial"/>
                <w:szCs w:val="24"/>
                <w:lang w:val="es-ES_tradnl" w:eastAsia="es-ES"/>
              </w:rPr>
            </w:pPr>
            <w:r w:rsidRPr="00EE6AF7">
              <w:rPr>
                <w:rFonts w:ascii="Arial" w:eastAsia="Times New Roman" w:hAnsi="Arial" w:cs="Arial"/>
                <w:szCs w:val="24"/>
                <w:lang w:val="es-ES_tradnl" w:eastAsia="es-ES"/>
              </w:rPr>
              <w:t>Asistencia social</w:t>
            </w:r>
          </w:p>
        </w:tc>
      </w:tr>
      <w:tr w:rsidR="00CA5D51" w:rsidRPr="00EE6AF7" w:rsidTr="00EE6AF7">
        <w:trPr>
          <w:trHeight w:val="1480"/>
          <w:jc w:val="center"/>
        </w:trPr>
        <w:tc>
          <w:tcPr>
            <w:tcW w:w="1980" w:type="dxa"/>
            <w:shd w:val="clear" w:color="auto" w:fill="auto"/>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 al Desarrollo</w:t>
            </w:r>
          </w:p>
        </w:tc>
        <w:tc>
          <w:tcPr>
            <w:tcW w:w="8930" w:type="dxa"/>
            <w:shd w:val="clear" w:color="auto" w:fill="auto"/>
            <w:vAlign w:val="center"/>
          </w:tcPr>
          <w:p w:rsidR="00CA5D51" w:rsidRPr="00EE6AF7" w:rsidRDefault="00CA5D51" w:rsidP="00EE6AF7">
            <w:pPr>
              <w:autoSpaceDE w:val="0"/>
              <w:autoSpaceDN w:val="0"/>
              <w:adjustRightInd w:val="0"/>
              <w:spacing w:before="100" w:beforeAutospacing="1" w:after="100" w:afterAutospacing="1"/>
              <w:jc w:val="center"/>
              <w:rPr>
                <w:rFonts w:cs="Arial"/>
              </w:rPr>
            </w:pPr>
            <w:r w:rsidRPr="00EE6AF7">
              <w:rPr>
                <w:rFonts w:cs="Arial"/>
              </w:rPr>
              <w:t>Consiste en el derecho a los recursos, las aptitudes y las contribuciones necesarias para el pleno desarrollo del niño. Estos derechos exigen no solamente que existan los medios para lograr que se cumplan, sino también el acceso a ellos.</w:t>
            </w:r>
          </w:p>
        </w:tc>
        <w:tc>
          <w:tcPr>
            <w:tcW w:w="3480" w:type="dxa"/>
            <w:shd w:val="clear" w:color="auto" w:fill="auto"/>
            <w:vAlign w:val="center"/>
          </w:tcPr>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Educación</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Deportes, recreación y cultura</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Urbanización y desarrollo regional</w:t>
            </w:r>
          </w:p>
        </w:tc>
      </w:tr>
      <w:tr w:rsidR="00D31C30" w:rsidRPr="00EE6AF7" w:rsidTr="00EE6AF7">
        <w:trPr>
          <w:trHeight w:val="794"/>
          <w:jc w:val="center"/>
        </w:trPr>
        <w:tc>
          <w:tcPr>
            <w:tcW w:w="1980" w:type="dxa"/>
            <w:tcBorders>
              <w:top w:val="single" w:sz="8" w:space="0" w:color="4472C4"/>
              <w:left w:val="single" w:sz="8" w:space="0" w:color="4472C4"/>
              <w:bottom w:val="single" w:sz="8" w:space="0" w:color="4472C4"/>
            </w:tcBorders>
            <w:shd w:val="clear" w:color="auto" w:fill="auto"/>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 a la Participación</w:t>
            </w:r>
          </w:p>
        </w:tc>
        <w:tc>
          <w:tcPr>
            <w:tcW w:w="8930" w:type="dxa"/>
            <w:tcBorders>
              <w:top w:val="single" w:sz="8" w:space="0" w:color="4472C4"/>
              <w:bottom w:val="single" w:sz="8" w:space="0" w:color="4472C4"/>
            </w:tcBorders>
            <w:shd w:val="clear" w:color="auto" w:fill="auto"/>
            <w:vAlign w:val="center"/>
          </w:tcPr>
          <w:p w:rsidR="00CA5D51" w:rsidRPr="00EE6AF7" w:rsidRDefault="00CA5D51" w:rsidP="00EE6AF7">
            <w:pPr>
              <w:autoSpaceDE w:val="0"/>
              <w:autoSpaceDN w:val="0"/>
              <w:adjustRightInd w:val="0"/>
              <w:spacing w:before="100" w:beforeAutospacing="1" w:after="100" w:afterAutospacing="1"/>
              <w:jc w:val="center"/>
              <w:rPr>
                <w:rFonts w:cs="Arial"/>
              </w:rPr>
            </w:pPr>
            <w:r w:rsidRPr="00EE6AF7">
              <w:rPr>
                <w:rFonts w:cs="Arial"/>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tc>
        <w:tc>
          <w:tcPr>
            <w:tcW w:w="3480" w:type="dxa"/>
            <w:tcBorders>
              <w:top w:val="single" w:sz="8" w:space="0" w:color="4472C4"/>
              <w:bottom w:val="single" w:sz="8" w:space="0" w:color="4472C4"/>
              <w:right w:val="single" w:sz="8" w:space="0" w:color="4472C4"/>
            </w:tcBorders>
            <w:shd w:val="clear" w:color="auto" w:fill="auto"/>
            <w:vAlign w:val="center"/>
          </w:tcPr>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Información</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Medios masivos de comunicación</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rPr>
            </w:pPr>
            <w:r w:rsidRPr="00EE6AF7">
              <w:rPr>
                <w:rFonts w:ascii="Arial" w:hAnsi="Arial" w:cs="Arial"/>
                <w:szCs w:val="24"/>
                <w:lang w:val="es-ES_tradnl"/>
              </w:rPr>
              <w:t>Participación ciudadana</w:t>
            </w:r>
          </w:p>
        </w:tc>
      </w:tr>
      <w:tr w:rsidR="00CA5D51" w:rsidRPr="00EE6AF7" w:rsidTr="00EE6AF7">
        <w:trPr>
          <w:trHeight w:val="1146"/>
          <w:jc w:val="center"/>
        </w:trPr>
        <w:tc>
          <w:tcPr>
            <w:tcW w:w="1980" w:type="dxa"/>
            <w:shd w:val="clear" w:color="auto" w:fill="auto"/>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 a la Protección</w:t>
            </w:r>
          </w:p>
        </w:tc>
        <w:tc>
          <w:tcPr>
            <w:tcW w:w="8930" w:type="dxa"/>
            <w:shd w:val="clear" w:color="auto" w:fill="auto"/>
            <w:vAlign w:val="center"/>
          </w:tcPr>
          <w:p w:rsidR="00CA5D51" w:rsidRPr="00EE6AF7" w:rsidRDefault="00CA5D51" w:rsidP="00EE6AF7">
            <w:pPr>
              <w:autoSpaceDE w:val="0"/>
              <w:autoSpaceDN w:val="0"/>
              <w:adjustRightInd w:val="0"/>
              <w:spacing w:before="100" w:beforeAutospacing="1" w:after="100" w:afterAutospacing="1"/>
              <w:jc w:val="center"/>
              <w:rPr>
                <w:rFonts w:cs="Arial"/>
              </w:rPr>
            </w:pPr>
            <w:r w:rsidRPr="00EE6AF7">
              <w:rPr>
                <w:rFonts w:cs="Arial"/>
              </w:rPr>
              <w:t>Estos derechos incluyen la protección contra todo tipo de malos tratos, abandono, explotación y crueldad, e incluso el derecho a una protección especial en tiempos de guerra y protección contra los abusos del sistema de justicia criminal.</w:t>
            </w:r>
          </w:p>
        </w:tc>
        <w:tc>
          <w:tcPr>
            <w:tcW w:w="3480" w:type="dxa"/>
            <w:shd w:val="clear" w:color="auto" w:fill="auto"/>
            <w:vAlign w:val="center"/>
          </w:tcPr>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Seguridad Legal</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Discriminación</w:t>
            </w:r>
          </w:p>
        </w:tc>
      </w:tr>
    </w:tbl>
    <w:p w:rsidR="00CA5D51" w:rsidRPr="0085244D" w:rsidRDefault="00CA5D51" w:rsidP="00CA5D51">
      <w:pPr>
        <w:spacing w:after="100" w:afterAutospacing="1"/>
        <w:jc w:val="center"/>
        <w:rPr>
          <w:rFonts w:eastAsia="Arial" w:cs="Arial"/>
        </w:rPr>
      </w:pPr>
      <w:r w:rsidRPr="0085244D">
        <w:rPr>
          <w:rFonts w:eastAsia="Arial" w:cs="Arial"/>
        </w:rPr>
        <w:t>Fuente: Elaboración propia basada en Inversión Pública en la Infancia y la Adolescencia en México (Unicef, 2011).</w:t>
      </w:r>
    </w:p>
    <w:p w:rsidR="00CA5D51" w:rsidRPr="0085244D" w:rsidRDefault="00CA5D51" w:rsidP="00CA5D51">
      <w:pPr>
        <w:widowControl w:val="0"/>
        <w:spacing w:before="100" w:beforeAutospacing="1" w:after="100" w:afterAutospacing="1"/>
        <w:rPr>
          <w:rFonts w:cs="Arial"/>
          <w:b/>
          <w:i/>
        </w:rPr>
      </w:pPr>
      <w:r w:rsidRPr="0085244D">
        <w:rPr>
          <w:rFonts w:cs="Arial"/>
          <w:b/>
          <w:i/>
        </w:rPr>
        <w:t>3. Anál</w:t>
      </w:r>
      <w:r w:rsidRPr="0085244D">
        <w:rPr>
          <w:rFonts w:cs="Arial"/>
          <w:b/>
          <w:i/>
          <w:spacing w:val="-2"/>
        </w:rPr>
        <w:t>i</w:t>
      </w:r>
      <w:r w:rsidRPr="0085244D">
        <w:rPr>
          <w:rFonts w:cs="Arial"/>
          <w:b/>
          <w:i/>
          <w:spacing w:val="1"/>
        </w:rPr>
        <w:t>s</w:t>
      </w:r>
      <w:r w:rsidRPr="0085244D">
        <w:rPr>
          <w:rFonts w:cs="Arial"/>
          <w:b/>
          <w:i/>
        </w:rPr>
        <w:t>is</w:t>
      </w:r>
      <w:r w:rsidRPr="0085244D">
        <w:rPr>
          <w:rFonts w:cs="Arial"/>
          <w:b/>
          <w:i/>
          <w:spacing w:val="3"/>
        </w:rPr>
        <w:t xml:space="preserve"> </w:t>
      </w:r>
      <w:r w:rsidRPr="0085244D">
        <w:rPr>
          <w:rFonts w:cs="Arial"/>
          <w:b/>
          <w:i/>
        </w:rPr>
        <w:t>de</w:t>
      </w:r>
      <w:r w:rsidRPr="0085244D">
        <w:rPr>
          <w:rFonts w:cs="Arial"/>
          <w:b/>
          <w:i/>
          <w:spacing w:val="44"/>
        </w:rPr>
        <w:t xml:space="preserve"> </w:t>
      </w:r>
      <w:r w:rsidRPr="0085244D">
        <w:rPr>
          <w:rFonts w:cs="Arial"/>
          <w:b/>
          <w:i/>
        </w:rPr>
        <w:t>acuerdo</w:t>
      </w:r>
      <w:r w:rsidRPr="0085244D">
        <w:rPr>
          <w:rFonts w:cs="Arial"/>
          <w:b/>
          <w:i/>
          <w:spacing w:val="4"/>
        </w:rPr>
        <w:t xml:space="preserve"> </w:t>
      </w:r>
      <w:r w:rsidRPr="0085244D">
        <w:rPr>
          <w:rFonts w:cs="Arial"/>
          <w:b/>
          <w:i/>
        </w:rPr>
        <w:t>con la e</w:t>
      </w:r>
      <w:r w:rsidRPr="0085244D">
        <w:rPr>
          <w:rFonts w:cs="Arial"/>
          <w:b/>
          <w:i/>
          <w:spacing w:val="-1"/>
        </w:rPr>
        <w:t>s</w:t>
      </w:r>
      <w:r w:rsidRPr="0085244D">
        <w:rPr>
          <w:rFonts w:cs="Arial"/>
          <w:b/>
          <w:i/>
        </w:rPr>
        <w:t>pec</w:t>
      </w:r>
      <w:r w:rsidRPr="0085244D">
        <w:rPr>
          <w:rFonts w:cs="Arial"/>
          <w:b/>
          <w:i/>
          <w:spacing w:val="-2"/>
        </w:rPr>
        <w:t>i</w:t>
      </w:r>
      <w:r w:rsidRPr="0085244D">
        <w:rPr>
          <w:rFonts w:cs="Arial"/>
          <w:b/>
          <w:i/>
          <w:spacing w:val="1"/>
        </w:rPr>
        <w:t>f</w:t>
      </w:r>
      <w:r w:rsidRPr="0085244D">
        <w:rPr>
          <w:rFonts w:cs="Arial"/>
          <w:b/>
          <w:i/>
        </w:rPr>
        <w:t>ic</w:t>
      </w:r>
      <w:r w:rsidRPr="0085244D">
        <w:rPr>
          <w:rFonts w:cs="Arial"/>
          <w:b/>
          <w:i/>
          <w:spacing w:val="-2"/>
        </w:rPr>
        <w:t>i</w:t>
      </w:r>
      <w:r w:rsidRPr="0085244D">
        <w:rPr>
          <w:rFonts w:cs="Arial"/>
          <w:b/>
          <w:i/>
          <w:spacing w:val="1"/>
        </w:rPr>
        <w:t>d</w:t>
      </w:r>
      <w:r w:rsidRPr="0085244D">
        <w:rPr>
          <w:rFonts w:cs="Arial"/>
          <w:b/>
          <w:i/>
        </w:rPr>
        <w:t>ad de la inversión.</w:t>
      </w:r>
    </w:p>
    <w:p w:rsidR="00CA5D51" w:rsidRPr="00EE6AF7" w:rsidRDefault="00CA5D51" w:rsidP="00CA5D51">
      <w:pPr>
        <w:spacing w:before="100" w:beforeAutospacing="1" w:after="100" w:afterAutospacing="1"/>
        <w:rPr>
          <w:rFonts w:cs="Arial"/>
          <w:color w:val="000000"/>
          <w:spacing w:val="1"/>
          <w:w w:val="103"/>
        </w:rPr>
      </w:pPr>
      <w:r w:rsidRPr="00EE6AF7">
        <w:rPr>
          <w:rFonts w:cs="Arial"/>
          <w:color w:val="000000"/>
        </w:rPr>
        <w:t>Pa</w:t>
      </w:r>
      <w:r w:rsidRPr="00EE6AF7">
        <w:rPr>
          <w:rFonts w:cs="Arial"/>
          <w:color w:val="000000"/>
          <w:spacing w:val="2"/>
        </w:rPr>
        <w:t>r</w:t>
      </w:r>
      <w:r w:rsidRPr="00EE6AF7">
        <w:rPr>
          <w:rFonts w:cs="Arial"/>
          <w:color w:val="000000"/>
        </w:rPr>
        <w:t xml:space="preserve">a conocer que tan específica es la inversión en infancia temprana, es decir, cuánto, cómo y en qué se invierte en alguna de las cuatro categorías de especificidad, se adopta y utiliza la metodología propuesta por </w:t>
      </w:r>
      <w:r w:rsidRPr="00EE6AF7">
        <w:rPr>
          <w:rFonts w:cs="Arial"/>
          <w:color w:val="000000"/>
          <w:w w:val="103"/>
        </w:rPr>
        <w:t>Unice</w:t>
      </w:r>
      <w:r w:rsidRPr="00EE6AF7">
        <w:rPr>
          <w:rFonts w:cs="Arial"/>
          <w:color w:val="000000"/>
          <w:spacing w:val="1"/>
          <w:w w:val="103"/>
        </w:rPr>
        <w:t>f</w:t>
      </w:r>
      <w:r w:rsidRPr="00EE6AF7">
        <w:rPr>
          <w:rStyle w:val="Refdenotaalpie"/>
          <w:rFonts w:cs="Arial"/>
          <w:color w:val="000000"/>
          <w:spacing w:val="1"/>
          <w:w w:val="103"/>
        </w:rPr>
        <w:footnoteReference w:id="4"/>
      </w:r>
      <w:r w:rsidRPr="00EE6AF7">
        <w:rPr>
          <w:rFonts w:cs="Arial"/>
          <w:color w:val="000000"/>
          <w:spacing w:val="1"/>
          <w:w w:val="103"/>
        </w:rPr>
        <w:t xml:space="preserve">, que a continuación se presenta: </w:t>
      </w:r>
    </w:p>
    <w:p w:rsidR="00CA5D51" w:rsidRPr="00C552C7" w:rsidRDefault="00CA5D51" w:rsidP="00CA5D51">
      <w:pPr>
        <w:spacing w:before="100" w:beforeAutospacing="1" w:after="100" w:afterAutospacing="1"/>
        <w:jc w:val="center"/>
        <w:rPr>
          <w:rFonts w:eastAsia="Arial" w:cs="Arial"/>
          <w:b/>
          <w:bCs/>
          <w:w w:val="103"/>
        </w:rPr>
      </w:pPr>
      <w:r w:rsidRPr="00C552C7">
        <w:rPr>
          <w:rFonts w:eastAsia="Arial" w:cs="Arial"/>
          <w:b/>
          <w:bCs/>
          <w:w w:val="103"/>
        </w:rPr>
        <w:t>Tabla 2. Especificidad de la inversión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9270"/>
      </w:tblGrid>
      <w:tr w:rsidR="00D31C30" w:rsidRPr="00EE6AF7" w:rsidTr="00EE6AF7">
        <w:trPr>
          <w:trHeight w:val="338"/>
        </w:trPr>
        <w:tc>
          <w:tcPr>
            <w:tcW w:w="0" w:type="auto"/>
            <w:tcBorders>
              <w:top w:val="single" w:sz="8" w:space="0" w:color="ED7D31"/>
              <w:bottom w:val="single" w:sz="8" w:space="0" w:color="ED7D31"/>
            </w:tcBorders>
            <w:shd w:val="clear" w:color="auto" w:fill="808080"/>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Tipo de Inversión</w:t>
            </w:r>
          </w:p>
        </w:tc>
        <w:tc>
          <w:tcPr>
            <w:tcW w:w="0" w:type="auto"/>
            <w:tcBorders>
              <w:top w:val="single" w:sz="8" w:space="0" w:color="ED7D31"/>
              <w:bottom w:val="single" w:sz="8" w:space="0" w:color="ED7D31"/>
            </w:tcBorders>
            <w:shd w:val="clear" w:color="auto" w:fill="808080"/>
            <w:vAlign w:val="center"/>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Definición</w:t>
            </w:r>
          </w:p>
        </w:tc>
      </w:tr>
      <w:tr w:rsidR="00F15631" w:rsidRPr="00EE6AF7" w:rsidTr="00EE6AF7">
        <w:trPr>
          <w:trHeight w:val="886"/>
        </w:trPr>
        <w:tc>
          <w:tcPr>
            <w:tcW w:w="0" w:type="auto"/>
            <w:tcBorders>
              <w:left w:val="nil"/>
              <w:right w:val="nil"/>
            </w:tcBorders>
            <w:shd w:val="clear" w:color="auto" w:fill="auto"/>
            <w:vAlign w:val="center"/>
            <w:hideMark/>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Inversión  Específica</w:t>
            </w:r>
          </w:p>
        </w:tc>
        <w:tc>
          <w:tcPr>
            <w:tcW w:w="0" w:type="auto"/>
            <w:tcBorders>
              <w:left w:val="nil"/>
              <w:right w:val="nil"/>
            </w:tcBorders>
            <w:shd w:val="clear" w:color="auto" w:fill="auto"/>
            <w:vAlign w:val="center"/>
            <w:hideMark/>
          </w:tcPr>
          <w:p w:rsidR="00CA5D51" w:rsidRPr="00EE6AF7" w:rsidRDefault="00CA5D51" w:rsidP="00EE6AF7">
            <w:pPr>
              <w:spacing w:before="100" w:beforeAutospacing="1" w:after="100" w:afterAutospacing="1"/>
              <w:rPr>
                <w:rFonts w:eastAsia="Arial" w:cs="Arial"/>
              </w:rPr>
            </w:pPr>
            <w:r w:rsidRPr="00EE6AF7">
              <w:rPr>
                <w:rFonts w:eastAsia="Arial" w:cs="Arial"/>
              </w:rPr>
              <w:t xml:space="preserve">Es la inversión destinada a financiar las </w:t>
            </w:r>
            <w:r w:rsidRPr="00EE6AF7">
              <w:rPr>
                <w:rFonts w:cs="Arial"/>
              </w:rPr>
              <w:t>intervenciones</w:t>
            </w:r>
            <w:r w:rsidRPr="00EE6AF7">
              <w:rPr>
                <w:rFonts w:eastAsia="Arial" w:cs="Arial"/>
              </w:rPr>
              <w:t xml:space="preserve"> que entregan beneficios directamente a los niños y niñas  para asegurar el cumplimiento de sus derechos.</w:t>
            </w:r>
          </w:p>
        </w:tc>
      </w:tr>
      <w:tr w:rsidR="00F15631" w:rsidRPr="00EE6AF7" w:rsidTr="00EE6AF7">
        <w:trPr>
          <w:trHeight w:val="810"/>
        </w:trPr>
        <w:tc>
          <w:tcPr>
            <w:tcW w:w="0" w:type="auto"/>
            <w:shd w:val="clear" w:color="auto" w:fill="auto"/>
            <w:vAlign w:val="center"/>
            <w:hideMark/>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Inversión Agéntica</w:t>
            </w:r>
          </w:p>
        </w:tc>
        <w:tc>
          <w:tcPr>
            <w:tcW w:w="0" w:type="auto"/>
            <w:shd w:val="clear" w:color="auto" w:fill="auto"/>
            <w:vAlign w:val="center"/>
            <w:hideMark/>
          </w:tcPr>
          <w:p w:rsidR="00CA5D51" w:rsidRPr="00EE6AF7" w:rsidRDefault="00CA5D51" w:rsidP="00EE6AF7">
            <w:pPr>
              <w:spacing w:before="100" w:beforeAutospacing="1" w:after="100" w:afterAutospacing="1"/>
              <w:rPr>
                <w:rFonts w:eastAsia="Times New Roman" w:cs="Arial"/>
                <w:lang w:eastAsia="es-MX"/>
              </w:rPr>
            </w:pPr>
            <w:r w:rsidRPr="00EE6AF7">
              <w:rPr>
                <w:rFonts w:eastAsia="Times New Roman" w:cs="Arial"/>
                <w:lang w:eastAsia="es-MX"/>
              </w:rPr>
              <w:t xml:space="preserve">Es la inversión destinada </w:t>
            </w:r>
            <w:r w:rsidRPr="00EE6AF7">
              <w:rPr>
                <w:rFonts w:eastAsia="Arial" w:cs="Arial"/>
              </w:rPr>
              <w:t xml:space="preserve">a financiar las </w:t>
            </w:r>
            <w:r w:rsidRPr="00EE6AF7">
              <w:rPr>
                <w:rFonts w:cs="Arial"/>
              </w:rPr>
              <w:t>intervenciones</w:t>
            </w:r>
            <w:r w:rsidRPr="00EE6AF7">
              <w:rPr>
                <w:rFonts w:eastAsia="Arial" w:cs="Arial"/>
              </w:rPr>
              <w:t xml:space="preserve"> que promuevan el fortalecimiento de los agentes que actúan a favor de la niñez –padres, tutores y profesionales enfocados en forma exclusiva a la atención de los menores de 6 años –, como agentes del bienestar de la infancia.</w:t>
            </w:r>
          </w:p>
        </w:tc>
      </w:tr>
      <w:tr w:rsidR="00F15631" w:rsidRPr="00EE6AF7" w:rsidTr="00EE6AF7">
        <w:trPr>
          <w:trHeight w:val="871"/>
        </w:trPr>
        <w:tc>
          <w:tcPr>
            <w:tcW w:w="0" w:type="auto"/>
            <w:tcBorders>
              <w:left w:val="nil"/>
              <w:right w:val="nil"/>
            </w:tcBorders>
            <w:shd w:val="clear" w:color="auto" w:fill="auto"/>
            <w:vAlign w:val="center"/>
            <w:hideMark/>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Inversión en Bienes Públicos</w:t>
            </w:r>
          </w:p>
        </w:tc>
        <w:tc>
          <w:tcPr>
            <w:tcW w:w="0" w:type="auto"/>
            <w:tcBorders>
              <w:left w:val="nil"/>
              <w:right w:val="nil"/>
            </w:tcBorders>
            <w:shd w:val="clear" w:color="auto" w:fill="auto"/>
            <w:vAlign w:val="center"/>
            <w:hideMark/>
          </w:tcPr>
          <w:p w:rsidR="00CA5D51" w:rsidRPr="00EE6AF7" w:rsidRDefault="00CA5D51" w:rsidP="00EE6AF7">
            <w:pPr>
              <w:spacing w:before="100" w:beforeAutospacing="1" w:after="100" w:afterAutospacing="1"/>
              <w:rPr>
                <w:rFonts w:eastAsia="Times New Roman" w:cs="Arial"/>
                <w:lang w:eastAsia="es-MX"/>
              </w:rPr>
            </w:pPr>
            <w:r w:rsidRPr="00EE6AF7">
              <w:rPr>
                <w:rFonts w:eastAsia="Arial" w:cs="Arial"/>
              </w:rPr>
              <w:t xml:space="preserve">Es la inversión destinada a financiar las </w:t>
            </w:r>
            <w:r w:rsidRPr="00EE6AF7">
              <w:rPr>
                <w:rFonts w:cs="Arial"/>
              </w:rPr>
              <w:t>intervenciones</w:t>
            </w:r>
            <w:r w:rsidRPr="00EE6AF7">
              <w:rPr>
                <w:rFonts w:eastAsia="Arial" w:cs="Arial"/>
              </w:rPr>
              <w:t xml:space="preserve"> que proveen servicios prestados de forma abierta a la sociedad y que hayan estado al menos parcialmente diseñados para atender necesidades específicas de los niños y niñas menores de 6 años.</w:t>
            </w:r>
          </w:p>
        </w:tc>
      </w:tr>
      <w:tr w:rsidR="00F15631" w:rsidRPr="00EE6AF7" w:rsidTr="00EE6AF7">
        <w:trPr>
          <w:trHeight w:val="817"/>
        </w:trPr>
        <w:tc>
          <w:tcPr>
            <w:tcW w:w="0" w:type="auto"/>
            <w:shd w:val="clear" w:color="auto" w:fill="auto"/>
            <w:vAlign w:val="center"/>
            <w:hideMark/>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Inversión Ampliada</w:t>
            </w:r>
          </w:p>
        </w:tc>
        <w:tc>
          <w:tcPr>
            <w:tcW w:w="0" w:type="auto"/>
            <w:shd w:val="clear" w:color="auto" w:fill="auto"/>
            <w:vAlign w:val="center"/>
            <w:hideMark/>
          </w:tcPr>
          <w:p w:rsidR="00CA5D51" w:rsidRPr="00EE6AF7" w:rsidRDefault="00CA5D51" w:rsidP="00EE6AF7">
            <w:pPr>
              <w:spacing w:before="100" w:beforeAutospacing="1" w:after="100" w:afterAutospacing="1"/>
              <w:rPr>
                <w:rFonts w:eastAsia="Times New Roman"/>
                <w:lang w:eastAsia="es-MX"/>
              </w:rPr>
            </w:pPr>
            <w:r w:rsidRPr="00EE6AF7">
              <w:rPr>
                <w:rFonts w:eastAsia="Times New Roman" w:cs="Arial"/>
                <w:lang w:eastAsia="es-MX"/>
              </w:rPr>
              <w:t xml:space="preserve">Es la inversión destinada a financiar </w:t>
            </w:r>
            <w:r w:rsidRPr="00EE6AF7">
              <w:rPr>
                <w:rFonts w:eastAsia="Arial" w:cs="Arial"/>
              </w:rPr>
              <w:t xml:space="preserve">las </w:t>
            </w:r>
            <w:r w:rsidRPr="00EE6AF7">
              <w:rPr>
                <w:rFonts w:cs="Arial"/>
              </w:rPr>
              <w:t>intervenciones</w:t>
            </w:r>
            <w:r w:rsidRPr="00EE6AF7">
              <w:rPr>
                <w:rFonts w:eastAsia="Arial" w:cs="Arial"/>
              </w:rPr>
              <w:t xml:space="preserve"> que atienden a grupos de la población vulnerable en la que los niños de este grupo de edad representan una fracción importante, y que tienen elementos que atienden a estos últimos</w:t>
            </w:r>
            <w:r w:rsidRPr="00EE6AF7">
              <w:rPr>
                <w:rFonts w:eastAsia="Arial" w:cs="Arial"/>
                <w:vertAlign w:val="superscript"/>
              </w:rPr>
              <w:footnoteReference w:id="5"/>
            </w:r>
            <w:r w:rsidRPr="00EE6AF7">
              <w:rPr>
                <w:rFonts w:eastAsia="Arial" w:cs="Arial"/>
              </w:rPr>
              <w:t>.</w:t>
            </w:r>
          </w:p>
        </w:tc>
      </w:tr>
    </w:tbl>
    <w:p w:rsidR="00CA5D51" w:rsidRPr="0085244D" w:rsidRDefault="00CA5D51" w:rsidP="00CA5D51">
      <w:pPr>
        <w:spacing w:after="100" w:afterAutospacing="1"/>
        <w:jc w:val="center"/>
        <w:rPr>
          <w:rFonts w:eastAsia="Arial" w:cs="Arial"/>
        </w:rPr>
      </w:pPr>
      <w:r w:rsidRPr="0085244D">
        <w:rPr>
          <w:rFonts w:eastAsia="Arial" w:cs="Arial"/>
        </w:rPr>
        <w:t>Fuente: Elaboración propia basada en Inversión Pública en la Infancia y la Adolescencia en México (Unicef, 2011).</w:t>
      </w:r>
    </w:p>
    <w:p w:rsidR="00CA5D51" w:rsidRPr="0085244D" w:rsidRDefault="00CA5D51" w:rsidP="00CA5D51">
      <w:pPr>
        <w:widowControl w:val="0"/>
        <w:spacing w:before="100" w:beforeAutospacing="1" w:after="100" w:afterAutospacing="1"/>
        <w:rPr>
          <w:rFonts w:cs="Arial"/>
          <w:b/>
          <w:i/>
        </w:rPr>
      </w:pPr>
      <w:r w:rsidRPr="0085244D">
        <w:rPr>
          <w:rFonts w:cs="Arial"/>
          <w:b/>
          <w:i/>
        </w:rPr>
        <w:t>4. Análisis de Programas Presupuestarios  (PP)</w:t>
      </w:r>
    </w:p>
    <w:p w:rsidR="00CA5D51" w:rsidRPr="00EE6AF7" w:rsidRDefault="00CA5D51" w:rsidP="00CA5D51">
      <w:pPr>
        <w:rPr>
          <w:rFonts w:cs="Arial"/>
          <w:color w:val="000000"/>
        </w:rPr>
      </w:pPr>
      <w:r w:rsidRPr="00EE6AF7">
        <w:rPr>
          <w:rFonts w:cs="Arial"/>
          <w:color w:val="000000"/>
        </w:rPr>
        <w:t xml:space="preserve">Para conocer cuál es la contribución de cada programa presupuestario en atención de la población objeto de este anexo, se identifican los programas presupuestarios en los que se encontraron </w:t>
      </w:r>
      <w:r w:rsidRPr="0085244D">
        <w:rPr>
          <w:rFonts w:eastAsia="Arial" w:cs="Arial"/>
        </w:rPr>
        <w:t>los programas, actividades institucionales, obras y acciones</w:t>
      </w:r>
      <w:r w:rsidRPr="00EE6AF7">
        <w:rPr>
          <w:rFonts w:cs="Arial"/>
          <w:color w:val="000000"/>
        </w:rPr>
        <w:t xml:space="preserve"> orientadas a atender las necesidades de la infancia temprana (pasos 1,2 y 3 de esta metodología).</w:t>
      </w:r>
    </w:p>
    <w:p w:rsidR="00CA5D51" w:rsidRPr="00EE6AF7" w:rsidRDefault="00CA5D51" w:rsidP="00CA5D51">
      <w:pPr>
        <w:rPr>
          <w:rFonts w:cs="Arial"/>
          <w:color w:val="000000"/>
        </w:rPr>
      </w:pPr>
      <w:r w:rsidRPr="00EE6AF7">
        <w:rPr>
          <w:rFonts w:cs="Arial"/>
          <w:color w:val="000000"/>
        </w:rPr>
        <w:t>El importe presentado en el anexo podrá ser la totalidad o una parte de los recursos del programa presupuestario, lo anterior dependerá de las intervenciones identificadas para la infancia y la adolescencia.</w:t>
      </w:r>
    </w:p>
    <w:p w:rsidR="00CA5D51" w:rsidRPr="00EE6AF7" w:rsidRDefault="00CA5D51" w:rsidP="00CA5D51">
      <w:pPr>
        <w:rPr>
          <w:rFonts w:cs="Arial"/>
          <w:color w:val="000000"/>
        </w:rPr>
      </w:pPr>
    </w:p>
    <w:p w:rsidR="00CA5D51" w:rsidRPr="0085244D" w:rsidRDefault="00CA5D51" w:rsidP="00CA5D51">
      <w:pPr>
        <w:widowControl w:val="0"/>
        <w:spacing w:before="100" w:beforeAutospacing="1" w:after="100" w:afterAutospacing="1"/>
        <w:ind w:left="-360" w:firstLine="360"/>
        <w:rPr>
          <w:rFonts w:cs="Arial"/>
          <w:b/>
          <w:i/>
        </w:rPr>
      </w:pPr>
      <w:r w:rsidRPr="0085244D">
        <w:rPr>
          <w:rFonts w:cs="Arial"/>
          <w:b/>
          <w:i/>
        </w:rPr>
        <w:t>5. Análisis de Objetivos de Desarrollo Sostenible (ODS)</w:t>
      </w:r>
      <w:r w:rsidRPr="0085244D">
        <w:rPr>
          <w:rStyle w:val="Refdenotaalpie"/>
          <w:rFonts w:cs="Arial"/>
        </w:rPr>
        <w:footnoteReference w:id="6"/>
      </w:r>
    </w:p>
    <w:p w:rsidR="00CA5D51" w:rsidRPr="0085244D" w:rsidRDefault="00CA5D51" w:rsidP="00CA5D51">
      <w:pPr>
        <w:spacing w:before="100" w:beforeAutospacing="1" w:after="100" w:afterAutospacing="1"/>
        <w:rPr>
          <w:rFonts w:eastAsia="Arial" w:cs="Arial"/>
        </w:rPr>
      </w:pPr>
      <w:r w:rsidRPr="0085244D">
        <w:rPr>
          <w:rFonts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85244D">
        <w:rPr>
          <w:rFonts w:eastAsia="Arial" w:cs="Arial"/>
          <w:vertAlign w:val="superscript"/>
        </w:rPr>
        <w:footnoteReference w:id="7"/>
      </w:r>
      <w:r w:rsidRPr="0085244D">
        <w:rPr>
          <w:rFonts w:eastAsia="Arial" w:cs="Arial"/>
        </w:rPr>
        <w:t>.</w:t>
      </w:r>
    </w:p>
    <w:p w:rsidR="00CA5D51" w:rsidRPr="00C552C7" w:rsidRDefault="00CA5D51" w:rsidP="00CA5D51">
      <w:pPr>
        <w:spacing w:before="100" w:beforeAutospacing="1" w:after="100" w:afterAutospacing="1"/>
        <w:rPr>
          <w:rFonts w:cs="Arial"/>
        </w:rPr>
      </w:pPr>
      <w:r w:rsidRPr="0085244D">
        <w:rPr>
          <w:rFonts w:cs="Arial"/>
        </w:rPr>
        <w:t>Se analizaron las intervenciones del Anexo para identificar las asignaciones presupuestarias a los programas y acciones clasificados como inversión para la infancia temprana en el Estado que contribuyen al cumplimiento de las metas de los ODS. La inclusión de los ODS es fundamental al formar parte de los compromisos del Plan Estatal de Desarrollo 2018</w:t>
      </w:r>
      <w:r w:rsidRPr="00C552C7">
        <w:rPr>
          <w:rFonts w:cs="Arial"/>
        </w:rPr>
        <w:t>-2024.</w:t>
      </w:r>
    </w:p>
    <w:p w:rsidR="00CA5D51" w:rsidRPr="00C552C7" w:rsidRDefault="00CA5D51" w:rsidP="00CA5D51">
      <w:pPr>
        <w:spacing w:before="100" w:beforeAutospacing="1" w:after="100" w:afterAutospacing="1"/>
        <w:rPr>
          <w:rFonts w:eastAsia="Arial" w:cs="Arial"/>
        </w:rPr>
      </w:pPr>
      <w:r w:rsidRPr="00C552C7">
        <w:rPr>
          <w:rFonts w:cs="Arial"/>
          <w:b/>
        </w:rPr>
        <w:t xml:space="preserve"> Análisis de Resultados</w:t>
      </w:r>
    </w:p>
    <w:p w:rsidR="00CA5D51" w:rsidRDefault="00CA5D51" w:rsidP="00CA5D51">
      <w:pPr>
        <w:spacing w:before="100" w:beforeAutospacing="1" w:after="100" w:afterAutospacing="1"/>
        <w:rPr>
          <w:rFonts w:eastAsia="Arial" w:cs="Arial"/>
        </w:rPr>
      </w:pPr>
      <w:r>
        <w:rPr>
          <w:rFonts w:eastAsia="Arial" w:cs="Arial"/>
        </w:rPr>
        <w:t>L</w:t>
      </w:r>
      <w:r w:rsidRPr="006D3152">
        <w:rPr>
          <w:rFonts w:eastAsia="Arial" w:cs="Arial"/>
        </w:rPr>
        <w:t>a inversión en infancia temprana representa el 8.45% del total del presupuesto estatal y el 9.63% del gasto</w:t>
      </w:r>
      <w:r w:rsidRPr="00C552C7">
        <w:rPr>
          <w:rFonts w:eastAsia="Arial" w:cs="Arial"/>
        </w:rPr>
        <w:t xml:space="preserve"> programable.</w:t>
      </w:r>
      <w:r>
        <w:rPr>
          <w:rFonts w:eastAsia="Arial" w:cs="Arial"/>
        </w:rPr>
        <w:t xml:space="preserve"> E</w:t>
      </w:r>
      <w:r w:rsidRPr="00E85E73">
        <w:rPr>
          <w:rFonts w:eastAsia="Arial" w:cs="Arial"/>
        </w:rPr>
        <w:t xml:space="preserve">l Presupuesto de Egresos 2022 </w:t>
      </w:r>
      <w:r>
        <w:rPr>
          <w:rFonts w:eastAsia="Arial" w:cs="Arial"/>
        </w:rPr>
        <w:t xml:space="preserve">destina una </w:t>
      </w:r>
      <w:r w:rsidRPr="00C552C7">
        <w:rPr>
          <w:rFonts w:eastAsia="Arial" w:cs="Arial"/>
        </w:rPr>
        <w:t xml:space="preserve">inversión </w:t>
      </w:r>
      <w:r>
        <w:rPr>
          <w:rFonts w:eastAsia="Arial" w:cs="Arial"/>
        </w:rPr>
        <w:t xml:space="preserve">para la </w:t>
      </w:r>
      <w:r w:rsidRPr="00C552C7">
        <w:rPr>
          <w:rFonts w:eastAsia="Arial" w:cs="Arial"/>
        </w:rPr>
        <w:t xml:space="preserve">infancia temprana </w:t>
      </w:r>
      <w:r>
        <w:rPr>
          <w:rFonts w:eastAsia="Arial" w:cs="Arial"/>
        </w:rPr>
        <w:t xml:space="preserve">que </w:t>
      </w:r>
      <w:r w:rsidRPr="00E85E73">
        <w:rPr>
          <w:rFonts w:eastAsia="Arial" w:cs="Arial"/>
        </w:rPr>
        <w:t>asciende a 3 mil 888 millones 824 mil 076</w:t>
      </w:r>
      <w:r>
        <w:rPr>
          <w:rFonts w:eastAsia="Arial" w:cs="Arial"/>
        </w:rPr>
        <w:t xml:space="preserve"> pesos. </w:t>
      </w:r>
    </w:p>
    <w:p w:rsidR="00CA5D51" w:rsidRPr="00E85E73" w:rsidRDefault="00CA5D51" w:rsidP="00CA5D51">
      <w:pPr>
        <w:spacing w:before="100" w:beforeAutospacing="1" w:after="100" w:afterAutospacing="1"/>
        <w:rPr>
          <w:rFonts w:eastAsia="Times New Roman" w:cs="Arial"/>
          <w:b/>
          <w:bCs/>
          <w:color w:val="000000"/>
          <w:lang w:eastAsia="es-MX"/>
        </w:rPr>
      </w:pPr>
      <w:r>
        <w:rPr>
          <w:rFonts w:eastAsia="Arial" w:cs="Arial"/>
        </w:rPr>
        <w:t xml:space="preserve">La primera infancia es un subgrupo importante de la población de 0 a menores de 18 años y esta </w:t>
      </w:r>
      <w:r w:rsidRPr="00E85E73">
        <w:rPr>
          <w:rFonts w:eastAsia="Arial" w:cs="Arial"/>
        </w:rPr>
        <w:t xml:space="preserve">representa el 33.12%, de lo que se invierte en la población de 0 a </w:t>
      </w:r>
      <w:r>
        <w:rPr>
          <w:rFonts w:eastAsia="Arial" w:cs="Arial"/>
        </w:rPr>
        <w:t xml:space="preserve">menores de 18 años </w:t>
      </w:r>
      <w:r w:rsidRPr="00E85E73">
        <w:rPr>
          <w:rFonts w:eastAsia="Arial" w:cs="Arial"/>
        </w:rPr>
        <w:t xml:space="preserve">(Tabla 3). </w:t>
      </w:r>
    </w:p>
    <w:p w:rsidR="00CA5D51" w:rsidRPr="00E85E73" w:rsidRDefault="00CA5D51" w:rsidP="00CA5D51">
      <w:pPr>
        <w:spacing w:before="100" w:beforeAutospacing="1" w:after="100" w:afterAutospacing="1"/>
        <w:jc w:val="center"/>
        <w:rPr>
          <w:rFonts w:eastAsia="Arial" w:cs="Arial"/>
          <w:b/>
          <w:bCs/>
          <w:w w:val="103"/>
        </w:rPr>
      </w:pPr>
      <w:r w:rsidRPr="00E85E73">
        <w:rPr>
          <w:rFonts w:eastAsia="Arial" w:cs="Arial"/>
          <w:b/>
          <w:bCs/>
          <w:w w:val="103"/>
        </w:rPr>
        <w:t>Tabla 3. Inversión en infancia y adolescencia e infancia temprana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8"/>
        <w:gridCol w:w="2128"/>
      </w:tblGrid>
      <w:tr w:rsidR="00CA5D51" w:rsidRPr="00EE6AF7" w:rsidTr="00EE6AF7">
        <w:trPr>
          <w:trHeight w:val="498"/>
          <w:jc w:val="center"/>
        </w:trPr>
        <w:tc>
          <w:tcPr>
            <w:tcW w:w="0" w:type="auto"/>
            <w:shd w:val="clear" w:color="auto" w:fill="808080"/>
            <w:noWrap/>
            <w:vAlign w:val="center"/>
            <w:hideMark/>
          </w:tcPr>
          <w:p w:rsidR="00CA5D51" w:rsidRPr="00EE6AF7" w:rsidRDefault="00CA5D51" w:rsidP="0056150B">
            <w:pPr>
              <w:spacing w:before="100" w:beforeAutospacing="1" w:after="100" w:afterAutospacing="1"/>
              <w:jc w:val="center"/>
              <w:rPr>
                <w:rFonts w:cs="Arial"/>
                <w:b/>
                <w:bCs/>
              </w:rPr>
            </w:pPr>
            <w:r w:rsidRPr="00EE6AF7">
              <w:rPr>
                <w:rFonts w:cs="Arial"/>
                <w:b/>
                <w:bCs/>
              </w:rPr>
              <w:t>Categorías</w:t>
            </w:r>
          </w:p>
        </w:tc>
        <w:tc>
          <w:tcPr>
            <w:tcW w:w="0" w:type="auto"/>
            <w:shd w:val="clear" w:color="auto" w:fill="808080"/>
            <w:noWrap/>
            <w:vAlign w:val="center"/>
            <w:hideMark/>
          </w:tcPr>
          <w:p w:rsidR="00CA5D51" w:rsidRPr="00EE6AF7" w:rsidRDefault="00CA5D51" w:rsidP="0056150B">
            <w:pPr>
              <w:spacing w:before="100" w:beforeAutospacing="1" w:after="100" w:afterAutospacing="1"/>
              <w:jc w:val="center"/>
              <w:rPr>
                <w:rFonts w:cs="Arial"/>
                <w:b/>
              </w:rPr>
            </w:pPr>
            <w:r w:rsidRPr="00EE6AF7">
              <w:rPr>
                <w:rFonts w:cs="Arial"/>
                <w:b/>
                <w:bCs/>
              </w:rPr>
              <w:t>Inversión (pesos)</w:t>
            </w:r>
          </w:p>
        </w:tc>
      </w:tr>
      <w:tr w:rsidR="00CA5D51" w:rsidRPr="00EE6AF7" w:rsidTr="0056150B">
        <w:trPr>
          <w:trHeight w:val="105"/>
          <w:jc w:val="center"/>
        </w:trPr>
        <w:tc>
          <w:tcPr>
            <w:tcW w:w="0" w:type="auto"/>
            <w:shd w:val="clear" w:color="auto" w:fill="auto"/>
            <w:noWrap/>
            <w:vAlign w:val="center"/>
            <w:hideMark/>
          </w:tcPr>
          <w:p w:rsidR="00CA5D51" w:rsidRPr="00E85E73" w:rsidRDefault="00CA5D51" w:rsidP="0056150B">
            <w:pPr>
              <w:spacing w:before="100" w:beforeAutospacing="1" w:after="100" w:afterAutospacing="1"/>
              <w:rPr>
                <w:rFonts w:eastAsia="Times New Roman" w:cs="Arial"/>
                <w:b/>
                <w:bCs/>
                <w:lang w:eastAsia="es-MX"/>
              </w:rPr>
            </w:pPr>
            <w:r w:rsidRPr="00E85E73">
              <w:rPr>
                <w:rFonts w:eastAsia="Times New Roman" w:cs="Arial"/>
                <w:b/>
                <w:bCs/>
                <w:lang w:eastAsia="es-MX"/>
              </w:rPr>
              <w:t>Presupuesto no destinado a inversión en infancia</w:t>
            </w:r>
          </w:p>
        </w:tc>
        <w:tc>
          <w:tcPr>
            <w:tcW w:w="0" w:type="auto"/>
            <w:shd w:val="clear" w:color="auto" w:fill="auto"/>
            <w:noWrap/>
            <w:vAlign w:val="center"/>
            <w:hideMark/>
          </w:tcPr>
          <w:p w:rsidR="00CA5D51" w:rsidRPr="00E85E73" w:rsidRDefault="00CA5D51" w:rsidP="0056150B">
            <w:pPr>
              <w:spacing w:before="100" w:beforeAutospacing="1" w:after="100" w:afterAutospacing="1"/>
              <w:jc w:val="right"/>
              <w:rPr>
                <w:rFonts w:eastAsia="Times New Roman" w:cs="Arial"/>
                <w:bCs/>
                <w:lang w:eastAsia="es-MX"/>
              </w:rPr>
            </w:pPr>
            <w:r>
              <w:rPr>
                <w:rFonts w:eastAsia="Times New Roman" w:cs="Arial"/>
                <w:bCs/>
                <w:lang w:eastAsia="es-MX"/>
              </w:rPr>
              <w:t>34,296,960,090</w:t>
            </w:r>
          </w:p>
        </w:tc>
      </w:tr>
      <w:tr w:rsidR="00CA5D51" w:rsidRPr="00EE6AF7" w:rsidTr="0056150B">
        <w:trPr>
          <w:trHeight w:val="105"/>
          <w:jc w:val="center"/>
        </w:trPr>
        <w:tc>
          <w:tcPr>
            <w:tcW w:w="0" w:type="auto"/>
            <w:shd w:val="clear" w:color="auto" w:fill="auto"/>
            <w:noWrap/>
            <w:vAlign w:val="center"/>
            <w:hideMark/>
          </w:tcPr>
          <w:p w:rsidR="00CA5D51" w:rsidRPr="00E85E73" w:rsidRDefault="00CA5D51" w:rsidP="0056150B">
            <w:pPr>
              <w:spacing w:before="100" w:beforeAutospacing="1" w:after="100" w:afterAutospacing="1"/>
              <w:rPr>
                <w:rFonts w:eastAsia="Times New Roman" w:cs="Arial"/>
                <w:b/>
                <w:bCs/>
                <w:lang w:eastAsia="es-MX"/>
              </w:rPr>
            </w:pPr>
            <w:r w:rsidRPr="00E85E73">
              <w:rPr>
                <w:rFonts w:eastAsia="Times New Roman" w:cs="Arial"/>
                <w:b/>
                <w:bCs/>
                <w:lang w:eastAsia="es-MX"/>
              </w:rPr>
              <w:t>Inversión en infancia</w:t>
            </w:r>
          </w:p>
        </w:tc>
        <w:tc>
          <w:tcPr>
            <w:tcW w:w="0" w:type="auto"/>
            <w:shd w:val="clear" w:color="auto" w:fill="auto"/>
            <w:noWrap/>
            <w:vAlign w:val="center"/>
            <w:hideMark/>
          </w:tcPr>
          <w:p w:rsidR="00CA5D51" w:rsidRPr="00E85E73" w:rsidRDefault="00CA5D51" w:rsidP="0056150B">
            <w:pPr>
              <w:spacing w:before="100" w:beforeAutospacing="1" w:after="100" w:afterAutospacing="1"/>
              <w:jc w:val="right"/>
              <w:rPr>
                <w:rFonts w:eastAsia="Times New Roman" w:cs="Arial"/>
                <w:bCs/>
                <w:lang w:eastAsia="es-MX"/>
              </w:rPr>
            </w:pPr>
            <w:r w:rsidRPr="00E85E73">
              <w:rPr>
                <w:rFonts w:eastAsia="Times New Roman" w:cs="Arial"/>
                <w:bCs/>
                <w:lang w:eastAsia="es-MX"/>
              </w:rPr>
              <w:t>11,741,090,231</w:t>
            </w:r>
          </w:p>
        </w:tc>
      </w:tr>
      <w:tr w:rsidR="00CA5D51" w:rsidRPr="00EE6AF7" w:rsidTr="0056150B">
        <w:trPr>
          <w:trHeight w:val="20"/>
          <w:jc w:val="center"/>
        </w:trPr>
        <w:tc>
          <w:tcPr>
            <w:tcW w:w="0" w:type="auto"/>
            <w:shd w:val="clear" w:color="auto" w:fill="auto"/>
            <w:noWrap/>
            <w:vAlign w:val="center"/>
            <w:hideMark/>
          </w:tcPr>
          <w:p w:rsidR="00CA5D51" w:rsidRPr="00E85E73" w:rsidRDefault="00CA5D51" w:rsidP="00CA5D51">
            <w:pPr>
              <w:pStyle w:val="Prrafodelista"/>
              <w:numPr>
                <w:ilvl w:val="0"/>
                <w:numId w:val="15"/>
              </w:numPr>
              <w:spacing w:after="0" w:line="240" w:lineRule="auto"/>
              <w:jc w:val="left"/>
              <w:rPr>
                <w:rFonts w:ascii="Arial" w:eastAsia="Times New Roman" w:hAnsi="Arial" w:cs="Arial"/>
                <w:bCs/>
                <w:szCs w:val="24"/>
                <w:lang w:eastAsia="es-MX"/>
              </w:rPr>
            </w:pPr>
            <w:r w:rsidRPr="00E85E73">
              <w:rPr>
                <w:rFonts w:ascii="Arial" w:eastAsia="Times New Roman" w:hAnsi="Arial" w:cs="Arial"/>
                <w:bCs/>
                <w:szCs w:val="24"/>
                <w:lang w:eastAsia="es-MX"/>
              </w:rPr>
              <w:t xml:space="preserve">Población de 7 a </w:t>
            </w:r>
            <w:r>
              <w:rPr>
                <w:rFonts w:ascii="Arial" w:eastAsia="Times New Roman" w:hAnsi="Arial" w:cs="Arial"/>
                <w:bCs/>
                <w:szCs w:val="24"/>
                <w:lang w:eastAsia="es-MX"/>
              </w:rPr>
              <w:t>menores de 18</w:t>
            </w:r>
            <w:r w:rsidRPr="00E85E73">
              <w:rPr>
                <w:rFonts w:ascii="Arial" w:eastAsia="Times New Roman" w:hAnsi="Arial" w:cs="Arial"/>
                <w:bCs/>
                <w:szCs w:val="24"/>
                <w:lang w:eastAsia="es-MX"/>
              </w:rPr>
              <w:t xml:space="preserve"> años</w:t>
            </w:r>
          </w:p>
        </w:tc>
        <w:tc>
          <w:tcPr>
            <w:tcW w:w="0" w:type="auto"/>
            <w:shd w:val="clear" w:color="auto" w:fill="auto"/>
            <w:noWrap/>
            <w:vAlign w:val="center"/>
            <w:hideMark/>
          </w:tcPr>
          <w:p w:rsidR="00CA5D51" w:rsidRPr="00E85E73" w:rsidRDefault="00CA5D51" w:rsidP="0056150B">
            <w:pPr>
              <w:jc w:val="right"/>
              <w:rPr>
                <w:rFonts w:eastAsia="Times New Roman" w:cs="Arial"/>
                <w:bCs/>
                <w:lang w:eastAsia="es-MX"/>
              </w:rPr>
            </w:pPr>
            <w:r w:rsidRPr="00E85E73">
              <w:rPr>
                <w:rFonts w:eastAsia="Times New Roman" w:cs="Arial"/>
                <w:bCs/>
                <w:lang w:eastAsia="es-MX"/>
              </w:rPr>
              <w:t>7,852,266,155</w:t>
            </w:r>
          </w:p>
        </w:tc>
      </w:tr>
      <w:tr w:rsidR="00CA5D51" w:rsidRPr="00EE6AF7" w:rsidTr="0056150B">
        <w:trPr>
          <w:trHeight w:val="20"/>
          <w:jc w:val="center"/>
        </w:trPr>
        <w:tc>
          <w:tcPr>
            <w:tcW w:w="0" w:type="auto"/>
            <w:shd w:val="clear" w:color="auto" w:fill="auto"/>
            <w:noWrap/>
            <w:vAlign w:val="center"/>
            <w:hideMark/>
          </w:tcPr>
          <w:p w:rsidR="00CA5D51" w:rsidRPr="00E85E73" w:rsidRDefault="00CA5D51" w:rsidP="00CA5D51">
            <w:pPr>
              <w:pStyle w:val="Prrafodelista"/>
              <w:numPr>
                <w:ilvl w:val="0"/>
                <w:numId w:val="15"/>
              </w:numPr>
              <w:spacing w:after="0" w:line="240" w:lineRule="auto"/>
              <w:jc w:val="left"/>
              <w:rPr>
                <w:rFonts w:ascii="Arial" w:eastAsia="Times New Roman" w:hAnsi="Arial" w:cs="Arial"/>
                <w:bCs/>
                <w:szCs w:val="24"/>
                <w:lang w:eastAsia="es-MX"/>
              </w:rPr>
            </w:pPr>
            <w:r w:rsidRPr="00E85E73">
              <w:rPr>
                <w:rFonts w:ascii="Arial" w:eastAsia="Times New Roman" w:hAnsi="Arial" w:cs="Arial"/>
                <w:bCs/>
                <w:szCs w:val="24"/>
                <w:lang w:eastAsia="es-MX"/>
              </w:rPr>
              <w:t>Infancia temprana (0 a 6 años)</w:t>
            </w:r>
          </w:p>
        </w:tc>
        <w:tc>
          <w:tcPr>
            <w:tcW w:w="0" w:type="auto"/>
            <w:shd w:val="clear" w:color="auto" w:fill="auto"/>
            <w:noWrap/>
            <w:vAlign w:val="center"/>
            <w:hideMark/>
          </w:tcPr>
          <w:p w:rsidR="00CA5D51" w:rsidRPr="00E85E73" w:rsidRDefault="00CA5D51" w:rsidP="0056150B">
            <w:pPr>
              <w:jc w:val="right"/>
              <w:rPr>
                <w:rFonts w:eastAsia="Times New Roman" w:cs="Arial"/>
                <w:b/>
                <w:bCs/>
                <w:lang w:eastAsia="es-MX"/>
              </w:rPr>
            </w:pPr>
            <w:r w:rsidRPr="00E85E73">
              <w:rPr>
                <w:rFonts w:eastAsia="Times New Roman" w:cs="Arial"/>
                <w:b/>
                <w:bCs/>
                <w:lang w:eastAsia="es-MX"/>
              </w:rPr>
              <w:t>3,888,824,076</w:t>
            </w:r>
          </w:p>
        </w:tc>
      </w:tr>
      <w:tr w:rsidR="00CA5D51" w:rsidRPr="00EE6AF7" w:rsidTr="00EE6AF7">
        <w:trPr>
          <w:trHeight w:val="47"/>
          <w:jc w:val="center"/>
        </w:trPr>
        <w:tc>
          <w:tcPr>
            <w:tcW w:w="0" w:type="auto"/>
            <w:shd w:val="clear" w:color="auto" w:fill="808080"/>
            <w:noWrap/>
            <w:vAlign w:val="center"/>
            <w:hideMark/>
          </w:tcPr>
          <w:p w:rsidR="00CA5D51" w:rsidRPr="00EE6AF7" w:rsidRDefault="00CA5D51" w:rsidP="0056150B">
            <w:pPr>
              <w:spacing w:before="100" w:beforeAutospacing="1" w:after="100" w:afterAutospacing="1"/>
              <w:jc w:val="center"/>
              <w:rPr>
                <w:rFonts w:cs="Arial"/>
                <w:b/>
              </w:rPr>
            </w:pPr>
            <w:r w:rsidRPr="00EE6AF7">
              <w:rPr>
                <w:rFonts w:cs="Arial"/>
                <w:b/>
                <w:bCs/>
              </w:rPr>
              <w:t>Total</w:t>
            </w:r>
          </w:p>
        </w:tc>
        <w:tc>
          <w:tcPr>
            <w:tcW w:w="0" w:type="auto"/>
            <w:shd w:val="clear" w:color="auto" w:fill="808080"/>
            <w:noWrap/>
            <w:vAlign w:val="center"/>
            <w:hideMark/>
          </w:tcPr>
          <w:p w:rsidR="00CA5D51" w:rsidRPr="00EE6AF7" w:rsidRDefault="00CA5D51" w:rsidP="0056150B">
            <w:pPr>
              <w:spacing w:before="100" w:beforeAutospacing="1" w:after="100" w:afterAutospacing="1"/>
              <w:jc w:val="right"/>
              <w:rPr>
                <w:rFonts w:cs="Arial"/>
                <w:b/>
                <w:bCs/>
              </w:rPr>
            </w:pPr>
            <w:r w:rsidRPr="00EE6AF7">
              <w:rPr>
                <w:rFonts w:cs="Arial"/>
                <w:b/>
                <w:bCs/>
              </w:rPr>
              <w:t>46,038,050,321</w:t>
            </w:r>
          </w:p>
        </w:tc>
      </w:tr>
    </w:tbl>
    <w:p w:rsidR="00CA5D51" w:rsidRPr="006D3152" w:rsidRDefault="00CA5D51" w:rsidP="00CA5D51">
      <w:pPr>
        <w:spacing w:after="100" w:afterAutospacing="1"/>
        <w:jc w:val="center"/>
        <w:rPr>
          <w:rFonts w:eastAsia="Arial" w:cs="Arial"/>
        </w:rPr>
      </w:pPr>
      <w:r w:rsidRPr="006D3152">
        <w:rPr>
          <w:rFonts w:eastAsia="Arial" w:cs="Arial"/>
        </w:rPr>
        <w:t>Fuente: Elaboración propia.</w:t>
      </w:r>
    </w:p>
    <w:p w:rsidR="00CA5D51" w:rsidRPr="00C552C7" w:rsidRDefault="00CA5D51" w:rsidP="00CA5D51">
      <w:pPr>
        <w:spacing w:before="100" w:beforeAutospacing="1" w:after="100" w:afterAutospacing="1"/>
        <w:rPr>
          <w:rFonts w:eastAsia="Arial" w:cs="Arial"/>
        </w:rPr>
      </w:pPr>
      <w:r>
        <w:rPr>
          <w:rFonts w:eastAsia="Arial" w:cs="Arial"/>
        </w:rPr>
        <w:t xml:space="preserve">En cuanto a las </w:t>
      </w:r>
      <w:r w:rsidRPr="00C552C7">
        <w:rPr>
          <w:rFonts w:eastAsia="Arial" w:cs="Arial"/>
        </w:rPr>
        <w:t>asign</w:t>
      </w:r>
      <w:r>
        <w:rPr>
          <w:rFonts w:eastAsia="Arial" w:cs="Arial"/>
        </w:rPr>
        <w:t>a</w:t>
      </w:r>
      <w:r w:rsidRPr="00C552C7">
        <w:rPr>
          <w:rFonts w:eastAsia="Arial" w:cs="Arial"/>
        </w:rPr>
        <w:t xml:space="preserve">ciones con enfoque por derechos, la inversión </w:t>
      </w:r>
      <w:r>
        <w:rPr>
          <w:rFonts w:eastAsia="Arial" w:cs="Arial"/>
        </w:rPr>
        <w:t>para la población objeto de este anexo</w:t>
      </w:r>
      <w:r w:rsidRPr="00C552C7">
        <w:rPr>
          <w:rFonts w:eastAsia="Arial" w:cs="Arial"/>
        </w:rPr>
        <w:t xml:space="preserve"> centra su atención en dos derechos: </w:t>
      </w:r>
    </w:p>
    <w:p w:rsidR="00CA5D51" w:rsidRPr="008D2736" w:rsidRDefault="00CA5D51" w:rsidP="00CA5D51">
      <w:pPr>
        <w:pStyle w:val="Prrafodelista"/>
        <w:numPr>
          <w:ilvl w:val="0"/>
          <w:numId w:val="12"/>
        </w:numPr>
        <w:spacing w:before="100" w:beforeAutospacing="1" w:after="100" w:afterAutospacing="1" w:line="240" w:lineRule="auto"/>
        <w:rPr>
          <w:rFonts w:ascii="Arial" w:eastAsia="Arial" w:hAnsi="Arial" w:cs="Arial"/>
          <w:szCs w:val="24"/>
        </w:rPr>
      </w:pPr>
      <w:r w:rsidRPr="00C552C7">
        <w:rPr>
          <w:rFonts w:ascii="Arial" w:eastAsia="Arial" w:hAnsi="Arial" w:cs="Arial"/>
          <w:szCs w:val="24"/>
        </w:rPr>
        <w:t xml:space="preserve">El “derecho </w:t>
      </w:r>
      <w:r w:rsidRPr="006D3152">
        <w:rPr>
          <w:rFonts w:ascii="Arial" w:eastAsia="Arial" w:hAnsi="Arial" w:cs="Arial"/>
          <w:szCs w:val="24"/>
        </w:rPr>
        <w:t xml:space="preserve">al desarrollo” cuyo importe de 2,419,561,660 corresponde al 62.22% del total </w:t>
      </w:r>
      <w:r>
        <w:rPr>
          <w:rFonts w:ascii="Arial" w:eastAsia="Arial" w:hAnsi="Arial" w:cs="Arial"/>
          <w:szCs w:val="24"/>
        </w:rPr>
        <w:t>invertido</w:t>
      </w:r>
      <w:r w:rsidRPr="006D3152">
        <w:rPr>
          <w:rFonts w:ascii="Arial" w:eastAsia="Arial" w:hAnsi="Arial" w:cs="Arial"/>
          <w:szCs w:val="24"/>
        </w:rPr>
        <w:t xml:space="preserve">, y se distribuye en la atención educativa, recreativa y de </w:t>
      </w:r>
      <w:r w:rsidRPr="008D2736">
        <w:rPr>
          <w:rFonts w:ascii="Arial" w:eastAsia="Arial" w:hAnsi="Arial" w:cs="Arial"/>
          <w:szCs w:val="24"/>
        </w:rPr>
        <w:t>asiste</w:t>
      </w:r>
      <w:r>
        <w:rPr>
          <w:rFonts w:ascii="Arial" w:eastAsia="Arial" w:hAnsi="Arial" w:cs="Arial"/>
          <w:szCs w:val="24"/>
        </w:rPr>
        <w:t>n</w:t>
      </w:r>
      <w:r w:rsidRPr="008D2736">
        <w:rPr>
          <w:rFonts w:ascii="Arial" w:eastAsia="Arial" w:hAnsi="Arial" w:cs="Arial"/>
          <w:szCs w:val="24"/>
        </w:rPr>
        <w:t>cia social de los niños de 0 a 6 años.</w:t>
      </w:r>
    </w:p>
    <w:p w:rsidR="00CA5D51" w:rsidRPr="008D2736" w:rsidRDefault="00CA5D51" w:rsidP="00CA5D51">
      <w:pPr>
        <w:pStyle w:val="Prrafodelista"/>
        <w:numPr>
          <w:ilvl w:val="0"/>
          <w:numId w:val="12"/>
        </w:numPr>
        <w:spacing w:before="100" w:beforeAutospacing="1" w:after="100" w:afterAutospacing="1" w:line="240" w:lineRule="auto"/>
        <w:rPr>
          <w:rFonts w:ascii="Arial" w:eastAsia="Arial" w:hAnsi="Arial" w:cs="Arial"/>
          <w:szCs w:val="24"/>
        </w:rPr>
      </w:pPr>
      <w:r w:rsidRPr="008D2736">
        <w:rPr>
          <w:rFonts w:ascii="Arial" w:eastAsia="Arial" w:hAnsi="Arial" w:cs="Arial"/>
          <w:szCs w:val="24"/>
        </w:rPr>
        <w:t xml:space="preserve">El “derecho </w:t>
      </w:r>
      <w:r>
        <w:rPr>
          <w:rFonts w:ascii="Arial" w:eastAsia="Arial" w:hAnsi="Arial" w:cs="Arial"/>
          <w:szCs w:val="24"/>
        </w:rPr>
        <w:t xml:space="preserve">a </w:t>
      </w:r>
      <w:r w:rsidRPr="008D2736">
        <w:rPr>
          <w:rFonts w:ascii="Arial" w:eastAsia="Arial" w:hAnsi="Arial" w:cs="Arial"/>
          <w:szCs w:val="24"/>
        </w:rPr>
        <w:t>la supervivencia” concentra el 34.17% de l</w:t>
      </w:r>
      <w:r>
        <w:rPr>
          <w:rFonts w:ascii="Arial" w:eastAsia="Arial" w:hAnsi="Arial" w:cs="Arial"/>
          <w:szCs w:val="24"/>
        </w:rPr>
        <w:t>os recursos</w:t>
      </w:r>
      <w:r w:rsidRPr="008D2736">
        <w:rPr>
          <w:rFonts w:ascii="Arial" w:eastAsia="Arial" w:hAnsi="Arial" w:cs="Arial"/>
          <w:szCs w:val="24"/>
        </w:rPr>
        <w:t xml:space="preserve"> total</w:t>
      </w:r>
      <w:r>
        <w:rPr>
          <w:rFonts w:ascii="Arial" w:eastAsia="Arial" w:hAnsi="Arial" w:cs="Arial"/>
          <w:szCs w:val="24"/>
        </w:rPr>
        <w:t>es destinados</w:t>
      </w:r>
      <w:r w:rsidRPr="008D2736">
        <w:rPr>
          <w:rFonts w:ascii="Arial" w:eastAsia="Arial" w:hAnsi="Arial" w:cs="Arial"/>
          <w:szCs w:val="24"/>
        </w:rPr>
        <w:t xml:space="preserve"> a </w:t>
      </w:r>
      <w:r>
        <w:rPr>
          <w:rFonts w:ascii="Arial" w:eastAsia="Arial" w:hAnsi="Arial" w:cs="Arial"/>
          <w:szCs w:val="24"/>
        </w:rPr>
        <w:t xml:space="preserve"> la i</w:t>
      </w:r>
      <w:r w:rsidRPr="008D2736">
        <w:rPr>
          <w:rFonts w:ascii="Arial" w:eastAsia="Arial" w:hAnsi="Arial" w:cs="Arial"/>
          <w:szCs w:val="24"/>
        </w:rPr>
        <w:t>nfancia temprana con un importe de 1,328,899,558 y contempla acciones en beneficio de la salud y nutrición de los niños de 0 a 6 años.</w:t>
      </w:r>
    </w:p>
    <w:p w:rsidR="00CA5D51" w:rsidRPr="001E010C" w:rsidRDefault="00CA5D51" w:rsidP="00CA5D51">
      <w:pPr>
        <w:spacing w:before="100" w:beforeAutospacing="1" w:after="100" w:afterAutospacing="1"/>
        <w:rPr>
          <w:rFonts w:eastAsia="Arial" w:cs="Arial"/>
        </w:rPr>
      </w:pPr>
      <w:r w:rsidRPr="008D2736">
        <w:rPr>
          <w:rFonts w:eastAsia="Arial" w:cs="Arial"/>
        </w:rPr>
        <w:t xml:space="preserve">Los </w:t>
      </w:r>
      <w:r>
        <w:rPr>
          <w:rFonts w:eastAsia="Arial" w:cs="Arial"/>
        </w:rPr>
        <w:t xml:space="preserve">contribución en términos porcentuales </w:t>
      </w:r>
      <w:r w:rsidRPr="001E010C">
        <w:rPr>
          <w:rFonts w:eastAsia="Arial" w:cs="Arial"/>
        </w:rPr>
        <w:t>correspondiente a</w:t>
      </w:r>
      <w:r>
        <w:rPr>
          <w:rFonts w:eastAsia="Arial" w:cs="Arial"/>
        </w:rPr>
        <w:t xml:space="preserve"> </w:t>
      </w:r>
      <w:r w:rsidRPr="001E010C">
        <w:rPr>
          <w:rFonts w:eastAsia="Arial" w:cs="Arial"/>
        </w:rPr>
        <w:t>l</w:t>
      </w:r>
      <w:r>
        <w:rPr>
          <w:rFonts w:eastAsia="Arial" w:cs="Arial"/>
        </w:rPr>
        <w:t>os derechos</w:t>
      </w:r>
      <w:r w:rsidRPr="001E010C">
        <w:rPr>
          <w:rFonts w:eastAsia="Arial" w:cs="Arial"/>
        </w:rPr>
        <w:t xml:space="preserve"> “a la protección” y</w:t>
      </w:r>
      <w:r>
        <w:rPr>
          <w:rFonts w:eastAsia="Arial" w:cs="Arial"/>
        </w:rPr>
        <w:t xml:space="preserve"> “</w:t>
      </w:r>
      <w:r w:rsidRPr="001E010C">
        <w:rPr>
          <w:rFonts w:eastAsia="Arial" w:cs="Arial"/>
        </w:rPr>
        <w:t xml:space="preserve">a la participación” son del 3.56% y 0.05% respectivamente, </w:t>
      </w:r>
      <w:r>
        <w:rPr>
          <w:rFonts w:eastAsia="Arial" w:cs="Arial"/>
        </w:rPr>
        <w:t>con un importe de</w:t>
      </w:r>
      <w:r w:rsidRPr="001E010C">
        <w:rPr>
          <w:rFonts w:eastAsia="Arial" w:cs="Arial"/>
        </w:rPr>
        <w:t xml:space="preserve"> 140,362,858. </w:t>
      </w:r>
    </w:p>
    <w:p w:rsidR="000238D4" w:rsidRDefault="000238D4">
      <w:pPr>
        <w:jc w:val="left"/>
        <w:rPr>
          <w:rFonts w:eastAsia="Arial" w:cs="Arial"/>
          <w:b/>
          <w:bCs/>
          <w:w w:val="103"/>
        </w:rPr>
      </w:pPr>
      <w:r>
        <w:rPr>
          <w:rFonts w:eastAsia="Arial" w:cs="Arial"/>
          <w:b/>
          <w:bCs/>
          <w:w w:val="103"/>
        </w:rPr>
        <w:br w:type="page"/>
      </w:r>
    </w:p>
    <w:p w:rsidR="00CA5D51" w:rsidRPr="00C552C7" w:rsidRDefault="00CA5D51" w:rsidP="00CA5D51">
      <w:pPr>
        <w:spacing w:before="100" w:beforeAutospacing="1" w:after="100" w:afterAutospacing="1"/>
        <w:jc w:val="center"/>
        <w:rPr>
          <w:rFonts w:eastAsia="Arial" w:cs="Arial"/>
          <w:b/>
          <w:bCs/>
          <w:w w:val="103"/>
        </w:rPr>
      </w:pPr>
      <w:r w:rsidRPr="001E010C">
        <w:rPr>
          <w:rFonts w:eastAsia="Arial" w:cs="Arial"/>
          <w:b/>
          <w:bCs/>
          <w:w w:val="103"/>
        </w:rPr>
        <w:t>Gráfica 2. Inversión en infancia temprana por derecho</w:t>
      </w:r>
    </w:p>
    <w:p w:rsidR="00CA5D51" w:rsidRDefault="008A5EAC" w:rsidP="00CA5D51">
      <w:pPr>
        <w:jc w:val="center"/>
        <w:rPr>
          <w:rFonts w:eastAsia="Arial" w:cs="Arial"/>
          <w:b/>
          <w:bCs/>
          <w:w w:val="103"/>
        </w:rPr>
      </w:pPr>
      <w:r w:rsidRPr="00EE6AF7">
        <w:rPr>
          <w:rFonts w:cs="Arial"/>
          <w:noProof/>
          <w:lang w:eastAsia="es-MX"/>
        </w:rPr>
        <w:drawing>
          <wp:inline distT="0" distB="0" distL="0" distR="0">
            <wp:extent cx="5162550" cy="2247900"/>
            <wp:effectExtent l="0" t="0" r="0" b="0"/>
            <wp:docPr id="2"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A5D51" w:rsidRPr="00101B1A" w:rsidRDefault="00CA5D51" w:rsidP="00CA5D51">
      <w:pPr>
        <w:jc w:val="center"/>
        <w:rPr>
          <w:rFonts w:eastAsia="Arial" w:cs="Arial"/>
          <w:sz w:val="4"/>
          <w:szCs w:val="4"/>
        </w:rPr>
      </w:pPr>
    </w:p>
    <w:p w:rsidR="00CA5D51" w:rsidRPr="00217DB1" w:rsidRDefault="00CA5D51" w:rsidP="00CA5D51">
      <w:pPr>
        <w:jc w:val="center"/>
        <w:rPr>
          <w:rFonts w:eastAsia="Arial" w:cs="Arial"/>
          <w:b/>
          <w:bCs/>
          <w:w w:val="103"/>
        </w:rPr>
      </w:pPr>
      <w:r w:rsidRPr="00C552C7">
        <w:rPr>
          <w:rFonts w:eastAsia="Arial" w:cs="Arial"/>
        </w:rPr>
        <w:t>Fuente: Elaboración propia.</w:t>
      </w:r>
    </w:p>
    <w:p w:rsidR="00CA5D51" w:rsidRPr="00C552C7" w:rsidRDefault="00CA5D51" w:rsidP="00CA5D51">
      <w:pPr>
        <w:spacing w:before="100" w:beforeAutospacing="1" w:after="100" w:afterAutospacing="1"/>
        <w:rPr>
          <w:rFonts w:eastAsia="Arial" w:cs="Arial"/>
        </w:rPr>
      </w:pPr>
    </w:p>
    <w:p w:rsidR="00CA5D51" w:rsidRPr="00C552C7" w:rsidRDefault="00CA5D51" w:rsidP="00CA5D51">
      <w:pPr>
        <w:spacing w:before="100" w:beforeAutospacing="1" w:after="100" w:afterAutospacing="1"/>
        <w:rPr>
          <w:rFonts w:eastAsia="Arial" w:cs="Arial"/>
        </w:rPr>
      </w:pPr>
      <w:r w:rsidRPr="00C552C7">
        <w:rPr>
          <w:rFonts w:eastAsia="Arial" w:cs="Arial"/>
        </w:rPr>
        <w:t xml:space="preserve">Los </w:t>
      </w:r>
      <w:r w:rsidRPr="00D92EE4">
        <w:rPr>
          <w:rFonts w:eastAsia="Arial" w:cs="Arial"/>
        </w:rPr>
        <w:t xml:space="preserve">resultados del análisis de la especificidad de la inversión destaca que el 67.98% se destina a los agentes que actúan a favor de la niñez; el 19.60% a la inversión ampliada; el 7.04% atiende de manera directa a la población de 0 a 6 años y </w:t>
      </w:r>
      <w:r>
        <w:rPr>
          <w:rFonts w:eastAsia="Arial" w:cs="Arial"/>
        </w:rPr>
        <w:t xml:space="preserve">por último, </w:t>
      </w:r>
      <w:r w:rsidRPr="00D92EE4">
        <w:rPr>
          <w:rFonts w:eastAsia="Arial" w:cs="Arial"/>
        </w:rPr>
        <w:t xml:space="preserve">el 5.38% </w:t>
      </w:r>
      <w:r>
        <w:rPr>
          <w:rFonts w:eastAsia="Arial" w:cs="Arial"/>
        </w:rPr>
        <w:t xml:space="preserve">se destina a </w:t>
      </w:r>
      <w:r w:rsidRPr="00D92EE4">
        <w:rPr>
          <w:rFonts w:eastAsia="Arial" w:cs="Arial"/>
        </w:rPr>
        <w:t>bienes públicos</w:t>
      </w:r>
      <w:r w:rsidRPr="00C552C7">
        <w:rPr>
          <w:rFonts w:eastAsia="Arial" w:cs="Arial"/>
        </w:rPr>
        <w:t>.</w:t>
      </w:r>
    </w:p>
    <w:p w:rsidR="000238D4" w:rsidRDefault="000238D4">
      <w:pPr>
        <w:jc w:val="left"/>
        <w:rPr>
          <w:rFonts w:eastAsia="Arial" w:cs="Arial"/>
          <w:b/>
          <w:bCs/>
          <w:w w:val="103"/>
        </w:rPr>
      </w:pPr>
      <w:r>
        <w:rPr>
          <w:rFonts w:eastAsia="Arial" w:cs="Arial"/>
          <w:b/>
          <w:bCs/>
          <w:w w:val="103"/>
        </w:rPr>
        <w:br w:type="page"/>
      </w:r>
    </w:p>
    <w:p w:rsidR="00CA5D51" w:rsidRPr="00C552C7" w:rsidRDefault="00CA5D51" w:rsidP="00CA5D51">
      <w:pPr>
        <w:spacing w:before="100" w:beforeAutospacing="1" w:after="100" w:afterAutospacing="1"/>
        <w:jc w:val="center"/>
        <w:rPr>
          <w:rFonts w:eastAsia="Arial" w:cs="Arial"/>
          <w:b/>
          <w:bCs/>
          <w:w w:val="103"/>
        </w:rPr>
      </w:pPr>
      <w:r w:rsidRPr="00F720B9">
        <w:rPr>
          <w:rFonts w:eastAsia="Arial" w:cs="Arial"/>
          <w:b/>
          <w:bCs/>
          <w:w w:val="103"/>
        </w:rPr>
        <w:t>Gráfico 3. Especificidad de la inversión en infancia temprana</w:t>
      </w:r>
    </w:p>
    <w:p w:rsidR="00CA5D51" w:rsidRPr="00C552C7" w:rsidRDefault="008A5EAC" w:rsidP="00CA5D51">
      <w:pPr>
        <w:jc w:val="center"/>
        <w:rPr>
          <w:rFonts w:eastAsia="Arial" w:cs="Arial"/>
        </w:rPr>
      </w:pPr>
      <w:r w:rsidRPr="00EE6AF7">
        <w:rPr>
          <w:rFonts w:cs="Arial"/>
          <w:noProof/>
          <w:lang w:eastAsia="es-MX"/>
        </w:rPr>
        <w:drawing>
          <wp:inline distT="0" distB="0" distL="0" distR="0">
            <wp:extent cx="5310505" cy="2592070"/>
            <wp:effectExtent l="0" t="0" r="0" b="0"/>
            <wp:docPr id="3"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A5D51" w:rsidRPr="00951922" w:rsidRDefault="00CA5D51" w:rsidP="00CA5D51">
      <w:pPr>
        <w:jc w:val="center"/>
        <w:rPr>
          <w:rFonts w:eastAsia="Arial" w:cs="Arial"/>
          <w:sz w:val="4"/>
          <w:szCs w:val="4"/>
        </w:rPr>
      </w:pPr>
    </w:p>
    <w:p w:rsidR="00CA5D51" w:rsidRPr="00C552C7" w:rsidRDefault="00CA5D51" w:rsidP="00CA5D51">
      <w:pPr>
        <w:jc w:val="center"/>
        <w:rPr>
          <w:rFonts w:eastAsia="Arial" w:cs="Arial"/>
        </w:rPr>
      </w:pPr>
      <w:r w:rsidRPr="00C552C7">
        <w:rPr>
          <w:rFonts w:eastAsia="Arial" w:cs="Arial"/>
        </w:rPr>
        <w:t>Fuente: Elaboración propia.</w:t>
      </w:r>
    </w:p>
    <w:p w:rsidR="00CA5D51" w:rsidRPr="00A648D4" w:rsidRDefault="00CA5D51" w:rsidP="00CA5D51">
      <w:pPr>
        <w:autoSpaceDE w:val="0"/>
        <w:autoSpaceDN w:val="0"/>
        <w:spacing w:before="100" w:beforeAutospacing="1" w:after="100" w:afterAutospacing="1"/>
        <w:rPr>
          <w:rFonts w:eastAsia="Arial" w:cs="Arial"/>
        </w:rPr>
      </w:pPr>
      <w:r w:rsidRPr="00C552C7">
        <w:rPr>
          <w:rFonts w:cs="Arial"/>
        </w:rPr>
        <w:t>La</w:t>
      </w:r>
      <w:r>
        <w:rPr>
          <w:rFonts w:cs="Arial"/>
        </w:rPr>
        <w:t xml:space="preserve"> totalidad de los recursos destinados a la primera infancia</w:t>
      </w:r>
      <w:r w:rsidRPr="00A648D4">
        <w:rPr>
          <w:rFonts w:cs="Arial"/>
        </w:rPr>
        <w:t xml:space="preserve"> en el Estado está asignada </w:t>
      </w:r>
      <w:r>
        <w:rPr>
          <w:rFonts w:cs="Arial"/>
        </w:rPr>
        <w:t>a</w:t>
      </w:r>
      <w:r w:rsidRPr="00A648D4">
        <w:rPr>
          <w:rFonts w:cs="Arial"/>
        </w:rPr>
        <w:t xml:space="preserve"> </w:t>
      </w:r>
      <w:r>
        <w:rPr>
          <w:rFonts w:cs="Arial"/>
        </w:rPr>
        <w:t>23</w:t>
      </w:r>
      <w:r w:rsidRPr="00A648D4">
        <w:rPr>
          <w:rFonts w:cs="Arial"/>
        </w:rPr>
        <w:t xml:space="preserve"> Programas Presupuestarios </w:t>
      </w:r>
      <w:r>
        <w:rPr>
          <w:rFonts w:cs="Arial"/>
        </w:rPr>
        <w:t>que serán implementados por 1</w:t>
      </w:r>
      <w:r w:rsidRPr="00A648D4">
        <w:rPr>
          <w:rFonts w:cs="Arial"/>
        </w:rPr>
        <w:t>6 dependencias y entidades de la Administración Pública Estatal.</w:t>
      </w:r>
    </w:p>
    <w:p w:rsidR="00CA5D51" w:rsidRPr="00532376" w:rsidRDefault="00CA5D51" w:rsidP="00CA5D51">
      <w:pPr>
        <w:spacing w:before="100" w:beforeAutospacing="1" w:after="100" w:afterAutospacing="1"/>
        <w:rPr>
          <w:rFonts w:eastAsia="Arial" w:cs="Arial"/>
        </w:rPr>
      </w:pPr>
      <w:r>
        <w:rPr>
          <w:rFonts w:eastAsia="Arial" w:cs="Arial"/>
        </w:rPr>
        <w:t>De acuerdo al importe asignado a los programas presupuestarios, e</w:t>
      </w:r>
      <w:r w:rsidRPr="00A648D4">
        <w:rPr>
          <w:rFonts w:eastAsia="Arial" w:cs="Arial"/>
        </w:rPr>
        <w:t xml:space="preserve">n primer lugar se ubica Cobertura con Equidad en Educación Básica que incluye lo relativo a los servicios de </w:t>
      </w:r>
      <w:r w:rsidRPr="00180D8C">
        <w:rPr>
          <w:rFonts w:eastAsia="Arial" w:cs="Arial"/>
        </w:rPr>
        <w:t>educación básica, concentra el 59.77% de la inversión total destinada a Infancia temprana. En segundo lugar con un 9.02% está el Programa Presupuestario Prestación de Servicios de Salud, el cual es coordinado por OPD Servicios de Salud de Yucatán, y en tercer lugar con un 7.35% de la inversión se ubica el Programa de Atención Integral en Alimentación a Personas Sujetas de Asistencia Social coordinado por el Sistema para el Desarrollo Integral de la Familia en Yucatán.</w:t>
      </w:r>
    </w:p>
    <w:p w:rsidR="00CA5D51" w:rsidRPr="00C552C7" w:rsidRDefault="00CA5D51" w:rsidP="00CA5D51">
      <w:pPr>
        <w:autoSpaceDE w:val="0"/>
        <w:autoSpaceDN w:val="0"/>
        <w:adjustRightInd w:val="0"/>
        <w:spacing w:before="100" w:beforeAutospacing="1" w:after="100" w:afterAutospacing="1"/>
        <w:rPr>
          <w:rFonts w:cs="Arial"/>
        </w:rPr>
      </w:pPr>
      <w:r w:rsidRPr="00532376">
        <w:rPr>
          <w:rFonts w:cs="Arial"/>
        </w:rPr>
        <w:t xml:space="preserve">Asimismo, </w:t>
      </w:r>
      <w:r>
        <w:rPr>
          <w:rFonts w:cs="Arial"/>
        </w:rPr>
        <w:t xml:space="preserve">se destaca la inversión de </w:t>
      </w:r>
      <w:r w:rsidRPr="00532376">
        <w:rPr>
          <w:rFonts w:cs="Arial"/>
        </w:rPr>
        <w:t xml:space="preserve">los Programas Presupuestarios Prestación de Servicios de Salud a la Infancia, Gestión Escolar, </w:t>
      </w:r>
      <w:r w:rsidRPr="00532376">
        <w:rPr>
          <w:rFonts w:eastAsia="Times New Roman" w:cs="Arial"/>
          <w:lang w:eastAsia="es-MX"/>
        </w:rPr>
        <w:t xml:space="preserve">Atención Integral en Alimentación a Personas Sujetas de Asistencia Social y Promoción y Restitución de Derechos de Niñas, Niños y Adolescentes del Estado de Yucatán </w:t>
      </w:r>
      <w:r>
        <w:rPr>
          <w:rFonts w:eastAsia="Times New Roman" w:cs="Arial"/>
          <w:lang w:eastAsia="es-MX"/>
        </w:rPr>
        <w:t xml:space="preserve">que </w:t>
      </w:r>
      <w:r w:rsidRPr="00532376">
        <w:rPr>
          <w:rFonts w:eastAsia="Times New Roman" w:cs="Arial"/>
          <w:lang w:eastAsia="es-MX"/>
        </w:rPr>
        <w:t xml:space="preserve">invierten la totalidad de su presupuesto en atención de la infancia temprana con un importe que asciende a 539 millones 265 mil 051 pesos </w:t>
      </w:r>
      <w:r w:rsidRPr="00532376">
        <w:rPr>
          <w:rFonts w:eastAsia="Arial" w:cs="Arial"/>
        </w:rPr>
        <w:t>(Tabla 4).</w:t>
      </w:r>
    </w:p>
    <w:p w:rsidR="00CA5D51" w:rsidRDefault="00CA5D51" w:rsidP="00CA5D51">
      <w:pPr>
        <w:spacing w:before="100" w:beforeAutospacing="1" w:after="100" w:afterAutospacing="1"/>
        <w:jc w:val="center"/>
        <w:rPr>
          <w:rFonts w:eastAsia="Arial" w:cs="Arial"/>
          <w:b/>
          <w:bCs/>
          <w:w w:val="103"/>
        </w:rPr>
      </w:pPr>
    </w:p>
    <w:p w:rsidR="00CA5D51" w:rsidRPr="00C552C7" w:rsidRDefault="00CA5D51" w:rsidP="00CA5D51">
      <w:pPr>
        <w:spacing w:before="100" w:beforeAutospacing="1" w:after="100" w:afterAutospacing="1"/>
        <w:jc w:val="center"/>
        <w:rPr>
          <w:rFonts w:eastAsia="Arial" w:cs="Arial"/>
          <w:b/>
          <w:bCs/>
          <w:w w:val="103"/>
        </w:rPr>
      </w:pPr>
      <w:r w:rsidRPr="008A6A62">
        <w:rPr>
          <w:rFonts w:eastAsia="Arial" w:cs="Arial"/>
          <w:b/>
          <w:bCs/>
          <w:w w:val="103"/>
        </w:rPr>
        <w:t>Tabla 4. Inversión por programas presupuestarios</w:t>
      </w:r>
    </w:p>
    <w:tbl>
      <w:tblPr>
        <w:tblW w:w="0" w:type="auto"/>
        <w:tblCellMar>
          <w:left w:w="70" w:type="dxa"/>
          <w:right w:w="70" w:type="dxa"/>
        </w:tblCellMar>
        <w:tblLook w:val="04A0" w:firstRow="1" w:lastRow="0" w:firstColumn="1" w:lastColumn="0" w:noHBand="0" w:noVBand="1"/>
      </w:tblPr>
      <w:tblGrid>
        <w:gridCol w:w="4391"/>
        <w:gridCol w:w="1969"/>
        <w:gridCol w:w="2879"/>
        <w:gridCol w:w="1921"/>
      </w:tblGrid>
      <w:tr w:rsidR="00CA5D51" w:rsidRPr="00EE6AF7" w:rsidTr="00EE6AF7">
        <w:trPr>
          <w:trHeight w:val="998"/>
          <w:tblHeader/>
        </w:trPr>
        <w:tc>
          <w:tcPr>
            <w:tcW w:w="0" w:type="auto"/>
            <w:tcBorders>
              <w:top w:val="single" w:sz="4" w:space="0" w:color="auto"/>
              <w:left w:val="single" w:sz="4" w:space="0" w:color="auto"/>
              <w:bottom w:val="single" w:sz="4" w:space="0" w:color="auto"/>
              <w:right w:val="single" w:sz="4" w:space="0" w:color="auto"/>
            </w:tcBorders>
            <w:shd w:val="clear" w:color="auto" w:fill="808080"/>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Programa Presupuestario</w:t>
            </w:r>
          </w:p>
        </w:tc>
        <w:tc>
          <w:tcPr>
            <w:tcW w:w="0" w:type="auto"/>
            <w:tcBorders>
              <w:top w:val="single" w:sz="4" w:space="0" w:color="auto"/>
              <w:left w:val="nil"/>
              <w:bottom w:val="single" w:sz="4" w:space="0" w:color="auto"/>
              <w:right w:val="single" w:sz="4" w:space="0" w:color="auto"/>
            </w:tcBorders>
            <w:shd w:val="clear" w:color="auto" w:fill="808080"/>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Importe PP (pesos)</w:t>
            </w:r>
          </w:p>
        </w:tc>
        <w:tc>
          <w:tcPr>
            <w:tcW w:w="2879" w:type="dxa"/>
            <w:tcBorders>
              <w:top w:val="single" w:sz="4" w:space="0" w:color="auto"/>
              <w:left w:val="nil"/>
              <w:bottom w:val="single" w:sz="4" w:space="0" w:color="auto"/>
              <w:right w:val="single" w:sz="4" w:space="0" w:color="auto"/>
            </w:tcBorders>
            <w:shd w:val="clear" w:color="auto" w:fill="808080"/>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Inversión infancia temprana (pesos)</w:t>
            </w:r>
          </w:p>
        </w:tc>
        <w:tc>
          <w:tcPr>
            <w:tcW w:w="1921" w:type="dxa"/>
            <w:tcBorders>
              <w:top w:val="single" w:sz="4" w:space="0" w:color="auto"/>
              <w:left w:val="nil"/>
              <w:bottom w:val="single" w:sz="4" w:space="0" w:color="auto"/>
              <w:right w:val="single" w:sz="4" w:space="0" w:color="auto"/>
            </w:tcBorders>
            <w:shd w:val="clear" w:color="auto" w:fill="808080"/>
            <w:noWrap/>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Porcentaje</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Prestación de Servicios de Salud a la Infancia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84,450,927</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84,450,927</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100.00%</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Gestión Escolar</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15,550,634</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15,550,634</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100.00%</w:t>
            </w:r>
          </w:p>
        </w:tc>
      </w:tr>
      <w:tr w:rsidR="00CA5D51" w:rsidRPr="00EE6AF7" w:rsidTr="0056150B">
        <w:trPr>
          <w:trHeight w:val="36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Integral en Alimentación a Personas Sujetas de Asistencia Social</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285,799,508</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285,799,508</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100.00%</w:t>
            </w:r>
          </w:p>
        </w:tc>
      </w:tr>
      <w:tr w:rsidR="00CA5D51" w:rsidRPr="00EE6AF7" w:rsidTr="0056150B">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Promoción y Restitución de Derechos de Niñas, Niños y Adolescentes del Estado de Yucatán</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153,463,982</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153,463,982</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100.00%</w:t>
            </w:r>
          </w:p>
        </w:tc>
      </w:tr>
      <w:tr w:rsidR="00CA5D51" w:rsidRPr="00EE6AF7" w:rsidTr="0056150B">
        <w:trPr>
          <w:trHeight w:val="274"/>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Integral a Personas con Discapacidad del Estado de Yucatán</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41,992,975</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41,841,975</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99.64%</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Integral a la Salud Reproductiva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195,249,595</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185,275,189</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94.89%</w:t>
            </w:r>
          </w:p>
        </w:tc>
      </w:tr>
      <w:tr w:rsidR="00CA5D51" w:rsidRPr="00EE6AF7" w:rsidTr="0056150B">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Ampliación de la Cobertura para Acceso a los Servicios Básicos de la Vivienda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172,829,836</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101,712,000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59%</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Asistencia Social a Personas Vulnerables</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146,195,132</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60,076,915</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41.09%</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Promoción de Calidad y Espacios en la Vivienda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282,390,241</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109,753,589</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38.87%</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Fomento de una Cultura para la Sustentabilidad</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301,500</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90,000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29.85%</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Cobertura con Equidad en Educación Básica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8,490,036,526</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2,324,451,108</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27.38%</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Mejoramiento de la Infraestructura Urbana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373,776,273</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100,000,000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26.75%</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Desarrollo Urbano y Ordenamiento Territorial</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207,210,925</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18,377,573</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9%</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Prestación de Servicios de Salud</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4,525,632,478</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350,677,902</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7.75%</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a Víctimas de Violencia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16,393,761</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1,000,000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6%</w:t>
            </w:r>
          </w:p>
        </w:tc>
      </w:tr>
      <w:tr w:rsidR="00CA5D51" w:rsidRPr="00EE6AF7" w:rsidTr="0056150B">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Otorgamiento de Prestaciones para la Seguridad Social de los Trabajadores del Gobierno del Estado</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749,993,164</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42,116,610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5.62%</w:t>
            </w:r>
          </w:p>
        </w:tc>
      </w:tr>
      <w:tr w:rsidR="00CA5D51" w:rsidRPr="00EE6AF7" w:rsidTr="0056150B">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Promoción, Prevención y Atención Integral de Enfermedades Relacionadas con la Nutrición</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29,243,168</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1,273,804</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4.36%</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Prevención y Promoción de la Salud en la Comunidad</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12,726,868</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360,796</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3%</w:t>
            </w:r>
          </w:p>
        </w:tc>
      </w:tr>
      <w:tr w:rsidR="00CA5D51" w:rsidRPr="00EE6AF7" w:rsidTr="0056150B">
        <w:trPr>
          <w:trHeight w:val="35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Prevención y Atención a las Violencias contra las Mujeres</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142,796,779</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2,783,340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1.95%</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Fomento de la Cultura Física y Recreación</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157,222,317</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2,241,271</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1.43%</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Gestión Eficiente de las Instituciones del Sector Social</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2,681,570,223</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7,425,353</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0.28%</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y Desarrollo de las Organizaciones Sociales</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33,364,966</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88,600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0.27%</w:t>
            </w:r>
          </w:p>
        </w:tc>
      </w:tr>
      <w:tr w:rsidR="00CA5D51" w:rsidRPr="00EE6AF7" w:rsidTr="0056150B">
        <w:trPr>
          <w:trHeight w:val="318"/>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Consolidación del Sistema de Seguimiento y Evaluación del Desempeño</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13,518,845</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13,000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0</w:t>
            </w:r>
            <w:r>
              <w:rPr>
                <w:rFonts w:eastAsia="Times New Roman" w:cs="Arial"/>
                <w:b/>
                <w:bCs/>
                <w:lang w:eastAsia="es-MX"/>
              </w:rPr>
              <w:t>.10</w:t>
            </w:r>
            <w:r w:rsidRPr="00AF44CD">
              <w:rPr>
                <w:rFonts w:eastAsia="Times New Roman" w:cs="Arial"/>
                <w:b/>
                <w:bCs/>
                <w:lang w:eastAsia="es-MX"/>
              </w:rPr>
              <w:t>%</w:t>
            </w:r>
          </w:p>
        </w:tc>
      </w:tr>
      <w:tr w:rsidR="00CA5D51" w:rsidRPr="00EE6AF7" w:rsidTr="00EE6AF7">
        <w:trPr>
          <w:trHeight w:val="310"/>
        </w:trPr>
        <w:tc>
          <w:tcPr>
            <w:tcW w:w="0" w:type="auto"/>
            <w:tcBorders>
              <w:top w:val="nil"/>
              <w:left w:val="single" w:sz="4" w:space="0" w:color="auto"/>
              <w:bottom w:val="single" w:sz="4" w:space="0" w:color="auto"/>
              <w:right w:val="single" w:sz="4" w:space="0" w:color="auto"/>
            </w:tcBorders>
            <w:shd w:val="clear" w:color="auto" w:fill="808080"/>
            <w:noWrap/>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Total</w:t>
            </w:r>
          </w:p>
        </w:tc>
        <w:tc>
          <w:tcPr>
            <w:tcW w:w="0" w:type="auto"/>
            <w:tcBorders>
              <w:top w:val="nil"/>
              <w:left w:val="nil"/>
              <w:bottom w:val="single" w:sz="4" w:space="0" w:color="auto"/>
              <w:right w:val="single" w:sz="4" w:space="0" w:color="auto"/>
            </w:tcBorders>
            <w:shd w:val="clear" w:color="auto" w:fill="808080"/>
            <w:noWrap/>
            <w:vAlign w:val="center"/>
            <w:hideMark/>
          </w:tcPr>
          <w:p w:rsidR="00CA5D51" w:rsidRPr="00AF44CD" w:rsidRDefault="00CA5D51" w:rsidP="0056150B">
            <w:pPr>
              <w:jc w:val="right"/>
              <w:rPr>
                <w:rFonts w:eastAsia="Times New Roman" w:cs="Arial"/>
                <w:b/>
                <w:bCs/>
                <w:color w:val="FFFFFF"/>
                <w:lang w:eastAsia="es-MX"/>
              </w:rPr>
            </w:pPr>
            <w:r w:rsidRPr="00AF44CD">
              <w:rPr>
                <w:rFonts w:eastAsia="Times New Roman" w:cs="Arial"/>
                <w:b/>
                <w:bCs/>
                <w:color w:val="FFFFFF"/>
                <w:lang w:eastAsia="es-MX"/>
              </w:rPr>
              <w:t>18,811,710,623</w:t>
            </w:r>
          </w:p>
        </w:tc>
        <w:tc>
          <w:tcPr>
            <w:tcW w:w="2879" w:type="dxa"/>
            <w:tcBorders>
              <w:top w:val="nil"/>
              <w:left w:val="nil"/>
              <w:bottom w:val="single" w:sz="4" w:space="0" w:color="auto"/>
              <w:right w:val="single" w:sz="4" w:space="0" w:color="auto"/>
            </w:tcBorders>
            <w:shd w:val="clear" w:color="auto" w:fill="808080"/>
            <w:noWrap/>
            <w:vAlign w:val="center"/>
            <w:hideMark/>
          </w:tcPr>
          <w:p w:rsidR="00CA5D51" w:rsidRPr="00AF44CD" w:rsidRDefault="00CA5D51" w:rsidP="0056150B">
            <w:pPr>
              <w:jc w:val="right"/>
              <w:rPr>
                <w:rFonts w:eastAsia="Times New Roman" w:cs="Arial"/>
                <w:b/>
                <w:bCs/>
                <w:color w:val="FFFFFF"/>
                <w:lang w:eastAsia="es-MX"/>
              </w:rPr>
            </w:pPr>
            <w:r w:rsidRPr="00AF44CD">
              <w:rPr>
                <w:rFonts w:eastAsia="Times New Roman" w:cs="Arial"/>
                <w:b/>
                <w:bCs/>
                <w:color w:val="FFFFFF"/>
                <w:lang w:eastAsia="es-MX"/>
              </w:rPr>
              <w:t>3,888,824,076</w:t>
            </w:r>
          </w:p>
        </w:tc>
        <w:tc>
          <w:tcPr>
            <w:tcW w:w="1921" w:type="dxa"/>
            <w:tcBorders>
              <w:top w:val="nil"/>
              <w:left w:val="nil"/>
              <w:bottom w:val="single" w:sz="4" w:space="0" w:color="auto"/>
              <w:right w:val="single" w:sz="4" w:space="0" w:color="auto"/>
            </w:tcBorders>
            <w:shd w:val="clear" w:color="auto" w:fill="808080"/>
            <w:noWrap/>
            <w:vAlign w:val="bottom"/>
            <w:hideMark/>
          </w:tcPr>
          <w:p w:rsidR="00CA5D51" w:rsidRPr="00AF44CD" w:rsidRDefault="00CA5D51" w:rsidP="0056150B">
            <w:pPr>
              <w:rPr>
                <w:rFonts w:eastAsia="Times New Roman" w:cs="Arial"/>
                <w:color w:val="FFFFFF"/>
                <w:lang w:eastAsia="es-MX"/>
              </w:rPr>
            </w:pPr>
            <w:r w:rsidRPr="00AF44CD">
              <w:rPr>
                <w:rFonts w:eastAsia="Times New Roman" w:cs="Arial"/>
                <w:color w:val="FFFFFF"/>
                <w:lang w:eastAsia="es-MX"/>
              </w:rPr>
              <w:t> </w:t>
            </w:r>
          </w:p>
        </w:tc>
      </w:tr>
    </w:tbl>
    <w:p w:rsidR="00CA5D51" w:rsidRPr="00517AE7" w:rsidRDefault="00CA5D51" w:rsidP="00CA5D51">
      <w:pPr>
        <w:spacing w:after="100" w:afterAutospacing="1"/>
        <w:jc w:val="center"/>
        <w:rPr>
          <w:rFonts w:eastAsia="Arial" w:cs="Arial"/>
        </w:rPr>
      </w:pPr>
      <w:r w:rsidRPr="00C552C7">
        <w:rPr>
          <w:rFonts w:eastAsia="Arial" w:cs="Arial"/>
        </w:rPr>
        <w:t>Fuente: Elaboración propia</w:t>
      </w:r>
    </w:p>
    <w:p w:rsidR="00CA5D51" w:rsidRPr="00272914" w:rsidRDefault="00CA5D51" w:rsidP="00CA5D51">
      <w:pPr>
        <w:spacing w:before="100" w:beforeAutospacing="1" w:after="100" w:afterAutospacing="1"/>
        <w:rPr>
          <w:rFonts w:cs="Arial"/>
        </w:rPr>
      </w:pPr>
      <w:r w:rsidRPr="00272914">
        <w:rPr>
          <w:rFonts w:cs="Arial"/>
        </w:rPr>
        <w:t xml:space="preserve">El Gobierno del Estado se ha sumado al compromiso de la atención a los Objetivos de Desarrollo Sostenible y sus metas, se identificaron que </w:t>
      </w:r>
      <w:r w:rsidRPr="00710BC1">
        <w:rPr>
          <w:rFonts w:cs="Arial"/>
        </w:rPr>
        <w:t xml:space="preserve">los programas, actividades institucionales, obras y acciones </w:t>
      </w:r>
      <w:r w:rsidRPr="00272914">
        <w:rPr>
          <w:rFonts w:cs="Arial"/>
        </w:rPr>
        <w:t>que conforman el Anexo contribuyen al cumplimiento de 6 de los 17 ODS, de los cuales el objetivo 4. Garantizar una educación inclusiva, equitativa y de calidad y promover oportunidades de aprendizaje durante toda la vida para todos representa el 60.58% de la inversión en la población de 0 a 6 años; en segundo lugar el Objetivo 3. Garantizar una vida sana y promover el bienestar para todos en todas las edades, con un 14.80% y en tercer lugar, el objetivo 2. Poner fin al hambre, lograr la seguridad alimentaria y la mejora de la nutrición y promover la agricultura sostenible</w:t>
      </w:r>
      <w:r w:rsidR="0042270A">
        <w:rPr>
          <w:rFonts w:cs="Arial"/>
        </w:rPr>
        <w:t xml:space="preserve"> </w:t>
      </w:r>
      <w:r w:rsidRPr="00272914">
        <w:rPr>
          <w:rFonts w:cs="Arial"/>
        </w:rPr>
        <w:t>con un 6.66%. El desglose de las asignaciones se presenta a continuación:</w:t>
      </w:r>
    </w:p>
    <w:p w:rsidR="00CA5D51" w:rsidRPr="00C552C7" w:rsidRDefault="00CA5D51" w:rsidP="00CA5D51">
      <w:pPr>
        <w:spacing w:before="100" w:beforeAutospacing="1" w:after="100" w:afterAutospacing="1"/>
        <w:jc w:val="center"/>
        <w:rPr>
          <w:rFonts w:eastAsia="Arial" w:cs="Arial"/>
          <w:b/>
          <w:bCs/>
          <w:w w:val="103"/>
        </w:rPr>
      </w:pPr>
      <w:r w:rsidRPr="00272914">
        <w:rPr>
          <w:rFonts w:eastAsia="Arial" w:cs="Arial"/>
          <w:b/>
          <w:bCs/>
          <w:w w:val="103"/>
        </w:rPr>
        <w:t>Tabla 5. Inversión por Objetivo de Desarrollo Sostenibles.</w:t>
      </w:r>
    </w:p>
    <w:tbl>
      <w:tblPr>
        <w:tblW w:w="11091" w:type="dxa"/>
        <w:tblCellMar>
          <w:left w:w="70" w:type="dxa"/>
          <w:right w:w="70" w:type="dxa"/>
        </w:tblCellMar>
        <w:tblLook w:val="04A0" w:firstRow="1" w:lastRow="0" w:firstColumn="1" w:lastColumn="0" w:noHBand="0" w:noVBand="1"/>
      </w:tblPr>
      <w:tblGrid>
        <w:gridCol w:w="9300"/>
        <w:gridCol w:w="1791"/>
      </w:tblGrid>
      <w:tr w:rsidR="0042270A" w:rsidRPr="00EE6AF7" w:rsidTr="2EAB6CC5">
        <w:trPr>
          <w:trHeight w:val="583"/>
          <w:tblHeader/>
        </w:trPr>
        <w:tc>
          <w:tcPr>
            <w:tcW w:w="9300"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42270A" w:rsidRPr="00DB0705" w:rsidRDefault="0042270A" w:rsidP="0023589B">
            <w:pPr>
              <w:jc w:val="center"/>
              <w:rPr>
                <w:rFonts w:eastAsia="Times New Roman" w:cs="Arial"/>
                <w:b/>
                <w:bCs/>
                <w:color w:val="FFFFFF"/>
                <w:lang w:eastAsia="es-MX"/>
              </w:rPr>
            </w:pPr>
            <w:r w:rsidRPr="00DB0705">
              <w:rPr>
                <w:rFonts w:eastAsia="Times New Roman" w:cs="Arial"/>
                <w:b/>
                <w:bCs/>
                <w:color w:val="FFFFFF"/>
                <w:lang w:eastAsia="es-MX"/>
              </w:rPr>
              <w:t>Objetivos de Desarrollo Sostenibles</w:t>
            </w:r>
          </w:p>
        </w:tc>
        <w:tc>
          <w:tcPr>
            <w:tcW w:w="1791" w:type="dxa"/>
            <w:tcBorders>
              <w:top w:val="single" w:sz="4" w:space="0" w:color="auto"/>
              <w:left w:val="nil"/>
              <w:bottom w:val="single" w:sz="4" w:space="0" w:color="auto"/>
              <w:right w:val="single" w:sz="4" w:space="0" w:color="auto"/>
            </w:tcBorders>
            <w:shd w:val="clear" w:color="auto" w:fill="4B4B4B"/>
            <w:vAlign w:val="center"/>
            <w:hideMark/>
          </w:tcPr>
          <w:p w:rsidR="0042270A" w:rsidRPr="00DB0705" w:rsidRDefault="0042270A" w:rsidP="0023589B">
            <w:pPr>
              <w:jc w:val="center"/>
              <w:rPr>
                <w:rFonts w:eastAsia="Times New Roman" w:cs="Arial"/>
                <w:b/>
                <w:bCs/>
                <w:color w:val="FFFFFF"/>
                <w:lang w:eastAsia="es-MX"/>
              </w:rPr>
            </w:pPr>
            <w:r w:rsidRPr="00DB0705">
              <w:rPr>
                <w:rFonts w:eastAsia="Times New Roman" w:cs="Arial"/>
                <w:b/>
                <w:bCs/>
                <w:color w:val="FFFFFF"/>
                <w:lang w:eastAsia="es-MX"/>
              </w:rPr>
              <w:t>Inversión (pesos)</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1. Poner fin a la pobreza en todas sus formas en todo el mundo</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6,052,831</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2. Poner fin al hambre, lograr la seguridad alimentaria y la mejora de la nutrición y promover la agricultura sostenible</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259,141,569</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3. Garantizar una vida sana y promover el bienestar para todos en todas las edades</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575,490,064</w:t>
            </w:r>
          </w:p>
        </w:tc>
      </w:tr>
      <w:tr w:rsidR="0042270A" w:rsidRPr="00EE6AF7" w:rsidTr="2EAB6CC5">
        <w:trPr>
          <w:trHeight w:val="83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4. Garantizar una educación inclusiva, equitativa y de calidad y promover oportunidades de aprendizaje durante toda la vida para todos</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2,355,997,737</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5. Lograr la igualdad entre los géneros y empoderar a todas las mujeres y las niñas</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748,540</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11. Lograr que las ciudades y los asentamientos humanos sean inclusivos, seguros, resilientes y sostenibles</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226,310,412</w:t>
            </w:r>
          </w:p>
        </w:tc>
      </w:tr>
      <w:tr w:rsidR="0042270A" w:rsidRPr="00EE6AF7" w:rsidTr="2EAB6CC5">
        <w:trPr>
          <w:trHeight w:val="310"/>
        </w:trPr>
        <w:tc>
          <w:tcPr>
            <w:tcW w:w="9300" w:type="dxa"/>
            <w:tcBorders>
              <w:top w:val="nil"/>
              <w:left w:val="single" w:sz="4" w:space="0" w:color="auto"/>
              <w:bottom w:val="single" w:sz="4" w:space="0" w:color="auto"/>
              <w:right w:val="single" w:sz="4" w:space="0" w:color="auto"/>
            </w:tcBorders>
            <w:shd w:val="clear" w:color="auto" w:fill="4B4B4B"/>
            <w:noWrap/>
            <w:vAlign w:val="center"/>
            <w:hideMark/>
          </w:tcPr>
          <w:p w:rsidR="0042270A" w:rsidRPr="00DB0705" w:rsidRDefault="0042270A" w:rsidP="0023589B">
            <w:pPr>
              <w:jc w:val="center"/>
              <w:rPr>
                <w:rFonts w:eastAsia="Times New Roman" w:cs="Arial"/>
                <w:b/>
                <w:bCs/>
                <w:color w:val="FFFFFF"/>
                <w:lang w:eastAsia="es-MX"/>
              </w:rPr>
            </w:pPr>
            <w:r w:rsidRPr="00DB0705">
              <w:rPr>
                <w:rFonts w:eastAsia="Times New Roman" w:cs="Arial"/>
                <w:b/>
                <w:bCs/>
                <w:color w:val="FFFFFF"/>
                <w:lang w:eastAsia="es-MX"/>
              </w:rPr>
              <w:t>Total</w:t>
            </w:r>
          </w:p>
        </w:tc>
        <w:tc>
          <w:tcPr>
            <w:tcW w:w="1791" w:type="dxa"/>
            <w:tcBorders>
              <w:top w:val="nil"/>
              <w:left w:val="nil"/>
              <w:bottom w:val="single" w:sz="4" w:space="0" w:color="auto"/>
              <w:right w:val="single" w:sz="4" w:space="0" w:color="auto"/>
            </w:tcBorders>
            <w:shd w:val="clear" w:color="auto" w:fill="4B4B4B"/>
            <w:noWrap/>
            <w:vAlign w:val="center"/>
            <w:hideMark/>
          </w:tcPr>
          <w:p w:rsidR="0042270A" w:rsidRPr="00DB0705" w:rsidRDefault="0042270A" w:rsidP="0023589B">
            <w:pPr>
              <w:jc w:val="right"/>
              <w:rPr>
                <w:rFonts w:eastAsia="Times New Roman" w:cs="Arial"/>
                <w:b/>
                <w:bCs/>
                <w:color w:val="FFFFFF"/>
                <w:lang w:eastAsia="es-MX"/>
              </w:rPr>
            </w:pPr>
            <w:r w:rsidRPr="00DB0705">
              <w:rPr>
                <w:rFonts w:eastAsia="Times New Roman" w:cs="Arial"/>
                <w:b/>
                <w:bCs/>
                <w:color w:val="FFFFFF"/>
                <w:lang w:eastAsia="es-MX"/>
              </w:rPr>
              <w:t>3,423,741,153</w:t>
            </w:r>
          </w:p>
        </w:tc>
      </w:tr>
    </w:tbl>
    <w:p w:rsidR="0042270A" w:rsidRPr="00C552C7" w:rsidRDefault="0042270A" w:rsidP="0042270A">
      <w:pPr>
        <w:spacing w:after="100" w:afterAutospacing="1"/>
        <w:jc w:val="center"/>
        <w:rPr>
          <w:rFonts w:eastAsia="Arial" w:cs="Arial"/>
        </w:rPr>
      </w:pPr>
      <w:r w:rsidRPr="00C552C7">
        <w:rPr>
          <w:rFonts w:eastAsia="Arial" w:cs="Arial"/>
        </w:rPr>
        <w:t>Fuente: Elaboración propia.</w:t>
      </w:r>
    </w:p>
    <w:p w:rsidR="00FA49E9" w:rsidRDefault="009C1791">
      <w:pPr>
        <w:pStyle w:val="Ttulo3"/>
      </w:pPr>
      <w:bookmarkStart w:id="80" w:name="Xc4a564898909f0b8b851d8c31d7b2cf0e593c74"/>
      <w:bookmarkEnd w:id="79"/>
      <w:r>
        <w:t>ANEXO 18.2. PRESUPUESTARIO TRANSVERSAL DE INVERSIÓN PARA NIÑAS, NIÑOS Y ADOLESCENTES</w:t>
      </w:r>
    </w:p>
    <w:p w:rsidR="00100FA0" w:rsidRPr="00CD5A82" w:rsidRDefault="00100FA0" w:rsidP="00100FA0">
      <w:pPr>
        <w:rPr>
          <w:rFonts w:cs="Arial"/>
          <w:b/>
        </w:rPr>
      </w:pPr>
      <w:r w:rsidRPr="00CD5A82">
        <w:rPr>
          <w:rFonts w:cs="Arial"/>
          <w:b/>
        </w:rPr>
        <w:t xml:space="preserve">Metodología </w:t>
      </w:r>
    </w:p>
    <w:p w:rsidR="00100FA0" w:rsidRPr="00CD5A82" w:rsidRDefault="00100FA0" w:rsidP="00100FA0">
      <w:pPr>
        <w:rPr>
          <w:rFonts w:eastAsia="Arial" w:cs="Arial"/>
          <w:color w:val="121D56"/>
        </w:rPr>
      </w:pPr>
    </w:p>
    <w:p w:rsidR="00100FA0" w:rsidRPr="00CD5A82" w:rsidRDefault="00100FA0" w:rsidP="00100FA0">
      <w:pPr>
        <w:rPr>
          <w:rFonts w:eastAsia="Arial" w:cs="Arial"/>
        </w:rPr>
      </w:pPr>
      <w:r w:rsidRPr="00CD5A82">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CD5A82">
        <w:rPr>
          <w:rFonts w:eastAsia="Arial" w:cs="Arial"/>
          <w:vertAlign w:val="superscript"/>
        </w:rPr>
        <w:footnoteReference w:id="8"/>
      </w:r>
      <w:r w:rsidRPr="00CD5A82">
        <w:rPr>
          <w:rFonts w:eastAsia="Arial" w:cs="Arial"/>
          <w:vertAlign w:val="superscript"/>
        </w:rPr>
        <w:t>.</w:t>
      </w:r>
    </w:p>
    <w:p w:rsidR="00100FA0" w:rsidRPr="00CD5A82" w:rsidRDefault="00100FA0" w:rsidP="00100FA0">
      <w:pPr>
        <w:spacing w:before="100" w:beforeAutospacing="1" w:after="100" w:afterAutospacing="1"/>
        <w:rPr>
          <w:rFonts w:eastAsia="Arial" w:cs="Arial"/>
        </w:rPr>
      </w:pPr>
      <w:r w:rsidRPr="00CD5A82">
        <w:rPr>
          <w:rFonts w:eastAsia="Arial" w:cs="Arial"/>
        </w:rPr>
        <w:t>Los pasos a seguir para la integración de este Anexo se describen a continuación:</w:t>
      </w:r>
    </w:p>
    <w:p w:rsidR="00100FA0" w:rsidRPr="00CD5A82" w:rsidRDefault="00100FA0" w:rsidP="00100FA0">
      <w:pPr>
        <w:pStyle w:val="Prrafodelista"/>
        <w:widowControl w:val="0"/>
        <w:numPr>
          <w:ilvl w:val="0"/>
          <w:numId w:val="1"/>
        </w:numPr>
        <w:spacing w:line="240" w:lineRule="auto"/>
        <w:rPr>
          <w:rFonts w:ascii="Arial" w:hAnsi="Arial" w:cs="Arial"/>
          <w:b/>
          <w:i/>
          <w:szCs w:val="24"/>
        </w:rPr>
      </w:pPr>
      <w:r w:rsidRPr="00CD5A82">
        <w:rPr>
          <w:rFonts w:ascii="Arial" w:hAnsi="Arial" w:cs="Arial"/>
          <w:b/>
          <w:i/>
          <w:szCs w:val="24"/>
        </w:rPr>
        <w:t>Análisis de los programas, actividades institucionales, obras y acciones 2022</w:t>
      </w:r>
    </w:p>
    <w:p w:rsidR="00100FA0" w:rsidRPr="00CD5A82" w:rsidRDefault="00100FA0" w:rsidP="00100FA0">
      <w:pPr>
        <w:rPr>
          <w:rFonts w:eastAsia="Arial" w:cs="Arial"/>
        </w:rPr>
      </w:pPr>
      <w:r w:rsidRPr="00CD5A82">
        <w:rPr>
          <w:rFonts w:eastAsia="Arial" w:cs="Arial"/>
        </w:rPr>
        <w:t xml:space="preserve">Se identifican por institución responsable los programas, actividades institucionales, obras y acciones del Anteproyecto de Presupuesto 2022 que destinan parcial o totalmente su presupuesto a la Inversión en Infancia. </w:t>
      </w:r>
    </w:p>
    <w:p w:rsidR="00100FA0" w:rsidRPr="00CD5A82" w:rsidRDefault="00100FA0" w:rsidP="00100FA0">
      <w:pPr>
        <w:rPr>
          <w:rFonts w:eastAsia="Arial" w:cs="Arial"/>
        </w:rPr>
      </w:pPr>
    </w:p>
    <w:p w:rsidR="00100FA0" w:rsidRPr="00CD5A82" w:rsidRDefault="00100FA0" w:rsidP="00100FA0">
      <w:pPr>
        <w:rPr>
          <w:rFonts w:eastAsia="Arial" w:cs="Arial"/>
        </w:rPr>
      </w:pPr>
      <w:r w:rsidRPr="00CD5A82">
        <w:rPr>
          <w:rFonts w:eastAsia="Arial" w:cs="Arial"/>
        </w:rPr>
        <w:t>El análisis central radica en la selección de aquellas intervenciones destinadas a financiar programas que benefician en forma directa a infancia y adolescencia (población de 0 a menores de 18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consideró la inversión en infraestructura diseñada considerando las necesidades de la infancia y adolescencia.</w:t>
      </w:r>
    </w:p>
    <w:p w:rsidR="00100FA0" w:rsidRPr="00CD5A82" w:rsidRDefault="00100FA0" w:rsidP="00100FA0">
      <w:pPr>
        <w:rPr>
          <w:rFonts w:eastAsia="Arial" w:cs="Arial"/>
        </w:rPr>
      </w:pPr>
    </w:p>
    <w:p w:rsidR="00100FA0" w:rsidRDefault="00100FA0" w:rsidP="00100FA0">
      <w:pPr>
        <w:rPr>
          <w:rFonts w:eastAsia="Arial" w:cs="Arial"/>
        </w:rPr>
      </w:pPr>
      <w:r w:rsidRPr="00CD5A82">
        <w:rPr>
          <w:rFonts w:eastAsia="Arial" w:cs="Arial"/>
        </w:rPr>
        <w:t>No se consideran las intervenciones que contemplan los gastos generales de las oficinas tales como suministro de servicios básicos, arrendamientos entre otros, ya que no tienen impacto en la atención a la infancia y adolescencia.</w:t>
      </w:r>
    </w:p>
    <w:p w:rsidR="00100FA0" w:rsidRPr="00CD5A82" w:rsidRDefault="00100FA0" w:rsidP="00100FA0">
      <w:pPr>
        <w:rPr>
          <w:rFonts w:eastAsia="Arial" w:cs="Arial"/>
        </w:rPr>
      </w:pPr>
    </w:p>
    <w:p w:rsidR="00100FA0" w:rsidRPr="00CD5A82" w:rsidRDefault="00100FA0" w:rsidP="00100FA0">
      <w:pPr>
        <w:pStyle w:val="Prrafodelista"/>
        <w:numPr>
          <w:ilvl w:val="0"/>
          <w:numId w:val="1"/>
        </w:numPr>
        <w:spacing w:after="0" w:line="240" w:lineRule="auto"/>
        <w:ind w:left="714" w:hanging="357"/>
        <w:rPr>
          <w:rFonts w:ascii="Arial" w:eastAsia="Arial" w:hAnsi="Arial" w:cs="Arial"/>
          <w:szCs w:val="24"/>
          <w:lang w:val="es-ES_tradnl" w:eastAsia="es-ES"/>
        </w:rPr>
      </w:pPr>
      <w:r w:rsidRPr="00CD5A82">
        <w:rPr>
          <w:rFonts w:ascii="Arial" w:hAnsi="Arial" w:cs="Arial"/>
          <w:b/>
          <w:i/>
          <w:szCs w:val="24"/>
        </w:rPr>
        <w:t>Análisis basado en los derechos que reconoce la Convención de los Derechos de los Niños (CDN)</w:t>
      </w:r>
    </w:p>
    <w:p w:rsidR="00100FA0" w:rsidRPr="00CD5A82" w:rsidRDefault="00100FA0" w:rsidP="00100FA0">
      <w:pPr>
        <w:rPr>
          <w:rFonts w:eastAsia="Arial" w:cs="Arial"/>
          <w:color w:val="121D56"/>
        </w:rPr>
      </w:pPr>
    </w:p>
    <w:p w:rsidR="00100FA0" w:rsidRDefault="00100FA0" w:rsidP="00100FA0">
      <w:pPr>
        <w:rPr>
          <w:rFonts w:eastAsia="Arial" w:cs="Arial"/>
        </w:rPr>
      </w:pPr>
      <w:r>
        <w:rPr>
          <w:rFonts w:eastAsia="Arial" w:cs="Arial"/>
        </w:rPr>
        <w:t>Una vez identificado</w:t>
      </w:r>
      <w:r w:rsidRPr="00CD5A82">
        <w:rPr>
          <w:rFonts w:eastAsia="Arial" w:cs="Arial"/>
        </w:rPr>
        <w:t xml:space="preserve">s los programas, </w:t>
      </w:r>
      <w:r>
        <w:rPr>
          <w:rFonts w:eastAsia="Arial" w:cs="Arial"/>
        </w:rPr>
        <w:t xml:space="preserve">las </w:t>
      </w:r>
      <w:r w:rsidRPr="00CD5A82">
        <w:rPr>
          <w:rFonts w:eastAsia="Arial" w:cs="Arial"/>
        </w:rPr>
        <w:t>actividades institucionales, obras y acciones, éstos se clasificaron de acuerdo con los derechos de la niñez estipulados en la Convención de los Derechos del Niño (CDN), los cuales para su compresión y estudio se desglosan en temas específicos (Tabla1):</w:t>
      </w:r>
    </w:p>
    <w:p w:rsidR="00100FA0" w:rsidRDefault="00100FA0" w:rsidP="00100FA0">
      <w:pPr>
        <w:rPr>
          <w:rFonts w:eastAsia="Arial" w:cs="Arial"/>
        </w:rPr>
      </w:pPr>
    </w:p>
    <w:p w:rsidR="00100FA0" w:rsidRPr="00CD5A82" w:rsidRDefault="00100FA0" w:rsidP="00100FA0">
      <w:pPr>
        <w:jc w:val="center"/>
        <w:rPr>
          <w:rFonts w:eastAsia="Arial" w:cs="Arial"/>
          <w:b/>
        </w:rPr>
      </w:pPr>
      <w:r w:rsidRPr="00CD5A82">
        <w:rPr>
          <w:rFonts w:eastAsia="Arial" w:cs="Arial"/>
          <w:b/>
        </w:rPr>
        <w:t>Tabla 1. Derechos de la Niñez y Adolescencia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5989"/>
        <w:gridCol w:w="3222"/>
      </w:tblGrid>
      <w:tr w:rsidR="00100FA0" w:rsidRPr="00EE6AF7" w:rsidTr="00EE6AF7">
        <w:trPr>
          <w:trHeight w:val="397"/>
          <w:tblHeader/>
          <w:jc w:val="center"/>
        </w:trPr>
        <w:tc>
          <w:tcPr>
            <w:tcW w:w="901" w:type="pct"/>
            <w:shd w:val="clear" w:color="auto" w:fill="4B4B4B"/>
            <w:vAlign w:val="center"/>
          </w:tcPr>
          <w:p w:rsidR="00100FA0" w:rsidRPr="00EE6AF7" w:rsidRDefault="00100FA0" w:rsidP="00EE6AF7">
            <w:pPr>
              <w:autoSpaceDE w:val="0"/>
              <w:autoSpaceDN w:val="0"/>
              <w:adjustRightInd w:val="0"/>
              <w:jc w:val="center"/>
              <w:rPr>
                <w:rFonts w:cs="Arial"/>
                <w:b/>
                <w:color w:val="FFFFFF"/>
              </w:rPr>
            </w:pPr>
            <w:r w:rsidRPr="00EE6AF7">
              <w:rPr>
                <w:rFonts w:cs="Arial"/>
                <w:b/>
                <w:color w:val="FFFFFF"/>
              </w:rPr>
              <w:t>Derecho</w:t>
            </w:r>
          </w:p>
        </w:tc>
        <w:tc>
          <w:tcPr>
            <w:tcW w:w="2665" w:type="pct"/>
            <w:shd w:val="clear" w:color="auto" w:fill="4B4B4B"/>
            <w:vAlign w:val="center"/>
          </w:tcPr>
          <w:p w:rsidR="00100FA0" w:rsidRPr="00EE6AF7" w:rsidRDefault="00100FA0" w:rsidP="00EE6AF7">
            <w:pPr>
              <w:autoSpaceDE w:val="0"/>
              <w:autoSpaceDN w:val="0"/>
              <w:adjustRightInd w:val="0"/>
              <w:jc w:val="center"/>
              <w:rPr>
                <w:rFonts w:cs="Arial"/>
                <w:b/>
                <w:color w:val="FFFFFF"/>
              </w:rPr>
            </w:pPr>
            <w:r w:rsidRPr="00EE6AF7">
              <w:rPr>
                <w:rFonts w:cs="Arial"/>
                <w:b/>
                <w:color w:val="FFFFFF"/>
              </w:rPr>
              <w:t>Conceptualización</w:t>
            </w:r>
          </w:p>
        </w:tc>
        <w:tc>
          <w:tcPr>
            <w:tcW w:w="1434" w:type="pct"/>
            <w:shd w:val="clear" w:color="auto" w:fill="4B4B4B"/>
            <w:vAlign w:val="center"/>
          </w:tcPr>
          <w:p w:rsidR="00100FA0" w:rsidRPr="00EE6AF7" w:rsidRDefault="00100FA0" w:rsidP="00EE6AF7">
            <w:pPr>
              <w:autoSpaceDE w:val="0"/>
              <w:autoSpaceDN w:val="0"/>
              <w:adjustRightInd w:val="0"/>
              <w:jc w:val="center"/>
              <w:rPr>
                <w:rFonts w:cs="Arial"/>
                <w:b/>
                <w:color w:val="FFFFFF"/>
              </w:rPr>
            </w:pPr>
            <w:r w:rsidRPr="00EE6AF7">
              <w:rPr>
                <w:rFonts w:cs="Arial"/>
                <w:b/>
                <w:color w:val="FFFFFF"/>
              </w:rPr>
              <w:t>Tema Específico</w:t>
            </w:r>
          </w:p>
        </w:tc>
      </w:tr>
      <w:tr w:rsidR="00100FA0" w:rsidRPr="00EE6AF7" w:rsidTr="00EE6AF7">
        <w:trPr>
          <w:trHeight w:val="1191"/>
          <w:jc w:val="center"/>
        </w:trPr>
        <w:tc>
          <w:tcPr>
            <w:tcW w:w="901" w:type="pct"/>
            <w:shd w:val="clear" w:color="auto" w:fill="auto"/>
            <w:vAlign w:val="center"/>
          </w:tcPr>
          <w:p w:rsidR="00100FA0" w:rsidRPr="00EE6AF7" w:rsidRDefault="00100FA0" w:rsidP="00EE6AF7">
            <w:pPr>
              <w:jc w:val="center"/>
              <w:rPr>
                <w:rFonts w:eastAsia="Arial" w:cs="Arial"/>
                <w:b/>
                <w:bCs/>
                <w:color w:val="000000"/>
              </w:rPr>
            </w:pPr>
            <w:r w:rsidRPr="00EE6AF7">
              <w:rPr>
                <w:rFonts w:eastAsia="Times New Roman" w:cs="Arial"/>
                <w:b/>
                <w:color w:val="000000"/>
              </w:rPr>
              <w:t>Derecho a la Supervivencia</w:t>
            </w:r>
          </w:p>
        </w:tc>
        <w:tc>
          <w:tcPr>
            <w:tcW w:w="2665" w:type="pct"/>
            <w:shd w:val="clear" w:color="auto" w:fill="auto"/>
          </w:tcPr>
          <w:p w:rsidR="00100FA0" w:rsidRPr="00EE6AF7" w:rsidRDefault="00100FA0" w:rsidP="00EE6AF7">
            <w:pPr>
              <w:autoSpaceDE w:val="0"/>
              <w:autoSpaceDN w:val="0"/>
              <w:adjustRightInd w:val="0"/>
              <w:rPr>
                <w:rFonts w:eastAsia="Arial" w:cs="Arial"/>
                <w:color w:val="000000"/>
              </w:rPr>
            </w:pPr>
            <w:r w:rsidRPr="00EE6AF7">
              <w:rPr>
                <w:rFonts w:eastAsia="Arial" w:cs="Arial"/>
                <w:color w:val="000000"/>
              </w:rPr>
              <w:t>Se refiere al derecho a los recursos, las aptitudes y las contribuciones necesarias para la supervivencia del niño. Estos derechos exigen que existan los medios para lograr que se cumplan, y también que se garantice el acceso a ellos.</w:t>
            </w:r>
          </w:p>
        </w:tc>
        <w:tc>
          <w:tcPr>
            <w:tcW w:w="1434" w:type="pct"/>
            <w:shd w:val="clear" w:color="auto" w:fill="auto"/>
          </w:tcPr>
          <w:p w:rsidR="00100FA0" w:rsidRPr="00EE6AF7" w:rsidRDefault="00100FA0" w:rsidP="00EE6AF7">
            <w:pPr>
              <w:pStyle w:val="Prrafodelista"/>
              <w:numPr>
                <w:ilvl w:val="0"/>
                <w:numId w:val="10"/>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Salud</w:t>
            </w:r>
          </w:p>
          <w:p w:rsidR="00100FA0" w:rsidRPr="00EE6AF7" w:rsidRDefault="00100FA0" w:rsidP="00EE6AF7">
            <w:pPr>
              <w:pStyle w:val="Prrafodelista"/>
              <w:numPr>
                <w:ilvl w:val="0"/>
                <w:numId w:val="10"/>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Vivienda y su infraestructura</w:t>
            </w:r>
          </w:p>
          <w:p w:rsidR="00100FA0" w:rsidRPr="00EE6AF7" w:rsidRDefault="00100FA0" w:rsidP="00EE6AF7">
            <w:pPr>
              <w:pStyle w:val="Prrafodelista"/>
              <w:numPr>
                <w:ilvl w:val="0"/>
                <w:numId w:val="10"/>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Alimentación y Nutrición</w:t>
            </w:r>
          </w:p>
          <w:p w:rsidR="00100FA0" w:rsidRPr="00EE6AF7" w:rsidRDefault="00100FA0" w:rsidP="00EE6AF7">
            <w:pPr>
              <w:pStyle w:val="Prrafodelista"/>
              <w:numPr>
                <w:ilvl w:val="0"/>
                <w:numId w:val="10"/>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Asistencia social</w:t>
            </w:r>
          </w:p>
        </w:tc>
      </w:tr>
      <w:tr w:rsidR="00D31C30" w:rsidRPr="00EE6AF7" w:rsidTr="00EE6AF7">
        <w:trPr>
          <w:trHeight w:val="1247"/>
          <w:jc w:val="center"/>
        </w:trPr>
        <w:tc>
          <w:tcPr>
            <w:tcW w:w="901" w:type="pct"/>
            <w:shd w:val="clear" w:color="auto" w:fill="EDEDED"/>
            <w:vAlign w:val="center"/>
          </w:tcPr>
          <w:p w:rsidR="00100FA0" w:rsidRPr="00EE6AF7" w:rsidRDefault="00100FA0" w:rsidP="00EE6AF7">
            <w:pPr>
              <w:jc w:val="center"/>
              <w:rPr>
                <w:rFonts w:eastAsia="Arial" w:cs="Arial"/>
                <w:b/>
                <w:bCs/>
                <w:color w:val="000000"/>
              </w:rPr>
            </w:pPr>
            <w:r w:rsidRPr="00EE6AF7">
              <w:rPr>
                <w:rFonts w:eastAsia="Times New Roman" w:cs="Arial"/>
                <w:b/>
                <w:color w:val="000000"/>
              </w:rPr>
              <w:t>Derecho al Desarrollo</w:t>
            </w:r>
          </w:p>
        </w:tc>
        <w:tc>
          <w:tcPr>
            <w:tcW w:w="2665" w:type="pct"/>
            <w:shd w:val="clear" w:color="auto" w:fill="EDEDED"/>
          </w:tcPr>
          <w:p w:rsidR="00100FA0" w:rsidRPr="00EE6AF7" w:rsidRDefault="00100FA0" w:rsidP="00EE6AF7">
            <w:pPr>
              <w:autoSpaceDE w:val="0"/>
              <w:autoSpaceDN w:val="0"/>
              <w:adjustRightInd w:val="0"/>
              <w:rPr>
                <w:rFonts w:eastAsia="Arial" w:cs="Arial"/>
                <w:color w:val="000000"/>
              </w:rPr>
            </w:pPr>
            <w:r w:rsidRPr="00EE6AF7">
              <w:rPr>
                <w:rFonts w:eastAsia="Arial" w:cs="Arial"/>
                <w:color w:val="000000"/>
              </w:rPr>
              <w:t>Consiste en el derecho a los recursos, las aptitudes y las contribuciones necesarias para el pleno desarrollo del niño. Estos derechos exigen no solamente que existan los medios para lograr que se cumplan, sino también el acceso a ellos.</w:t>
            </w:r>
          </w:p>
        </w:tc>
        <w:tc>
          <w:tcPr>
            <w:tcW w:w="1434" w:type="pct"/>
            <w:shd w:val="clear" w:color="auto" w:fill="EDEDED"/>
          </w:tcPr>
          <w:p w:rsidR="00100FA0" w:rsidRPr="00EE6AF7" w:rsidRDefault="00100FA0" w:rsidP="00EE6AF7">
            <w:pPr>
              <w:pStyle w:val="Prrafodelista"/>
              <w:numPr>
                <w:ilvl w:val="0"/>
                <w:numId w:val="11"/>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Educación</w:t>
            </w:r>
          </w:p>
          <w:p w:rsidR="00100FA0" w:rsidRPr="00EE6AF7" w:rsidRDefault="00100FA0" w:rsidP="00EE6AF7">
            <w:pPr>
              <w:pStyle w:val="Prrafodelista"/>
              <w:numPr>
                <w:ilvl w:val="0"/>
                <w:numId w:val="11"/>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Deportes, recreación y cultura</w:t>
            </w:r>
          </w:p>
          <w:p w:rsidR="00100FA0" w:rsidRPr="00EE6AF7" w:rsidRDefault="00100FA0" w:rsidP="00EE6AF7">
            <w:pPr>
              <w:pStyle w:val="Prrafodelista"/>
              <w:numPr>
                <w:ilvl w:val="0"/>
                <w:numId w:val="11"/>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Urbanización y desarrollo regional</w:t>
            </w:r>
          </w:p>
        </w:tc>
      </w:tr>
      <w:tr w:rsidR="00100FA0" w:rsidRPr="00EE6AF7" w:rsidTr="00EE6AF7">
        <w:trPr>
          <w:trHeight w:val="1474"/>
          <w:jc w:val="center"/>
        </w:trPr>
        <w:tc>
          <w:tcPr>
            <w:tcW w:w="901" w:type="pct"/>
            <w:shd w:val="clear" w:color="auto" w:fill="auto"/>
            <w:vAlign w:val="center"/>
          </w:tcPr>
          <w:p w:rsidR="00100FA0" w:rsidRPr="00EE6AF7" w:rsidRDefault="00100FA0" w:rsidP="00EE6AF7">
            <w:pPr>
              <w:jc w:val="center"/>
              <w:rPr>
                <w:rFonts w:eastAsia="Arial" w:cs="Arial"/>
                <w:b/>
                <w:bCs/>
                <w:color w:val="000000"/>
              </w:rPr>
            </w:pPr>
            <w:r w:rsidRPr="00EE6AF7">
              <w:rPr>
                <w:rFonts w:eastAsia="Times New Roman" w:cs="Arial"/>
                <w:b/>
                <w:color w:val="000000"/>
              </w:rPr>
              <w:t>Derecho a la Participación</w:t>
            </w:r>
          </w:p>
        </w:tc>
        <w:tc>
          <w:tcPr>
            <w:tcW w:w="2665" w:type="pct"/>
            <w:shd w:val="clear" w:color="auto" w:fill="auto"/>
          </w:tcPr>
          <w:p w:rsidR="00100FA0" w:rsidRPr="00EE6AF7" w:rsidRDefault="00100FA0" w:rsidP="00EE6AF7">
            <w:pPr>
              <w:autoSpaceDE w:val="0"/>
              <w:autoSpaceDN w:val="0"/>
              <w:adjustRightInd w:val="0"/>
              <w:rPr>
                <w:rFonts w:eastAsia="Arial" w:cs="Arial"/>
                <w:color w:val="000000"/>
              </w:rPr>
            </w:pPr>
            <w:r w:rsidRPr="00EE6AF7">
              <w:rPr>
                <w:rFonts w:eastAsia="Arial" w:cs="Arial"/>
                <w:color w:val="000000"/>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tc>
        <w:tc>
          <w:tcPr>
            <w:tcW w:w="1434" w:type="pct"/>
            <w:shd w:val="clear" w:color="auto" w:fill="auto"/>
          </w:tcPr>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Información</w:t>
            </w:r>
          </w:p>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Medios masivos de comunicación</w:t>
            </w:r>
          </w:p>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Participación ciudadana</w:t>
            </w:r>
          </w:p>
          <w:p w:rsidR="00100FA0" w:rsidRPr="00EE6AF7" w:rsidRDefault="00100FA0" w:rsidP="00EE6AF7">
            <w:pPr>
              <w:autoSpaceDE w:val="0"/>
              <w:autoSpaceDN w:val="0"/>
              <w:adjustRightInd w:val="0"/>
              <w:rPr>
                <w:rFonts w:eastAsia="Arial" w:cs="Arial"/>
                <w:color w:val="000000"/>
              </w:rPr>
            </w:pPr>
          </w:p>
        </w:tc>
      </w:tr>
      <w:tr w:rsidR="00D31C30" w:rsidRPr="00EE6AF7" w:rsidTr="00EE6AF7">
        <w:trPr>
          <w:trHeight w:val="1247"/>
          <w:jc w:val="center"/>
        </w:trPr>
        <w:tc>
          <w:tcPr>
            <w:tcW w:w="901" w:type="pct"/>
            <w:shd w:val="clear" w:color="auto" w:fill="EDEDED"/>
            <w:vAlign w:val="center"/>
          </w:tcPr>
          <w:p w:rsidR="00100FA0" w:rsidRPr="00EE6AF7" w:rsidRDefault="00100FA0" w:rsidP="00EE6AF7">
            <w:pPr>
              <w:jc w:val="center"/>
              <w:rPr>
                <w:rFonts w:eastAsia="Arial" w:cs="Arial"/>
                <w:b/>
                <w:bCs/>
                <w:color w:val="000000"/>
              </w:rPr>
            </w:pPr>
            <w:r w:rsidRPr="00EE6AF7">
              <w:rPr>
                <w:rFonts w:eastAsia="Times New Roman" w:cs="Arial"/>
                <w:b/>
                <w:color w:val="000000"/>
              </w:rPr>
              <w:t>Derecho a la Protección</w:t>
            </w:r>
          </w:p>
        </w:tc>
        <w:tc>
          <w:tcPr>
            <w:tcW w:w="2665" w:type="pct"/>
            <w:shd w:val="clear" w:color="auto" w:fill="EDEDED"/>
          </w:tcPr>
          <w:p w:rsidR="00100FA0" w:rsidRPr="00EE6AF7" w:rsidRDefault="00100FA0" w:rsidP="00EE6AF7">
            <w:pPr>
              <w:autoSpaceDE w:val="0"/>
              <w:autoSpaceDN w:val="0"/>
              <w:adjustRightInd w:val="0"/>
              <w:rPr>
                <w:rFonts w:eastAsia="Arial" w:cs="Arial"/>
                <w:color w:val="000000"/>
              </w:rPr>
            </w:pPr>
            <w:r w:rsidRPr="00EE6AF7">
              <w:rPr>
                <w:rFonts w:eastAsia="Arial" w:cs="Arial"/>
                <w:color w:val="000000"/>
              </w:rPr>
              <w:t>Estos derechos incluyen la protección contra todo tipo de malos tratos, abandono, explotación y crueldad, e incluso el derecho a una protección especial en tiempos de guerra y protección contra los abusos del sistema de justicia criminal.</w:t>
            </w:r>
          </w:p>
        </w:tc>
        <w:tc>
          <w:tcPr>
            <w:tcW w:w="1434" w:type="pct"/>
            <w:shd w:val="clear" w:color="auto" w:fill="EDEDED"/>
          </w:tcPr>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Seguridad Legal</w:t>
            </w:r>
          </w:p>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Discriminación</w:t>
            </w:r>
          </w:p>
        </w:tc>
      </w:tr>
    </w:tbl>
    <w:p w:rsidR="00100FA0" w:rsidRPr="00CD5A82" w:rsidRDefault="00100FA0" w:rsidP="00100FA0">
      <w:pPr>
        <w:jc w:val="center"/>
        <w:rPr>
          <w:rFonts w:eastAsia="Arial" w:cs="Arial"/>
          <w:sz w:val="22"/>
        </w:rPr>
      </w:pPr>
      <w:r w:rsidRPr="00CD5A82">
        <w:rPr>
          <w:rFonts w:eastAsia="Arial" w:cs="Arial"/>
          <w:sz w:val="22"/>
        </w:rPr>
        <w:t>Fuente: Elaboración propia basada en Inversión Públicada en la Infancia y la Adolescencia en México (Unicef, 2011)</w:t>
      </w:r>
    </w:p>
    <w:p w:rsidR="00100FA0" w:rsidRPr="00CD5A82" w:rsidRDefault="00100FA0" w:rsidP="00100FA0">
      <w:pPr>
        <w:rPr>
          <w:rFonts w:eastAsia="Arial" w:cs="Arial"/>
          <w:sz w:val="22"/>
        </w:rPr>
      </w:pPr>
    </w:p>
    <w:p w:rsidR="00100FA0" w:rsidRPr="00CD5A82" w:rsidRDefault="00100FA0" w:rsidP="00100FA0">
      <w:pPr>
        <w:rPr>
          <w:rFonts w:eastAsia="Arial" w:cs="Arial"/>
          <w:sz w:val="22"/>
        </w:rPr>
      </w:pPr>
    </w:p>
    <w:p w:rsidR="00100FA0" w:rsidRPr="00CD5A82" w:rsidRDefault="00100FA0" w:rsidP="00100FA0">
      <w:pPr>
        <w:pStyle w:val="Prrafodelista"/>
        <w:numPr>
          <w:ilvl w:val="0"/>
          <w:numId w:val="1"/>
        </w:numPr>
        <w:spacing w:after="0" w:line="240" w:lineRule="auto"/>
        <w:ind w:left="714" w:hanging="357"/>
        <w:rPr>
          <w:rFonts w:ascii="Arial" w:hAnsi="Arial" w:cs="Arial"/>
          <w:b/>
          <w:i/>
          <w:szCs w:val="24"/>
        </w:rPr>
      </w:pPr>
      <w:r w:rsidRPr="00CD5A82">
        <w:rPr>
          <w:rFonts w:ascii="Arial" w:hAnsi="Arial" w:cs="Arial"/>
          <w:b/>
          <w:i/>
          <w:szCs w:val="24"/>
        </w:rPr>
        <w:t xml:space="preserve"> Análisis de acuerdo con la especificidad de la inversión</w:t>
      </w:r>
    </w:p>
    <w:p w:rsidR="00100FA0" w:rsidRPr="00CD5A82" w:rsidRDefault="00100FA0" w:rsidP="00100FA0">
      <w:pPr>
        <w:pStyle w:val="Prrafodelista"/>
        <w:spacing w:after="0" w:line="240" w:lineRule="auto"/>
        <w:ind w:left="714"/>
        <w:rPr>
          <w:rFonts w:ascii="Arial" w:hAnsi="Arial" w:cs="Arial"/>
          <w:b/>
          <w:i/>
          <w:szCs w:val="24"/>
        </w:rPr>
      </w:pPr>
    </w:p>
    <w:p w:rsidR="00100FA0" w:rsidRPr="00EE6AF7" w:rsidRDefault="00100FA0" w:rsidP="00100FA0">
      <w:pPr>
        <w:rPr>
          <w:rFonts w:cs="Arial"/>
          <w:color w:val="000000"/>
          <w:spacing w:val="1"/>
          <w:w w:val="103"/>
        </w:rPr>
      </w:pPr>
      <w:r w:rsidRPr="00EE6AF7">
        <w:rPr>
          <w:rFonts w:cs="Arial"/>
          <w:color w:val="000000"/>
        </w:rPr>
        <w:t>Pa</w:t>
      </w:r>
      <w:r w:rsidRPr="00EE6AF7">
        <w:rPr>
          <w:rFonts w:cs="Arial"/>
          <w:color w:val="000000"/>
          <w:spacing w:val="2"/>
        </w:rPr>
        <w:t>r</w:t>
      </w:r>
      <w:r w:rsidRPr="00EE6AF7">
        <w:rPr>
          <w:rFonts w:cs="Arial"/>
          <w:color w:val="000000"/>
        </w:rPr>
        <w:t xml:space="preserve">a conocer que tan específica es la inversión en infancia y adolescencia, es decir, cuánto, cómo y en qué se invierte en alguna de las cuatro categorías de especificidad, se adopta y utiliza la metodología propuesta por </w:t>
      </w:r>
      <w:r w:rsidRPr="00EE6AF7">
        <w:rPr>
          <w:rFonts w:cs="Arial"/>
          <w:color w:val="000000"/>
          <w:w w:val="103"/>
        </w:rPr>
        <w:t>Unice</w:t>
      </w:r>
      <w:r w:rsidRPr="00EE6AF7">
        <w:rPr>
          <w:rFonts w:cs="Arial"/>
          <w:color w:val="000000"/>
          <w:spacing w:val="1"/>
          <w:w w:val="103"/>
        </w:rPr>
        <w:t>f</w:t>
      </w:r>
      <w:r w:rsidRPr="00EE6AF7">
        <w:rPr>
          <w:rStyle w:val="Refdenotaalpie"/>
          <w:rFonts w:cs="Arial"/>
          <w:color w:val="000000"/>
          <w:spacing w:val="1"/>
          <w:w w:val="103"/>
        </w:rPr>
        <w:footnoteReference w:id="9"/>
      </w:r>
      <w:r w:rsidRPr="00EE6AF7">
        <w:rPr>
          <w:rFonts w:cs="Arial"/>
          <w:color w:val="000000"/>
          <w:spacing w:val="1"/>
          <w:w w:val="103"/>
        </w:rPr>
        <w:t xml:space="preserve">, que a continuación se presenta: </w:t>
      </w:r>
    </w:p>
    <w:p w:rsidR="00100FA0" w:rsidRPr="00CD5A82" w:rsidRDefault="00100FA0" w:rsidP="00100FA0">
      <w:pPr>
        <w:rPr>
          <w:rFonts w:eastAsia="Arial" w:cs="Arial"/>
        </w:rPr>
      </w:pPr>
    </w:p>
    <w:p w:rsidR="00100FA0" w:rsidRPr="00AB797C" w:rsidRDefault="00100FA0" w:rsidP="00100FA0">
      <w:pPr>
        <w:jc w:val="center"/>
        <w:rPr>
          <w:rFonts w:eastAsia="Arial" w:cs="Arial"/>
          <w:b/>
        </w:rPr>
      </w:pPr>
      <w:r w:rsidRPr="00AB797C">
        <w:rPr>
          <w:rFonts w:eastAsia="Arial" w:cs="Arial"/>
          <w:b/>
        </w:rPr>
        <w:t xml:space="preserve">Tabla 2. </w:t>
      </w:r>
      <w:r w:rsidRPr="00AB797C">
        <w:rPr>
          <w:rFonts w:cs="Arial"/>
          <w:b/>
        </w:rPr>
        <w:t xml:space="preserve">Especificidad de la inversión </w:t>
      </w: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7370"/>
      </w:tblGrid>
      <w:tr w:rsidR="00100FA0" w:rsidRPr="00EE6AF7" w:rsidTr="00EE6AF7">
        <w:trPr>
          <w:trHeight w:val="397"/>
          <w:tblHeader/>
          <w:jc w:val="center"/>
        </w:trPr>
        <w:tc>
          <w:tcPr>
            <w:tcW w:w="2597" w:type="dxa"/>
            <w:shd w:val="clear" w:color="auto" w:fill="4B4B4B"/>
            <w:vAlign w:val="center"/>
          </w:tcPr>
          <w:p w:rsidR="00100FA0" w:rsidRPr="00EE6AF7" w:rsidRDefault="00100FA0" w:rsidP="00EE6AF7">
            <w:pPr>
              <w:autoSpaceDE w:val="0"/>
              <w:autoSpaceDN w:val="0"/>
              <w:adjustRightInd w:val="0"/>
              <w:jc w:val="center"/>
              <w:rPr>
                <w:rFonts w:eastAsia="Times New Roman" w:cs="Arial"/>
                <w:b/>
                <w:bCs/>
                <w:color w:val="FFFFFF"/>
              </w:rPr>
            </w:pPr>
            <w:r w:rsidRPr="00EE6AF7">
              <w:rPr>
                <w:rFonts w:cs="Arial"/>
                <w:b/>
                <w:color w:val="FFFFFF"/>
              </w:rPr>
              <w:t>Tipo de Inversión</w:t>
            </w:r>
          </w:p>
        </w:tc>
        <w:tc>
          <w:tcPr>
            <w:tcW w:w="7370" w:type="dxa"/>
            <w:shd w:val="clear" w:color="auto" w:fill="4B4B4B"/>
            <w:vAlign w:val="center"/>
          </w:tcPr>
          <w:p w:rsidR="00100FA0" w:rsidRPr="00EE6AF7" w:rsidRDefault="00100FA0" w:rsidP="00EE6AF7">
            <w:pPr>
              <w:autoSpaceDE w:val="0"/>
              <w:autoSpaceDN w:val="0"/>
              <w:adjustRightInd w:val="0"/>
              <w:ind w:right="-538"/>
              <w:jc w:val="center"/>
              <w:rPr>
                <w:rFonts w:eastAsia="Arial" w:cs="Arial"/>
                <w:b/>
                <w:bCs/>
                <w:color w:val="FFFFFF"/>
              </w:rPr>
            </w:pPr>
            <w:r w:rsidRPr="00EE6AF7">
              <w:rPr>
                <w:rFonts w:cs="Arial"/>
                <w:b/>
                <w:color w:val="FFFFFF"/>
              </w:rPr>
              <w:t>Conceptualización</w:t>
            </w:r>
          </w:p>
        </w:tc>
      </w:tr>
      <w:tr w:rsidR="00100FA0" w:rsidRPr="00EE6AF7" w:rsidTr="00EE6AF7">
        <w:trPr>
          <w:trHeight w:val="907"/>
          <w:jc w:val="center"/>
        </w:trPr>
        <w:tc>
          <w:tcPr>
            <w:tcW w:w="2597" w:type="dxa"/>
            <w:shd w:val="clear" w:color="auto" w:fill="auto"/>
            <w:vAlign w:val="center"/>
            <w:hideMark/>
          </w:tcPr>
          <w:p w:rsidR="00100FA0" w:rsidRPr="00EE6AF7" w:rsidRDefault="00100FA0" w:rsidP="00EE6AF7">
            <w:pPr>
              <w:jc w:val="center"/>
              <w:rPr>
                <w:rFonts w:eastAsia="Times New Roman" w:cs="Arial"/>
                <w:b/>
                <w:bCs/>
              </w:rPr>
            </w:pPr>
            <w:r w:rsidRPr="00EE6AF7">
              <w:rPr>
                <w:rFonts w:eastAsia="Times New Roman" w:cs="Arial"/>
                <w:b/>
              </w:rPr>
              <w:t>Inversión Específica</w:t>
            </w:r>
          </w:p>
        </w:tc>
        <w:tc>
          <w:tcPr>
            <w:tcW w:w="7370" w:type="dxa"/>
            <w:shd w:val="clear" w:color="auto" w:fill="auto"/>
            <w:hideMark/>
          </w:tcPr>
          <w:p w:rsidR="00100FA0" w:rsidRPr="00EE6AF7" w:rsidRDefault="00100FA0" w:rsidP="00EE6AF7">
            <w:pPr>
              <w:autoSpaceDE w:val="0"/>
              <w:autoSpaceDN w:val="0"/>
              <w:adjustRightInd w:val="0"/>
              <w:rPr>
                <w:rFonts w:eastAsia="Arial" w:cs="Arial"/>
                <w:bCs/>
              </w:rPr>
            </w:pPr>
            <w:r w:rsidRPr="00EE6AF7">
              <w:rPr>
                <w:rFonts w:eastAsia="Arial" w:cs="Arial"/>
                <w:bCs/>
              </w:rPr>
              <w:t>Es la inversión destinada a financiar las intervenciones que entregan beneficios directamente a los niños, niñas o adolescentes para asegurar e</w:t>
            </w:r>
            <w:r w:rsidRPr="00EE6AF7">
              <w:rPr>
                <w:rFonts w:eastAsia="Arial" w:cs="Arial"/>
              </w:rPr>
              <w:t>l cumplimiento de sus derechos.</w:t>
            </w:r>
          </w:p>
        </w:tc>
      </w:tr>
      <w:tr w:rsidR="00100FA0" w:rsidRPr="00EE6AF7" w:rsidTr="00EE6AF7">
        <w:trPr>
          <w:trHeight w:val="1474"/>
          <w:jc w:val="center"/>
        </w:trPr>
        <w:tc>
          <w:tcPr>
            <w:tcW w:w="2597" w:type="dxa"/>
            <w:shd w:val="clear" w:color="auto" w:fill="EDEDED"/>
            <w:vAlign w:val="center"/>
            <w:hideMark/>
          </w:tcPr>
          <w:p w:rsidR="00100FA0" w:rsidRPr="00EE6AF7" w:rsidRDefault="00100FA0" w:rsidP="00EE6AF7">
            <w:pPr>
              <w:jc w:val="center"/>
              <w:rPr>
                <w:rFonts w:eastAsia="Times New Roman" w:cs="Arial"/>
                <w:b/>
                <w:bCs/>
              </w:rPr>
            </w:pPr>
            <w:r w:rsidRPr="00EE6AF7">
              <w:rPr>
                <w:rFonts w:eastAsia="Times New Roman" w:cs="Arial"/>
                <w:b/>
              </w:rPr>
              <w:t>Inversión Agéntica</w:t>
            </w:r>
          </w:p>
        </w:tc>
        <w:tc>
          <w:tcPr>
            <w:tcW w:w="7370" w:type="dxa"/>
            <w:shd w:val="clear" w:color="auto" w:fill="EDEDED"/>
            <w:hideMark/>
          </w:tcPr>
          <w:p w:rsidR="00100FA0" w:rsidRPr="00EE6AF7" w:rsidRDefault="00100FA0" w:rsidP="0056150B">
            <w:pPr>
              <w:rPr>
                <w:rFonts w:eastAsia="Arial" w:cs="Arial"/>
              </w:rPr>
            </w:pPr>
            <w:r w:rsidRPr="00EE6AF7">
              <w:rPr>
                <w:rFonts w:eastAsia="Arial" w:cs="Arial"/>
              </w:rPr>
              <w:t xml:space="preserve">Aquella destinada a financiar las </w:t>
            </w:r>
            <w:r w:rsidRPr="00EE6AF7">
              <w:rPr>
                <w:rFonts w:eastAsia="Arial" w:cs="Arial"/>
                <w:bCs/>
              </w:rPr>
              <w:t>intervenciones</w:t>
            </w:r>
            <w:r w:rsidRPr="00EE6AF7">
              <w:rPr>
                <w:rFonts w:eastAsia="Arial" w:cs="Arial"/>
              </w:rPr>
              <w:t xml:space="preserve"> que promuevan el fortalecimiento de los agentes que actúan a favor de la niñez, padres, tutores y profesionales enfocados en forma exclusiva a la atención de los menores de 18 años, como agentes del bienestar de la infancia.</w:t>
            </w:r>
          </w:p>
        </w:tc>
      </w:tr>
      <w:tr w:rsidR="00100FA0" w:rsidRPr="00EE6AF7" w:rsidTr="00EE6AF7">
        <w:trPr>
          <w:trHeight w:val="1191"/>
          <w:jc w:val="center"/>
        </w:trPr>
        <w:tc>
          <w:tcPr>
            <w:tcW w:w="2597" w:type="dxa"/>
            <w:shd w:val="clear" w:color="auto" w:fill="auto"/>
            <w:vAlign w:val="center"/>
            <w:hideMark/>
          </w:tcPr>
          <w:p w:rsidR="00100FA0" w:rsidRPr="00EE6AF7" w:rsidRDefault="00100FA0" w:rsidP="00EE6AF7">
            <w:pPr>
              <w:jc w:val="center"/>
              <w:rPr>
                <w:rFonts w:eastAsia="Times New Roman" w:cs="Arial"/>
                <w:b/>
                <w:bCs/>
              </w:rPr>
            </w:pPr>
            <w:r w:rsidRPr="00EE6AF7">
              <w:rPr>
                <w:rFonts w:eastAsia="Times New Roman" w:cs="Arial"/>
                <w:b/>
              </w:rPr>
              <w:t>Inversión en Bienes Públicos</w:t>
            </w:r>
          </w:p>
        </w:tc>
        <w:tc>
          <w:tcPr>
            <w:tcW w:w="7370" w:type="dxa"/>
            <w:shd w:val="clear" w:color="auto" w:fill="auto"/>
            <w:hideMark/>
          </w:tcPr>
          <w:p w:rsidR="00100FA0" w:rsidRPr="00EE6AF7" w:rsidRDefault="00100FA0" w:rsidP="00EE6AF7">
            <w:pPr>
              <w:autoSpaceDE w:val="0"/>
              <w:autoSpaceDN w:val="0"/>
              <w:adjustRightInd w:val="0"/>
              <w:rPr>
                <w:rFonts w:eastAsia="Arial" w:cs="Arial"/>
              </w:rPr>
            </w:pPr>
            <w:r w:rsidRPr="00EE6AF7">
              <w:rPr>
                <w:rFonts w:eastAsia="Arial" w:cs="Arial"/>
              </w:rPr>
              <w:t xml:space="preserve">Es aquella inversión destinada a financiar las </w:t>
            </w:r>
            <w:r w:rsidRPr="00EE6AF7">
              <w:rPr>
                <w:rFonts w:eastAsia="Arial" w:cs="Arial"/>
                <w:bCs/>
              </w:rPr>
              <w:t>intervenciones</w:t>
            </w:r>
            <w:r w:rsidRPr="00EE6AF7">
              <w:rPr>
                <w:rFonts w:eastAsia="Arial" w:cs="Arial"/>
              </w:rPr>
              <w:t xml:space="preserve"> que proveen servicios prestados de forma abierta a la sociedad y que hayan estado al menos parcialmente diseñados para atender necesidades específicas de los niños.</w:t>
            </w:r>
          </w:p>
        </w:tc>
      </w:tr>
      <w:tr w:rsidR="00100FA0" w:rsidRPr="00EE6AF7" w:rsidTr="00EE6AF7">
        <w:trPr>
          <w:trHeight w:val="1191"/>
          <w:jc w:val="center"/>
        </w:trPr>
        <w:tc>
          <w:tcPr>
            <w:tcW w:w="2597" w:type="dxa"/>
            <w:shd w:val="clear" w:color="auto" w:fill="EDEDED"/>
            <w:vAlign w:val="center"/>
            <w:hideMark/>
          </w:tcPr>
          <w:p w:rsidR="00100FA0" w:rsidRPr="00EE6AF7" w:rsidRDefault="00100FA0" w:rsidP="00EE6AF7">
            <w:pPr>
              <w:jc w:val="center"/>
              <w:rPr>
                <w:rFonts w:eastAsia="Times New Roman" w:cs="Arial"/>
                <w:b/>
              </w:rPr>
            </w:pPr>
            <w:r w:rsidRPr="00EE6AF7">
              <w:rPr>
                <w:rFonts w:eastAsia="Times New Roman" w:cs="Arial"/>
                <w:b/>
              </w:rPr>
              <w:t>Inversión Ampliada</w:t>
            </w:r>
          </w:p>
        </w:tc>
        <w:tc>
          <w:tcPr>
            <w:tcW w:w="7370" w:type="dxa"/>
            <w:shd w:val="clear" w:color="auto" w:fill="EDEDED"/>
            <w:hideMark/>
          </w:tcPr>
          <w:p w:rsidR="00100FA0" w:rsidRPr="00EE6AF7" w:rsidRDefault="00100FA0" w:rsidP="00EE6AF7">
            <w:pPr>
              <w:autoSpaceDE w:val="0"/>
              <w:autoSpaceDN w:val="0"/>
              <w:adjustRightInd w:val="0"/>
              <w:rPr>
                <w:rFonts w:eastAsia="Arial" w:cs="Arial"/>
              </w:rPr>
            </w:pPr>
            <w:r w:rsidRPr="00EE6AF7">
              <w:rPr>
                <w:rFonts w:eastAsia="Arial" w:cs="Arial"/>
              </w:rPr>
              <w:t xml:space="preserve">Aquella destinada a financiar las </w:t>
            </w:r>
            <w:r w:rsidRPr="00EE6AF7">
              <w:rPr>
                <w:rFonts w:eastAsia="Arial" w:cs="Arial"/>
                <w:bCs/>
              </w:rPr>
              <w:t>intervenciones</w:t>
            </w:r>
            <w:r w:rsidRPr="00EE6AF7">
              <w:rPr>
                <w:rFonts w:eastAsia="Arial" w:cs="Arial"/>
              </w:rPr>
              <w:t xml:space="preserve"> que atienden a grupos de la población vulnerable en la que los niños representan una fracción importante, y que tienen elementos que atienden a estos últimos</w:t>
            </w:r>
            <w:r w:rsidRPr="00EE6AF7">
              <w:rPr>
                <w:rFonts w:cs="Arial"/>
                <w:vertAlign w:val="superscript"/>
              </w:rPr>
              <w:footnoteReference w:id="10"/>
            </w:r>
            <w:r w:rsidRPr="00EE6AF7">
              <w:rPr>
                <w:rFonts w:eastAsia="Arial" w:cs="Arial"/>
              </w:rPr>
              <w:t>.</w:t>
            </w:r>
          </w:p>
        </w:tc>
      </w:tr>
    </w:tbl>
    <w:p w:rsidR="00100FA0" w:rsidRPr="00CD5A82" w:rsidRDefault="00100FA0" w:rsidP="00100FA0">
      <w:pPr>
        <w:jc w:val="center"/>
        <w:rPr>
          <w:rFonts w:eastAsia="Arial" w:cs="Arial"/>
          <w:sz w:val="22"/>
          <w:szCs w:val="22"/>
        </w:rPr>
      </w:pPr>
      <w:r w:rsidRPr="2EAB6CC5">
        <w:rPr>
          <w:rFonts w:eastAsia="Arial" w:cs="Arial"/>
          <w:sz w:val="22"/>
          <w:szCs w:val="22"/>
        </w:rPr>
        <w:t xml:space="preserve">Fuente: Elaboración propia basada en Inversión </w:t>
      </w:r>
      <w:r w:rsidR="2EAB6CC5" w:rsidRPr="2EAB6CC5">
        <w:rPr>
          <w:rFonts w:eastAsia="Arial" w:cs="Arial"/>
          <w:sz w:val="22"/>
          <w:szCs w:val="22"/>
        </w:rPr>
        <w:t>Publicada</w:t>
      </w:r>
      <w:r w:rsidRPr="2EAB6CC5">
        <w:rPr>
          <w:rFonts w:eastAsia="Arial" w:cs="Arial"/>
          <w:sz w:val="22"/>
          <w:szCs w:val="22"/>
        </w:rPr>
        <w:t xml:space="preserve"> en la Infancia y la Adolescencia en México (Unicef, 2011).</w:t>
      </w:r>
    </w:p>
    <w:p w:rsidR="00100FA0" w:rsidRPr="00AB797C" w:rsidRDefault="00100FA0" w:rsidP="00100FA0">
      <w:pPr>
        <w:rPr>
          <w:rFonts w:eastAsia="Arial" w:cs="Arial"/>
        </w:rPr>
      </w:pPr>
    </w:p>
    <w:p w:rsidR="00100FA0" w:rsidRPr="00AB797C" w:rsidRDefault="00100FA0" w:rsidP="00100FA0">
      <w:pPr>
        <w:pStyle w:val="Prrafodelista"/>
        <w:numPr>
          <w:ilvl w:val="0"/>
          <w:numId w:val="1"/>
        </w:numPr>
        <w:spacing w:after="0" w:line="240" w:lineRule="auto"/>
        <w:ind w:left="714" w:hanging="357"/>
        <w:rPr>
          <w:rFonts w:ascii="Arial" w:hAnsi="Arial" w:cs="Arial"/>
          <w:b/>
          <w:i/>
          <w:szCs w:val="24"/>
        </w:rPr>
      </w:pPr>
      <w:r w:rsidRPr="00AB797C">
        <w:rPr>
          <w:rFonts w:ascii="Arial" w:hAnsi="Arial" w:cs="Arial"/>
          <w:b/>
          <w:i/>
          <w:szCs w:val="24"/>
        </w:rPr>
        <w:t>Análisis de Programas Presupuestarios (PP)</w:t>
      </w:r>
    </w:p>
    <w:p w:rsidR="00100FA0" w:rsidRPr="00AB797C" w:rsidRDefault="00100FA0" w:rsidP="00100FA0">
      <w:pPr>
        <w:pStyle w:val="Prrafodelista"/>
        <w:spacing w:after="0" w:line="240" w:lineRule="auto"/>
        <w:ind w:left="714"/>
        <w:rPr>
          <w:rFonts w:ascii="Arial" w:hAnsi="Arial" w:cs="Arial"/>
          <w:b/>
          <w:i/>
          <w:szCs w:val="24"/>
        </w:rPr>
      </w:pPr>
    </w:p>
    <w:p w:rsidR="00100FA0" w:rsidRPr="00EE6AF7" w:rsidRDefault="00100FA0" w:rsidP="00100FA0">
      <w:pPr>
        <w:rPr>
          <w:rFonts w:cs="Arial"/>
          <w:color w:val="000000"/>
        </w:rPr>
      </w:pPr>
      <w:r w:rsidRPr="00EE6AF7">
        <w:rPr>
          <w:rFonts w:cs="Arial"/>
          <w:color w:val="000000"/>
        </w:rPr>
        <w:t xml:space="preserve">Para conocer cuál es la contribución de cada programa presupuestario en la implementación de la política estatal orientada a la población objeto de este anexo, se identifican los programas presupuestarios en los que se encontraron </w:t>
      </w:r>
      <w:r w:rsidRPr="00525396">
        <w:rPr>
          <w:rFonts w:eastAsia="Arial" w:cs="Arial"/>
        </w:rPr>
        <w:t>los programas, actividades institucionales, obras y acciones</w:t>
      </w:r>
      <w:r w:rsidRPr="00EE6AF7">
        <w:rPr>
          <w:rFonts w:cs="Arial"/>
          <w:color w:val="000000"/>
        </w:rPr>
        <w:t xml:space="preserve"> orientadas a atender las necesidades de la niñez y adolescencia.</w:t>
      </w:r>
    </w:p>
    <w:p w:rsidR="00100FA0" w:rsidRPr="00EE6AF7" w:rsidRDefault="00100FA0" w:rsidP="00100FA0">
      <w:pPr>
        <w:rPr>
          <w:rFonts w:cs="Arial"/>
          <w:color w:val="000000"/>
        </w:rPr>
      </w:pPr>
    </w:p>
    <w:p w:rsidR="00100FA0" w:rsidRPr="00EE6AF7" w:rsidRDefault="00100FA0" w:rsidP="00100FA0">
      <w:pPr>
        <w:rPr>
          <w:rFonts w:cs="Arial"/>
          <w:color w:val="000000"/>
        </w:rPr>
      </w:pPr>
      <w:r w:rsidRPr="00EE6AF7">
        <w:rPr>
          <w:rFonts w:cs="Arial"/>
          <w:color w:val="000000"/>
        </w:rPr>
        <w:t>El importe presentado en el anexo podrá ser la totalidad o una parte de los recursos del programa presupuestario, lo anterior dependerá de las intervenciones identificadas para la infancia y la adolescencia.</w:t>
      </w:r>
    </w:p>
    <w:p w:rsidR="00100FA0" w:rsidRPr="00EE6AF7" w:rsidRDefault="00100FA0" w:rsidP="00100FA0">
      <w:pPr>
        <w:rPr>
          <w:rFonts w:cs="Arial"/>
          <w:color w:val="000000"/>
        </w:rPr>
      </w:pPr>
    </w:p>
    <w:p w:rsidR="00100FA0" w:rsidRPr="00AB797C" w:rsidRDefault="00100FA0" w:rsidP="00100FA0">
      <w:pPr>
        <w:pStyle w:val="Prrafodelista"/>
        <w:numPr>
          <w:ilvl w:val="0"/>
          <w:numId w:val="1"/>
        </w:numPr>
        <w:spacing w:after="0" w:line="240" w:lineRule="auto"/>
        <w:ind w:left="714" w:hanging="357"/>
        <w:rPr>
          <w:rFonts w:ascii="Arial" w:hAnsi="Arial" w:cs="Arial"/>
          <w:b/>
          <w:i/>
          <w:szCs w:val="24"/>
        </w:rPr>
      </w:pPr>
      <w:r w:rsidRPr="00AB797C">
        <w:rPr>
          <w:rFonts w:ascii="Arial" w:hAnsi="Arial" w:cs="Arial"/>
          <w:b/>
          <w:i/>
          <w:szCs w:val="24"/>
        </w:rPr>
        <w:t>Análisis de Objetivos de Desarrollo Sostenible (ODS)</w:t>
      </w:r>
      <w:r w:rsidRPr="00AB797C">
        <w:rPr>
          <w:rFonts w:ascii="Arial" w:hAnsi="Arial" w:cs="Arial"/>
          <w:b/>
          <w:i/>
          <w:szCs w:val="24"/>
          <w:vertAlign w:val="superscript"/>
        </w:rPr>
        <w:footnoteReference w:id="11"/>
      </w:r>
    </w:p>
    <w:p w:rsidR="00100FA0" w:rsidRPr="00AB797C" w:rsidRDefault="00100FA0" w:rsidP="00100FA0">
      <w:pPr>
        <w:pStyle w:val="Prrafodelista"/>
        <w:spacing w:after="0" w:line="240" w:lineRule="auto"/>
        <w:ind w:left="714"/>
        <w:rPr>
          <w:rFonts w:ascii="Arial" w:hAnsi="Arial" w:cs="Arial"/>
          <w:b/>
          <w:i/>
          <w:szCs w:val="24"/>
        </w:rPr>
      </w:pPr>
    </w:p>
    <w:p w:rsidR="00100FA0" w:rsidRPr="00AB797C" w:rsidRDefault="00100FA0" w:rsidP="00100FA0">
      <w:pPr>
        <w:rPr>
          <w:rFonts w:eastAsia="Arial" w:cs="Arial"/>
        </w:rPr>
      </w:pPr>
      <w:r w:rsidRPr="00AB797C">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AB797C">
        <w:rPr>
          <w:rStyle w:val="Refdenotaalpie"/>
          <w:rFonts w:cs="Arial"/>
        </w:rPr>
        <w:footnoteReference w:id="12"/>
      </w:r>
      <w:r w:rsidRPr="00AB797C">
        <w:rPr>
          <w:rFonts w:eastAsia="Arial" w:cs="Arial"/>
        </w:rPr>
        <w:t>.</w:t>
      </w:r>
    </w:p>
    <w:p w:rsidR="00100FA0" w:rsidRPr="00AB797C" w:rsidRDefault="00100FA0" w:rsidP="00100FA0">
      <w:pPr>
        <w:rPr>
          <w:rFonts w:eastAsia="Arial" w:cs="Arial"/>
        </w:rPr>
      </w:pPr>
    </w:p>
    <w:p w:rsidR="00100FA0" w:rsidRPr="00AB797C" w:rsidRDefault="00100FA0" w:rsidP="00100FA0">
      <w:pPr>
        <w:rPr>
          <w:rFonts w:cs="Arial"/>
        </w:rPr>
      </w:pPr>
      <w:r w:rsidRPr="00AB797C">
        <w:rPr>
          <w:rFonts w:cs="Arial"/>
        </w:rPr>
        <w:t>Se analizan las intervenciones del Anexo para identificar las asignaciones presupuestarias a los programas y acciones clasificados como inversión para los Niños, Niñas y Adolescentes en el Estado que contribuyen al cumplimiento de las metas de los ODS. La inclusión de los ODS es fundamental al formar parte de los compromisos del Plan Estatal de Desarrollo 2018-2024.</w:t>
      </w:r>
    </w:p>
    <w:p w:rsidR="00100FA0" w:rsidRPr="00AB797C" w:rsidRDefault="00100FA0" w:rsidP="00100FA0">
      <w:pPr>
        <w:rPr>
          <w:rFonts w:eastAsia="Arial" w:cs="Arial"/>
          <w:color w:val="121D56"/>
        </w:rPr>
      </w:pPr>
    </w:p>
    <w:p w:rsidR="00100FA0" w:rsidRPr="00AB797C" w:rsidRDefault="00100FA0" w:rsidP="00100FA0">
      <w:pPr>
        <w:pStyle w:val="Prrafodelista"/>
        <w:numPr>
          <w:ilvl w:val="0"/>
          <w:numId w:val="1"/>
        </w:numPr>
        <w:spacing w:after="0" w:line="240" w:lineRule="auto"/>
        <w:ind w:left="714" w:hanging="357"/>
        <w:rPr>
          <w:rFonts w:ascii="Arial" w:hAnsi="Arial" w:cs="Arial"/>
          <w:b/>
          <w:i/>
          <w:szCs w:val="24"/>
        </w:rPr>
      </w:pPr>
      <w:r w:rsidRPr="00AB797C">
        <w:rPr>
          <w:rFonts w:ascii="Arial" w:hAnsi="Arial" w:cs="Arial"/>
          <w:b/>
          <w:i/>
          <w:szCs w:val="24"/>
        </w:rPr>
        <w:t>Análisis de resultados</w:t>
      </w:r>
    </w:p>
    <w:p w:rsidR="00100FA0" w:rsidRPr="00525396" w:rsidRDefault="00100FA0" w:rsidP="00100FA0">
      <w:pPr>
        <w:autoSpaceDE w:val="0"/>
        <w:autoSpaceDN w:val="0"/>
        <w:adjustRightInd w:val="0"/>
        <w:rPr>
          <w:rFonts w:eastAsia="Arial" w:cs="Arial"/>
        </w:rPr>
      </w:pPr>
      <w:bookmarkStart w:id="81" w:name="OLE_LINK5"/>
    </w:p>
    <w:p w:rsidR="00100FA0" w:rsidRDefault="00100FA0" w:rsidP="00100FA0">
      <w:pPr>
        <w:rPr>
          <w:rFonts w:eastAsia="Arial" w:cs="Arial"/>
          <w:color w:val="FF0000"/>
        </w:rPr>
      </w:pPr>
      <w:r w:rsidRPr="00525396">
        <w:rPr>
          <w:rFonts w:eastAsia="Arial" w:cs="Arial"/>
        </w:rPr>
        <w:t>El Proyecto del Presupuesto de Egresos del 2022</w:t>
      </w:r>
      <w:r w:rsidRPr="00525396">
        <w:rPr>
          <w:rFonts w:eastAsia="Arial" w:cs="Arial"/>
          <w:color w:val="FF0000"/>
        </w:rPr>
        <w:t xml:space="preserve"> </w:t>
      </w:r>
      <w:r w:rsidRPr="00525396">
        <w:rPr>
          <w:rFonts w:eastAsia="Arial" w:cs="Arial"/>
        </w:rPr>
        <w:t>destina</w:t>
      </w:r>
      <w:r w:rsidRPr="00525396">
        <w:rPr>
          <w:rFonts w:eastAsia="Times New Roman" w:cs="Arial"/>
          <w:color w:val="000000"/>
          <w:lang w:eastAsia="es-MX"/>
        </w:rPr>
        <w:t xml:space="preserve"> </w:t>
      </w:r>
      <w:r w:rsidRPr="00525396">
        <w:rPr>
          <w:rFonts w:eastAsia="Arial" w:cs="Arial"/>
        </w:rPr>
        <w:t>14 mil 452 millones 220 mil 893 pesos, a programas dirigidos a la población de 0 a menores de 18 años, lo que representa un 31.39% del total del presupuesto estatal (Gráfica 1), y</w:t>
      </w:r>
      <w:r w:rsidRPr="00525396">
        <w:rPr>
          <w:rFonts w:eastAsia="Arial" w:cs="Arial"/>
          <w:b/>
        </w:rPr>
        <w:t xml:space="preserve"> </w:t>
      </w:r>
      <w:r w:rsidRPr="00004306">
        <w:rPr>
          <w:rFonts w:eastAsia="Arial" w:cs="Arial"/>
        </w:rPr>
        <w:t>35.80% del gasto programable</w:t>
      </w:r>
      <w:r w:rsidRPr="00525396">
        <w:rPr>
          <w:rFonts w:eastAsia="Arial" w:cs="Arial"/>
          <w:color w:val="FF0000"/>
        </w:rPr>
        <w:t>.</w:t>
      </w:r>
    </w:p>
    <w:p w:rsidR="00100FA0" w:rsidRPr="00AB797C" w:rsidRDefault="00100FA0" w:rsidP="00100FA0">
      <w:pPr>
        <w:rPr>
          <w:rFonts w:eastAsia="Times New Roman" w:cs="Arial"/>
          <w:color w:val="FF0000"/>
          <w:lang w:eastAsia="es-MX"/>
        </w:rPr>
      </w:pPr>
    </w:p>
    <w:p w:rsidR="00100FA0" w:rsidRDefault="00100FA0" w:rsidP="00100FA0">
      <w:pPr>
        <w:jc w:val="center"/>
        <w:rPr>
          <w:rFonts w:eastAsia="Arial" w:cs="Arial"/>
          <w:b/>
          <w:bCs/>
          <w:w w:val="103"/>
        </w:rPr>
      </w:pPr>
      <w:r w:rsidRPr="00CD5A82">
        <w:rPr>
          <w:rFonts w:eastAsia="Arial" w:cs="Arial"/>
          <w:b/>
          <w:bCs/>
          <w:w w:val="103"/>
        </w:rPr>
        <w:t>Gráfica 1. Inversión en Niños, Niñas y Adolescentes</w:t>
      </w:r>
    </w:p>
    <w:p w:rsidR="00100FA0" w:rsidRDefault="00100FA0" w:rsidP="00100FA0">
      <w:pPr>
        <w:jc w:val="center"/>
        <w:rPr>
          <w:rFonts w:eastAsia="Arial" w:cs="Arial"/>
          <w:b/>
          <w:bCs/>
          <w:w w:val="103"/>
        </w:rPr>
      </w:pPr>
    </w:p>
    <w:p w:rsidR="00100FA0" w:rsidRPr="00CD5A82" w:rsidRDefault="008A5EAC" w:rsidP="00100FA0">
      <w:pPr>
        <w:jc w:val="center"/>
        <w:rPr>
          <w:rFonts w:eastAsia="Arial" w:cs="Arial"/>
          <w:b/>
          <w:bCs/>
          <w:w w:val="103"/>
        </w:rPr>
      </w:pPr>
      <w:r w:rsidRPr="00CF51C3">
        <w:rPr>
          <w:noProof/>
          <w:lang w:eastAsia="es-MX"/>
        </w:rPr>
        <w:drawing>
          <wp:inline distT="0" distB="0" distL="0" distR="0">
            <wp:extent cx="7023735" cy="2362200"/>
            <wp:effectExtent l="0" t="0" r="0" b="0"/>
            <wp:docPr id="4"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0FA0" w:rsidRDefault="00100FA0" w:rsidP="00100FA0">
      <w:pPr>
        <w:jc w:val="center"/>
        <w:rPr>
          <w:rFonts w:eastAsia="Arial" w:cs="Arial"/>
          <w:sz w:val="22"/>
        </w:rPr>
      </w:pPr>
      <w:r w:rsidRPr="00CD5A82">
        <w:rPr>
          <w:rFonts w:eastAsia="Arial" w:cs="Arial"/>
          <w:sz w:val="22"/>
        </w:rPr>
        <w:t>Fuente: Elaboración propia</w:t>
      </w:r>
      <w:bookmarkEnd w:id="81"/>
    </w:p>
    <w:p w:rsidR="00100FA0" w:rsidRPr="00CD5A82" w:rsidRDefault="00100FA0" w:rsidP="00100FA0">
      <w:pPr>
        <w:jc w:val="center"/>
        <w:rPr>
          <w:rFonts w:eastAsia="Arial" w:cs="Arial"/>
          <w:sz w:val="22"/>
        </w:rPr>
      </w:pPr>
    </w:p>
    <w:p w:rsidR="00100FA0" w:rsidRDefault="00100FA0" w:rsidP="00100FA0">
      <w:pPr>
        <w:rPr>
          <w:rFonts w:eastAsia="Arial" w:cs="Arial"/>
        </w:rPr>
      </w:pPr>
    </w:p>
    <w:p w:rsidR="00100FA0" w:rsidRPr="00CD5A82" w:rsidRDefault="00100FA0" w:rsidP="00100FA0">
      <w:pPr>
        <w:rPr>
          <w:rFonts w:eastAsia="Arial" w:cs="Arial"/>
          <w:color w:val="FF0000"/>
          <w:sz w:val="22"/>
        </w:rPr>
      </w:pPr>
      <w:r w:rsidRPr="006A6559">
        <w:rPr>
          <w:rFonts w:eastAsia="Arial" w:cs="Arial"/>
        </w:rPr>
        <w:t>Los resultados del análisis de la inversión con enfoque a los Derechos de la Niñez  y Adolescencia destacan que en 2022 en el Estado el 69.58% está destinada al Derecho al Desarrollo y un 28.79% destinada al Derecho a la Supervivencia (Ver Gráfica 2).</w:t>
      </w:r>
    </w:p>
    <w:p w:rsidR="00100FA0" w:rsidRDefault="00100FA0">
      <w:pPr>
        <w:jc w:val="left"/>
        <w:rPr>
          <w:rFonts w:eastAsia="Arial" w:cs="Arial"/>
          <w:sz w:val="22"/>
        </w:rPr>
      </w:pPr>
      <w:r>
        <w:rPr>
          <w:rFonts w:eastAsia="Arial" w:cs="Arial"/>
          <w:sz w:val="22"/>
        </w:rPr>
        <w:br w:type="page"/>
      </w:r>
    </w:p>
    <w:p w:rsidR="00100FA0" w:rsidRPr="00CD5A82" w:rsidRDefault="00100FA0" w:rsidP="00100FA0">
      <w:pPr>
        <w:rPr>
          <w:rFonts w:eastAsia="Arial" w:cs="Arial"/>
          <w:sz w:val="22"/>
        </w:rPr>
      </w:pPr>
    </w:p>
    <w:p w:rsidR="00100FA0" w:rsidRDefault="00100FA0" w:rsidP="00100FA0">
      <w:pPr>
        <w:jc w:val="center"/>
        <w:rPr>
          <w:rFonts w:eastAsia="Arial" w:cs="Arial"/>
          <w:b/>
        </w:rPr>
      </w:pPr>
      <w:r w:rsidRPr="00CD5A82">
        <w:rPr>
          <w:rFonts w:eastAsia="Arial" w:cs="Arial"/>
          <w:b/>
          <w:bCs/>
          <w:w w:val="103"/>
        </w:rPr>
        <w:t xml:space="preserve">Gráfica 2. Inversión en Infancia con enfoque a los </w:t>
      </w:r>
      <w:r w:rsidRPr="00CD5A82">
        <w:rPr>
          <w:rFonts w:eastAsia="Arial" w:cs="Arial"/>
          <w:b/>
        </w:rPr>
        <w:t>Derechos de la Niñez y Adolescencia</w:t>
      </w:r>
    </w:p>
    <w:p w:rsidR="00100FA0" w:rsidRDefault="00100FA0" w:rsidP="00100FA0">
      <w:pPr>
        <w:jc w:val="center"/>
        <w:rPr>
          <w:rFonts w:eastAsia="Arial" w:cs="Arial"/>
          <w:b/>
        </w:rPr>
      </w:pPr>
    </w:p>
    <w:p w:rsidR="00100FA0" w:rsidRDefault="008A5EAC" w:rsidP="00100FA0">
      <w:pPr>
        <w:jc w:val="center"/>
        <w:rPr>
          <w:rFonts w:eastAsia="Arial" w:cs="Arial"/>
          <w:b/>
        </w:rPr>
      </w:pPr>
      <w:r w:rsidRPr="00CF51C3">
        <w:rPr>
          <w:noProof/>
          <w:lang w:eastAsia="es-MX"/>
        </w:rPr>
        <w:drawing>
          <wp:inline distT="0" distB="0" distL="0" distR="0">
            <wp:extent cx="4940300" cy="2928620"/>
            <wp:effectExtent l="0" t="0" r="0" b="0"/>
            <wp:docPr id="5"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0FA0" w:rsidRDefault="00100FA0" w:rsidP="00100FA0">
      <w:pPr>
        <w:jc w:val="center"/>
        <w:rPr>
          <w:rFonts w:eastAsia="Arial" w:cs="Arial"/>
          <w:sz w:val="22"/>
        </w:rPr>
      </w:pPr>
      <w:r w:rsidRPr="00CD5A82">
        <w:rPr>
          <w:rFonts w:eastAsia="Arial" w:cs="Arial"/>
          <w:sz w:val="22"/>
        </w:rPr>
        <w:t>Fuente: Elaboración propia.</w:t>
      </w:r>
    </w:p>
    <w:p w:rsidR="00100FA0" w:rsidRPr="00CD5A82" w:rsidRDefault="00100FA0" w:rsidP="00100FA0">
      <w:pPr>
        <w:jc w:val="center"/>
        <w:rPr>
          <w:rFonts w:eastAsia="Arial" w:cs="Arial"/>
          <w:sz w:val="22"/>
        </w:rPr>
      </w:pPr>
    </w:p>
    <w:p w:rsidR="00100FA0" w:rsidRPr="00F108A1" w:rsidRDefault="00100FA0" w:rsidP="00100FA0">
      <w:pPr>
        <w:autoSpaceDE w:val="0"/>
        <w:autoSpaceDN w:val="0"/>
        <w:adjustRightInd w:val="0"/>
        <w:rPr>
          <w:rFonts w:eastAsia="Arial" w:cs="Arial"/>
        </w:rPr>
      </w:pPr>
      <w:r w:rsidRPr="00F108A1">
        <w:rPr>
          <w:rFonts w:eastAsia="Arial" w:cs="Arial"/>
        </w:rPr>
        <w:t>A continuación se presenta la distribución de la inversión para cada uno de los temas específicos considerados en el análisis de los derechos.</w:t>
      </w:r>
    </w:p>
    <w:p w:rsidR="00100FA0" w:rsidRPr="00F108A1" w:rsidRDefault="00100FA0" w:rsidP="00100FA0">
      <w:pPr>
        <w:autoSpaceDE w:val="0"/>
        <w:autoSpaceDN w:val="0"/>
        <w:adjustRightInd w:val="0"/>
        <w:rPr>
          <w:rFonts w:eastAsia="Arial" w:cs="Arial"/>
        </w:rPr>
      </w:pPr>
    </w:p>
    <w:p w:rsidR="00100FA0" w:rsidRDefault="00100FA0" w:rsidP="00100FA0">
      <w:pPr>
        <w:jc w:val="center"/>
        <w:rPr>
          <w:rFonts w:eastAsia="Arial" w:cs="Arial"/>
          <w:b/>
          <w:bCs/>
          <w:w w:val="103"/>
        </w:rPr>
      </w:pPr>
      <w:r w:rsidRPr="00F108A1">
        <w:rPr>
          <w:rFonts w:eastAsia="Arial" w:cs="Arial"/>
          <w:b/>
          <w:bCs/>
          <w:w w:val="103"/>
        </w:rPr>
        <w:t>Tabla 2. Inversión en Infancia por Derecho y Temática</w:t>
      </w:r>
    </w:p>
    <w:p w:rsidR="00100FA0" w:rsidRPr="00F108A1" w:rsidRDefault="00100FA0" w:rsidP="00100FA0">
      <w:pPr>
        <w:jc w:val="center"/>
        <w:rPr>
          <w:rFonts w:eastAsia="Arial" w:cs="Arial"/>
          <w:b/>
          <w:bCs/>
          <w:w w:val="103"/>
        </w:rPr>
      </w:pPr>
    </w:p>
    <w:tbl>
      <w:tblPr>
        <w:tblW w:w="8079" w:type="dxa"/>
        <w:jc w:val="center"/>
        <w:tblCellMar>
          <w:left w:w="70" w:type="dxa"/>
          <w:right w:w="70" w:type="dxa"/>
        </w:tblCellMar>
        <w:tblLook w:val="04A0" w:firstRow="1" w:lastRow="0" w:firstColumn="1" w:lastColumn="0" w:noHBand="0" w:noVBand="1"/>
      </w:tblPr>
      <w:tblGrid>
        <w:gridCol w:w="4195"/>
        <w:gridCol w:w="1984"/>
        <w:gridCol w:w="1900"/>
      </w:tblGrid>
      <w:tr w:rsidR="00100FA0" w:rsidRPr="00EE6AF7" w:rsidTr="0056150B">
        <w:trPr>
          <w:trHeight w:val="624"/>
          <w:jc w:val="center"/>
        </w:trPr>
        <w:tc>
          <w:tcPr>
            <w:tcW w:w="4195"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Derecho/Temática infancia</w:t>
            </w:r>
          </w:p>
        </w:tc>
        <w:tc>
          <w:tcPr>
            <w:tcW w:w="1984" w:type="dxa"/>
            <w:tcBorders>
              <w:top w:val="single" w:sz="4" w:space="0" w:color="auto"/>
              <w:left w:val="nil"/>
              <w:bottom w:val="single" w:sz="4" w:space="0" w:color="auto"/>
              <w:right w:val="single" w:sz="4" w:space="0" w:color="auto"/>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Inversión (pesos)</w:t>
            </w:r>
          </w:p>
        </w:tc>
        <w:tc>
          <w:tcPr>
            <w:tcW w:w="1900" w:type="dxa"/>
            <w:tcBorders>
              <w:top w:val="single" w:sz="4" w:space="0" w:color="auto"/>
              <w:left w:val="nil"/>
              <w:bottom w:val="single" w:sz="4" w:space="0" w:color="auto"/>
              <w:right w:val="single" w:sz="4" w:space="0" w:color="auto"/>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r>
      <w:tr w:rsidR="00100FA0" w:rsidRPr="00EE6AF7" w:rsidTr="0056150B">
        <w:trPr>
          <w:trHeight w:val="340"/>
          <w:jc w:val="center"/>
        </w:trPr>
        <w:tc>
          <w:tcPr>
            <w:tcW w:w="419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rPr>
                <w:rFonts w:eastAsia="Times New Roman" w:cs="Arial"/>
                <w:b/>
                <w:bCs/>
                <w:color w:val="000000"/>
                <w:lang w:eastAsia="es-MX"/>
              </w:rPr>
            </w:pPr>
            <w:r w:rsidRPr="006A6559">
              <w:rPr>
                <w:rFonts w:eastAsia="Times New Roman" w:cs="Arial"/>
                <w:b/>
                <w:bCs/>
                <w:color w:val="000000"/>
                <w:lang w:eastAsia="es-MX"/>
              </w:rPr>
              <w:t>Desarrollo</w:t>
            </w:r>
          </w:p>
        </w:tc>
        <w:tc>
          <w:tcPr>
            <w:tcW w:w="198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jc w:val="right"/>
              <w:rPr>
                <w:rFonts w:eastAsia="Times New Roman" w:cs="Arial"/>
                <w:b/>
                <w:bCs/>
                <w:color w:val="000000"/>
                <w:lang w:eastAsia="es-MX"/>
              </w:rPr>
            </w:pPr>
            <w:r w:rsidRPr="006A6559">
              <w:rPr>
                <w:rFonts w:eastAsia="Times New Roman" w:cs="Arial"/>
                <w:b/>
                <w:bCs/>
                <w:color w:val="000000"/>
                <w:lang w:eastAsia="es-MX"/>
              </w:rPr>
              <w:t>10,055,204,425</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jc w:val="center"/>
              <w:rPr>
                <w:rFonts w:eastAsia="Times New Roman" w:cs="Arial"/>
                <w:color w:val="000000"/>
                <w:lang w:eastAsia="es-MX"/>
              </w:rPr>
            </w:pPr>
            <w:r w:rsidRPr="006A6559">
              <w:rPr>
                <w:rFonts w:eastAsia="Times New Roman" w:cs="Arial"/>
                <w:color w:val="000000"/>
                <w:lang w:eastAsia="es-MX"/>
              </w:rPr>
              <w:t>69.58%</w:t>
            </w: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Educación</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9,854,609,734</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Deportes, recreación y cultura</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165,906,137</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Urbanización y desarrollo regional</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34,688,554</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rPr>
                <w:rFonts w:eastAsia="Times New Roman" w:cs="Arial"/>
                <w:b/>
                <w:bCs/>
                <w:color w:val="000000"/>
                <w:lang w:eastAsia="es-MX"/>
              </w:rPr>
            </w:pPr>
            <w:r w:rsidRPr="006A6559">
              <w:rPr>
                <w:rFonts w:eastAsia="Times New Roman" w:cs="Arial"/>
                <w:b/>
                <w:bCs/>
                <w:color w:val="000000"/>
                <w:lang w:eastAsia="es-MX"/>
              </w:rPr>
              <w:t>Supervivencia</w:t>
            </w:r>
          </w:p>
        </w:tc>
        <w:tc>
          <w:tcPr>
            <w:tcW w:w="198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jc w:val="right"/>
              <w:rPr>
                <w:rFonts w:eastAsia="Times New Roman" w:cs="Arial"/>
                <w:b/>
                <w:bCs/>
                <w:color w:val="000000"/>
                <w:lang w:eastAsia="es-MX"/>
              </w:rPr>
            </w:pPr>
            <w:r w:rsidRPr="006A6559">
              <w:rPr>
                <w:rFonts w:eastAsia="Times New Roman" w:cs="Arial"/>
                <w:b/>
                <w:bCs/>
                <w:color w:val="000000"/>
                <w:lang w:eastAsia="es-MX"/>
              </w:rPr>
              <w:t>4,161,278,776</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jc w:val="center"/>
              <w:rPr>
                <w:rFonts w:eastAsia="Times New Roman" w:cs="Arial"/>
                <w:color w:val="000000"/>
                <w:lang w:eastAsia="es-MX"/>
              </w:rPr>
            </w:pPr>
            <w:r w:rsidRPr="006A6559">
              <w:rPr>
                <w:rFonts w:eastAsia="Times New Roman" w:cs="Arial"/>
                <w:color w:val="000000"/>
                <w:lang w:eastAsia="es-MX"/>
              </w:rPr>
              <w:t>28.79%</w:t>
            </w: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Salud</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3,404,000,703</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Vivienda y su infraestructura</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267,068,989</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Alimentación y Nutrición</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286,244,108</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Asistencia Social</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203,964,976</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rPr>
                <w:rFonts w:eastAsia="Times New Roman" w:cs="Arial"/>
                <w:b/>
                <w:bCs/>
                <w:color w:val="000000"/>
                <w:lang w:eastAsia="es-MX"/>
              </w:rPr>
            </w:pPr>
            <w:r w:rsidRPr="006A6559">
              <w:rPr>
                <w:rFonts w:eastAsia="Times New Roman" w:cs="Arial"/>
                <w:b/>
                <w:bCs/>
                <w:color w:val="000000"/>
                <w:lang w:eastAsia="es-MX"/>
              </w:rPr>
              <w:t>Protección</w:t>
            </w:r>
          </w:p>
        </w:tc>
        <w:tc>
          <w:tcPr>
            <w:tcW w:w="198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jc w:val="right"/>
              <w:rPr>
                <w:rFonts w:eastAsia="Times New Roman" w:cs="Arial"/>
                <w:b/>
                <w:bCs/>
                <w:color w:val="000000"/>
                <w:lang w:eastAsia="es-MX"/>
              </w:rPr>
            </w:pPr>
            <w:r w:rsidRPr="006A6559">
              <w:rPr>
                <w:rFonts w:eastAsia="Times New Roman" w:cs="Arial"/>
                <w:b/>
                <w:bCs/>
                <w:color w:val="000000"/>
                <w:lang w:eastAsia="es-MX"/>
              </w:rPr>
              <w:t>233,735,624</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jc w:val="center"/>
              <w:rPr>
                <w:rFonts w:eastAsia="Times New Roman" w:cs="Arial"/>
                <w:color w:val="000000"/>
                <w:lang w:eastAsia="es-MX"/>
              </w:rPr>
            </w:pPr>
            <w:r w:rsidRPr="006A6559">
              <w:rPr>
                <w:rFonts w:eastAsia="Times New Roman" w:cs="Arial"/>
                <w:color w:val="000000"/>
                <w:lang w:eastAsia="es-MX"/>
              </w:rPr>
              <w:t>1.62%</w:t>
            </w: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Seguridad Legal</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150,914,273</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Discriminación</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82,821,351</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rPr>
                <w:rFonts w:eastAsia="Times New Roman" w:cs="Arial"/>
                <w:b/>
                <w:bCs/>
                <w:color w:val="000000"/>
                <w:lang w:eastAsia="es-MX"/>
              </w:rPr>
            </w:pPr>
            <w:r w:rsidRPr="006A6559">
              <w:rPr>
                <w:rFonts w:eastAsia="Times New Roman" w:cs="Arial"/>
                <w:b/>
                <w:bCs/>
                <w:color w:val="000000"/>
                <w:lang w:eastAsia="es-MX"/>
              </w:rPr>
              <w:t>Participación</w:t>
            </w:r>
          </w:p>
        </w:tc>
        <w:tc>
          <w:tcPr>
            <w:tcW w:w="198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jc w:val="right"/>
              <w:rPr>
                <w:rFonts w:eastAsia="Times New Roman" w:cs="Arial"/>
                <w:b/>
                <w:bCs/>
                <w:color w:val="000000"/>
                <w:lang w:eastAsia="es-MX"/>
              </w:rPr>
            </w:pPr>
            <w:r w:rsidRPr="006A6559">
              <w:rPr>
                <w:rFonts w:eastAsia="Times New Roman" w:cs="Arial"/>
                <w:b/>
                <w:bCs/>
                <w:color w:val="000000"/>
                <w:lang w:eastAsia="es-MX"/>
              </w:rPr>
              <w:t>2,002,068</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jc w:val="center"/>
              <w:rPr>
                <w:rFonts w:eastAsia="Times New Roman" w:cs="Arial"/>
                <w:color w:val="000000"/>
                <w:lang w:eastAsia="es-MX"/>
              </w:rPr>
            </w:pPr>
            <w:r w:rsidRPr="006A6559">
              <w:rPr>
                <w:rFonts w:eastAsia="Times New Roman" w:cs="Arial"/>
                <w:color w:val="000000"/>
                <w:lang w:eastAsia="es-MX"/>
              </w:rPr>
              <w:t>0.014%</w:t>
            </w: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F108A1" w:rsidRDefault="00100FA0" w:rsidP="0056150B">
            <w:pPr>
              <w:ind w:firstLineChars="100" w:firstLine="240"/>
              <w:rPr>
                <w:rFonts w:eastAsia="Times New Roman" w:cs="Arial"/>
                <w:color w:val="000000"/>
                <w:lang w:eastAsia="es-MX"/>
              </w:rPr>
            </w:pPr>
            <w:r w:rsidRPr="00F108A1">
              <w:rPr>
                <w:rFonts w:eastAsia="Times New Roman" w:cs="Arial"/>
                <w:color w:val="000000"/>
                <w:lang w:eastAsia="es-MX"/>
              </w:rPr>
              <w:t>Información</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F108A1" w:rsidRDefault="00100FA0" w:rsidP="0056150B">
            <w:pPr>
              <w:jc w:val="right"/>
              <w:rPr>
                <w:rFonts w:eastAsia="Times New Roman" w:cs="Arial"/>
                <w:color w:val="000000"/>
                <w:lang w:eastAsia="es-MX"/>
              </w:rPr>
            </w:pPr>
            <w:r w:rsidRPr="00F108A1">
              <w:rPr>
                <w:rFonts w:eastAsia="Times New Roman" w:cs="Arial"/>
                <w:color w:val="000000"/>
                <w:lang w:eastAsia="es-MX"/>
              </w:rPr>
              <w:t>2,002,068</w:t>
            </w:r>
          </w:p>
        </w:tc>
        <w:tc>
          <w:tcPr>
            <w:tcW w:w="1900" w:type="dxa"/>
            <w:vMerge/>
            <w:tcBorders>
              <w:top w:val="nil"/>
              <w:left w:val="single" w:sz="4" w:space="0" w:color="auto"/>
              <w:bottom w:val="single" w:sz="4" w:space="0" w:color="auto"/>
              <w:right w:val="single" w:sz="4" w:space="0" w:color="auto"/>
            </w:tcBorders>
            <w:vAlign w:val="center"/>
            <w:hideMark/>
          </w:tcPr>
          <w:p w:rsidR="00100FA0" w:rsidRPr="00F108A1" w:rsidRDefault="00100FA0" w:rsidP="0056150B">
            <w:pPr>
              <w:rPr>
                <w:rFonts w:eastAsia="Times New Roman" w:cs="Arial"/>
                <w:color w:val="000000"/>
                <w:lang w:eastAsia="es-MX"/>
              </w:rPr>
            </w:pPr>
          </w:p>
        </w:tc>
      </w:tr>
      <w:tr w:rsidR="00100FA0" w:rsidRPr="00EE6AF7" w:rsidTr="0056150B">
        <w:trPr>
          <w:trHeight w:val="397"/>
          <w:jc w:val="center"/>
        </w:trPr>
        <w:tc>
          <w:tcPr>
            <w:tcW w:w="4195" w:type="dxa"/>
            <w:tcBorders>
              <w:top w:val="single" w:sz="4" w:space="0" w:color="9BC2E6"/>
              <w:left w:val="nil"/>
              <w:bottom w:val="nil"/>
              <w:right w:val="nil"/>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Total general</w:t>
            </w:r>
          </w:p>
        </w:tc>
        <w:tc>
          <w:tcPr>
            <w:tcW w:w="1984" w:type="dxa"/>
            <w:tcBorders>
              <w:top w:val="single" w:sz="4" w:space="0" w:color="9BC2E6"/>
              <w:left w:val="nil"/>
              <w:bottom w:val="nil"/>
              <w:right w:val="nil"/>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14,452,220,893</w:t>
            </w:r>
          </w:p>
        </w:tc>
        <w:tc>
          <w:tcPr>
            <w:tcW w:w="1900" w:type="dxa"/>
            <w:tcBorders>
              <w:top w:val="nil"/>
              <w:left w:val="nil"/>
              <w:bottom w:val="nil"/>
              <w:right w:val="nil"/>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100%</w:t>
            </w:r>
          </w:p>
        </w:tc>
      </w:tr>
    </w:tbl>
    <w:p w:rsidR="00100FA0" w:rsidRPr="00CD5A82" w:rsidRDefault="00100FA0" w:rsidP="00100FA0">
      <w:pPr>
        <w:jc w:val="center"/>
        <w:rPr>
          <w:rFonts w:eastAsia="Arial" w:cs="Arial"/>
          <w:sz w:val="22"/>
        </w:rPr>
      </w:pPr>
      <w:r w:rsidRPr="00CD5A82">
        <w:rPr>
          <w:rFonts w:eastAsia="Arial" w:cs="Arial"/>
          <w:sz w:val="22"/>
        </w:rPr>
        <w:t>Fuente: Elaboración propia.</w:t>
      </w:r>
    </w:p>
    <w:p w:rsidR="00100FA0" w:rsidRPr="00CD5A82" w:rsidRDefault="00100FA0" w:rsidP="00100FA0">
      <w:pPr>
        <w:jc w:val="center"/>
        <w:rPr>
          <w:rFonts w:eastAsia="Arial" w:cs="Arial"/>
          <w:color w:val="2699BE"/>
          <w:sz w:val="22"/>
        </w:rPr>
      </w:pPr>
    </w:p>
    <w:p w:rsidR="00100FA0" w:rsidRPr="00CD5A82" w:rsidRDefault="00100FA0" w:rsidP="00100FA0">
      <w:pPr>
        <w:autoSpaceDE w:val="0"/>
        <w:autoSpaceDN w:val="0"/>
        <w:adjustRightInd w:val="0"/>
        <w:rPr>
          <w:rFonts w:eastAsia="Arial" w:cs="Arial"/>
        </w:rPr>
      </w:pPr>
    </w:p>
    <w:p w:rsidR="00100FA0" w:rsidRPr="00CD5A82" w:rsidRDefault="00100FA0" w:rsidP="00100FA0">
      <w:pPr>
        <w:autoSpaceDE w:val="0"/>
        <w:autoSpaceDN w:val="0"/>
        <w:adjustRightInd w:val="0"/>
        <w:rPr>
          <w:rFonts w:eastAsia="Arial" w:cs="Arial"/>
          <w:color w:val="FF0000"/>
        </w:rPr>
      </w:pPr>
      <w:r w:rsidRPr="006A6559">
        <w:rPr>
          <w:rFonts w:eastAsia="Arial" w:cs="Arial"/>
        </w:rPr>
        <w:t>El análisis de la especificidad de la inversión permite conocer el grado de focalización de la inversión en infancia y adolescencia. En este sentido, se observa que en Yucatán, el 67.58% se destina a inversión agéntica; en segundo lugar a inversión ampliada con un 24.67%, seguido de inversión específica con 4.92% y, por último en bienes públicos con 2.82% (Tabla 3).</w:t>
      </w:r>
    </w:p>
    <w:p w:rsidR="00100FA0" w:rsidRPr="00CD5A82" w:rsidRDefault="00100FA0" w:rsidP="00100FA0">
      <w:pPr>
        <w:autoSpaceDE w:val="0"/>
        <w:autoSpaceDN w:val="0"/>
        <w:adjustRightInd w:val="0"/>
        <w:rPr>
          <w:rFonts w:eastAsia="Arial" w:cs="Arial"/>
          <w:color w:val="121D56"/>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r w:rsidRPr="00CD5A82">
        <w:rPr>
          <w:rFonts w:eastAsia="Arial" w:cs="Arial"/>
          <w:b/>
        </w:rPr>
        <w:t>Tabla 3. Especificidad de la inversión en Infancia y adolescencia</w:t>
      </w:r>
    </w:p>
    <w:p w:rsidR="00100FA0" w:rsidRDefault="00100FA0" w:rsidP="00100FA0">
      <w:pPr>
        <w:jc w:val="center"/>
        <w:rPr>
          <w:rFonts w:eastAsia="Arial" w:cs="Arial"/>
          <w:b/>
        </w:rPr>
      </w:pPr>
    </w:p>
    <w:p w:rsidR="00100FA0" w:rsidRPr="00CD5A82" w:rsidRDefault="008A5EAC" w:rsidP="00100FA0">
      <w:pPr>
        <w:jc w:val="center"/>
        <w:rPr>
          <w:rFonts w:eastAsia="Arial" w:cs="Arial"/>
          <w:b/>
        </w:rPr>
      </w:pPr>
      <w:r w:rsidRPr="00CF51C3">
        <w:rPr>
          <w:noProof/>
          <w:lang w:eastAsia="es-MX"/>
        </w:rPr>
        <w:drawing>
          <wp:inline distT="0" distB="0" distL="0" distR="0">
            <wp:extent cx="6499860" cy="2832735"/>
            <wp:effectExtent l="0" t="0" r="0" b="0"/>
            <wp:docPr id="6"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0FA0" w:rsidRPr="00CD5A82" w:rsidRDefault="00100FA0" w:rsidP="00100FA0">
      <w:pPr>
        <w:jc w:val="center"/>
        <w:rPr>
          <w:rFonts w:eastAsia="Arial" w:cs="Arial"/>
          <w:sz w:val="22"/>
        </w:rPr>
      </w:pPr>
      <w:r w:rsidRPr="00CD5A82">
        <w:rPr>
          <w:rFonts w:eastAsia="Arial" w:cs="Arial"/>
          <w:sz w:val="22"/>
        </w:rPr>
        <w:t>Fuente: Elaboración propia.</w:t>
      </w:r>
    </w:p>
    <w:p w:rsidR="00100FA0" w:rsidRPr="00CD5A82" w:rsidRDefault="00100FA0" w:rsidP="00100FA0">
      <w:pPr>
        <w:jc w:val="center"/>
        <w:rPr>
          <w:rFonts w:eastAsia="Arial" w:cs="Arial"/>
          <w:sz w:val="22"/>
        </w:rPr>
      </w:pPr>
    </w:p>
    <w:p w:rsidR="00100FA0" w:rsidRPr="00CD5A82" w:rsidRDefault="00100FA0" w:rsidP="00100FA0">
      <w:pPr>
        <w:jc w:val="center"/>
        <w:rPr>
          <w:rFonts w:eastAsia="Arial" w:cs="Arial"/>
          <w:sz w:val="22"/>
        </w:rPr>
      </w:pPr>
    </w:p>
    <w:p w:rsidR="00100FA0" w:rsidRPr="00CD5A82" w:rsidRDefault="00100FA0" w:rsidP="00100FA0">
      <w:pPr>
        <w:autoSpaceDE w:val="0"/>
        <w:autoSpaceDN w:val="0"/>
        <w:adjustRightInd w:val="0"/>
        <w:rPr>
          <w:rFonts w:eastAsia="Arial" w:cs="Arial"/>
        </w:rPr>
      </w:pPr>
      <w:r w:rsidRPr="00CD5A82">
        <w:rPr>
          <w:rFonts w:eastAsia="Arial" w:cs="Arial"/>
        </w:rPr>
        <w:t>La inversión destinada para la infancia y adolescencia en el estado de Yucatán en el año 2022, está distribuida en 41 Programas Presupuestarios, ejecutados por 29 dependencias y entidades de la Administración Pública Estatal (Tabla 4).</w:t>
      </w:r>
    </w:p>
    <w:p w:rsidR="00100FA0" w:rsidRPr="00CD5A82" w:rsidRDefault="00100FA0" w:rsidP="00100FA0">
      <w:pPr>
        <w:rPr>
          <w:rFonts w:eastAsia="Arial" w:cs="Arial"/>
          <w:b/>
          <w:color w:val="121D56"/>
        </w:rPr>
      </w:pPr>
    </w:p>
    <w:p w:rsidR="00100FA0" w:rsidRDefault="00100FA0">
      <w:pPr>
        <w:jc w:val="left"/>
        <w:rPr>
          <w:rFonts w:eastAsia="Arial" w:cs="Arial"/>
          <w:b/>
        </w:rPr>
      </w:pPr>
      <w:r>
        <w:rPr>
          <w:rFonts w:eastAsia="Arial" w:cs="Arial"/>
          <w:b/>
        </w:rPr>
        <w:br w:type="page"/>
      </w:r>
    </w:p>
    <w:p w:rsidR="00100FA0" w:rsidRDefault="00100FA0" w:rsidP="00100FA0">
      <w:pPr>
        <w:jc w:val="center"/>
        <w:rPr>
          <w:rFonts w:eastAsia="Arial" w:cs="Arial"/>
          <w:b/>
        </w:rPr>
      </w:pPr>
      <w:r w:rsidRPr="00CD5A82">
        <w:rPr>
          <w:rFonts w:eastAsia="Arial" w:cs="Arial"/>
          <w:b/>
        </w:rPr>
        <w:t>Tabla 4. Inversión por Programa Presupuestario</w:t>
      </w:r>
    </w:p>
    <w:p w:rsidR="00100FA0" w:rsidRDefault="00100FA0" w:rsidP="00100FA0">
      <w:pPr>
        <w:jc w:val="center"/>
        <w:rPr>
          <w:rFonts w:eastAsia="Arial" w:cs="Arial"/>
          <w:b/>
        </w:rPr>
      </w:pPr>
    </w:p>
    <w:tbl>
      <w:tblPr>
        <w:tblW w:w="5000" w:type="pct"/>
        <w:jc w:val="center"/>
        <w:tblCellMar>
          <w:left w:w="70" w:type="dxa"/>
          <w:right w:w="70" w:type="dxa"/>
        </w:tblCellMar>
        <w:tblLook w:val="04A0" w:firstRow="1" w:lastRow="0" w:firstColumn="1" w:lastColumn="0" w:noHBand="0" w:noVBand="1"/>
      </w:tblPr>
      <w:tblGrid>
        <w:gridCol w:w="4710"/>
        <w:gridCol w:w="2453"/>
        <w:gridCol w:w="2444"/>
        <w:gridCol w:w="1553"/>
      </w:tblGrid>
      <w:tr w:rsidR="00100FA0" w:rsidRPr="00EE6AF7" w:rsidTr="00100FA0">
        <w:trPr>
          <w:trHeight w:val="680"/>
          <w:tblHeader/>
          <w:jc w:val="center"/>
        </w:trPr>
        <w:tc>
          <w:tcPr>
            <w:tcW w:w="2110" w:type="pct"/>
            <w:tcBorders>
              <w:top w:val="single" w:sz="4" w:space="0" w:color="auto"/>
              <w:left w:val="single" w:sz="4" w:space="0" w:color="auto"/>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 xml:space="preserve">Programa Presupuestario </w:t>
            </w:r>
          </w:p>
        </w:tc>
        <w:tc>
          <w:tcPr>
            <w:tcW w:w="1099" w:type="pct"/>
            <w:tcBorders>
              <w:top w:val="single" w:sz="4" w:space="0" w:color="auto"/>
              <w:left w:val="nil"/>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Importe PP           (Pesos)</w:t>
            </w:r>
          </w:p>
        </w:tc>
        <w:tc>
          <w:tcPr>
            <w:tcW w:w="1095" w:type="pct"/>
            <w:tcBorders>
              <w:top w:val="single" w:sz="4" w:space="0" w:color="auto"/>
              <w:left w:val="nil"/>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Importe en infancia</w:t>
            </w:r>
            <w:r w:rsidRPr="00EE6AF7">
              <w:rPr>
                <w:rFonts w:eastAsia="Times New Roman" w:cs="Arial"/>
                <w:b/>
                <w:bCs/>
                <w:color w:val="FFFFFF"/>
                <w:lang w:eastAsia="es-MX"/>
              </w:rPr>
              <w:br/>
              <w:t>(Pesos)</w:t>
            </w:r>
          </w:p>
        </w:tc>
        <w:tc>
          <w:tcPr>
            <w:tcW w:w="696" w:type="pct"/>
            <w:tcBorders>
              <w:top w:val="single" w:sz="4" w:space="0" w:color="auto"/>
              <w:left w:val="nil"/>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 xml:space="preserve">Porcentaje </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Fortalecimiento del Sistema de Justicia Penal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525,217,381</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10,906,016</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2.08%</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a Víctimas de Violencia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16,393,761</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6.10%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Reinserción Social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260,926,579</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25,382,240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9.73%</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Prevención del Delito</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35,962,023</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1,136,572</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3.16%</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Consolidación del Sistema de Seguimiento y Evaluación del Desempeño</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13,518,845</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13,000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0.10%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Desarrollo Urbano y Ordenamiento Territorial</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207,210,925</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34,688,554</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16.74%</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Ampliación de la Cobertura para Acceso a los Servicios Básicos de la Vivienda</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172,829,836</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157,315,400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91.02%</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Prevención del Embarazo en Adolescentes</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6,214,591</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6,214,591</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Promoción, Prevención y Atención Integral de la Salud Mental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19,869,688</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9,118,408</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45.89%</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Mitigación de Riesgos Sanitarios</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153,098,375</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879,200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0.57%</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Prevención y Promoción de la Salud en la Comunidad</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12,726,868</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2,179,897</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17.13%</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Promoción, Prevención y Atención Integral de Enfermedades Relacionadas con la Nutrición</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29,243,168</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3,862,008</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13.21%</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Integral a la Salud Reproductiva</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195,249,595</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185,275,189</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94.89%</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Prestación de Servicios de Salud a la Infancia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84,450,927</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84,450,927</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Gestión Eficiente de las Instituciones del Sector Social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2,681,570,223</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36,112,284</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1.35%</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Cobertura con Equidad en Educación Básica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8,490,036,526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8,466,876,701</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99.73%</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Gestión Escolar</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15,550,634</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15,550,634</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Acceso y Permanencia en Educación Básica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179,511,626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171,317,748</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95.44%</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Educativa en Media Superior</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719,497,884</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719,497,884</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Acceso y Permanencia en Educación Media Superior</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367,230,043</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349,836,351</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95.26%</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del Rezago Educativo y Analfabetismo</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192,710,864</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37,621,629</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Desarrollo del Servicio Profesional Docente</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1,421,582</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1,421,582</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Integral en Alimentación a Personas Sujetas de Asistencia Social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285,799,508</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285,799,508</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Promoción de Calidad y Espacios en la Vivienda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282,390,241</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109,753,589</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38.87%</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Otorgamiento de Prestaciones para la Seguridad Social de los Trabajadores del Gobierno del Estado</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749,993,164</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42,116,610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5.62%</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Prestación de Servicios de Salud</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4,525,632,478</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3,069,470,803</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67.82%</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Impulso al Deporte de Alto Rendimiento</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53,784,930</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37,200,312</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69.16%</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Fomento de la Cultura Física y Recreación</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157,222,317</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116,818,738</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74.30%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Acceso Incluyente a la Oferta Cultural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6,055,857</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140,000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2.31%</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Fomento y Sensibilización hacia el Consumo Cultural</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34,311,378</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5,114,659</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14.91%</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Integral a Personas con Discapacidad del Estado de Yucatán</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41,992,975</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41,841,975</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99.64%</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y Desarrollo de las Organizaciones Sociales</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33,364,966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14,088,600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42.23%</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Asistencia Social a Personas Vulnerables</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146,195,132</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62,593,467</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42.82%</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Promoción y Restitución de Derechos de Niñas, Niños y Adolescentes del Estado de Yucatán</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153,463,982</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153,463,982</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Prevención y Atención a las Violencias contra las Mujeres</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142,796,779</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85,675,959</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Mejoramiento de la Infraestructura Urbana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373,776,273</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100,000,000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26.75%</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Empleo de Calidad, Incluyente y Formal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17,800,558</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5.62%</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Fomento al Autoempleo para la Población en Situación de Vulnerabilidad</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4,015,876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4,015,876</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Fortalecimiento al Conocimiento Científico, Tecnológico e Innovación</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30,006,071</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2,000,000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6.67%</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Vinculación, Promoción y Gestión con el Sector Productivo y Social</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6,644,016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380,000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5.72%</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Fomento de una Cultura para la Sustentabilidad</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301,500</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90,000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29.85%</w:t>
            </w:r>
          </w:p>
        </w:tc>
      </w:tr>
      <w:tr w:rsidR="00100FA0" w:rsidRPr="00EE6AF7" w:rsidTr="00100FA0">
        <w:trPr>
          <w:trHeight w:val="397"/>
          <w:jc w:val="center"/>
        </w:trPr>
        <w:tc>
          <w:tcPr>
            <w:tcW w:w="2110" w:type="pct"/>
            <w:tcBorders>
              <w:top w:val="nil"/>
              <w:left w:val="single" w:sz="4" w:space="0" w:color="auto"/>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Total General</w:t>
            </w:r>
          </w:p>
        </w:tc>
        <w:tc>
          <w:tcPr>
            <w:tcW w:w="1099" w:type="pct"/>
            <w:tcBorders>
              <w:top w:val="nil"/>
              <w:left w:val="nil"/>
              <w:bottom w:val="single" w:sz="4" w:space="0" w:color="auto"/>
              <w:right w:val="single" w:sz="4" w:space="0" w:color="auto"/>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21,425,989,945</w:t>
            </w:r>
          </w:p>
        </w:tc>
        <w:tc>
          <w:tcPr>
            <w:tcW w:w="1095" w:type="pct"/>
            <w:tcBorders>
              <w:top w:val="nil"/>
              <w:left w:val="nil"/>
              <w:bottom w:val="single" w:sz="4" w:space="0" w:color="auto"/>
              <w:right w:val="single" w:sz="4" w:space="0" w:color="auto"/>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14,452,220,893</w:t>
            </w:r>
          </w:p>
        </w:tc>
        <w:tc>
          <w:tcPr>
            <w:tcW w:w="696" w:type="pct"/>
            <w:tcBorders>
              <w:top w:val="nil"/>
              <w:left w:val="nil"/>
              <w:bottom w:val="single" w:sz="4" w:space="0" w:color="auto"/>
              <w:right w:val="single" w:sz="4" w:space="0" w:color="auto"/>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67.45%</w:t>
            </w:r>
          </w:p>
        </w:tc>
      </w:tr>
    </w:tbl>
    <w:p w:rsidR="00100FA0" w:rsidRPr="00CD5A82" w:rsidRDefault="00100FA0" w:rsidP="00100FA0">
      <w:pPr>
        <w:jc w:val="center"/>
        <w:rPr>
          <w:rFonts w:cs="Arial"/>
          <w:lang w:val="en-US"/>
        </w:rPr>
      </w:pPr>
      <w:r w:rsidRPr="00CD5A82">
        <w:rPr>
          <w:rFonts w:eastAsia="Arial" w:cs="Arial"/>
          <w:sz w:val="22"/>
        </w:rPr>
        <w:t>Fuente: Elaboración propia.</w:t>
      </w:r>
    </w:p>
    <w:p w:rsidR="00100FA0" w:rsidRPr="00CD5A82" w:rsidRDefault="00100FA0" w:rsidP="00100FA0">
      <w:pPr>
        <w:jc w:val="center"/>
        <w:rPr>
          <w:rFonts w:cs="Arial"/>
          <w:lang w:val="en-US"/>
        </w:rPr>
      </w:pPr>
    </w:p>
    <w:p w:rsidR="00100FA0" w:rsidRDefault="00100FA0" w:rsidP="00100FA0">
      <w:pPr>
        <w:autoSpaceDE w:val="0"/>
        <w:autoSpaceDN w:val="0"/>
        <w:adjustRightInd w:val="0"/>
        <w:rPr>
          <w:rFonts w:eastAsia="Arial" w:cs="Arial"/>
        </w:rPr>
      </w:pPr>
      <w:r w:rsidRPr="006A6559">
        <w:rPr>
          <w:rFonts w:eastAsia="Arial" w:cs="Arial"/>
        </w:rPr>
        <w:t>La atención de los Objetivos de Desarrollo Sostenible es una prioridad para la administración pública estatal. Los proyectos y programas que conforman el Anexo contribuyen al cumplimiento de 10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71.70% de la inversión en infancia y adolescencia; en segundo lugar el objetivo 3: Garantizar una vida sana y promover el bienestar para todos en todas las edades con el 25.54%  y en tercer lugar, el objetivo 11: Lograr que las ciudades y los asentamientos humanos sean inclusivos, seguros, resilientes y sostenibles con el 2.12%.</w:t>
      </w:r>
      <w:r w:rsidRPr="00CD5A82">
        <w:rPr>
          <w:rFonts w:eastAsia="Arial" w:cs="Arial"/>
        </w:rPr>
        <w:t xml:space="preserve"> </w:t>
      </w:r>
    </w:p>
    <w:p w:rsidR="00100FA0" w:rsidRPr="00CD5A82" w:rsidRDefault="00100FA0" w:rsidP="00100FA0">
      <w:pPr>
        <w:autoSpaceDE w:val="0"/>
        <w:autoSpaceDN w:val="0"/>
        <w:adjustRightInd w:val="0"/>
        <w:rPr>
          <w:rFonts w:eastAsia="Arial" w:cs="Arial"/>
          <w:color w:val="FF0000"/>
        </w:rPr>
      </w:pPr>
    </w:p>
    <w:p w:rsidR="00100FA0" w:rsidRDefault="00100FA0" w:rsidP="00100FA0">
      <w:pPr>
        <w:autoSpaceDE w:val="0"/>
        <w:autoSpaceDN w:val="0"/>
        <w:adjustRightInd w:val="0"/>
        <w:rPr>
          <w:rFonts w:eastAsia="Arial" w:cs="Arial"/>
        </w:rPr>
      </w:pPr>
      <w:r w:rsidRPr="00CD5A82">
        <w:rPr>
          <w:rFonts w:eastAsia="Arial" w:cs="Arial"/>
        </w:rPr>
        <w:t>A continuación, se muestra la inversión para cada uno de los 10 Objetivos de Desarrollo Sostenible en la siguiente tabla:</w:t>
      </w:r>
    </w:p>
    <w:p w:rsidR="00100FA0" w:rsidRPr="00CD5A82" w:rsidRDefault="00100FA0" w:rsidP="00100FA0">
      <w:pPr>
        <w:autoSpaceDE w:val="0"/>
        <w:autoSpaceDN w:val="0"/>
        <w:adjustRightInd w:val="0"/>
        <w:rPr>
          <w:rFonts w:eastAsia="Arial" w:cs="Arial"/>
        </w:rPr>
      </w:pPr>
    </w:p>
    <w:p w:rsidR="00100FA0" w:rsidRDefault="00100FA0" w:rsidP="00100FA0">
      <w:pPr>
        <w:jc w:val="center"/>
        <w:rPr>
          <w:rFonts w:eastAsia="Arial" w:cs="Arial"/>
          <w:b/>
        </w:rPr>
      </w:pPr>
      <w:r w:rsidRPr="00CD5A82">
        <w:rPr>
          <w:rFonts w:eastAsia="Arial" w:cs="Arial"/>
          <w:b/>
        </w:rPr>
        <w:t>Tabla 5. Inversión por Objetivos de Desarrollo Sostenible  (ODS)</w:t>
      </w:r>
    </w:p>
    <w:p w:rsidR="00100FA0" w:rsidRDefault="00100FA0" w:rsidP="00100FA0">
      <w:pPr>
        <w:jc w:val="center"/>
        <w:rPr>
          <w:rFonts w:eastAsia="Arial" w:cs="Arial"/>
          <w:b/>
        </w:rPr>
      </w:pPr>
    </w:p>
    <w:tbl>
      <w:tblPr>
        <w:tblW w:w="10254" w:type="dxa"/>
        <w:jc w:val="center"/>
        <w:tblCellMar>
          <w:left w:w="70" w:type="dxa"/>
          <w:right w:w="70" w:type="dxa"/>
        </w:tblCellMar>
        <w:tblLook w:val="04A0" w:firstRow="1" w:lastRow="0" w:firstColumn="1" w:lastColumn="0" w:noHBand="0" w:noVBand="1"/>
      </w:tblPr>
      <w:tblGrid>
        <w:gridCol w:w="8364"/>
        <w:gridCol w:w="1890"/>
      </w:tblGrid>
      <w:tr w:rsidR="00100FA0" w:rsidRPr="00EE6AF7" w:rsidTr="1FA8126D">
        <w:trPr>
          <w:trHeight w:val="630"/>
          <w:tblHeader/>
          <w:jc w:val="center"/>
        </w:trPr>
        <w:tc>
          <w:tcPr>
            <w:tcW w:w="8364"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 xml:space="preserve">Objetivos de Desarrollo Sostenible </w:t>
            </w:r>
          </w:p>
        </w:tc>
        <w:tc>
          <w:tcPr>
            <w:tcW w:w="1890" w:type="dxa"/>
            <w:tcBorders>
              <w:top w:val="single" w:sz="4" w:space="0" w:color="auto"/>
              <w:left w:val="nil"/>
              <w:bottom w:val="single" w:sz="4" w:space="0" w:color="auto"/>
              <w:right w:val="single" w:sz="4" w:space="0" w:color="auto"/>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100FA0" w:rsidRPr="00EE6AF7" w:rsidTr="1FA8126D">
        <w:trPr>
          <w:trHeight w:val="397"/>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1.</w:t>
            </w:r>
            <w:r w:rsidRPr="003907FD">
              <w:rPr>
                <w:rFonts w:eastAsia="Times New Roman" w:cs="Arial"/>
                <w:color w:val="000000"/>
                <w:lang w:eastAsia="es-MX"/>
              </w:rPr>
              <w:t xml:space="preserve"> Poner fin a la pobreza en todas sus formas en todo el mundo</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6,612,831</w:t>
            </w:r>
          </w:p>
        </w:tc>
      </w:tr>
      <w:tr w:rsidR="00100FA0" w:rsidRPr="00EE6AF7" w:rsidTr="00EE6AF7">
        <w:trPr>
          <w:trHeight w:val="680"/>
          <w:jc w:val="center"/>
        </w:trPr>
        <w:tc>
          <w:tcPr>
            <w:tcW w:w="8364" w:type="dxa"/>
            <w:tcBorders>
              <w:top w:val="nil"/>
              <w:left w:val="single" w:sz="4" w:space="0" w:color="auto"/>
              <w:bottom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2.</w:t>
            </w:r>
            <w:r w:rsidRPr="003907FD">
              <w:rPr>
                <w:rFonts w:eastAsia="Times New Roman" w:cs="Arial"/>
                <w:color w:val="000000"/>
                <w:lang w:eastAsia="es-MX"/>
              </w:rPr>
              <w:t xml:space="preserve"> Poner fin al hambre, lograr la seguridad alimentaria y la mejora de la nutrición y promover la agricultura sostenible</w:t>
            </w:r>
          </w:p>
        </w:tc>
        <w:tc>
          <w:tcPr>
            <w:tcW w:w="1890" w:type="dxa"/>
            <w:tcBorders>
              <w:top w:val="nil"/>
              <w:left w:val="nil"/>
              <w:bottom w:val="single" w:sz="4" w:space="0" w:color="auto"/>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259,694,165</w:t>
            </w:r>
          </w:p>
        </w:tc>
      </w:tr>
      <w:tr w:rsidR="00100FA0" w:rsidRPr="00EE6AF7" w:rsidTr="1FA8126D">
        <w:trPr>
          <w:trHeight w:val="680"/>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3.</w:t>
            </w:r>
            <w:r w:rsidRPr="003907FD">
              <w:rPr>
                <w:rFonts w:eastAsia="Times New Roman" w:cs="Arial"/>
                <w:color w:val="000000"/>
                <w:lang w:eastAsia="es-MX"/>
              </w:rPr>
              <w:t xml:space="preserve"> Garantizar una vida sana y promover el bienestar para todos en todas las edades</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3,451,961,664</w:t>
            </w:r>
          </w:p>
        </w:tc>
      </w:tr>
      <w:tr w:rsidR="00100FA0" w:rsidRPr="00EE6AF7" w:rsidTr="00EE6AF7">
        <w:trPr>
          <w:trHeight w:val="680"/>
          <w:jc w:val="center"/>
        </w:trPr>
        <w:tc>
          <w:tcPr>
            <w:tcW w:w="8364" w:type="dxa"/>
            <w:tcBorders>
              <w:top w:val="nil"/>
              <w:left w:val="single" w:sz="4" w:space="0" w:color="auto"/>
              <w:bottom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4.</w:t>
            </w:r>
            <w:r w:rsidRPr="003907FD">
              <w:rPr>
                <w:rFonts w:eastAsia="Times New Roman" w:cs="Arial"/>
                <w:color w:val="000000"/>
                <w:lang w:eastAsia="es-MX"/>
              </w:rPr>
              <w:t xml:space="preserve"> Garantizar una educación inclusiva, equitativa y de calidad y promover oportunidades de aprendizaje durante toda la vida para todos</w:t>
            </w:r>
          </w:p>
        </w:tc>
        <w:tc>
          <w:tcPr>
            <w:tcW w:w="1890" w:type="dxa"/>
            <w:tcBorders>
              <w:top w:val="nil"/>
              <w:left w:val="nil"/>
              <w:bottom w:val="single" w:sz="4" w:space="0" w:color="auto"/>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9,689,952,085</w:t>
            </w:r>
          </w:p>
        </w:tc>
      </w:tr>
      <w:tr w:rsidR="00100FA0" w:rsidRPr="00EE6AF7" w:rsidTr="1FA8126D">
        <w:trPr>
          <w:trHeight w:val="680"/>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5.</w:t>
            </w:r>
            <w:r w:rsidRPr="003907FD">
              <w:rPr>
                <w:rFonts w:eastAsia="Times New Roman" w:cs="Arial"/>
                <w:color w:val="000000"/>
                <w:lang w:eastAsia="es-MX"/>
              </w:rPr>
              <w:t xml:space="preserve"> Lograr la igualdad entre los géneros y empoderar a todas las mujeres y las niñas</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88,644,855</w:t>
            </w:r>
          </w:p>
        </w:tc>
      </w:tr>
      <w:tr w:rsidR="00100FA0" w:rsidRPr="00EE6AF7" w:rsidTr="00EE6AF7">
        <w:trPr>
          <w:trHeight w:val="680"/>
          <w:jc w:val="center"/>
        </w:trPr>
        <w:tc>
          <w:tcPr>
            <w:tcW w:w="8364" w:type="dxa"/>
            <w:tcBorders>
              <w:top w:val="nil"/>
              <w:left w:val="single" w:sz="4" w:space="0" w:color="auto"/>
              <w:bottom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6.</w:t>
            </w:r>
            <w:r w:rsidRPr="003907FD">
              <w:rPr>
                <w:rFonts w:eastAsia="Times New Roman" w:cs="Arial"/>
                <w:color w:val="000000"/>
                <w:lang w:eastAsia="es-MX"/>
              </w:rPr>
              <w:t xml:space="preserve"> Garantizar la disponibilidad de agua y su gestión sostenible y el saneamiento para todos</w:t>
            </w:r>
          </w:p>
        </w:tc>
        <w:tc>
          <w:tcPr>
            <w:tcW w:w="1890" w:type="dxa"/>
            <w:tcBorders>
              <w:top w:val="nil"/>
              <w:left w:val="nil"/>
              <w:bottom w:val="single" w:sz="4" w:space="0" w:color="auto"/>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879,200</w:t>
            </w:r>
          </w:p>
        </w:tc>
      </w:tr>
      <w:tr w:rsidR="00100FA0" w:rsidRPr="00EE6AF7" w:rsidTr="1FA8126D">
        <w:trPr>
          <w:trHeight w:val="680"/>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8.</w:t>
            </w:r>
            <w:r w:rsidRPr="003907FD">
              <w:rPr>
                <w:rFonts w:eastAsia="Times New Roman" w:cs="Arial"/>
                <w:color w:val="000000"/>
                <w:lang w:eastAsia="es-MX"/>
              </w:rPr>
              <w:t xml:space="preserve"> Promover el crecimiento económico sostenido, inclusivo y sostenible, el empleo pleno y productivo y el trabajo decente para todos</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1,000,000</w:t>
            </w:r>
          </w:p>
        </w:tc>
      </w:tr>
      <w:tr w:rsidR="00100FA0" w:rsidRPr="00EE6AF7" w:rsidTr="00EE6AF7">
        <w:trPr>
          <w:trHeight w:val="680"/>
          <w:jc w:val="center"/>
        </w:trPr>
        <w:tc>
          <w:tcPr>
            <w:tcW w:w="8364" w:type="dxa"/>
            <w:tcBorders>
              <w:top w:val="nil"/>
              <w:left w:val="single" w:sz="4" w:space="0" w:color="auto"/>
              <w:bottom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9.</w:t>
            </w:r>
            <w:r w:rsidRPr="003907FD">
              <w:rPr>
                <w:rFonts w:eastAsia="Times New Roman" w:cs="Arial"/>
                <w:color w:val="000000"/>
                <w:lang w:eastAsia="es-MX"/>
              </w:rPr>
              <w:t xml:space="preserve"> Construir infraestructuras resilientes, promover la industrialización inclusiva y sostenible y fomentar la innovación</w:t>
            </w:r>
          </w:p>
        </w:tc>
        <w:tc>
          <w:tcPr>
            <w:tcW w:w="1890" w:type="dxa"/>
            <w:tcBorders>
              <w:top w:val="nil"/>
              <w:left w:val="nil"/>
              <w:bottom w:val="single" w:sz="4" w:space="0" w:color="auto"/>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16,310,981</w:t>
            </w:r>
          </w:p>
        </w:tc>
      </w:tr>
      <w:tr w:rsidR="00100FA0" w:rsidRPr="00EE6AF7" w:rsidTr="1FA8126D">
        <w:trPr>
          <w:trHeight w:val="680"/>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11.</w:t>
            </w:r>
            <w:r w:rsidRPr="003907FD">
              <w:rPr>
                <w:rFonts w:eastAsia="Times New Roman" w:cs="Arial"/>
                <w:color w:val="000000"/>
                <w:lang w:eastAsia="es-MX"/>
              </w:rPr>
              <w:t xml:space="preserve"> Lograr que las ciudades y los asentamientos humanos sean inclusivos, seguros, resilientes y sostenibles</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286,380,971</w:t>
            </w:r>
          </w:p>
        </w:tc>
      </w:tr>
      <w:tr w:rsidR="00100FA0" w:rsidRPr="00EE6AF7" w:rsidTr="00EE6AF7">
        <w:trPr>
          <w:trHeight w:val="964"/>
          <w:jc w:val="center"/>
        </w:trPr>
        <w:tc>
          <w:tcPr>
            <w:tcW w:w="8364" w:type="dxa"/>
            <w:tcBorders>
              <w:top w:val="nil"/>
              <w:left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16.</w:t>
            </w:r>
            <w:r w:rsidRPr="003907FD">
              <w:rPr>
                <w:rFonts w:eastAsia="Times New Roman" w:cs="Arial"/>
                <w:color w:val="000000"/>
                <w:lang w:eastAsia="es-MX"/>
              </w:rPr>
              <w:t xml:space="preserve"> Promover sociedades pacíficas e inclusivas para el desarrollo sostenible, facilitar el acceso a la justicia para todos y crear instituciones eficaces, responsables e inclusivas a todos los niveles</w:t>
            </w:r>
          </w:p>
        </w:tc>
        <w:tc>
          <w:tcPr>
            <w:tcW w:w="1890" w:type="dxa"/>
            <w:tcBorders>
              <w:top w:val="nil"/>
              <w:left w:val="nil"/>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36,724,828</w:t>
            </w:r>
          </w:p>
        </w:tc>
      </w:tr>
      <w:tr w:rsidR="00100FA0" w:rsidRPr="00EE6AF7" w:rsidTr="1FA8126D">
        <w:trPr>
          <w:trHeight w:val="397"/>
          <w:jc w:val="center"/>
        </w:trPr>
        <w:tc>
          <w:tcPr>
            <w:tcW w:w="8364" w:type="dxa"/>
            <w:tcBorders>
              <w:top w:val="nil"/>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 xml:space="preserve">Total general de los Objetivos </w:t>
            </w:r>
          </w:p>
        </w:tc>
        <w:tc>
          <w:tcPr>
            <w:tcW w:w="1890" w:type="dxa"/>
            <w:tcBorders>
              <w:top w:val="nil"/>
            </w:tcBorders>
            <w:shd w:val="clear" w:color="auto" w:fill="4B4B4B"/>
            <w:noWrap/>
            <w:vAlign w:val="center"/>
            <w:hideMark/>
          </w:tcPr>
          <w:p w:rsidR="00100FA0" w:rsidRPr="00EE6AF7" w:rsidRDefault="00100FA0" w:rsidP="7E17D9DC">
            <w:pPr>
              <w:jc w:val="right"/>
              <w:rPr>
                <w:rFonts w:eastAsia="Times New Roman" w:cs="Arial"/>
                <w:b/>
                <w:bCs/>
                <w:color w:val="FFFFFF"/>
                <w:lang w:eastAsia="es-MX"/>
              </w:rPr>
            </w:pPr>
            <w:r w:rsidRPr="00EE6AF7">
              <w:rPr>
                <w:rFonts w:eastAsia="Times New Roman" w:cs="Arial"/>
                <w:b/>
                <w:bCs/>
                <w:color w:val="FFFFFF"/>
                <w:lang w:eastAsia="es-MX"/>
              </w:rPr>
              <w:t>13,515,055,781</w:t>
            </w:r>
          </w:p>
        </w:tc>
      </w:tr>
    </w:tbl>
    <w:p w:rsidR="00100FA0" w:rsidRPr="0087354C" w:rsidRDefault="00100FA0" w:rsidP="00100FA0">
      <w:pPr>
        <w:jc w:val="center"/>
        <w:rPr>
          <w:rFonts w:eastAsia="Arial" w:cs="Arial"/>
          <w:sz w:val="22"/>
        </w:rPr>
      </w:pPr>
      <w:r w:rsidRPr="00CD5A82">
        <w:rPr>
          <w:rFonts w:eastAsia="Arial" w:cs="Arial"/>
          <w:sz w:val="22"/>
        </w:rPr>
        <w:t>Fuente: Elaboración propia.</w:t>
      </w:r>
    </w:p>
    <w:p w:rsidR="00FA49E9" w:rsidRDefault="00FA49E9"/>
    <w:p w:rsidR="00560F3B" w:rsidRDefault="00560F3B">
      <w:pPr>
        <w:jc w:val="left"/>
      </w:pPr>
      <w:r>
        <w:br w:type="page"/>
      </w:r>
    </w:p>
    <w:p w:rsidR="00FA49E9" w:rsidRDefault="009C1791">
      <w:pPr>
        <w:pStyle w:val="Ttulo3"/>
      </w:pPr>
      <w:bookmarkStart w:id="82" w:name="X08e3cc5f458034ab3388512c70acf63f6df654d"/>
      <w:bookmarkEnd w:id="80"/>
      <w:r>
        <w:t>ANEXO 18.3. PRESUPUESTARIO TRANSVERSAL DE INVERSIÓN PARA LOS JÓVENES</w:t>
      </w:r>
    </w:p>
    <w:p w:rsidR="006118E4" w:rsidRPr="00EE6AF7" w:rsidRDefault="006118E4" w:rsidP="006118E4">
      <w:pPr>
        <w:spacing w:before="100" w:beforeAutospacing="1" w:after="100" w:afterAutospacing="1"/>
        <w:rPr>
          <w:rFonts w:eastAsia="Arial" w:cs="Arial"/>
          <w:color w:val="000000"/>
        </w:rPr>
      </w:pPr>
      <w:r w:rsidRPr="00EE6AF7">
        <w:rPr>
          <w:rFonts w:cs="Arial"/>
          <w:b/>
          <w:color w:val="000000"/>
        </w:rPr>
        <w:t>Metodología</w:t>
      </w:r>
      <w:r w:rsidRPr="00EE6AF7">
        <w:rPr>
          <w:rFonts w:eastAsia="Arial" w:cs="Arial"/>
          <w:color w:val="000000"/>
        </w:rPr>
        <w:t xml:space="preserve"> </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Para la integración de este Anexo se realiza un análisis con base en las siguientes vertientes:</w:t>
      </w:r>
    </w:p>
    <w:p w:rsidR="006118E4" w:rsidRPr="00EE6AF7" w:rsidRDefault="006118E4" w:rsidP="00D31C25">
      <w:pPr>
        <w:pStyle w:val="Prrafodelista"/>
        <w:widowControl w:val="0"/>
        <w:numPr>
          <w:ilvl w:val="0"/>
          <w:numId w:val="1"/>
        </w:numPr>
        <w:spacing w:before="100" w:beforeAutospacing="1" w:after="100" w:afterAutospacing="1" w:line="240" w:lineRule="auto"/>
        <w:rPr>
          <w:rFonts w:ascii="Arial" w:hAnsi="Arial" w:cs="Arial"/>
          <w:b/>
          <w:i/>
          <w:color w:val="000000"/>
          <w:szCs w:val="24"/>
        </w:rPr>
      </w:pPr>
      <w:r w:rsidRPr="00EE6AF7">
        <w:rPr>
          <w:rFonts w:ascii="Arial" w:hAnsi="Arial" w:cs="Arial"/>
          <w:b/>
          <w:i/>
          <w:color w:val="000000"/>
          <w:szCs w:val="24"/>
        </w:rPr>
        <w:t xml:space="preserve">Análisis de los </w:t>
      </w:r>
      <w:r w:rsidRPr="00D641FC">
        <w:rPr>
          <w:rFonts w:ascii="Arial" w:hAnsi="Arial" w:cs="Arial"/>
          <w:b/>
          <w:i/>
          <w:szCs w:val="24"/>
        </w:rPr>
        <w:t>programas, actividades institucionales, obras y acciones 2022</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 xml:space="preserve">Se identificaron por institución responsable los </w:t>
      </w:r>
      <w:r w:rsidRPr="00D641FC">
        <w:rPr>
          <w:rFonts w:cs="Arial"/>
        </w:rPr>
        <w:t>programas, actividades institucionales, obras y acciones 2022</w:t>
      </w:r>
      <w:r w:rsidRPr="00EE6AF7">
        <w:rPr>
          <w:rFonts w:eastAsia="Arial" w:cs="Arial"/>
          <w:color w:val="000000"/>
        </w:rPr>
        <w:t xml:space="preserve">, en los cuales se establecen para un año fiscal los objetivos, los entregables con sus metas y el presupuesto destinado a producir los bienes, servicios o ayuda y las actividades de apoyo o soporte dirigidas a la población juvenil. </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No se consideraron las intervenciones que contemplan los gastos generales de las oficinas tales como suministro de servicios básicos, arrendamientos, entre otros, ya que no tienen impacto en la atención a los jóvenes.</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 xml:space="preserve">Una vez identificadas las intervenciones que cuentan con inversión en jóvenes, se procede a clasificar </w:t>
      </w:r>
      <w:r w:rsidR="00CC6D61" w:rsidRPr="00EE6AF7">
        <w:rPr>
          <w:rFonts w:eastAsia="Arial" w:cs="Arial"/>
          <w:color w:val="000000"/>
        </w:rPr>
        <w:t>de acuerdo con</w:t>
      </w:r>
      <w:r w:rsidRPr="00EE6AF7">
        <w:rPr>
          <w:rFonts w:eastAsia="Arial" w:cs="Arial"/>
          <w:color w:val="000000"/>
        </w:rPr>
        <w:t xml:space="preserve"> las temáticas que integran los derechos de los jóvenes y la especificidad de la inversión. </w:t>
      </w:r>
    </w:p>
    <w:p w:rsidR="006118E4" w:rsidRPr="00EE6AF7" w:rsidRDefault="006118E4" w:rsidP="00D31C25">
      <w:pPr>
        <w:pStyle w:val="Prrafodelista"/>
        <w:widowControl w:val="0"/>
        <w:numPr>
          <w:ilvl w:val="0"/>
          <w:numId w:val="1"/>
        </w:numPr>
        <w:spacing w:before="100" w:beforeAutospacing="1" w:after="100" w:afterAutospacing="1" w:line="240" w:lineRule="auto"/>
        <w:rPr>
          <w:rFonts w:ascii="Arial" w:hAnsi="Arial" w:cs="Arial"/>
          <w:b/>
          <w:i/>
          <w:color w:val="000000"/>
          <w:szCs w:val="24"/>
        </w:rPr>
      </w:pPr>
      <w:r w:rsidRPr="00EE6AF7">
        <w:rPr>
          <w:rFonts w:ascii="Arial" w:hAnsi="Arial" w:cs="Arial"/>
          <w:b/>
          <w:i/>
          <w:color w:val="000000"/>
          <w:szCs w:val="24"/>
        </w:rPr>
        <w:t>Análisis basado en los derechos que reconoce la Convención Iberoamericana de los Derechos de los Jóvenes</w:t>
      </w:r>
      <w:r w:rsidRPr="00EE6AF7">
        <w:rPr>
          <w:rStyle w:val="Refdenotaalpie"/>
          <w:rFonts w:ascii="Arial" w:hAnsi="Arial" w:cs="Arial"/>
          <w:color w:val="000000"/>
          <w:spacing w:val="2"/>
          <w:szCs w:val="24"/>
        </w:rPr>
        <w:footnoteReference w:id="13"/>
      </w:r>
      <w:r w:rsidRPr="00EE6AF7">
        <w:rPr>
          <w:rFonts w:ascii="Arial" w:hAnsi="Arial" w:cs="Arial"/>
          <w:b/>
          <w:i/>
          <w:color w:val="000000"/>
          <w:szCs w:val="24"/>
        </w:rPr>
        <w:t xml:space="preserve">. </w:t>
      </w:r>
    </w:p>
    <w:p w:rsidR="00CC6D61" w:rsidRPr="00EE6AF7" w:rsidRDefault="006118E4" w:rsidP="006118E4">
      <w:pPr>
        <w:spacing w:before="100" w:beforeAutospacing="1" w:after="100" w:afterAutospacing="1"/>
        <w:rPr>
          <w:rFonts w:eastAsia="Arial" w:cs="Arial"/>
          <w:color w:val="000000"/>
        </w:rPr>
      </w:pPr>
      <w:r w:rsidRPr="00EE6AF7">
        <w:rPr>
          <w:rFonts w:eastAsia="Arial" w:cs="Arial"/>
          <w:color w:val="000000"/>
        </w:rPr>
        <w:t>Para e</w:t>
      </w:r>
      <w:r w:rsidRPr="00EE6AF7">
        <w:rPr>
          <w:rFonts w:eastAsia="Arial" w:cs="Arial"/>
          <w:color w:val="000000"/>
          <w:spacing w:val="-1"/>
        </w:rPr>
        <w:t>s</w:t>
      </w:r>
      <w:r w:rsidRPr="00EE6AF7">
        <w:rPr>
          <w:rFonts w:eastAsia="Arial" w:cs="Arial"/>
          <w:color w:val="000000"/>
          <w:spacing w:val="1"/>
        </w:rPr>
        <w:t>t</w:t>
      </w:r>
      <w:r w:rsidRPr="00EE6AF7">
        <w:rPr>
          <w:rFonts w:eastAsia="Arial" w:cs="Arial"/>
          <w:color w:val="000000"/>
        </w:rPr>
        <w:t xml:space="preserve">e Anexo </w:t>
      </w:r>
      <w:r w:rsidRPr="00EE6AF7">
        <w:rPr>
          <w:rFonts w:eastAsia="Arial" w:cs="Arial"/>
          <w:color w:val="000000"/>
          <w:w w:val="103"/>
        </w:rPr>
        <w:t xml:space="preserve">se </w:t>
      </w:r>
      <w:r w:rsidRPr="00EE6AF7">
        <w:rPr>
          <w:rFonts w:eastAsia="Arial" w:cs="Arial"/>
          <w:color w:val="000000"/>
        </w:rPr>
        <w:t>contem</w:t>
      </w:r>
      <w:r w:rsidRPr="00EE6AF7">
        <w:rPr>
          <w:rFonts w:eastAsia="Arial" w:cs="Arial"/>
          <w:color w:val="000000"/>
          <w:spacing w:val="1"/>
        </w:rPr>
        <w:t>p</w:t>
      </w:r>
      <w:r w:rsidRPr="00EE6AF7">
        <w:rPr>
          <w:rFonts w:eastAsia="Arial" w:cs="Arial"/>
          <w:color w:val="000000"/>
          <w:spacing w:val="-2"/>
        </w:rPr>
        <w:t>l</w:t>
      </w:r>
      <w:r w:rsidRPr="00EE6AF7">
        <w:rPr>
          <w:rFonts w:eastAsia="Arial" w:cs="Arial"/>
          <w:color w:val="000000"/>
        </w:rPr>
        <w:t>a</w:t>
      </w:r>
      <w:r w:rsidRPr="00EE6AF7">
        <w:rPr>
          <w:rFonts w:eastAsia="Arial" w:cs="Arial"/>
          <w:color w:val="000000"/>
          <w:spacing w:val="39"/>
        </w:rPr>
        <w:t xml:space="preserve"> </w:t>
      </w:r>
      <w:r w:rsidRPr="00EE6AF7">
        <w:rPr>
          <w:rFonts w:eastAsia="Arial" w:cs="Arial"/>
          <w:color w:val="000000"/>
        </w:rPr>
        <w:t>l</w:t>
      </w:r>
      <w:r w:rsidRPr="00EE6AF7">
        <w:rPr>
          <w:rFonts w:eastAsia="Arial" w:cs="Arial"/>
          <w:color w:val="000000"/>
          <w:spacing w:val="-1"/>
        </w:rPr>
        <w:t>a</w:t>
      </w:r>
      <w:r w:rsidRPr="00EE6AF7">
        <w:rPr>
          <w:rFonts w:eastAsia="Arial" w:cs="Arial"/>
          <w:color w:val="000000"/>
        </w:rPr>
        <w:t>s</w:t>
      </w:r>
      <w:r w:rsidRPr="00EE6AF7">
        <w:rPr>
          <w:rFonts w:eastAsia="Arial" w:cs="Arial"/>
          <w:color w:val="000000"/>
          <w:spacing w:val="19"/>
        </w:rPr>
        <w:t xml:space="preserve"> </w:t>
      </w:r>
      <w:r w:rsidRPr="00EE6AF7">
        <w:rPr>
          <w:rFonts w:eastAsia="Arial" w:cs="Arial"/>
          <w:color w:val="000000"/>
        </w:rPr>
        <w:t>pri</w:t>
      </w:r>
      <w:r w:rsidRPr="00EE6AF7">
        <w:rPr>
          <w:rFonts w:eastAsia="Arial" w:cs="Arial"/>
          <w:color w:val="000000"/>
          <w:spacing w:val="1"/>
        </w:rPr>
        <w:t>n</w:t>
      </w:r>
      <w:r w:rsidRPr="00EE6AF7">
        <w:rPr>
          <w:rFonts w:eastAsia="Arial" w:cs="Arial"/>
          <w:color w:val="000000"/>
        </w:rPr>
        <w:t>ci</w:t>
      </w:r>
      <w:r w:rsidRPr="00EE6AF7">
        <w:rPr>
          <w:rFonts w:eastAsia="Arial" w:cs="Arial"/>
          <w:color w:val="000000"/>
          <w:spacing w:val="1"/>
        </w:rPr>
        <w:t>p</w:t>
      </w:r>
      <w:r w:rsidRPr="00EE6AF7">
        <w:rPr>
          <w:rFonts w:eastAsia="Arial" w:cs="Arial"/>
          <w:color w:val="000000"/>
        </w:rPr>
        <w:t>a</w:t>
      </w:r>
      <w:r w:rsidRPr="00EE6AF7">
        <w:rPr>
          <w:rFonts w:eastAsia="Arial" w:cs="Arial"/>
          <w:color w:val="000000"/>
          <w:spacing w:val="-2"/>
        </w:rPr>
        <w:t>l</w:t>
      </w:r>
      <w:r w:rsidRPr="00EE6AF7">
        <w:rPr>
          <w:rFonts w:eastAsia="Arial" w:cs="Arial"/>
          <w:color w:val="000000"/>
        </w:rPr>
        <w:t xml:space="preserve">es </w:t>
      </w:r>
      <w:r w:rsidRPr="00EE6AF7">
        <w:rPr>
          <w:rFonts w:eastAsia="Arial" w:cs="Arial"/>
          <w:color w:val="000000"/>
          <w:spacing w:val="-1"/>
        </w:rPr>
        <w:t>c</w:t>
      </w:r>
      <w:r w:rsidRPr="00EE6AF7">
        <w:rPr>
          <w:rFonts w:eastAsia="Arial" w:cs="Arial"/>
          <w:color w:val="000000"/>
        </w:rPr>
        <w:t>ate</w:t>
      </w:r>
      <w:r w:rsidRPr="00EE6AF7">
        <w:rPr>
          <w:rFonts w:eastAsia="Arial" w:cs="Arial"/>
          <w:color w:val="000000"/>
          <w:spacing w:val="1"/>
        </w:rPr>
        <w:t>g</w:t>
      </w:r>
      <w:r w:rsidRPr="00EE6AF7">
        <w:rPr>
          <w:rFonts w:eastAsia="Arial" w:cs="Arial"/>
          <w:color w:val="000000"/>
        </w:rPr>
        <w:t>orías en</w:t>
      </w:r>
      <w:r w:rsidRPr="00EE6AF7">
        <w:rPr>
          <w:rFonts w:eastAsia="Arial" w:cs="Arial"/>
          <w:color w:val="000000"/>
          <w:spacing w:val="17"/>
        </w:rPr>
        <w:t xml:space="preserve"> </w:t>
      </w:r>
      <w:r w:rsidRPr="00EE6AF7">
        <w:rPr>
          <w:rFonts w:eastAsia="Arial" w:cs="Arial"/>
          <w:color w:val="000000"/>
        </w:rPr>
        <w:t>i</w:t>
      </w:r>
      <w:r w:rsidRPr="00EE6AF7">
        <w:rPr>
          <w:rFonts w:eastAsia="Arial" w:cs="Arial"/>
          <w:color w:val="000000"/>
          <w:spacing w:val="1"/>
        </w:rPr>
        <w:t>n</w:t>
      </w:r>
      <w:r w:rsidRPr="00EE6AF7">
        <w:rPr>
          <w:rFonts w:eastAsia="Arial" w:cs="Arial"/>
          <w:color w:val="000000"/>
          <w:spacing w:val="-1"/>
        </w:rPr>
        <w:t>v</w:t>
      </w:r>
      <w:r w:rsidRPr="00EE6AF7">
        <w:rPr>
          <w:rFonts w:eastAsia="Arial" w:cs="Arial"/>
          <w:color w:val="000000"/>
        </w:rPr>
        <w:t>ers</w:t>
      </w:r>
      <w:r w:rsidRPr="00EE6AF7">
        <w:rPr>
          <w:rFonts w:eastAsia="Arial" w:cs="Arial"/>
          <w:color w:val="000000"/>
          <w:spacing w:val="-2"/>
        </w:rPr>
        <w:t>i</w:t>
      </w:r>
      <w:r w:rsidRPr="00EE6AF7">
        <w:rPr>
          <w:rFonts w:eastAsia="Arial" w:cs="Arial"/>
          <w:color w:val="000000"/>
        </w:rPr>
        <w:t>ón</w:t>
      </w:r>
      <w:r w:rsidRPr="00EE6AF7">
        <w:rPr>
          <w:rFonts w:eastAsia="Arial" w:cs="Arial"/>
          <w:color w:val="000000"/>
          <w:spacing w:val="35"/>
        </w:rPr>
        <w:t xml:space="preserve"> </w:t>
      </w:r>
      <w:r w:rsidRPr="00EE6AF7">
        <w:rPr>
          <w:rFonts w:eastAsia="Arial" w:cs="Arial"/>
          <w:color w:val="000000"/>
        </w:rPr>
        <w:t>social,</w:t>
      </w:r>
      <w:r w:rsidRPr="00EE6AF7">
        <w:rPr>
          <w:rFonts w:eastAsia="Arial" w:cs="Arial"/>
          <w:color w:val="000000"/>
          <w:spacing w:val="28"/>
        </w:rPr>
        <w:t xml:space="preserve"> </w:t>
      </w:r>
      <w:r w:rsidRPr="00EE6AF7">
        <w:rPr>
          <w:rFonts w:eastAsia="Arial" w:cs="Arial"/>
          <w:color w:val="000000"/>
          <w:spacing w:val="-1"/>
        </w:rPr>
        <w:t>c</w:t>
      </w:r>
      <w:r w:rsidRPr="00EE6AF7">
        <w:rPr>
          <w:rFonts w:eastAsia="Arial" w:cs="Arial"/>
          <w:color w:val="000000"/>
        </w:rPr>
        <w:t>on las c</w:t>
      </w:r>
      <w:r w:rsidRPr="00EE6AF7">
        <w:rPr>
          <w:rFonts w:eastAsia="Arial" w:cs="Arial"/>
          <w:color w:val="000000"/>
          <w:spacing w:val="-1"/>
        </w:rPr>
        <w:t>u</w:t>
      </w:r>
      <w:r w:rsidRPr="00EE6AF7">
        <w:rPr>
          <w:rFonts w:eastAsia="Arial" w:cs="Arial"/>
          <w:color w:val="000000"/>
          <w:spacing w:val="1"/>
        </w:rPr>
        <w:t>a</w:t>
      </w:r>
      <w:r w:rsidRPr="00EE6AF7">
        <w:rPr>
          <w:rFonts w:eastAsia="Arial" w:cs="Arial"/>
          <w:color w:val="000000"/>
        </w:rPr>
        <w:t>les</w:t>
      </w:r>
      <w:r w:rsidRPr="00EE6AF7">
        <w:rPr>
          <w:rFonts w:eastAsia="Arial" w:cs="Arial"/>
          <w:color w:val="000000"/>
          <w:spacing w:val="27"/>
        </w:rPr>
        <w:t xml:space="preserve"> </w:t>
      </w:r>
      <w:r w:rsidRPr="00EE6AF7">
        <w:rPr>
          <w:rFonts w:eastAsia="Arial" w:cs="Arial"/>
          <w:color w:val="000000"/>
          <w:w w:val="103"/>
        </w:rPr>
        <w:t xml:space="preserve">se </w:t>
      </w:r>
      <w:r w:rsidRPr="00EE6AF7">
        <w:rPr>
          <w:rFonts w:eastAsia="Arial" w:cs="Arial"/>
          <w:color w:val="000000"/>
        </w:rPr>
        <w:t>pr</w:t>
      </w:r>
      <w:r w:rsidRPr="00EE6AF7">
        <w:rPr>
          <w:rFonts w:eastAsia="Arial" w:cs="Arial"/>
          <w:color w:val="000000"/>
          <w:spacing w:val="-1"/>
        </w:rPr>
        <w:t>e</w:t>
      </w:r>
      <w:r w:rsidRPr="00EE6AF7">
        <w:rPr>
          <w:rFonts w:eastAsia="Arial" w:cs="Arial"/>
          <w:color w:val="000000"/>
        </w:rPr>
        <w:t>tende me</w:t>
      </w:r>
      <w:r w:rsidRPr="00EE6AF7">
        <w:rPr>
          <w:rFonts w:eastAsia="Arial" w:cs="Arial"/>
          <w:color w:val="000000"/>
          <w:spacing w:val="-2"/>
        </w:rPr>
        <w:t>j</w:t>
      </w:r>
      <w:r w:rsidRPr="00EE6AF7">
        <w:rPr>
          <w:rFonts w:eastAsia="Arial" w:cs="Arial"/>
          <w:color w:val="000000"/>
        </w:rPr>
        <w:t>orar</w:t>
      </w:r>
      <w:r w:rsidRPr="00EE6AF7">
        <w:rPr>
          <w:rFonts w:eastAsia="Arial" w:cs="Arial"/>
          <w:color w:val="000000"/>
          <w:spacing w:val="34"/>
        </w:rPr>
        <w:t xml:space="preserve"> </w:t>
      </w:r>
      <w:r w:rsidRPr="00EE6AF7">
        <w:rPr>
          <w:rFonts w:eastAsia="Arial" w:cs="Arial"/>
          <w:color w:val="000000"/>
          <w:spacing w:val="-2"/>
        </w:rPr>
        <w:t>l</w:t>
      </w:r>
      <w:r w:rsidRPr="00EE6AF7">
        <w:rPr>
          <w:rFonts w:eastAsia="Arial" w:cs="Arial"/>
          <w:color w:val="000000"/>
        </w:rPr>
        <w:t>a cal</w:t>
      </w:r>
      <w:r w:rsidRPr="00EE6AF7">
        <w:rPr>
          <w:rFonts w:eastAsia="Arial" w:cs="Arial"/>
          <w:color w:val="000000"/>
          <w:spacing w:val="-2"/>
        </w:rPr>
        <w:t>i</w:t>
      </w:r>
      <w:r w:rsidRPr="00EE6AF7">
        <w:rPr>
          <w:rFonts w:eastAsia="Arial" w:cs="Arial"/>
          <w:color w:val="000000"/>
        </w:rPr>
        <w:t>dad de v</w:t>
      </w:r>
      <w:r w:rsidRPr="00EE6AF7">
        <w:rPr>
          <w:rFonts w:eastAsia="Arial" w:cs="Arial"/>
          <w:color w:val="000000"/>
          <w:spacing w:val="-2"/>
        </w:rPr>
        <w:t>i</w:t>
      </w:r>
      <w:r w:rsidRPr="00EE6AF7">
        <w:rPr>
          <w:rFonts w:eastAsia="Arial" w:cs="Arial"/>
          <w:color w:val="000000"/>
        </w:rPr>
        <w:t>da de l</w:t>
      </w:r>
      <w:r w:rsidRPr="00EE6AF7">
        <w:rPr>
          <w:rFonts w:eastAsia="Arial" w:cs="Arial"/>
          <w:color w:val="000000"/>
          <w:spacing w:val="1"/>
        </w:rPr>
        <w:t>o</w:t>
      </w:r>
      <w:r w:rsidRPr="00EE6AF7">
        <w:rPr>
          <w:rFonts w:eastAsia="Arial" w:cs="Arial"/>
          <w:color w:val="000000"/>
        </w:rPr>
        <w:t xml:space="preserve">s </w:t>
      </w:r>
      <w:r w:rsidRPr="00EE6AF7">
        <w:rPr>
          <w:rFonts w:eastAsia="Arial" w:cs="Arial"/>
          <w:color w:val="000000"/>
          <w:spacing w:val="-2"/>
        </w:rPr>
        <w:t>j</w:t>
      </w:r>
      <w:r w:rsidRPr="00EE6AF7">
        <w:rPr>
          <w:rFonts w:eastAsia="Arial" w:cs="Arial"/>
          <w:color w:val="000000"/>
          <w:spacing w:val="1"/>
        </w:rPr>
        <w:t>ó</w:t>
      </w:r>
      <w:r w:rsidRPr="00EE6AF7">
        <w:rPr>
          <w:rFonts w:eastAsia="Arial" w:cs="Arial"/>
          <w:color w:val="000000"/>
          <w:spacing w:val="-1"/>
        </w:rPr>
        <w:t>v</w:t>
      </w:r>
      <w:r w:rsidRPr="00EE6AF7">
        <w:rPr>
          <w:rFonts w:eastAsia="Arial" w:cs="Arial"/>
          <w:color w:val="000000"/>
        </w:rPr>
        <w:t>e</w:t>
      </w:r>
      <w:r w:rsidRPr="00EE6AF7">
        <w:rPr>
          <w:rFonts w:eastAsia="Arial" w:cs="Arial"/>
          <w:color w:val="000000"/>
          <w:spacing w:val="1"/>
        </w:rPr>
        <w:t>n</w:t>
      </w:r>
      <w:r w:rsidRPr="00EE6AF7">
        <w:rPr>
          <w:rFonts w:eastAsia="Arial" w:cs="Arial"/>
          <w:color w:val="000000"/>
        </w:rPr>
        <w:t>e</w:t>
      </w:r>
      <w:r w:rsidRPr="00EE6AF7">
        <w:rPr>
          <w:rFonts w:eastAsia="Arial" w:cs="Arial"/>
          <w:color w:val="000000"/>
          <w:spacing w:val="-1"/>
        </w:rPr>
        <w:t>s</w:t>
      </w:r>
      <w:r w:rsidRPr="00EE6AF7">
        <w:rPr>
          <w:rFonts w:eastAsia="Arial" w:cs="Arial"/>
          <w:color w:val="000000"/>
        </w:rPr>
        <w:t>.</w:t>
      </w:r>
    </w:p>
    <w:p w:rsidR="00CC6D61" w:rsidRPr="00EE6AF7" w:rsidRDefault="00CC6D61">
      <w:pPr>
        <w:jc w:val="left"/>
        <w:rPr>
          <w:rFonts w:eastAsia="Arial" w:cs="Arial"/>
          <w:color w:val="000000"/>
        </w:rPr>
      </w:pPr>
      <w:r w:rsidRPr="00EE6AF7">
        <w:rPr>
          <w:rFonts w:eastAsia="Arial" w:cs="Arial"/>
          <w:color w:val="000000"/>
        </w:rPr>
        <w:br w:type="page"/>
      </w:r>
    </w:p>
    <w:p w:rsidR="006118E4" w:rsidRPr="00EE6AF7" w:rsidRDefault="006118E4" w:rsidP="00CC6D61">
      <w:pPr>
        <w:spacing w:before="100" w:beforeAutospacing="1" w:after="100" w:afterAutospacing="1"/>
        <w:jc w:val="center"/>
        <w:rPr>
          <w:rFonts w:eastAsia="Arial" w:cs="Arial"/>
          <w:b/>
          <w:bCs/>
          <w:color w:val="000000"/>
          <w:w w:val="103"/>
        </w:rPr>
      </w:pPr>
      <w:r w:rsidRPr="00EE6AF7">
        <w:rPr>
          <w:rFonts w:eastAsia="Arial" w:cs="Arial"/>
          <w:b/>
          <w:bCs/>
          <w:color w:val="000000"/>
          <w:w w:val="103"/>
        </w:rPr>
        <w:t>Tabla 1. Derechos de los Jóvenes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8636"/>
      </w:tblGrid>
      <w:tr w:rsidR="00D31C30" w:rsidRPr="00EE6AF7" w:rsidTr="00EE6AF7">
        <w:trPr>
          <w:trHeight w:val="20"/>
          <w:tblHeader/>
          <w:jc w:val="center"/>
        </w:trPr>
        <w:tc>
          <w:tcPr>
            <w:tcW w:w="1157" w:type="pct"/>
            <w:tcBorders>
              <w:top w:val="single" w:sz="8" w:space="0" w:color="84B3DF"/>
              <w:left w:val="single" w:sz="8" w:space="0" w:color="84B3DF"/>
              <w:bottom w:val="single" w:sz="8" w:space="0" w:color="84B3DF"/>
            </w:tcBorders>
            <w:shd w:val="clear" w:color="auto" w:fill="4B4B4B"/>
          </w:tcPr>
          <w:p w:rsidR="006118E4" w:rsidRPr="00EE6AF7" w:rsidRDefault="006118E4" w:rsidP="00EE6AF7">
            <w:pPr>
              <w:spacing w:before="100" w:beforeAutospacing="1" w:after="100" w:afterAutospacing="1"/>
              <w:jc w:val="center"/>
              <w:rPr>
                <w:rFonts w:eastAsia="Times New Roman" w:cs="Arial"/>
                <w:b/>
                <w:bCs/>
                <w:color w:val="EDEDED"/>
                <w:lang w:eastAsia="es-MX"/>
              </w:rPr>
            </w:pPr>
            <w:r w:rsidRPr="00EE6AF7">
              <w:rPr>
                <w:rFonts w:eastAsia="Times New Roman" w:cs="Arial"/>
                <w:b/>
                <w:bCs/>
                <w:color w:val="EDEDED"/>
                <w:lang w:eastAsia="es-MX"/>
              </w:rPr>
              <w:t>Temática</w:t>
            </w:r>
          </w:p>
        </w:tc>
        <w:tc>
          <w:tcPr>
            <w:tcW w:w="3843" w:type="pct"/>
            <w:tcBorders>
              <w:top w:val="single" w:sz="8" w:space="0" w:color="84B3DF"/>
              <w:bottom w:val="single" w:sz="8" w:space="0" w:color="84B3DF"/>
              <w:right w:val="single" w:sz="8" w:space="0" w:color="84B3DF"/>
            </w:tcBorders>
            <w:shd w:val="clear" w:color="auto" w:fill="4B4B4B"/>
          </w:tcPr>
          <w:p w:rsidR="006118E4" w:rsidRPr="00EE6AF7" w:rsidRDefault="006118E4" w:rsidP="00EE6AF7">
            <w:pPr>
              <w:spacing w:before="100" w:beforeAutospacing="1" w:after="100" w:afterAutospacing="1"/>
              <w:jc w:val="center"/>
              <w:rPr>
                <w:rFonts w:eastAsia="Times New Roman" w:cs="Arial"/>
                <w:b/>
                <w:bCs/>
                <w:color w:val="EDEDED"/>
                <w:lang w:eastAsia="es-MX"/>
              </w:rPr>
            </w:pPr>
            <w:r w:rsidRPr="00EE6AF7">
              <w:rPr>
                <w:rFonts w:eastAsia="Times New Roman" w:cs="Arial"/>
                <w:b/>
                <w:bCs/>
                <w:color w:val="EDEDED"/>
                <w:lang w:eastAsia="es-MX"/>
              </w:rPr>
              <w:t>Definición</w:t>
            </w:r>
          </w:p>
        </w:tc>
      </w:tr>
      <w:tr w:rsidR="008D0DBE" w:rsidRPr="00EE6AF7" w:rsidTr="00EE6AF7">
        <w:trPr>
          <w:trHeight w:val="20"/>
          <w:jc w:val="center"/>
        </w:trPr>
        <w:tc>
          <w:tcPr>
            <w:tcW w:w="1157" w:type="pct"/>
            <w:tcBorders>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Educación</w:t>
            </w:r>
          </w:p>
        </w:tc>
        <w:tc>
          <w:tcPr>
            <w:tcW w:w="3843" w:type="pct"/>
            <w:tcBorders>
              <w:left w:val="nil"/>
            </w:tcBorders>
            <w:shd w:val="clear" w:color="auto" w:fill="auto"/>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refiere a las acciones que van encaminadas a una formación académica de calidad. Es un tema estratégico para el Estado, fundamental para el pleno desarrollo de los jóvenes en el cual adquieren habilidades, conocimientos y herramientas para promover su autonomía y participación en la sociedad.</w:t>
            </w:r>
          </w:p>
        </w:tc>
      </w:tr>
      <w:tr w:rsidR="00D31C30" w:rsidRPr="00EE6AF7" w:rsidTr="00EE6AF7">
        <w:trPr>
          <w:trHeight w:val="20"/>
          <w:jc w:val="center"/>
        </w:trPr>
        <w:tc>
          <w:tcPr>
            <w:tcW w:w="1157" w:type="pct"/>
            <w:tcBorders>
              <w:right w:val="nil"/>
            </w:tcBorders>
            <w:shd w:val="clear" w:color="auto" w:fill="EDEDED"/>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Deporte, recreación y cultura</w:t>
            </w:r>
          </w:p>
        </w:tc>
        <w:tc>
          <w:tcPr>
            <w:tcW w:w="3843" w:type="pct"/>
            <w:tcBorders>
              <w:left w:val="nil"/>
            </w:tcBorders>
            <w:shd w:val="clear" w:color="auto" w:fill="EDEDED"/>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refiere a acciones que incentivan a los jóvenes a la participación en actividades de esta categoría como fuente de recreación disminuyendo las conductas de riesgo.</w:t>
            </w:r>
          </w:p>
        </w:tc>
      </w:tr>
      <w:tr w:rsidR="008D0DBE" w:rsidRPr="00EE6AF7" w:rsidTr="00EE6AF7">
        <w:trPr>
          <w:trHeight w:val="20"/>
          <w:jc w:val="center"/>
        </w:trPr>
        <w:tc>
          <w:tcPr>
            <w:tcW w:w="1157" w:type="pct"/>
            <w:tcBorders>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Salud</w:t>
            </w:r>
          </w:p>
        </w:tc>
        <w:tc>
          <w:tcPr>
            <w:tcW w:w="3843" w:type="pct"/>
            <w:tcBorders>
              <w:left w:val="nil"/>
            </w:tcBorders>
            <w:shd w:val="clear" w:color="auto" w:fill="auto"/>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De acuerdo con la Organización Mundial de la Salud</w:t>
            </w:r>
            <w:r w:rsidRPr="00EE6AF7">
              <w:rPr>
                <w:rStyle w:val="Refdenotaalpie"/>
                <w:rFonts w:cs="Arial"/>
                <w:color w:val="000000"/>
              </w:rPr>
              <w:footnoteReference w:id="14"/>
            </w:r>
            <w:r w:rsidRPr="00EE6AF7">
              <w:rPr>
                <w:rFonts w:eastAsia="Times New Roman" w:cs="Arial"/>
                <w:color w:val="000000"/>
                <w:lang w:eastAsia="es-MX"/>
              </w:rPr>
              <w:t xml:space="preserve"> es un estado completo de bienestar físico, mental y social. Se consideraron los programas con inversión en prevención y atención en adicciones, salud sexual y reproductiva para jóvenes.</w:t>
            </w:r>
          </w:p>
        </w:tc>
      </w:tr>
      <w:tr w:rsidR="00D31C30" w:rsidRPr="00EE6AF7" w:rsidTr="00EE6AF7">
        <w:trPr>
          <w:trHeight w:val="20"/>
          <w:jc w:val="center"/>
        </w:trPr>
        <w:tc>
          <w:tcPr>
            <w:tcW w:w="1157" w:type="pct"/>
            <w:tcBorders>
              <w:right w:val="nil"/>
            </w:tcBorders>
            <w:shd w:val="clear" w:color="auto" w:fill="EDEDED"/>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Información</w:t>
            </w:r>
          </w:p>
        </w:tc>
        <w:tc>
          <w:tcPr>
            <w:tcW w:w="3843" w:type="pct"/>
            <w:tcBorders>
              <w:left w:val="nil"/>
            </w:tcBorders>
            <w:shd w:val="clear" w:color="auto" w:fill="EDEDED"/>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identifican acciones que promueven el acceso a los medios de información, lo que es vital para el fortalecimiento de sus capacidades y habilidades, permitiendo así tener un poder crítico del contexto social.</w:t>
            </w:r>
          </w:p>
        </w:tc>
      </w:tr>
      <w:tr w:rsidR="008D0DBE" w:rsidRPr="00EE6AF7" w:rsidTr="00EE6AF7">
        <w:trPr>
          <w:trHeight w:val="20"/>
          <w:jc w:val="center"/>
        </w:trPr>
        <w:tc>
          <w:tcPr>
            <w:tcW w:w="1157" w:type="pct"/>
            <w:tcBorders>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bCs/>
                <w:color w:val="FFFFFF"/>
                <w:lang w:eastAsia="es-MX"/>
              </w:rPr>
            </w:pPr>
            <w:r w:rsidRPr="00EE6AF7">
              <w:rPr>
                <w:rFonts w:eastAsia="Times New Roman" w:cs="Arial"/>
                <w:b/>
                <w:bCs/>
                <w:color w:val="000000"/>
                <w:lang w:eastAsia="es-MX"/>
              </w:rPr>
              <w:t>Economía y trabajo</w:t>
            </w:r>
          </w:p>
        </w:tc>
        <w:tc>
          <w:tcPr>
            <w:tcW w:w="3843" w:type="pct"/>
            <w:tcBorders>
              <w:left w:val="nil"/>
            </w:tcBorders>
            <w:shd w:val="clear" w:color="auto" w:fill="auto"/>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Mediante las acciones como capacitación laboral, talleres y formación de emprendedores, se fortalecen las habilidades de los jóvenes para su inclusión al mercado laboral.</w:t>
            </w:r>
          </w:p>
        </w:tc>
      </w:tr>
      <w:tr w:rsidR="00D31C30" w:rsidRPr="00EE6AF7" w:rsidTr="00EE6AF7">
        <w:trPr>
          <w:trHeight w:val="20"/>
          <w:jc w:val="center"/>
        </w:trPr>
        <w:tc>
          <w:tcPr>
            <w:tcW w:w="1157" w:type="pct"/>
            <w:tcBorders>
              <w:right w:val="nil"/>
            </w:tcBorders>
            <w:shd w:val="clear" w:color="auto" w:fill="EDEDED"/>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Asistencia Social</w:t>
            </w:r>
          </w:p>
        </w:tc>
        <w:tc>
          <w:tcPr>
            <w:tcW w:w="3843" w:type="pct"/>
            <w:tcBorders>
              <w:left w:val="nil"/>
            </w:tcBorders>
            <w:shd w:val="clear" w:color="auto" w:fill="EDEDED"/>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refiere a acciones dirigidas a jóvenes que se encuentran en situación de vulnerabilidad o que presentan una problemática social, incluye atención para satisfacer sus necesidades básicas de alimentación, servicios médicos, entre otras.</w:t>
            </w:r>
          </w:p>
        </w:tc>
      </w:tr>
      <w:tr w:rsidR="008D0DBE" w:rsidRPr="00EE6AF7" w:rsidTr="00EE6AF7">
        <w:trPr>
          <w:trHeight w:val="20"/>
          <w:jc w:val="center"/>
        </w:trPr>
        <w:tc>
          <w:tcPr>
            <w:tcW w:w="1157" w:type="pct"/>
            <w:tcBorders>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Vivienda</w:t>
            </w:r>
          </w:p>
        </w:tc>
        <w:tc>
          <w:tcPr>
            <w:tcW w:w="3843" w:type="pct"/>
            <w:tcBorders>
              <w:left w:val="nil"/>
            </w:tcBorders>
            <w:shd w:val="clear" w:color="auto" w:fill="auto"/>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incluyen acciones para asegurar el acceso a una vivienda digna por medio de subsidios a la población de jóvenes.</w:t>
            </w:r>
          </w:p>
        </w:tc>
      </w:tr>
      <w:tr w:rsidR="00D31C30" w:rsidRPr="00EE6AF7" w:rsidTr="00EE6AF7">
        <w:trPr>
          <w:trHeight w:val="20"/>
          <w:jc w:val="center"/>
        </w:trPr>
        <w:tc>
          <w:tcPr>
            <w:tcW w:w="1157" w:type="pct"/>
            <w:tcBorders>
              <w:right w:val="nil"/>
            </w:tcBorders>
            <w:shd w:val="clear" w:color="auto" w:fill="EDEDED"/>
            <w:vAlign w:val="center"/>
            <w:hideMark/>
          </w:tcPr>
          <w:p w:rsidR="006118E4" w:rsidRPr="00EE6AF7" w:rsidRDefault="006118E4" w:rsidP="00EE6AF7">
            <w:pPr>
              <w:jc w:val="center"/>
              <w:rPr>
                <w:rFonts w:eastAsia="Times New Roman" w:cs="Arial"/>
                <w:b/>
                <w:bCs/>
                <w:color w:val="000000"/>
                <w:lang w:eastAsia="es-MX"/>
              </w:rPr>
            </w:pPr>
            <w:r w:rsidRPr="00EE6AF7">
              <w:rPr>
                <w:rFonts w:eastAsia="Times New Roman" w:cs="Arial"/>
                <w:b/>
                <w:bCs/>
                <w:color w:val="000000"/>
                <w:lang w:eastAsia="es-MX"/>
              </w:rPr>
              <w:t>Seguridad legal</w:t>
            </w:r>
          </w:p>
        </w:tc>
        <w:tc>
          <w:tcPr>
            <w:tcW w:w="3843" w:type="pct"/>
            <w:tcBorders>
              <w:left w:val="nil"/>
            </w:tcBorders>
            <w:shd w:val="clear" w:color="auto" w:fill="EDEDED"/>
            <w:hideMark/>
          </w:tcPr>
          <w:p w:rsidR="006118E4" w:rsidRPr="00EE6AF7" w:rsidRDefault="006118E4" w:rsidP="0056150B">
            <w:pPr>
              <w:rPr>
                <w:rFonts w:eastAsia="Times New Roman" w:cs="Arial"/>
                <w:color w:val="000000"/>
                <w:lang w:eastAsia="es-MX"/>
              </w:rPr>
            </w:pPr>
            <w:r w:rsidRPr="00EE6AF7">
              <w:rPr>
                <w:rFonts w:eastAsia="Times New Roman" w:cs="Arial"/>
                <w:color w:val="000000"/>
                <w:lang w:eastAsia="es-MX"/>
              </w:rPr>
              <w:t>Asegurar a las y los jóvenes el derecho a la seguridad personal, al derecho de su libertad y al ejercicio de la misma, sin ser coartados ni limitados en las actividades que derivan de ella, prohibiéndose cualquier medida que atente contra la libertad, integridad, seguridad física y mental</w:t>
            </w:r>
            <w:r w:rsidRPr="00EE6AF7">
              <w:rPr>
                <w:rFonts w:eastAsia="Arial" w:cs="Arial"/>
                <w:color w:val="000000"/>
              </w:rPr>
              <w:t>.</w:t>
            </w:r>
          </w:p>
        </w:tc>
      </w:tr>
    </w:tbl>
    <w:p w:rsidR="006118E4" w:rsidRPr="00EE6AF7" w:rsidRDefault="006118E4" w:rsidP="00CC6D61">
      <w:pPr>
        <w:spacing w:before="100" w:beforeAutospacing="1" w:after="100" w:afterAutospacing="1"/>
        <w:jc w:val="center"/>
        <w:rPr>
          <w:rFonts w:eastAsia="Arial" w:cs="Arial"/>
          <w:color w:val="000000"/>
        </w:rPr>
      </w:pPr>
      <w:r w:rsidRPr="00EE6AF7">
        <w:rPr>
          <w:rFonts w:eastAsia="Arial" w:cs="Arial"/>
          <w:color w:val="000000"/>
        </w:rPr>
        <w:t>Fuente: Elaboración propia basada en la Convención Iberoamericana de los Derechos de los Jóvenes.</w:t>
      </w:r>
    </w:p>
    <w:p w:rsidR="006118E4" w:rsidRPr="00EE6AF7" w:rsidRDefault="006118E4" w:rsidP="00D31C25">
      <w:pPr>
        <w:pStyle w:val="Prrafodelista"/>
        <w:widowControl w:val="0"/>
        <w:numPr>
          <w:ilvl w:val="0"/>
          <w:numId w:val="1"/>
        </w:numPr>
        <w:spacing w:before="100" w:beforeAutospacing="1" w:after="100" w:afterAutospacing="1" w:line="240" w:lineRule="auto"/>
        <w:rPr>
          <w:rFonts w:ascii="Arial" w:hAnsi="Arial" w:cs="Arial"/>
          <w:b/>
          <w:i/>
          <w:color w:val="000000"/>
          <w:szCs w:val="24"/>
        </w:rPr>
      </w:pPr>
      <w:r w:rsidRPr="00EE6AF7">
        <w:rPr>
          <w:rFonts w:ascii="Arial" w:hAnsi="Arial" w:cs="Arial"/>
          <w:b/>
          <w:i/>
          <w:color w:val="000000"/>
          <w:szCs w:val="24"/>
        </w:rPr>
        <w:t>Anál</w:t>
      </w:r>
      <w:r w:rsidRPr="00EE6AF7">
        <w:rPr>
          <w:rFonts w:ascii="Arial" w:hAnsi="Arial" w:cs="Arial"/>
          <w:b/>
          <w:i/>
          <w:color w:val="000000"/>
          <w:spacing w:val="-2"/>
          <w:szCs w:val="24"/>
        </w:rPr>
        <w:t>i</w:t>
      </w:r>
      <w:r w:rsidRPr="00EE6AF7">
        <w:rPr>
          <w:rFonts w:ascii="Arial" w:hAnsi="Arial" w:cs="Arial"/>
          <w:b/>
          <w:i/>
          <w:color w:val="000000"/>
          <w:spacing w:val="1"/>
          <w:szCs w:val="24"/>
        </w:rPr>
        <w:t>s</w:t>
      </w:r>
      <w:r w:rsidRPr="00EE6AF7">
        <w:rPr>
          <w:rFonts w:ascii="Arial" w:hAnsi="Arial" w:cs="Arial"/>
          <w:b/>
          <w:i/>
          <w:color w:val="000000"/>
          <w:szCs w:val="24"/>
        </w:rPr>
        <w:t>is</w:t>
      </w:r>
      <w:r w:rsidRPr="00EE6AF7">
        <w:rPr>
          <w:rFonts w:ascii="Arial" w:hAnsi="Arial" w:cs="Arial"/>
          <w:b/>
          <w:i/>
          <w:color w:val="000000"/>
          <w:spacing w:val="3"/>
          <w:szCs w:val="24"/>
        </w:rPr>
        <w:t xml:space="preserve"> </w:t>
      </w:r>
      <w:r w:rsidRPr="00EE6AF7">
        <w:rPr>
          <w:rFonts w:ascii="Arial" w:hAnsi="Arial" w:cs="Arial"/>
          <w:b/>
          <w:i/>
          <w:color w:val="000000"/>
          <w:szCs w:val="24"/>
        </w:rPr>
        <w:t>de</w:t>
      </w:r>
      <w:r w:rsidRPr="00EE6AF7">
        <w:rPr>
          <w:rFonts w:ascii="Arial" w:hAnsi="Arial" w:cs="Arial"/>
          <w:b/>
          <w:i/>
          <w:color w:val="000000"/>
          <w:spacing w:val="44"/>
          <w:szCs w:val="24"/>
        </w:rPr>
        <w:t xml:space="preserve"> </w:t>
      </w:r>
      <w:r w:rsidRPr="00EE6AF7">
        <w:rPr>
          <w:rFonts w:ascii="Arial" w:hAnsi="Arial" w:cs="Arial"/>
          <w:b/>
          <w:i/>
          <w:color w:val="000000"/>
          <w:szCs w:val="24"/>
        </w:rPr>
        <w:t>acuerdo</w:t>
      </w:r>
      <w:r w:rsidRPr="00EE6AF7">
        <w:rPr>
          <w:rFonts w:ascii="Arial" w:hAnsi="Arial" w:cs="Arial"/>
          <w:b/>
          <w:i/>
          <w:color w:val="000000"/>
          <w:spacing w:val="4"/>
          <w:szCs w:val="24"/>
        </w:rPr>
        <w:t xml:space="preserve"> </w:t>
      </w:r>
      <w:r w:rsidRPr="00EE6AF7">
        <w:rPr>
          <w:rFonts w:ascii="Arial" w:hAnsi="Arial" w:cs="Arial"/>
          <w:b/>
          <w:i/>
          <w:color w:val="000000"/>
          <w:szCs w:val="24"/>
        </w:rPr>
        <w:t>con la e</w:t>
      </w:r>
      <w:r w:rsidRPr="00EE6AF7">
        <w:rPr>
          <w:rFonts w:ascii="Arial" w:hAnsi="Arial" w:cs="Arial"/>
          <w:b/>
          <w:i/>
          <w:color w:val="000000"/>
          <w:spacing w:val="-1"/>
          <w:szCs w:val="24"/>
        </w:rPr>
        <w:t>s</w:t>
      </w:r>
      <w:r w:rsidRPr="00EE6AF7">
        <w:rPr>
          <w:rFonts w:ascii="Arial" w:hAnsi="Arial" w:cs="Arial"/>
          <w:b/>
          <w:i/>
          <w:color w:val="000000"/>
          <w:szCs w:val="24"/>
        </w:rPr>
        <w:t>pec</w:t>
      </w:r>
      <w:r w:rsidRPr="00EE6AF7">
        <w:rPr>
          <w:rFonts w:ascii="Arial" w:hAnsi="Arial" w:cs="Arial"/>
          <w:b/>
          <w:i/>
          <w:color w:val="000000"/>
          <w:spacing w:val="-2"/>
          <w:szCs w:val="24"/>
        </w:rPr>
        <w:t>i</w:t>
      </w:r>
      <w:r w:rsidRPr="00EE6AF7">
        <w:rPr>
          <w:rFonts w:ascii="Arial" w:hAnsi="Arial" w:cs="Arial"/>
          <w:b/>
          <w:i/>
          <w:color w:val="000000"/>
          <w:spacing w:val="1"/>
          <w:szCs w:val="24"/>
        </w:rPr>
        <w:t>f</w:t>
      </w:r>
      <w:r w:rsidRPr="00EE6AF7">
        <w:rPr>
          <w:rFonts w:ascii="Arial" w:hAnsi="Arial" w:cs="Arial"/>
          <w:b/>
          <w:i/>
          <w:color w:val="000000"/>
          <w:szCs w:val="24"/>
        </w:rPr>
        <w:t>ic</w:t>
      </w:r>
      <w:r w:rsidRPr="00EE6AF7">
        <w:rPr>
          <w:rFonts w:ascii="Arial" w:hAnsi="Arial" w:cs="Arial"/>
          <w:b/>
          <w:i/>
          <w:color w:val="000000"/>
          <w:spacing w:val="-2"/>
          <w:szCs w:val="24"/>
        </w:rPr>
        <w:t>i</w:t>
      </w:r>
      <w:r w:rsidRPr="00EE6AF7">
        <w:rPr>
          <w:rFonts w:ascii="Arial" w:hAnsi="Arial" w:cs="Arial"/>
          <w:b/>
          <w:i/>
          <w:color w:val="000000"/>
          <w:spacing w:val="1"/>
          <w:szCs w:val="24"/>
        </w:rPr>
        <w:t>d</w:t>
      </w:r>
      <w:r w:rsidRPr="00EE6AF7">
        <w:rPr>
          <w:rFonts w:ascii="Arial" w:hAnsi="Arial" w:cs="Arial"/>
          <w:b/>
          <w:i/>
          <w:color w:val="000000"/>
          <w:szCs w:val="24"/>
        </w:rPr>
        <w:t>ad de la inversión.</w:t>
      </w:r>
    </w:p>
    <w:p w:rsidR="00CC6D61" w:rsidRPr="00EE6AF7" w:rsidRDefault="006118E4" w:rsidP="006118E4">
      <w:pPr>
        <w:spacing w:before="100" w:beforeAutospacing="1" w:after="100" w:afterAutospacing="1"/>
        <w:rPr>
          <w:rFonts w:cs="Arial"/>
          <w:color w:val="000000"/>
          <w:spacing w:val="1"/>
          <w:w w:val="103"/>
        </w:rPr>
      </w:pPr>
      <w:r w:rsidRPr="00EE6AF7">
        <w:rPr>
          <w:rFonts w:cs="Arial"/>
          <w:color w:val="000000"/>
        </w:rPr>
        <w:t>Pa</w:t>
      </w:r>
      <w:r w:rsidRPr="00EE6AF7">
        <w:rPr>
          <w:rFonts w:cs="Arial"/>
          <w:color w:val="000000"/>
          <w:spacing w:val="2"/>
        </w:rPr>
        <w:t>r</w:t>
      </w:r>
      <w:r w:rsidRPr="00EE6AF7">
        <w:rPr>
          <w:rFonts w:cs="Arial"/>
          <w:color w:val="000000"/>
        </w:rPr>
        <w:t>a d</w:t>
      </w:r>
      <w:r w:rsidRPr="00EE6AF7">
        <w:rPr>
          <w:rFonts w:cs="Arial"/>
          <w:color w:val="000000"/>
          <w:spacing w:val="-2"/>
        </w:rPr>
        <w:t>i</w:t>
      </w:r>
      <w:r w:rsidRPr="00EE6AF7">
        <w:rPr>
          <w:rFonts w:cs="Arial"/>
          <w:color w:val="000000"/>
        </w:rPr>
        <w:t>ferenciar</w:t>
      </w:r>
      <w:r w:rsidRPr="00EE6AF7">
        <w:rPr>
          <w:rFonts w:cs="Arial"/>
          <w:color w:val="000000"/>
          <w:spacing w:val="14"/>
        </w:rPr>
        <w:t xml:space="preserve"> </w:t>
      </w:r>
      <w:r w:rsidRPr="00EE6AF7">
        <w:rPr>
          <w:rFonts w:cs="Arial"/>
          <w:color w:val="000000"/>
        </w:rPr>
        <w:t xml:space="preserve">la </w:t>
      </w:r>
      <w:r w:rsidRPr="00EE6AF7">
        <w:rPr>
          <w:rFonts w:cs="Arial"/>
          <w:color w:val="000000"/>
          <w:spacing w:val="-2"/>
        </w:rPr>
        <w:t>i</w:t>
      </w:r>
      <w:r w:rsidRPr="00EE6AF7">
        <w:rPr>
          <w:rFonts w:cs="Arial"/>
          <w:color w:val="000000"/>
          <w:spacing w:val="1"/>
        </w:rPr>
        <w:t>n</w:t>
      </w:r>
      <w:r w:rsidRPr="00EE6AF7">
        <w:rPr>
          <w:rFonts w:cs="Arial"/>
          <w:color w:val="000000"/>
        </w:rPr>
        <w:t>vers</w:t>
      </w:r>
      <w:r w:rsidRPr="00EE6AF7">
        <w:rPr>
          <w:rFonts w:cs="Arial"/>
          <w:color w:val="000000"/>
          <w:spacing w:val="-2"/>
        </w:rPr>
        <w:t>i</w:t>
      </w:r>
      <w:r w:rsidRPr="00EE6AF7">
        <w:rPr>
          <w:rFonts w:cs="Arial"/>
          <w:color w:val="000000"/>
        </w:rPr>
        <w:t xml:space="preserve">ón de </w:t>
      </w:r>
      <w:r w:rsidRPr="00EE6AF7">
        <w:rPr>
          <w:rFonts w:cs="Arial"/>
          <w:color w:val="000000"/>
          <w:spacing w:val="1"/>
        </w:rPr>
        <w:t>es</w:t>
      </w:r>
      <w:r w:rsidRPr="00EE6AF7">
        <w:rPr>
          <w:rFonts w:cs="Arial"/>
          <w:color w:val="000000"/>
        </w:rPr>
        <w:t xml:space="preserve">te </w:t>
      </w:r>
      <w:r w:rsidRPr="00EE6AF7">
        <w:rPr>
          <w:rFonts w:cs="Arial"/>
          <w:color w:val="000000"/>
          <w:spacing w:val="-2"/>
        </w:rPr>
        <w:t>s</w:t>
      </w:r>
      <w:r w:rsidRPr="00EE6AF7">
        <w:rPr>
          <w:rFonts w:cs="Arial"/>
          <w:color w:val="000000"/>
          <w:spacing w:val="-1"/>
        </w:rPr>
        <w:t>i</w:t>
      </w:r>
      <w:r w:rsidRPr="00EE6AF7">
        <w:rPr>
          <w:rFonts w:cs="Arial"/>
          <w:color w:val="000000"/>
        </w:rPr>
        <w:t>gnificativo</w:t>
      </w:r>
      <w:r w:rsidRPr="00EE6AF7">
        <w:rPr>
          <w:rFonts w:cs="Arial"/>
          <w:color w:val="000000"/>
          <w:spacing w:val="14"/>
        </w:rPr>
        <w:t xml:space="preserve"> </w:t>
      </w:r>
      <w:r w:rsidRPr="00EE6AF7">
        <w:rPr>
          <w:rFonts w:cs="Arial"/>
          <w:color w:val="000000"/>
        </w:rPr>
        <w:t>grupo</w:t>
      </w:r>
      <w:r w:rsidRPr="00EE6AF7">
        <w:rPr>
          <w:rFonts w:cs="Arial"/>
          <w:color w:val="000000"/>
          <w:spacing w:val="1"/>
        </w:rPr>
        <w:t xml:space="preserve"> </w:t>
      </w:r>
      <w:r w:rsidRPr="00EE6AF7">
        <w:rPr>
          <w:rFonts w:cs="Arial"/>
          <w:color w:val="000000"/>
        </w:rPr>
        <w:t>pob</w:t>
      </w:r>
      <w:r w:rsidRPr="00EE6AF7">
        <w:rPr>
          <w:rFonts w:cs="Arial"/>
          <w:color w:val="000000"/>
          <w:spacing w:val="-2"/>
        </w:rPr>
        <w:t>l</w:t>
      </w:r>
      <w:r w:rsidRPr="00EE6AF7">
        <w:rPr>
          <w:rFonts w:cs="Arial"/>
          <w:color w:val="000000"/>
        </w:rPr>
        <w:t>ac</w:t>
      </w:r>
      <w:r w:rsidRPr="00EE6AF7">
        <w:rPr>
          <w:rFonts w:cs="Arial"/>
          <w:color w:val="000000"/>
          <w:spacing w:val="-2"/>
        </w:rPr>
        <w:t>i</w:t>
      </w:r>
      <w:r w:rsidRPr="00EE6AF7">
        <w:rPr>
          <w:rFonts w:cs="Arial"/>
          <w:color w:val="000000"/>
        </w:rPr>
        <w:t>onal,</w:t>
      </w:r>
      <w:r w:rsidRPr="00EE6AF7">
        <w:rPr>
          <w:rFonts w:cs="Arial"/>
          <w:color w:val="000000"/>
          <w:spacing w:val="19"/>
        </w:rPr>
        <w:t xml:space="preserve"> </w:t>
      </w:r>
      <w:r w:rsidRPr="00EE6AF7">
        <w:rPr>
          <w:rFonts w:cs="Arial"/>
          <w:color w:val="000000"/>
          <w:w w:val="103"/>
        </w:rPr>
        <w:t>en</w:t>
      </w:r>
      <w:r w:rsidRPr="00EE6AF7">
        <w:rPr>
          <w:rFonts w:cs="Arial"/>
          <w:color w:val="000000"/>
        </w:rPr>
        <w:t xml:space="preserve"> cuanto</w:t>
      </w:r>
      <w:r w:rsidRPr="00EE6AF7">
        <w:rPr>
          <w:rFonts w:cs="Arial"/>
          <w:color w:val="000000"/>
          <w:spacing w:val="-38"/>
        </w:rPr>
        <w:t xml:space="preserve"> </w:t>
      </w:r>
      <w:r w:rsidRPr="00EE6AF7">
        <w:rPr>
          <w:rFonts w:cs="Arial"/>
          <w:color w:val="000000"/>
        </w:rPr>
        <w:t>a su</w:t>
      </w:r>
      <w:r w:rsidRPr="00EE6AF7">
        <w:rPr>
          <w:rFonts w:cs="Arial"/>
          <w:color w:val="000000"/>
          <w:spacing w:val="-49"/>
        </w:rPr>
        <w:t xml:space="preserve"> </w:t>
      </w:r>
      <w:r w:rsidRPr="00EE6AF7">
        <w:rPr>
          <w:rFonts w:cs="Arial"/>
          <w:color w:val="000000"/>
        </w:rPr>
        <w:t>per</w:t>
      </w:r>
      <w:r w:rsidRPr="00EE6AF7">
        <w:rPr>
          <w:rFonts w:cs="Arial"/>
          <w:color w:val="000000"/>
          <w:spacing w:val="1"/>
        </w:rPr>
        <w:t>ti</w:t>
      </w:r>
      <w:r w:rsidRPr="00EE6AF7">
        <w:rPr>
          <w:rFonts w:cs="Arial"/>
          <w:color w:val="000000"/>
        </w:rPr>
        <w:t>nen</w:t>
      </w:r>
      <w:r w:rsidRPr="00EE6AF7">
        <w:rPr>
          <w:rFonts w:cs="Arial"/>
          <w:color w:val="000000"/>
          <w:spacing w:val="-1"/>
        </w:rPr>
        <w:t>c</w:t>
      </w:r>
      <w:r w:rsidRPr="00EE6AF7">
        <w:rPr>
          <w:rFonts w:cs="Arial"/>
          <w:color w:val="000000"/>
        </w:rPr>
        <w:t>ia,</w:t>
      </w:r>
      <w:r w:rsidRPr="00EE6AF7">
        <w:rPr>
          <w:rFonts w:cs="Arial"/>
          <w:color w:val="000000"/>
          <w:spacing w:val="-25"/>
        </w:rPr>
        <w:t xml:space="preserve"> </w:t>
      </w:r>
      <w:r w:rsidRPr="00EE6AF7">
        <w:rPr>
          <w:rFonts w:cs="Arial"/>
          <w:color w:val="000000"/>
        </w:rPr>
        <w:t>cobertura,</w:t>
      </w:r>
      <w:r w:rsidRPr="00EE6AF7">
        <w:rPr>
          <w:rFonts w:cs="Arial"/>
          <w:color w:val="000000"/>
          <w:spacing w:val="-29"/>
        </w:rPr>
        <w:t xml:space="preserve"> </w:t>
      </w:r>
      <w:r w:rsidRPr="00EE6AF7">
        <w:rPr>
          <w:rFonts w:cs="Arial"/>
          <w:color w:val="000000"/>
        </w:rPr>
        <w:t>efectividad</w:t>
      </w:r>
      <w:r w:rsidRPr="00EE6AF7">
        <w:rPr>
          <w:rFonts w:cs="Arial"/>
          <w:color w:val="000000"/>
          <w:spacing w:val="-27"/>
        </w:rPr>
        <w:t xml:space="preserve"> </w:t>
      </w:r>
      <w:r w:rsidRPr="00EE6AF7">
        <w:rPr>
          <w:rFonts w:cs="Arial"/>
          <w:color w:val="000000"/>
        </w:rPr>
        <w:t>y</w:t>
      </w:r>
      <w:r w:rsidRPr="00EE6AF7">
        <w:rPr>
          <w:rFonts w:cs="Arial"/>
          <w:color w:val="000000"/>
          <w:spacing w:val="-53"/>
        </w:rPr>
        <w:t xml:space="preserve"> </w:t>
      </w:r>
      <w:r w:rsidRPr="00EE6AF7">
        <w:rPr>
          <w:rFonts w:cs="Arial"/>
          <w:color w:val="000000"/>
        </w:rPr>
        <w:t>r</w:t>
      </w:r>
      <w:r w:rsidRPr="00EE6AF7">
        <w:rPr>
          <w:rFonts w:cs="Arial"/>
          <w:color w:val="000000"/>
          <w:spacing w:val="1"/>
        </w:rPr>
        <w:t>e</w:t>
      </w:r>
      <w:r w:rsidRPr="00EE6AF7">
        <w:rPr>
          <w:rFonts w:cs="Arial"/>
          <w:color w:val="000000"/>
        </w:rPr>
        <w:t>su</w:t>
      </w:r>
      <w:r w:rsidRPr="00EE6AF7">
        <w:rPr>
          <w:rFonts w:cs="Arial"/>
          <w:color w:val="000000"/>
          <w:spacing w:val="-2"/>
        </w:rPr>
        <w:t>l</w:t>
      </w:r>
      <w:r w:rsidRPr="00EE6AF7">
        <w:rPr>
          <w:rFonts w:cs="Arial"/>
          <w:color w:val="000000"/>
        </w:rPr>
        <w:t>ta</w:t>
      </w:r>
      <w:r w:rsidRPr="00EE6AF7">
        <w:rPr>
          <w:rFonts w:cs="Arial"/>
          <w:color w:val="000000"/>
          <w:spacing w:val="1"/>
        </w:rPr>
        <w:t>d</w:t>
      </w:r>
      <w:r w:rsidRPr="00EE6AF7">
        <w:rPr>
          <w:rFonts w:cs="Arial"/>
          <w:color w:val="000000"/>
        </w:rPr>
        <w:t xml:space="preserve">os, se considera </w:t>
      </w:r>
      <w:r w:rsidRPr="00EE6AF7">
        <w:rPr>
          <w:rFonts w:cs="Arial"/>
          <w:color w:val="000000"/>
          <w:w w:val="103"/>
        </w:rPr>
        <w:t xml:space="preserve">la </w:t>
      </w:r>
      <w:r w:rsidRPr="00EE6AF7">
        <w:rPr>
          <w:rFonts w:cs="Arial"/>
          <w:color w:val="000000"/>
        </w:rPr>
        <w:t>s</w:t>
      </w:r>
      <w:r w:rsidRPr="00EE6AF7">
        <w:rPr>
          <w:rFonts w:cs="Arial"/>
          <w:color w:val="000000"/>
          <w:spacing w:val="-1"/>
        </w:rPr>
        <w:t>i</w:t>
      </w:r>
      <w:r w:rsidRPr="00EE6AF7">
        <w:rPr>
          <w:rFonts w:cs="Arial"/>
          <w:color w:val="000000"/>
        </w:rPr>
        <w:t>g</w:t>
      </w:r>
      <w:r w:rsidRPr="00EE6AF7">
        <w:rPr>
          <w:rFonts w:cs="Arial"/>
          <w:color w:val="000000"/>
          <w:spacing w:val="1"/>
        </w:rPr>
        <w:t>u</w:t>
      </w:r>
      <w:r w:rsidRPr="00EE6AF7">
        <w:rPr>
          <w:rFonts w:cs="Arial"/>
          <w:color w:val="000000"/>
        </w:rPr>
        <w:t>iente</w:t>
      </w:r>
      <w:r w:rsidRPr="00EE6AF7">
        <w:rPr>
          <w:rFonts w:cs="Arial"/>
          <w:color w:val="000000"/>
          <w:spacing w:val="26"/>
        </w:rPr>
        <w:t xml:space="preserve"> </w:t>
      </w:r>
      <w:r w:rsidRPr="00EE6AF7">
        <w:rPr>
          <w:rFonts w:cs="Arial"/>
          <w:color w:val="000000"/>
        </w:rPr>
        <w:t>cl</w:t>
      </w:r>
      <w:r w:rsidRPr="00EE6AF7">
        <w:rPr>
          <w:rFonts w:cs="Arial"/>
          <w:color w:val="000000"/>
          <w:spacing w:val="1"/>
        </w:rPr>
        <w:t>a</w:t>
      </w:r>
      <w:r w:rsidRPr="00EE6AF7">
        <w:rPr>
          <w:rFonts w:cs="Arial"/>
          <w:color w:val="000000"/>
          <w:spacing w:val="-1"/>
        </w:rPr>
        <w:t>s</w:t>
      </w:r>
      <w:r w:rsidRPr="00EE6AF7">
        <w:rPr>
          <w:rFonts w:cs="Arial"/>
          <w:color w:val="000000"/>
        </w:rPr>
        <w:t>i</w:t>
      </w:r>
      <w:r w:rsidRPr="00EE6AF7">
        <w:rPr>
          <w:rFonts w:cs="Arial"/>
          <w:color w:val="000000"/>
          <w:spacing w:val="1"/>
        </w:rPr>
        <w:t>f</w:t>
      </w:r>
      <w:r w:rsidRPr="00EE6AF7">
        <w:rPr>
          <w:rFonts w:cs="Arial"/>
          <w:color w:val="000000"/>
        </w:rPr>
        <w:t>i</w:t>
      </w:r>
      <w:r w:rsidRPr="00EE6AF7">
        <w:rPr>
          <w:rFonts w:cs="Arial"/>
          <w:color w:val="000000"/>
          <w:spacing w:val="-1"/>
        </w:rPr>
        <w:t>c</w:t>
      </w:r>
      <w:r w:rsidRPr="00EE6AF7">
        <w:rPr>
          <w:rFonts w:cs="Arial"/>
          <w:color w:val="000000"/>
        </w:rPr>
        <w:t>ac</w:t>
      </w:r>
      <w:r w:rsidRPr="00EE6AF7">
        <w:rPr>
          <w:rFonts w:cs="Arial"/>
          <w:color w:val="000000"/>
          <w:spacing w:val="-2"/>
        </w:rPr>
        <w:t>i</w:t>
      </w:r>
      <w:r w:rsidRPr="00EE6AF7">
        <w:rPr>
          <w:rFonts w:cs="Arial"/>
          <w:color w:val="000000"/>
        </w:rPr>
        <w:t>ón</w:t>
      </w:r>
      <w:r w:rsidRPr="00EE6AF7">
        <w:rPr>
          <w:rFonts w:cs="Arial"/>
          <w:color w:val="000000"/>
          <w:spacing w:val="34"/>
        </w:rPr>
        <w:t xml:space="preserve"> </w:t>
      </w:r>
      <w:r w:rsidRPr="00EE6AF7">
        <w:rPr>
          <w:rFonts w:cs="Arial"/>
          <w:color w:val="000000"/>
        </w:rPr>
        <w:t>p</w:t>
      </w:r>
      <w:r w:rsidRPr="00EE6AF7">
        <w:rPr>
          <w:rFonts w:cs="Arial"/>
          <w:color w:val="000000"/>
          <w:spacing w:val="2"/>
        </w:rPr>
        <w:t>r</w:t>
      </w:r>
      <w:r w:rsidRPr="00EE6AF7">
        <w:rPr>
          <w:rFonts w:cs="Arial"/>
          <w:color w:val="000000"/>
        </w:rPr>
        <w:t>op</w:t>
      </w:r>
      <w:r w:rsidRPr="00EE6AF7">
        <w:rPr>
          <w:rFonts w:cs="Arial"/>
          <w:color w:val="000000"/>
          <w:spacing w:val="-1"/>
        </w:rPr>
        <w:t>u</w:t>
      </w:r>
      <w:r w:rsidRPr="00EE6AF7">
        <w:rPr>
          <w:rFonts w:cs="Arial"/>
          <w:color w:val="000000"/>
        </w:rPr>
        <w:t>esta</w:t>
      </w:r>
      <w:r w:rsidRPr="00EE6AF7">
        <w:rPr>
          <w:rFonts w:cs="Arial"/>
          <w:color w:val="000000"/>
          <w:spacing w:val="29"/>
        </w:rPr>
        <w:t xml:space="preserve"> </w:t>
      </w:r>
      <w:r w:rsidRPr="00EE6AF7">
        <w:rPr>
          <w:rFonts w:cs="Arial"/>
          <w:color w:val="000000"/>
        </w:rPr>
        <w:t>por</w:t>
      </w:r>
      <w:r w:rsidRPr="00EE6AF7">
        <w:rPr>
          <w:rFonts w:cs="Arial"/>
          <w:color w:val="000000"/>
          <w:spacing w:val="11"/>
        </w:rPr>
        <w:t xml:space="preserve"> </w:t>
      </w:r>
      <w:r w:rsidRPr="00EE6AF7">
        <w:rPr>
          <w:rFonts w:cs="Arial"/>
          <w:color w:val="000000"/>
          <w:w w:val="103"/>
        </w:rPr>
        <w:t>Unice</w:t>
      </w:r>
      <w:r w:rsidRPr="00EE6AF7">
        <w:rPr>
          <w:rFonts w:cs="Arial"/>
          <w:color w:val="000000"/>
          <w:spacing w:val="1"/>
          <w:w w:val="103"/>
        </w:rPr>
        <w:t>f</w:t>
      </w:r>
      <w:r w:rsidRPr="00EE6AF7">
        <w:rPr>
          <w:rStyle w:val="Refdenotaalpie"/>
          <w:rFonts w:cs="Arial"/>
          <w:color w:val="000000"/>
          <w:spacing w:val="1"/>
          <w:w w:val="103"/>
        </w:rPr>
        <w:footnoteReference w:id="15"/>
      </w:r>
      <w:r w:rsidRPr="00EE6AF7">
        <w:rPr>
          <w:rFonts w:cs="Arial"/>
          <w:color w:val="000000"/>
          <w:spacing w:val="1"/>
          <w:w w:val="103"/>
        </w:rPr>
        <w:t>.</w:t>
      </w:r>
    </w:p>
    <w:p w:rsidR="00A92B97" w:rsidRPr="00EE6AF7" w:rsidRDefault="00A92B97">
      <w:pPr>
        <w:jc w:val="left"/>
        <w:rPr>
          <w:rFonts w:eastAsia="Arial" w:cs="Arial"/>
          <w:b/>
          <w:bCs/>
          <w:color w:val="000000"/>
          <w:w w:val="103"/>
        </w:rPr>
      </w:pPr>
      <w:r w:rsidRPr="00EE6AF7">
        <w:rPr>
          <w:rFonts w:eastAsia="Arial" w:cs="Arial"/>
          <w:b/>
          <w:bCs/>
          <w:color w:val="000000"/>
          <w:w w:val="103"/>
        </w:rPr>
        <w:br w:type="page"/>
      </w:r>
    </w:p>
    <w:p w:rsidR="006118E4" w:rsidRPr="00EE6AF7" w:rsidRDefault="006118E4" w:rsidP="006118E4">
      <w:pPr>
        <w:spacing w:before="100" w:beforeAutospacing="1" w:after="100" w:afterAutospacing="1"/>
        <w:jc w:val="center"/>
        <w:rPr>
          <w:rFonts w:eastAsia="Arial" w:cs="Arial"/>
          <w:color w:val="000000"/>
        </w:rPr>
      </w:pPr>
      <w:r w:rsidRPr="00EE6AF7">
        <w:rPr>
          <w:rFonts w:eastAsia="Arial" w:cs="Arial"/>
          <w:b/>
          <w:bCs/>
          <w:color w:val="000000"/>
          <w:w w:val="103"/>
        </w:rPr>
        <w:t>Tabla</w:t>
      </w:r>
      <w:r w:rsidRPr="00EE6AF7">
        <w:rPr>
          <w:rFonts w:eastAsia="Arial" w:cs="Arial"/>
          <w:color w:val="000000"/>
        </w:rPr>
        <w:t xml:space="preserve"> </w:t>
      </w:r>
      <w:r w:rsidRPr="00EE6AF7">
        <w:rPr>
          <w:rFonts w:eastAsia="Arial" w:cs="Arial"/>
          <w:b/>
          <w:bCs/>
          <w:color w:val="000000"/>
          <w:w w:val="103"/>
        </w:rPr>
        <w:t>2. Especificidad de la Inversión</w:t>
      </w:r>
    </w:p>
    <w:tbl>
      <w:tblPr>
        <w:tblpPr w:leftFromText="141" w:rightFromText="141" w:vertAnchor="text" w:horzAnchor="margin" w:tblpXSpec="center" w:tblpY="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7969"/>
      </w:tblGrid>
      <w:tr w:rsidR="00D31C30" w:rsidRPr="00EE6AF7" w:rsidTr="00EE6AF7">
        <w:trPr>
          <w:trHeight w:val="276"/>
          <w:tblHeader/>
        </w:trPr>
        <w:tc>
          <w:tcPr>
            <w:tcW w:w="1454" w:type="pct"/>
            <w:tcBorders>
              <w:top w:val="single" w:sz="8" w:space="0" w:color="ED7D31"/>
              <w:bottom w:val="single" w:sz="4" w:space="0" w:color="auto"/>
            </w:tcBorders>
            <w:shd w:val="clear" w:color="auto" w:fill="4B4B4B"/>
            <w:vAlign w:val="center"/>
          </w:tcPr>
          <w:p w:rsidR="006118E4" w:rsidRPr="00EE6AF7" w:rsidRDefault="006118E4" w:rsidP="00EE6AF7">
            <w:pPr>
              <w:spacing w:before="100" w:beforeAutospacing="1" w:after="100" w:afterAutospacing="1"/>
              <w:jc w:val="center"/>
              <w:rPr>
                <w:rFonts w:eastAsia="Times New Roman" w:cs="Arial"/>
                <w:b/>
                <w:bCs/>
                <w:color w:val="EDEDED"/>
                <w:lang w:eastAsia="es-MX"/>
              </w:rPr>
            </w:pPr>
            <w:r w:rsidRPr="00EE6AF7">
              <w:rPr>
                <w:rFonts w:eastAsia="Times New Roman" w:cs="Arial"/>
                <w:b/>
                <w:bCs/>
                <w:color w:val="EDEDED"/>
                <w:lang w:eastAsia="es-MX"/>
              </w:rPr>
              <w:t>Tipo de inversión</w:t>
            </w:r>
          </w:p>
        </w:tc>
        <w:tc>
          <w:tcPr>
            <w:tcW w:w="3546" w:type="pct"/>
            <w:tcBorders>
              <w:top w:val="single" w:sz="8" w:space="0" w:color="ED7D31"/>
              <w:bottom w:val="single" w:sz="4" w:space="0" w:color="auto"/>
            </w:tcBorders>
            <w:shd w:val="clear" w:color="auto" w:fill="4B4B4B"/>
            <w:vAlign w:val="center"/>
          </w:tcPr>
          <w:p w:rsidR="006118E4" w:rsidRPr="00EE6AF7" w:rsidRDefault="006118E4" w:rsidP="00EE6AF7">
            <w:pPr>
              <w:spacing w:before="100" w:beforeAutospacing="1" w:after="100" w:afterAutospacing="1"/>
              <w:jc w:val="center"/>
              <w:rPr>
                <w:rFonts w:eastAsia="Times New Roman" w:cs="Arial"/>
                <w:b/>
                <w:bCs/>
                <w:color w:val="EDEDED"/>
                <w:lang w:eastAsia="es-MX"/>
              </w:rPr>
            </w:pPr>
            <w:r w:rsidRPr="00EE6AF7">
              <w:rPr>
                <w:rFonts w:eastAsia="Times New Roman" w:cs="Arial"/>
                <w:b/>
                <w:bCs/>
                <w:color w:val="EDEDED"/>
                <w:lang w:eastAsia="es-MX"/>
              </w:rPr>
              <w:t>Definición</w:t>
            </w:r>
          </w:p>
        </w:tc>
      </w:tr>
      <w:tr w:rsidR="001845B1" w:rsidRPr="00EE6AF7" w:rsidTr="00EE6AF7">
        <w:trPr>
          <w:trHeight w:val="866"/>
          <w:tblHeader/>
        </w:trPr>
        <w:tc>
          <w:tcPr>
            <w:tcW w:w="1454" w:type="pct"/>
            <w:tcBorders>
              <w:top w:val="single" w:sz="4" w:space="0" w:color="auto"/>
              <w:left w:val="nil"/>
              <w:bottom w:val="single" w:sz="4" w:space="0" w:color="auto"/>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color w:val="FFFFFF"/>
                <w:lang w:eastAsia="es-MX"/>
              </w:rPr>
            </w:pPr>
            <w:r w:rsidRPr="00EE6AF7">
              <w:rPr>
                <w:rFonts w:eastAsia="Times New Roman" w:cs="Arial"/>
                <w:b/>
                <w:color w:val="000000"/>
                <w:lang w:eastAsia="es-MX"/>
              </w:rPr>
              <w:t>Inversión Específica o directa</w:t>
            </w:r>
          </w:p>
        </w:tc>
        <w:tc>
          <w:tcPr>
            <w:tcW w:w="3546" w:type="pct"/>
            <w:tcBorders>
              <w:top w:val="single" w:sz="4" w:space="0" w:color="auto"/>
              <w:left w:val="nil"/>
              <w:bottom w:val="single" w:sz="4" w:space="0" w:color="auto"/>
              <w:right w:val="nil"/>
            </w:tcBorders>
            <w:shd w:val="clear" w:color="auto" w:fill="auto"/>
            <w:vAlign w:val="center"/>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bCs/>
                <w:color w:val="000000"/>
                <w:lang w:eastAsia="es-MX"/>
              </w:rPr>
              <w:t>Son los recursos que destina el sector público dirigidas a financiar intervenciones cuya población objetivo se encuentra entre 12 a 29 años.</w:t>
            </w:r>
          </w:p>
        </w:tc>
      </w:tr>
      <w:tr w:rsidR="00D31C30" w:rsidRPr="00EE6AF7" w:rsidTr="00EE6AF7">
        <w:trPr>
          <w:trHeight w:val="792"/>
          <w:tblHeader/>
        </w:trPr>
        <w:tc>
          <w:tcPr>
            <w:tcW w:w="145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6118E4" w:rsidRPr="00EE6AF7" w:rsidRDefault="006118E4" w:rsidP="00EE6AF7">
            <w:pPr>
              <w:spacing w:before="100" w:beforeAutospacing="1" w:after="100" w:afterAutospacing="1"/>
              <w:jc w:val="center"/>
              <w:rPr>
                <w:rFonts w:eastAsia="Times New Roman" w:cs="Arial"/>
                <w:b/>
                <w:color w:val="000000"/>
                <w:lang w:eastAsia="es-MX"/>
              </w:rPr>
            </w:pPr>
            <w:r w:rsidRPr="00EE6AF7">
              <w:rPr>
                <w:rFonts w:eastAsia="Times New Roman" w:cs="Arial"/>
                <w:b/>
                <w:color w:val="000000"/>
                <w:lang w:eastAsia="es-MX"/>
              </w:rPr>
              <w:t>Inversión Agéntica o indirecta</w:t>
            </w:r>
          </w:p>
        </w:tc>
        <w:tc>
          <w:tcPr>
            <w:tcW w:w="354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6118E4" w:rsidRPr="00EE6AF7" w:rsidRDefault="006118E4" w:rsidP="00EE6AF7">
            <w:pPr>
              <w:spacing w:before="100" w:beforeAutospacing="1" w:after="100" w:afterAutospacing="1"/>
              <w:rPr>
                <w:rFonts w:eastAsia="Times New Roman" w:cs="Arial"/>
                <w:bCs/>
                <w:color w:val="000000"/>
                <w:lang w:eastAsia="es-MX"/>
              </w:rPr>
            </w:pPr>
            <w:r w:rsidRPr="00EE6AF7">
              <w:rPr>
                <w:rFonts w:eastAsia="Times New Roman" w:cs="Arial"/>
                <w:bCs/>
                <w:color w:val="000000"/>
                <w:lang w:eastAsia="es-MX"/>
              </w:rPr>
              <w:t>Es la inversión destinada directamente al fortalecimiento de los agentes que contribuyen al desarrollo de los jóvenes, como maestros, tutores y padres de familia.</w:t>
            </w:r>
          </w:p>
        </w:tc>
      </w:tr>
      <w:tr w:rsidR="001845B1" w:rsidRPr="00EE6AF7" w:rsidTr="00EE6AF7">
        <w:trPr>
          <w:trHeight w:val="851"/>
          <w:tblHeader/>
        </w:trPr>
        <w:tc>
          <w:tcPr>
            <w:tcW w:w="1454" w:type="pct"/>
            <w:tcBorders>
              <w:top w:val="single" w:sz="4" w:space="0" w:color="auto"/>
              <w:left w:val="nil"/>
              <w:bottom w:val="single" w:sz="4" w:space="0" w:color="auto"/>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color w:val="FFFFFF"/>
                <w:lang w:eastAsia="es-MX"/>
              </w:rPr>
            </w:pPr>
            <w:r w:rsidRPr="00EE6AF7">
              <w:rPr>
                <w:rFonts w:eastAsia="Times New Roman" w:cs="Arial"/>
                <w:b/>
                <w:color w:val="000000"/>
                <w:lang w:eastAsia="es-MX"/>
              </w:rPr>
              <w:t>Inversión en Bienes Públicos</w:t>
            </w:r>
          </w:p>
        </w:tc>
        <w:tc>
          <w:tcPr>
            <w:tcW w:w="3546" w:type="pct"/>
            <w:tcBorders>
              <w:top w:val="single" w:sz="4" w:space="0" w:color="auto"/>
              <w:left w:val="nil"/>
              <w:bottom w:val="single" w:sz="4" w:space="0" w:color="auto"/>
              <w:right w:val="nil"/>
            </w:tcBorders>
            <w:shd w:val="clear" w:color="auto" w:fill="auto"/>
            <w:vAlign w:val="center"/>
            <w:hideMark/>
          </w:tcPr>
          <w:p w:rsidR="006118E4" w:rsidRPr="00EE6AF7" w:rsidRDefault="006118E4" w:rsidP="00EE6AF7">
            <w:pPr>
              <w:spacing w:before="100" w:beforeAutospacing="1" w:after="100" w:afterAutospacing="1"/>
              <w:rPr>
                <w:rFonts w:eastAsia="Times New Roman" w:cs="Arial"/>
                <w:bCs/>
                <w:color w:val="000000"/>
                <w:lang w:eastAsia="es-MX"/>
              </w:rPr>
            </w:pPr>
            <w:r w:rsidRPr="00EE6AF7">
              <w:rPr>
                <w:rFonts w:eastAsia="Times New Roman" w:cs="Arial"/>
                <w:bCs/>
                <w:color w:val="000000"/>
                <w:lang w:eastAsia="es-MX"/>
              </w:rPr>
              <w:t>Es aquella inversión destinada a financiar las intervenciones que proveen servicios prestados de forma abierta a la sociedad y que hayan estado al menos parcialmente diseñados para atender necesidades específicas de la población de los jóvenes (ejemplo: construcción, ampliación, adquisición, modificación, mantenimiento o conservación, como son los centros de educación, científicos, tecnológicos, bibliotecas, lugares de dominio público donde los jóvenes se ven beneficiados).</w:t>
            </w:r>
          </w:p>
        </w:tc>
      </w:tr>
      <w:tr w:rsidR="00D31C30" w:rsidRPr="00EE6AF7" w:rsidTr="00EE6AF7">
        <w:trPr>
          <w:trHeight w:val="798"/>
        </w:trPr>
        <w:tc>
          <w:tcPr>
            <w:tcW w:w="1454" w:type="pct"/>
            <w:tcBorders>
              <w:left w:val="single" w:sz="4" w:space="0" w:color="auto"/>
              <w:right w:val="single" w:sz="4" w:space="0" w:color="auto"/>
            </w:tcBorders>
            <w:shd w:val="clear" w:color="auto" w:fill="EDEDED"/>
            <w:vAlign w:val="center"/>
            <w:hideMark/>
          </w:tcPr>
          <w:p w:rsidR="006118E4" w:rsidRPr="00EE6AF7" w:rsidRDefault="006118E4" w:rsidP="00EE6AF7">
            <w:pPr>
              <w:spacing w:after="100" w:afterAutospacing="1"/>
              <w:jc w:val="center"/>
              <w:rPr>
                <w:rFonts w:eastAsia="Times New Roman" w:cs="Arial"/>
                <w:b/>
                <w:color w:val="000000"/>
                <w:lang w:eastAsia="es-MX"/>
              </w:rPr>
            </w:pPr>
            <w:r w:rsidRPr="00EE6AF7">
              <w:rPr>
                <w:rFonts w:eastAsia="Times New Roman" w:cs="Arial"/>
                <w:b/>
                <w:color w:val="000000"/>
                <w:lang w:eastAsia="es-MX"/>
              </w:rPr>
              <w:t>Inversión Ampliada</w:t>
            </w:r>
          </w:p>
        </w:tc>
        <w:tc>
          <w:tcPr>
            <w:tcW w:w="3546" w:type="pct"/>
            <w:tcBorders>
              <w:left w:val="single" w:sz="4" w:space="0" w:color="auto"/>
              <w:right w:val="single" w:sz="4" w:space="0" w:color="auto"/>
            </w:tcBorders>
            <w:shd w:val="clear" w:color="auto" w:fill="EDEDED"/>
            <w:vAlign w:val="center"/>
            <w:hideMark/>
          </w:tcPr>
          <w:p w:rsidR="006118E4" w:rsidRPr="00EE6AF7" w:rsidRDefault="006118E4" w:rsidP="00EE6AF7">
            <w:pPr>
              <w:spacing w:after="100" w:afterAutospacing="1"/>
              <w:rPr>
                <w:rFonts w:eastAsia="Times New Roman" w:cs="Arial"/>
                <w:color w:val="000000"/>
                <w:lang w:eastAsia="es-MX"/>
              </w:rPr>
            </w:pPr>
            <w:r w:rsidRPr="00EE6AF7">
              <w:rPr>
                <w:rFonts w:eastAsia="Times New Roman" w:cs="Arial"/>
                <w:color w:val="000000"/>
                <w:lang w:eastAsia="es-MX"/>
              </w:rPr>
              <w:t>Es la inversión destinada a financiar programas (o partes de programas) que atienden a los jóvenes, y que representan una fracción importante de la población objetivo y atendida.</w:t>
            </w:r>
          </w:p>
        </w:tc>
      </w:tr>
    </w:tbl>
    <w:p w:rsidR="006118E4" w:rsidRPr="00EE6AF7" w:rsidRDefault="006118E4" w:rsidP="006118E4">
      <w:pPr>
        <w:spacing w:after="100" w:afterAutospacing="1"/>
        <w:rPr>
          <w:rFonts w:cs="Arial"/>
          <w:color w:val="000000"/>
          <w:spacing w:val="1"/>
          <w:w w:val="103"/>
        </w:rPr>
      </w:pPr>
    </w:p>
    <w:p w:rsidR="006118E4" w:rsidRPr="00EE6AF7" w:rsidRDefault="006118E4" w:rsidP="006118E4">
      <w:pPr>
        <w:jc w:val="center"/>
        <w:rPr>
          <w:rFonts w:eastAsia="Arial" w:cs="Arial"/>
          <w:color w:val="000000"/>
        </w:rPr>
      </w:pPr>
      <w:r w:rsidRPr="00EE6AF7">
        <w:rPr>
          <w:rFonts w:eastAsia="Arial" w:cs="Arial"/>
          <w:color w:val="000000"/>
        </w:rPr>
        <w:t>Fuente: Elaboración propia basada en Inversión Pública en la Infancia y la Adolescencia en México (Unicef, 2011).</w:t>
      </w:r>
    </w:p>
    <w:p w:rsidR="006118E4" w:rsidRPr="00EE6AF7" w:rsidRDefault="006118E4" w:rsidP="00D31C25">
      <w:pPr>
        <w:pStyle w:val="Prrafodelista"/>
        <w:numPr>
          <w:ilvl w:val="0"/>
          <w:numId w:val="1"/>
        </w:numPr>
        <w:spacing w:before="100" w:beforeAutospacing="1" w:after="100" w:afterAutospacing="1" w:line="259" w:lineRule="auto"/>
        <w:jc w:val="left"/>
        <w:rPr>
          <w:rFonts w:ascii="Arial" w:eastAsia="Arial" w:hAnsi="Arial" w:cs="Arial"/>
          <w:b/>
          <w:color w:val="000000"/>
          <w:szCs w:val="24"/>
        </w:rPr>
      </w:pPr>
      <w:r w:rsidRPr="00EE6AF7">
        <w:rPr>
          <w:rFonts w:ascii="Arial" w:hAnsi="Arial" w:cs="Arial"/>
          <w:b/>
          <w:i/>
          <w:color w:val="000000"/>
          <w:szCs w:val="24"/>
        </w:rPr>
        <w:t>Análisis de Programas Presupuestarios</w:t>
      </w:r>
    </w:p>
    <w:p w:rsidR="006118E4" w:rsidRPr="00EE6AF7" w:rsidRDefault="006118E4" w:rsidP="006118E4">
      <w:pPr>
        <w:spacing w:before="100" w:beforeAutospacing="1" w:after="100" w:afterAutospacing="1"/>
        <w:rPr>
          <w:rFonts w:cs="Arial"/>
          <w:color w:val="000000"/>
        </w:rPr>
      </w:pPr>
      <w:r w:rsidRPr="00EE6AF7">
        <w:rPr>
          <w:rFonts w:cs="Arial"/>
          <w:color w:val="000000"/>
        </w:rPr>
        <w:t>Para conocer cuál es la contribución de cada programa presupuestario en la atención de los jóvenes, se identifican los programas presupuestarios en los que se encontraron los programas, actividades institucionales, obras y acciones orientadas a atender las necesidades de la población objeto de este anexo (pasos 1,2 y 3 de esta metodología).</w:t>
      </w:r>
    </w:p>
    <w:p w:rsidR="006118E4" w:rsidRPr="00EE6AF7" w:rsidRDefault="006118E4" w:rsidP="006118E4">
      <w:pPr>
        <w:spacing w:before="100" w:beforeAutospacing="1" w:after="100" w:afterAutospacing="1"/>
        <w:rPr>
          <w:rFonts w:cs="Arial"/>
          <w:color w:val="000000"/>
        </w:rPr>
      </w:pPr>
      <w:r w:rsidRPr="00EE6AF7">
        <w:rPr>
          <w:rFonts w:cs="Arial"/>
          <w:color w:val="000000"/>
        </w:rPr>
        <w:t>El importe presentado en el anexo podrá ser la totalidad o una parte de los recursos del programa presupuestario, lo anterior dependerá de las intervenciones identificadas para la población juvenil.</w:t>
      </w:r>
    </w:p>
    <w:p w:rsidR="006118E4" w:rsidRPr="00EE6AF7" w:rsidRDefault="006118E4" w:rsidP="00D31C25">
      <w:pPr>
        <w:pStyle w:val="Prrafodelista"/>
        <w:widowControl w:val="0"/>
        <w:numPr>
          <w:ilvl w:val="0"/>
          <w:numId w:val="1"/>
        </w:numPr>
        <w:spacing w:before="100" w:beforeAutospacing="1" w:after="100" w:afterAutospacing="1" w:line="240" w:lineRule="auto"/>
        <w:rPr>
          <w:rFonts w:ascii="Arial" w:hAnsi="Arial" w:cs="Arial"/>
          <w:b/>
          <w:i/>
          <w:color w:val="000000"/>
          <w:szCs w:val="24"/>
        </w:rPr>
      </w:pPr>
      <w:r w:rsidRPr="00EE6AF7">
        <w:rPr>
          <w:rFonts w:ascii="Arial" w:hAnsi="Arial" w:cs="Arial"/>
          <w:b/>
          <w:i/>
          <w:color w:val="000000"/>
          <w:szCs w:val="24"/>
        </w:rPr>
        <w:t>Análisis de Objetivos de Desarrollo Sostenible (ODS)</w:t>
      </w:r>
      <w:r w:rsidRPr="00EE6AF7">
        <w:rPr>
          <w:rStyle w:val="Refdenotaalpie"/>
          <w:rFonts w:ascii="Arial" w:hAnsi="Arial" w:cs="Arial"/>
          <w:color w:val="000000"/>
          <w:szCs w:val="24"/>
        </w:rPr>
        <w:footnoteReference w:id="16"/>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EE6AF7">
        <w:rPr>
          <w:rStyle w:val="Refdenotaalpie"/>
          <w:rFonts w:cs="Arial"/>
          <w:color w:val="000000"/>
        </w:rPr>
        <w:footnoteReference w:id="17"/>
      </w:r>
      <w:r w:rsidRPr="00EE6AF7">
        <w:rPr>
          <w:rFonts w:eastAsia="Arial" w:cs="Arial"/>
          <w:color w:val="000000"/>
        </w:rPr>
        <w:t>.</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En dicho sentido, la discusión en curso sobre los ODS, ha puesto especial énfasis en las nuevas generaciones. Entre las propuestas de metas orientadas hacia la juventud, destaca la formación de habilidades para la vida, especialmente la alfabetización y aquellas que favorezcan una mejor inserción laboral, un menor desempleo juvenil y el acceso a empleos de calidad.</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Se analizaron las intervenciones del Anexo para identificar las asignaciones presupuestarias a los programas y acciones clasificados como inversión para los jóvenes en el Estado que contribuyen al cumplimiento de las metas de los ODS. La inclusión de los ODS es fundamental al formar parte de los compromisos del Plan Estatal de Desarrollo 2018-2024.</w:t>
      </w:r>
    </w:p>
    <w:p w:rsidR="006118E4" w:rsidRPr="00EE6AF7" w:rsidRDefault="006118E4" w:rsidP="006118E4">
      <w:pPr>
        <w:spacing w:before="100" w:beforeAutospacing="1" w:after="100" w:afterAutospacing="1"/>
        <w:rPr>
          <w:rFonts w:cs="Arial"/>
          <w:b/>
          <w:color w:val="000000"/>
        </w:rPr>
      </w:pPr>
      <w:r w:rsidRPr="00EE6AF7">
        <w:rPr>
          <w:rFonts w:cs="Arial"/>
          <w:b/>
          <w:color w:val="000000"/>
        </w:rPr>
        <w:t>Análisis de Resultados</w:t>
      </w:r>
    </w:p>
    <w:p w:rsidR="006118E4" w:rsidRPr="00EE6AF7" w:rsidRDefault="006118E4" w:rsidP="006118E4">
      <w:pPr>
        <w:spacing w:before="100" w:beforeAutospacing="1" w:after="100" w:afterAutospacing="1"/>
        <w:rPr>
          <w:rFonts w:eastAsia="Arial" w:cs="Arial"/>
          <w:color w:val="000000"/>
          <w:spacing w:val="23"/>
        </w:rPr>
      </w:pPr>
      <w:r w:rsidRPr="00EE6AF7">
        <w:rPr>
          <w:rFonts w:eastAsia="Arial" w:cs="Arial"/>
          <w:color w:val="000000"/>
        </w:rPr>
        <w:t>La inversión 2022 destinada a los jóvenes asciende a 6 mil</w:t>
      </w:r>
      <w:r w:rsidRPr="00EE6AF7">
        <w:rPr>
          <w:rFonts w:eastAsia="Arial" w:cs="Arial"/>
          <w:color w:val="000000"/>
          <w:spacing w:val="16"/>
        </w:rPr>
        <w:t xml:space="preserve"> </w:t>
      </w:r>
      <w:r w:rsidRPr="00EE6AF7">
        <w:rPr>
          <w:rFonts w:eastAsia="Arial" w:cs="Arial"/>
          <w:color w:val="000000"/>
        </w:rPr>
        <w:t>448 millon</w:t>
      </w:r>
      <w:r w:rsidRPr="00EE6AF7">
        <w:rPr>
          <w:rFonts w:eastAsia="Arial" w:cs="Arial"/>
          <w:color w:val="000000"/>
          <w:spacing w:val="-1"/>
        </w:rPr>
        <w:t>e</w:t>
      </w:r>
      <w:r w:rsidRPr="00EE6AF7">
        <w:rPr>
          <w:rFonts w:eastAsia="Arial" w:cs="Arial"/>
          <w:color w:val="000000"/>
        </w:rPr>
        <w:t>s 337</w:t>
      </w:r>
      <w:r w:rsidRPr="00EE6AF7">
        <w:rPr>
          <w:rFonts w:eastAsia="Arial" w:cs="Arial"/>
          <w:color w:val="000000"/>
          <w:spacing w:val="18"/>
        </w:rPr>
        <w:t xml:space="preserve"> </w:t>
      </w:r>
      <w:r w:rsidRPr="00EE6AF7">
        <w:rPr>
          <w:rFonts w:eastAsia="Arial" w:cs="Arial"/>
          <w:color w:val="000000"/>
        </w:rPr>
        <w:t>mil 151 pe</w:t>
      </w:r>
      <w:r w:rsidRPr="00EE6AF7">
        <w:rPr>
          <w:rFonts w:eastAsia="Arial" w:cs="Arial"/>
          <w:color w:val="000000"/>
          <w:spacing w:val="-1"/>
        </w:rPr>
        <w:t>s</w:t>
      </w:r>
      <w:r w:rsidRPr="00EE6AF7">
        <w:rPr>
          <w:rFonts w:eastAsia="Arial" w:cs="Arial"/>
          <w:color w:val="000000"/>
        </w:rPr>
        <w:t>os,</w:t>
      </w:r>
      <w:r w:rsidRPr="00EE6AF7">
        <w:rPr>
          <w:rFonts w:eastAsia="Arial" w:cs="Arial"/>
          <w:color w:val="000000"/>
          <w:spacing w:val="54"/>
        </w:rPr>
        <w:t xml:space="preserve"> </w:t>
      </w:r>
      <w:r w:rsidRPr="00EE6AF7">
        <w:rPr>
          <w:rFonts w:eastAsia="Arial" w:cs="Arial"/>
          <w:color w:val="000000"/>
          <w:spacing w:val="-2"/>
        </w:rPr>
        <w:t>l</w:t>
      </w:r>
      <w:r w:rsidRPr="00EE6AF7">
        <w:rPr>
          <w:rFonts w:eastAsia="Arial" w:cs="Arial"/>
          <w:color w:val="000000"/>
        </w:rPr>
        <w:t>o</w:t>
      </w:r>
      <w:r w:rsidRPr="00EE6AF7">
        <w:rPr>
          <w:rFonts w:eastAsia="Arial" w:cs="Arial"/>
          <w:color w:val="000000"/>
          <w:spacing w:val="41"/>
        </w:rPr>
        <w:t xml:space="preserve"> </w:t>
      </w:r>
      <w:r w:rsidRPr="00EE6AF7">
        <w:rPr>
          <w:rFonts w:eastAsia="Arial" w:cs="Arial"/>
          <w:color w:val="000000"/>
          <w:spacing w:val="-1"/>
        </w:rPr>
        <w:t>c</w:t>
      </w:r>
      <w:r w:rsidRPr="00EE6AF7">
        <w:rPr>
          <w:rFonts w:eastAsia="Arial" w:cs="Arial"/>
          <w:color w:val="000000"/>
        </w:rPr>
        <w:t>ual re</w:t>
      </w:r>
      <w:r w:rsidRPr="00EE6AF7">
        <w:rPr>
          <w:rFonts w:eastAsia="Arial" w:cs="Arial"/>
          <w:color w:val="000000"/>
          <w:spacing w:val="-1"/>
        </w:rPr>
        <w:t>p</w:t>
      </w:r>
      <w:r w:rsidRPr="00EE6AF7">
        <w:rPr>
          <w:rFonts w:eastAsia="Arial" w:cs="Arial"/>
          <w:color w:val="000000"/>
          <w:spacing w:val="1"/>
        </w:rPr>
        <w:t>r</w:t>
      </w:r>
      <w:r w:rsidRPr="00EE6AF7">
        <w:rPr>
          <w:rFonts w:eastAsia="Arial" w:cs="Arial"/>
          <w:color w:val="000000"/>
        </w:rPr>
        <w:t>e</w:t>
      </w:r>
      <w:r w:rsidRPr="00EE6AF7">
        <w:rPr>
          <w:rFonts w:eastAsia="Arial" w:cs="Arial"/>
          <w:color w:val="000000"/>
          <w:spacing w:val="-1"/>
        </w:rPr>
        <w:t>s</w:t>
      </w:r>
      <w:r w:rsidRPr="00EE6AF7">
        <w:rPr>
          <w:rFonts w:eastAsia="Arial" w:cs="Arial"/>
          <w:color w:val="000000"/>
        </w:rPr>
        <w:t>enta</w:t>
      </w:r>
      <w:r w:rsidRPr="00EE6AF7">
        <w:rPr>
          <w:rFonts w:eastAsia="Arial" w:cs="Arial"/>
          <w:color w:val="000000"/>
          <w:spacing w:val="10"/>
        </w:rPr>
        <w:t xml:space="preserve"> </w:t>
      </w:r>
      <w:r w:rsidRPr="00EE6AF7">
        <w:rPr>
          <w:rFonts w:eastAsia="Arial" w:cs="Arial"/>
          <w:color w:val="000000"/>
        </w:rPr>
        <w:t>el</w:t>
      </w:r>
      <w:r w:rsidRPr="00EE6AF7">
        <w:rPr>
          <w:rFonts w:eastAsia="Arial" w:cs="Arial"/>
          <w:color w:val="000000"/>
          <w:spacing w:val="39"/>
        </w:rPr>
        <w:t xml:space="preserve"> </w:t>
      </w:r>
      <w:r w:rsidRPr="00EE6AF7">
        <w:rPr>
          <w:rFonts w:eastAsia="Arial" w:cs="Arial"/>
          <w:color w:val="000000"/>
        </w:rPr>
        <w:t>14</w:t>
      </w:r>
      <w:r w:rsidRPr="00EE6AF7">
        <w:rPr>
          <w:rFonts w:eastAsia="Arial" w:cs="Arial"/>
          <w:color w:val="000000"/>
          <w:spacing w:val="-1"/>
        </w:rPr>
        <w:t>%</w:t>
      </w:r>
      <w:r w:rsidRPr="00EE6AF7">
        <w:rPr>
          <w:rFonts w:eastAsia="Arial" w:cs="Arial"/>
          <w:color w:val="000000"/>
        </w:rPr>
        <w:t xml:space="preserve"> re</w:t>
      </w:r>
      <w:r w:rsidRPr="00EE6AF7">
        <w:rPr>
          <w:rFonts w:eastAsia="Arial" w:cs="Arial"/>
          <w:color w:val="000000"/>
          <w:spacing w:val="-1"/>
        </w:rPr>
        <w:t>s</w:t>
      </w:r>
      <w:r w:rsidRPr="00EE6AF7">
        <w:rPr>
          <w:rFonts w:eastAsia="Arial" w:cs="Arial"/>
          <w:color w:val="000000"/>
        </w:rPr>
        <w:t>pecto</w:t>
      </w:r>
      <w:r w:rsidRPr="00EE6AF7">
        <w:rPr>
          <w:rFonts w:eastAsia="Arial" w:cs="Arial"/>
          <w:color w:val="000000"/>
          <w:spacing w:val="3"/>
        </w:rPr>
        <w:t xml:space="preserve"> </w:t>
      </w:r>
      <w:r w:rsidRPr="00EE6AF7">
        <w:rPr>
          <w:rFonts w:eastAsia="Arial" w:cs="Arial"/>
          <w:color w:val="000000"/>
        </w:rPr>
        <w:t>al</w:t>
      </w:r>
      <w:r w:rsidRPr="00EE6AF7">
        <w:rPr>
          <w:rFonts w:eastAsia="Arial" w:cs="Arial"/>
          <w:color w:val="000000"/>
          <w:spacing w:val="41"/>
        </w:rPr>
        <w:t xml:space="preserve"> </w:t>
      </w:r>
      <w:r w:rsidRPr="00EE6AF7">
        <w:rPr>
          <w:rFonts w:eastAsia="Arial" w:cs="Arial"/>
          <w:color w:val="000000"/>
        </w:rPr>
        <w:t>total del Pre</w:t>
      </w:r>
      <w:r w:rsidRPr="00EE6AF7">
        <w:rPr>
          <w:rFonts w:eastAsia="Arial" w:cs="Arial"/>
          <w:color w:val="000000"/>
          <w:spacing w:val="-1"/>
        </w:rPr>
        <w:t>s</w:t>
      </w:r>
      <w:r w:rsidRPr="00EE6AF7">
        <w:rPr>
          <w:rFonts w:eastAsia="Arial" w:cs="Arial"/>
          <w:color w:val="000000"/>
        </w:rPr>
        <w:t>upues</w:t>
      </w:r>
      <w:r w:rsidRPr="00EE6AF7">
        <w:rPr>
          <w:rFonts w:eastAsia="Arial" w:cs="Arial"/>
          <w:color w:val="000000"/>
          <w:spacing w:val="1"/>
        </w:rPr>
        <w:t>t</w:t>
      </w:r>
      <w:r w:rsidRPr="00EE6AF7">
        <w:rPr>
          <w:rFonts w:eastAsia="Arial" w:cs="Arial"/>
          <w:color w:val="000000"/>
        </w:rPr>
        <w:t xml:space="preserve">o </w:t>
      </w:r>
      <w:r w:rsidRPr="00EE6AF7">
        <w:rPr>
          <w:rFonts w:eastAsia="Arial" w:cs="Arial"/>
          <w:color w:val="000000"/>
          <w:w w:val="103"/>
        </w:rPr>
        <w:t xml:space="preserve">de </w:t>
      </w:r>
      <w:r w:rsidRPr="00EE6AF7">
        <w:rPr>
          <w:rFonts w:eastAsia="Arial" w:cs="Arial"/>
          <w:color w:val="000000"/>
        </w:rPr>
        <w:t>Egresos</w:t>
      </w:r>
      <w:r w:rsidRPr="00EE6AF7">
        <w:rPr>
          <w:rFonts w:eastAsia="Arial" w:cs="Arial"/>
          <w:color w:val="000000"/>
          <w:spacing w:val="37"/>
        </w:rPr>
        <w:t xml:space="preserve"> </w:t>
      </w:r>
      <w:r w:rsidRPr="00EE6AF7">
        <w:rPr>
          <w:rFonts w:eastAsia="Arial" w:cs="Arial"/>
          <w:color w:val="000000"/>
          <w:spacing w:val="1"/>
        </w:rPr>
        <w:t>d</w:t>
      </w:r>
      <w:r w:rsidRPr="00EE6AF7">
        <w:rPr>
          <w:rFonts w:eastAsia="Arial" w:cs="Arial"/>
          <w:color w:val="000000"/>
        </w:rPr>
        <w:t>e Gob</w:t>
      </w:r>
      <w:r w:rsidRPr="00EE6AF7">
        <w:rPr>
          <w:rFonts w:eastAsia="Arial" w:cs="Arial"/>
          <w:color w:val="000000"/>
          <w:spacing w:val="-2"/>
        </w:rPr>
        <w:t>i</w:t>
      </w:r>
      <w:r w:rsidRPr="00EE6AF7">
        <w:rPr>
          <w:rFonts w:eastAsia="Arial" w:cs="Arial"/>
          <w:color w:val="000000"/>
        </w:rPr>
        <w:t>erno del E</w:t>
      </w:r>
      <w:r w:rsidRPr="00EE6AF7">
        <w:rPr>
          <w:rFonts w:eastAsia="Arial" w:cs="Arial"/>
          <w:color w:val="000000"/>
          <w:spacing w:val="-1"/>
        </w:rPr>
        <w:t>s</w:t>
      </w:r>
      <w:r w:rsidRPr="00EE6AF7">
        <w:rPr>
          <w:rFonts w:eastAsia="Arial" w:cs="Arial"/>
          <w:color w:val="000000"/>
        </w:rPr>
        <w:t>t</w:t>
      </w:r>
      <w:r w:rsidRPr="00EE6AF7">
        <w:rPr>
          <w:rFonts w:eastAsia="Arial" w:cs="Arial"/>
          <w:color w:val="000000"/>
          <w:spacing w:val="1"/>
        </w:rPr>
        <w:t>a</w:t>
      </w:r>
      <w:r w:rsidRPr="00EE6AF7">
        <w:rPr>
          <w:rFonts w:eastAsia="Arial" w:cs="Arial"/>
          <w:color w:val="000000"/>
        </w:rPr>
        <w:t>do</w:t>
      </w:r>
      <w:r w:rsidRPr="00EE6AF7">
        <w:rPr>
          <w:rFonts w:eastAsia="Arial" w:cs="Arial"/>
          <w:color w:val="000000"/>
          <w:spacing w:val="36"/>
        </w:rPr>
        <w:t xml:space="preserve"> </w:t>
      </w:r>
      <w:r w:rsidRPr="00EE6AF7">
        <w:rPr>
          <w:rFonts w:eastAsia="Arial" w:cs="Arial"/>
          <w:color w:val="000000"/>
        </w:rPr>
        <w:t>de</w:t>
      </w:r>
      <w:r w:rsidRPr="00EE6AF7">
        <w:rPr>
          <w:rFonts w:eastAsia="Arial" w:cs="Arial"/>
          <w:color w:val="000000"/>
          <w:spacing w:val="23"/>
        </w:rPr>
        <w:t xml:space="preserve"> </w:t>
      </w:r>
      <w:r w:rsidRPr="00EE6AF7">
        <w:rPr>
          <w:rFonts w:eastAsia="Arial" w:cs="Arial"/>
          <w:color w:val="000000"/>
        </w:rPr>
        <w:t>Y</w:t>
      </w:r>
      <w:r w:rsidRPr="00EE6AF7">
        <w:rPr>
          <w:rFonts w:eastAsia="Arial" w:cs="Arial"/>
          <w:color w:val="000000"/>
          <w:spacing w:val="-1"/>
        </w:rPr>
        <w:t>uc</w:t>
      </w:r>
      <w:r w:rsidRPr="00EE6AF7">
        <w:rPr>
          <w:rFonts w:eastAsia="Arial" w:cs="Arial"/>
          <w:color w:val="000000"/>
        </w:rPr>
        <w:t>atán</w:t>
      </w:r>
      <w:r w:rsidRPr="00EE6AF7">
        <w:rPr>
          <w:rFonts w:eastAsia="Arial" w:cs="Arial"/>
          <w:color w:val="000000"/>
          <w:spacing w:val="39"/>
        </w:rPr>
        <w:t xml:space="preserve"> </w:t>
      </w:r>
      <w:r w:rsidRPr="00EE6AF7">
        <w:rPr>
          <w:rFonts w:eastAsia="Arial" w:cs="Arial"/>
          <w:color w:val="000000"/>
        </w:rPr>
        <w:t>(ver</w:t>
      </w:r>
      <w:r w:rsidRPr="00EE6AF7">
        <w:rPr>
          <w:rFonts w:eastAsia="Arial" w:cs="Arial"/>
          <w:color w:val="000000"/>
          <w:spacing w:val="28"/>
        </w:rPr>
        <w:t xml:space="preserve"> </w:t>
      </w:r>
      <w:r w:rsidRPr="00EE6AF7">
        <w:rPr>
          <w:rFonts w:eastAsia="Arial" w:cs="Arial"/>
          <w:color w:val="000000"/>
        </w:rPr>
        <w:t>gráfi</w:t>
      </w:r>
      <w:r w:rsidRPr="00EE6AF7">
        <w:rPr>
          <w:rFonts w:eastAsia="Arial" w:cs="Arial"/>
          <w:color w:val="000000"/>
          <w:spacing w:val="-1"/>
        </w:rPr>
        <w:t>c</w:t>
      </w:r>
      <w:r w:rsidRPr="00EE6AF7">
        <w:rPr>
          <w:rFonts w:eastAsia="Arial" w:cs="Arial"/>
          <w:color w:val="000000"/>
        </w:rPr>
        <w:t>a 1).</w:t>
      </w:r>
    </w:p>
    <w:p w:rsidR="00AF2FF8" w:rsidRPr="00EE6AF7" w:rsidRDefault="00AF2FF8" w:rsidP="006118E4">
      <w:pPr>
        <w:spacing w:before="100" w:beforeAutospacing="1" w:after="100" w:afterAutospacing="1"/>
        <w:jc w:val="center"/>
        <w:rPr>
          <w:rFonts w:eastAsia="Arial" w:cs="Arial"/>
          <w:b/>
          <w:bCs/>
          <w:color w:val="000000"/>
          <w:w w:val="103"/>
        </w:rPr>
      </w:pPr>
    </w:p>
    <w:p w:rsidR="006118E4" w:rsidRPr="00EE6AF7" w:rsidRDefault="006118E4" w:rsidP="006118E4">
      <w:pPr>
        <w:spacing w:before="100" w:beforeAutospacing="1" w:after="100" w:afterAutospacing="1"/>
        <w:jc w:val="center"/>
        <w:rPr>
          <w:rFonts w:eastAsia="Arial" w:cs="Arial"/>
          <w:b/>
          <w:bCs/>
          <w:color w:val="000000"/>
          <w:w w:val="103"/>
        </w:rPr>
      </w:pPr>
      <w:r w:rsidRPr="00EE6AF7">
        <w:rPr>
          <w:rFonts w:eastAsia="Arial" w:cs="Arial"/>
          <w:b/>
          <w:bCs/>
          <w:color w:val="000000"/>
          <w:w w:val="103"/>
        </w:rPr>
        <w:t>Gráfica 1 Asignaciones presupuestales para los jóvenes (%)</w:t>
      </w:r>
    </w:p>
    <w:p w:rsidR="006118E4" w:rsidRPr="00EE6AF7" w:rsidRDefault="008A5EAC" w:rsidP="006118E4">
      <w:pPr>
        <w:spacing w:before="100" w:beforeAutospacing="1" w:after="100" w:afterAutospacing="1"/>
        <w:jc w:val="center"/>
        <w:rPr>
          <w:rFonts w:eastAsia="Arial" w:cs="Arial"/>
          <w:b/>
          <w:bCs/>
          <w:color w:val="000000"/>
          <w:w w:val="103"/>
        </w:rPr>
      </w:pPr>
      <w:r w:rsidRPr="00CF51C3">
        <w:rPr>
          <w:noProof/>
          <w:lang w:eastAsia="es-MX"/>
        </w:rPr>
        <w:drawing>
          <wp:inline distT="0" distB="0" distL="0" distR="0">
            <wp:extent cx="5274310" cy="2749550"/>
            <wp:effectExtent l="0" t="0" r="0" b="0"/>
            <wp:docPr id="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18E4" w:rsidRPr="00EE6AF7" w:rsidRDefault="006118E4" w:rsidP="006118E4">
      <w:pPr>
        <w:spacing w:before="100" w:beforeAutospacing="1" w:after="100" w:afterAutospacing="1"/>
        <w:jc w:val="center"/>
        <w:rPr>
          <w:rFonts w:eastAsia="Arial" w:cs="Arial"/>
          <w:color w:val="000000"/>
        </w:rPr>
      </w:pPr>
      <w:r w:rsidRPr="00EE6AF7">
        <w:rPr>
          <w:rFonts w:eastAsia="Arial" w:cs="Arial"/>
          <w:color w:val="000000"/>
        </w:rPr>
        <w:t>Fuente: Elaboración propia.</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 xml:space="preserve">Como resultado del análisis de las asignaciones presupuestales de los derechos de los jóvenes, destaca la inversión en el tema Educación en el Estado, cuyo importe de 5 mil 287 millones </w:t>
      </w:r>
      <w:r w:rsidR="00AF2FF8" w:rsidRPr="00EE6AF7">
        <w:rPr>
          <w:rFonts w:eastAsia="Arial" w:cs="Arial"/>
          <w:color w:val="000000"/>
        </w:rPr>
        <w:t>93 mil 382 pesos representan</w:t>
      </w:r>
      <w:r w:rsidRPr="00EE6AF7">
        <w:rPr>
          <w:rFonts w:eastAsia="Arial" w:cs="Arial"/>
          <w:color w:val="000000"/>
        </w:rPr>
        <w:t xml:space="preserve"> el 81.99% de la inversión en jóvenes (ver gráfica 2).</w:t>
      </w:r>
    </w:p>
    <w:p w:rsidR="006118E4" w:rsidRPr="00EE6AF7" w:rsidRDefault="006118E4" w:rsidP="006118E4">
      <w:pPr>
        <w:spacing w:before="100" w:beforeAutospacing="1" w:after="100" w:afterAutospacing="1"/>
        <w:jc w:val="center"/>
        <w:rPr>
          <w:rFonts w:eastAsia="Arial" w:cs="Arial"/>
          <w:b/>
          <w:bCs/>
          <w:color w:val="000000"/>
        </w:rPr>
      </w:pPr>
    </w:p>
    <w:p w:rsidR="006118E4" w:rsidRPr="00EE6AF7" w:rsidRDefault="006118E4" w:rsidP="006118E4">
      <w:pPr>
        <w:spacing w:before="100" w:beforeAutospacing="1" w:after="100" w:afterAutospacing="1"/>
        <w:jc w:val="center"/>
        <w:rPr>
          <w:rFonts w:eastAsia="Arial" w:cs="Arial"/>
          <w:b/>
          <w:bCs/>
          <w:color w:val="000000"/>
        </w:rPr>
      </w:pPr>
    </w:p>
    <w:p w:rsidR="006118E4" w:rsidRPr="00EE6AF7" w:rsidRDefault="006118E4" w:rsidP="006118E4">
      <w:pPr>
        <w:spacing w:before="100" w:beforeAutospacing="1" w:after="100" w:afterAutospacing="1"/>
        <w:jc w:val="center"/>
        <w:rPr>
          <w:rFonts w:eastAsia="Arial" w:cs="Arial"/>
          <w:b/>
          <w:bCs/>
          <w:color w:val="000000"/>
        </w:rPr>
      </w:pPr>
    </w:p>
    <w:p w:rsidR="006118E4" w:rsidRPr="00EE6AF7" w:rsidRDefault="006118E4" w:rsidP="006118E4">
      <w:pPr>
        <w:spacing w:before="100" w:beforeAutospacing="1" w:after="100" w:afterAutospacing="1"/>
        <w:jc w:val="center"/>
        <w:rPr>
          <w:rFonts w:eastAsia="Arial" w:cs="Arial"/>
          <w:b/>
          <w:bCs/>
          <w:color w:val="000000"/>
        </w:rPr>
      </w:pPr>
    </w:p>
    <w:p w:rsidR="006118E4" w:rsidRPr="00EE6AF7" w:rsidRDefault="006118E4" w:rsidP="006118E4">
      <w:pPr>
        <w:spacing w:before="100" w:beforeAutospacing="1" w:after="100" w:afterAutospacing="1"/>
        <w:jc w:val="center"/>
        <w:rPr>
          <w:rFonts w:eastAsia="Arial" w:cs="Arial"/>
          <w:color w:val="000000"/>
        </w:rPr>
      </w:pPr>
      <w:r w:rsidRPr="00EE6AF7">
        <w:rPr>
          <w:rFonts w:eastAsia="Arial" w:cs="Arial"/>
          <w:b/>
          <w:bCs/>
          <w:color w:val="000000"/>
        </w:rPr>
        <w:t>Gráfica 2. Asignaciones presupuestales de los derechos de los jóvenes según tema</w:t>
      </w:r>
    </w:p>
    <w:p w:rsidR="006118E4" w:rsidRPr="00EE6AF7" w:rsidRDefault="008A5EAC" w:rsidP="006118E4">
      <w:pPr>
        <w:spacing w:before="100" w:beforeAutospacing="1" w:after="100" w:afterAutospacing="1"/>
        <w:jc w:val="center"/>
        <w:rPr>
          <w:rFonts w:cs="Arial"/>
          <w:color w:val="000000"/>
        </w:rPr>
      </w:pPr>
      <w:r w:rsidRPr="00CF51C3">
        <w:rPr>
          <w:noProof/>
          <w:lang w:eastAsia="es-MX"/>
        </w:rPr>
        <w:drawing>
          <wp:inline distT="0" distB="0" distL="0" distR="0">
            <wp:extent cx="5151755" cy="3400425"/>
            <wp:effectExtent l="0" t="0" r="0" b="0"/>
            <wp:docPr id="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18E4" w:rsidRPr="00EE6AF7" w:rsidRDefault="00CC6D61" w:rsidP="006118E4">
      <w:pPr>
        <w:spacing w:before="100" w:beforeAutospacing="1" w:after="100" w:afterAutospacing="1"/>
        <w:jc w:val="center"/>
        <w:rPr>
          <w:rFonts w:eastAsia="Arial" w:cs="Arial"/>
          <w:color w:val="000000"/>
        </w:rPr>
      </w:pPr>
      <w:r w:rsidRPr="00EE6AF7">
        <w:rPr>
          <w:rFonts w:eastAsia="Arial" w:cs="Arial"/>
          <w:color w:val="000000"/>
        </w:rPr>
        <w:t>Fuente: Elaboración</w:t>
      </w:r>
      <w:r w:rsidR="006118E4" w:rsidRPr="00EE6AF7">
        <w:rPr>
          <w:rFonts w:eastAsia="Arial" w:cs="Arial"/>
          <w:color w:val="000000"/>
        </w:rPr>
        <w:t xml:space="preserve"> propia.</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En la categoría “otros” se encuentran los temas de economía y trabajo e información, de los cuales el 0.31% representa 19 millones 801 mil 184 pesos.</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La inversión a los derechos de los jóvenes está orientada primordialmente a la atención de los alumnos dentro de los distintos centros educativos, así como apoyos en especie y apoyos económicos; de igual modo para la atención en temas prioritarios de salud, donde se contemplan servicios médicos, platicas, así como la detección y diagnóstico oportuno a personas en situación de violencia cuyo porcentaje asciende en 5.59%.</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El análisis de la especificidad de la inversión en jóvenes muestra que se destina el 78.75% para la inversión agéntica o indirecta representando un total de 5 mil 78 millones 290 mil 844 pesos para la inversión en los jóvenes.</w:t>
      </w:r>
    </w:p>
    <w:p w:rsidR="006118E4" w:rsidRPr="00EE6AF7" w:rsidRDefault="006118E4" w:rsidP="006118E4">
      <w:pPr>
        <w:spacing w:before="100" w:beforeAutospacing="1" w:after="100" w:afterAutospacing="1"/>
        <w:rPr>
          <w:rFonts w:eastAsia="Arial" w:cs="Arial"/>
          <w:color w:val="000000"/>
          <w:w w:val="103"/>
        </w:rPr>
      </w:pPr>
      <w:r w:rsidRPr="00EE6AF7">
        <w:rPr>
          <w:rFonts w:eastAsia="Arial" w:cs="Arial"/>
          <w:color w:val="000000"/>
        </w:rPr>
        <w:t xml:space="preserve">La inversión ampliada asciende a 834 millones 616 mil 69 pesos, representando un 12.94% de la inversión total. A </w:t>
      </w:r>
      <w:r w:rsidR="00CC6D61" w:rsidRPr="00EE6AF7">
        <w:rPr>
          <w:rFonts w:eastAsia="Arial" w:cs="Arial"/>
          <w:color w:val="000000"/>
          <w:spacing w:val="-1"/>
        </w:rPr>
        <w:t>c</w:t>
      </w:r>
      <w:r w:rsidR="00CC6D61" w:rsidRPr="00EE6AF7">
        <w:rPr>
          <w:rFonts w:eastAsia="Arial" w:cs="Arial"/>
          <w:color w:val="000000"/>
        </w:rPr>
        <w:t>ontinu</w:t>
      </w:r>
      <w:r w:rsidR="00CC6D61" w:rsidRPr="00EE6AF7">
        <w:rPr>
          <w:rFonts w:eastAsia="Arial" w:cs="Arial"/>
          <w:color w:val="000000"/>
          <w:spacing w:val="1"/>
        </w:rPr>
        <w:t>a</w:t>
      </w:r>
      <w:r w:rsidR="00CC6D61" w:rsidRPr="00EE6AF7">
        <w:rPr>
          <w:rFonts w:eastAsia="Arial" w:cs="Arial"/>
          <w:color w:val="000000"/>
          <w:spacing w:val="-1"/>
        </w:rPr>
        <w:t>c</w:t>
      </w:r>
      <w:r w:rsidR="00CC6D61" w:rsidRPr="00EE6AF7">
        <w:rPr>
          <w:rFonts w:eastAsia="Arial" w:cs="Arial"/>
          <w:color w:val="000000"/>
        </w:rPr>
        <w:t>ión,</w:t>
      </w:r>
      <w:r w:rsidRPr="00EE6AF7">
        <w:rPr>
          <w:rFonts w:eastAsia="Arial" w:cs="Arial"/>
          <w:color w:val="000000"/>
        </w:rPr>
        <w:t xml:space="preserve"> se</w:t>
      </w:r>
      <w:r w:rsidRPr="00EE6AF7">
        <w:rPr>
          <w:rFonts w:eastAsia="Arial" w:cs="Arial"/>
          <w:color w:val="000000"/>
          <w:spacing w:val="36"/>
        </w:rPr>
        <w:t xml:space="preserve"> </w:t>
      </w:r>
      <w:r w:rsidRPr="00EE6AF7">
        <w:rPr>
          <w:rFonts w:eastAsia="Arial" w:cs="Arial"/>
          <w:color w:val="000000"/>
        </w:rPr>
        <w:t>prese</w:t>
      </w:r>
      <w:r w:rsidRPr="00EE6AF7">
        <w:rPr>
          <w:rFonts w:eastAsia="Arial" w:cs="Arial"/>
          <w:color w:val="000000"/>
          <w:spacing w:val="-1"/>
        </w:rPr>
        <w:t>n</w:t>
      </w:r>
      <w:r w:rsidRPr="00EE6AF7">
        <w:rPr>
          <w:rFonts w:eastAsia="Arial" w:cs="Arial"/>
          <w:color w:val="000000"/>
        </w:rPr>
        <w:t>ta la distri</w:t>
      </w:r>
      <w:r w:rsidRPr="00EE6AF7">
        <w:rPr>
          <w:rFonts w:eastAsia="Arial" w:cs="Arial"/>
          <w:color w:val="000000"/>
          <w:spacing w:val="-1"/>
        </w:rPr>
        <w:t>b</w:t>
      </w:r>
      <w:r w:rsidRPr="00EE6AF7">
        <w:rPr>
          <w:rFonts w:eastAsia="Arial" w:cs="Arial"/>
          <w:color w:val="000000"/>
          <w:spacing w:val="1"/>
        </w:rPr>
        <w:t>u</w:t>
      </w:r>
      <w:r w:rsidRPr="00EE6AF7">
        <w:rPr>
          <w:rFonts w:eastAsia="Arial" w:cs="Arial"/>
          <w:color w:val="000000"/>
        </w:rPr>
        <w:t>ción de acu</w:t>
      </w:r>
      <w:r w:rsidRPr="00EE6AF7">
        <w:rPr>
          <w:rFonts w:eastAsia="Arial" w:cs="Arial"/>
          <w:color w:val="000000"/>
          <w:spacing w:val="-1"/>
        </w:rPr>
        <w:t>e</w:t>
      </w:r>
      <w:r w:rsidRPr="00EE6AF7">
        <w:rPr>
          <w:rFonts w:eastAsia="Arial" w:cs="Arial"/>
          <w:color w:val="000000"/>
        </w:rPr>
        <w:t>rdo</w:t>
      </w:r>
      <w:r w:rsidRPr="00EE6AF7">
        <w:rPr>
          <w:rFonts w:eastAsia="Arial" w:cs="Arial"/>
          <w:color w:val="000000"/>
          <w:spacing w:val="50"/>
        </w:rPr>
        <w:t xml:space="preserve"> </w:t>
      </w:r>
      <w:r w:rsidRPr="00EE6AF7">
        <w:rPr>
          <w:rFonts w:eastAsia="Arial" w:cs="Arial"/>
          <w:color w:val="000000"/>
        </w:rPr>
        <w:t>c</w:t>
      </w:r>
      <w:r w:rsidRPr="00EE6AF7">
        <w:rPr>
          <w:rFonts w:eastAsia="Arial" w:cs="Arial"/>
          <w:color w:val="000000"/>
          <w:spacing w:val="1"/>
        </w:rPr>
        <w:t>o</w:t>
      </w:r>
      <w:r w:rsidRPr="00EE6AF7">
        <w:rPr>
          <w:rFonts w:eastAsia="Arial" w:cs="Arial"/>
          <w:color w:val="000000"/>
        </w:rPr>
        <w:t xml:space="preserve">n </w:t>
      </w:r>
      <w:r w:rsidRPr="00EE6AF7">
        <w:rPr>
          <w:rFonts w:eastAsia="Arial" w:cs="Arial"/>
          <w:color w:val="000000"/>
          <w:spacing w:val="-1"/>
          <w:w w:val="103"/>
        </w:rPr>
        <w:t>l</w:t>
      </w:r>
      <w:r w:rsidRPr="00EE6AF7">
        <w:rPr>
          <w:rFonts w:eastAsia="Arial" w:cs="Arial"/>
          <w:color w:val="000000"/>
          <w:w w:val="103"/>
        </w:rPr>
        <w:t xml:space="preserve">as </w:t>
      </w:r>
      <w:r w:rsidRPr="00EE6AF7">
        <w:rPr>
          <w:rFonts w:eastAsia="Arial" w:cs="Arial"/>
          <w:color w:val="000000"/>
        </w:rPr>
        <w:t>categorías</w:t>
      </w:r>
      <w:r w:rsidRPr="00EE6AF7">
        <w:rPr>
          <w:rFonts w:eastAsia="Arial" w:cs="Arial"/>
          <w:color w:val="000000"/>
          <w:spacing w:val="30"/>
        </w:rPr>
        <w:t xml:space="preserve"> </w:t>
      </w:r>
      <w:r w:rsidRPr="00EE6AF7">
        <w:rPr>
          <w:rFonts w:eastAsia="Arial" w:cs="Arial"/>
          <w:color w:val="000000"/>
        </w:rPr>
        <w:t>de</w:t>
      </w:r>
      <w:r w:rsidRPr="00EE6AF7">
        <w:rPr>
          <w:rFonts w:eastAsia="Arial" w:cs="Arial"/>
          <w:color w:val="000000"/>
          <w:spacing w:val="9"/>
        </w:rPr>
        <w:t xml:space="preserve"> </w:t>
      </w:r>
      <w:r w:rsidRPr="00EE6AF7">
        <w:rPr>
          <w:rFonts w:eastAsia="Arial" w:cs="Arial"/>
          <w:color w:val="000000"/>
        </w:rPr>
        <w:t>la</w:t>
      </w:r>
      <w:r w:rsidRPr="00EE6AF7">
        <w:rPr>
          <w:rFonts w:eastAsia="Arial" w:cs="Arial"/>
          <w:color w:val="000000"/>
          <w:spacing w:val="7"/>
        </w:rPr>
        <w:t xml:space="preserve"> </w:t>
      </w:r>
      <w:r w:rsidRPr="00EE6AF7">
        <w:rPr>
          <w:rFonts w:eastAsia="Arial" w:cs="Arial"/>
          <w:color w:val="000000"/>
        </w:rPr>
        <w:t>especi</w:t>
      </w:r>
      <w:r w:rsidRPr="00EE6AF7">
        <w:rPr>
          <w:rFonts w:eastAsia="Arial" w:cs="Arial"/>
          <w:color w:val="000000"/>
          <w:spacing w:val="1"/>
        </w:rPr>
        <w:t>f</w:t>
      </w:r>
      <w:r w:rsidRPr="00EE6AF7">
        <w:rPr>
          <w:rFonts w:eastAsia="Arial" w:cs="Arial"/>
          <w:color w:val="000000"/>
        </w:rPr>
        <w:t>ic</w:t>
      </w:r>
      <w:r w:rsidRPr="00EE6AF7">
        <w:rPr>
          <w:rFonts w:eastAsia="Arial" w:cs="Arial"/>
          <w:color w:val="000000"/>
          <w:spacing w:val="-2"/>
        </w:rPr>
        <w:t>i</w:t>
      </w:r>
      <w:r w:rsidRPr="00EE6AF7">
        <w:rPr>
          <w:rFonts w:eastAsia="Arial" w:cs="Arial"/>
          <w:color w:val="000000"/>
        </w:rPr>
        <w:t>dad</w:t>
      </w:r>
      <w:r w:rsidRPr="00EE6AF7">
        <w:rPr>
          <w:rFonts w:eastAsia="Arial" w:cs="Arial"/>
          <w:color w:val="000000"/>
          <w:spacing w:val="37"/>
        </w:rPr>
        <w:t xml:space="preserve"> </w:t>
      </w:r>
      <w:r w:rsidRPr="00EE6AF7">
        <w:rPr>
          <w:rFonts w:eastAsia="Arial" w:cs="Arial"/>
          <w:color w:val="000000"/>
        </w:rPr>
        <w:t>d</w:t>
      </w:r>
      <w:r w:rsidRPr="00EE6AF7">
        <w:rPr>
          <w:rFonts w:eastAsia="Arial" w:cs="Arial"/>
          <w:color w:val="000000"/>
          <w:spacing w:val="1"/>
        </w:rPr>
        <w:t>e</w:t>
      </w:r>
      <w:r w:rsidRPr="00EE6AF7">
        <w:rPr>
          <w:rFonts w:eastAsia="Arial" w:cs="Arial"/>
          <w:color w:val="000000"/>
        </w:rPr>
        <w:t xml:space="preserve"> la inversión</w:t>
      </w:r>
      <w:r w:rsidRPr="00EE6AF7">
        <w:rPr>
          <w:rFonts w:eastAsia="Arial" w:cs="Arial"/>
          <w:color w:val="000000"/>
          <w:spacing w:val="18"/>
        </w:rPr>
        <w:t xml:space="preserve"> </w:t>
      </w:r>
      <w:r w:rsidRPr="00EE6AF7">
        <w:rPr>
          <w:rFonts w:eastAsia="Arial" w:cs="Arial"/>
          <w:color w:val="000000"/>
        </w:rPr>
        <w:t>(</w:t>
      </w:r>
      <w:r w:rsidRPr="00EE6AF7">
        <w:rPr>
          <w:rFonts w:eastAsia="Arial" w:cs="Arial"/>
          <w:color w:val="000000"/>
          <w:spacing w:val="-1"/>
        </w:rPr>
        <w:t>v</w:t>
      </w:r>
      <w:r w:rsidRPr="00EE6AF7">
        <w:rPr>
          <w:rFonts w:eastAsia="Arial" w:cs="Arial"/>
          <w:color w:val="000000"/>
        </w:rPr>
        <w:t>er</w:t>
      </w:r>
      <w:r w:rsidRPr="00EE6AF7">
        <w:rPr>
          <w:rFonts w:eastAsia="Arial" w:cs="Arial"/>
          <w:color w:val="000000"/>
          <w:spacing w:val="13"/>
        </w:rPr>
        <w:t xml:space="preserve"> </w:t>
      </w:r>
      <w:r w:rsidRPr="00EE6AF7">
        <w:rPr>
          <w:rFonts w:eastAsia="Arial" w:cs="Arial"/>
          <w:color w:val="000000"/>
        </w:rPr>
        <w:t>gr</w:t>
      </w:r>
      <w:r w:rsidRPr="00EE6AF7">
        <w:rPr>
          <w:rFonts w:eastAsia="Arial" w:cs="Arial"/>
          <w:color w:val="000000"/>
          <w:spacing w:val="1"/>
        </w:rPr>
        <w:t>á</w:t>
      </w:r>
      <w:r w:rsidRPr="00EE6AF7">
        <w:rPr>
          <w:rFonts w:eastAsia="Arial" w:cs="Arial"/>
          <w:color w:val="000000"/>
        </w:rPr>
        <w:t>fi</w:t>
      </w:r>
      <w:r w:rsidRPr="00EE6AF7">
        <w:rPr>
          <w:rFonts w:eastAsia="Arial" w:cs="Arial"/>
          <w:color w:val="000000"/>
          <w:spacing w:val="-1"/>
        </w:rPr>
        <w:t>c</w:t>
      </w:r>
      <w:r w:rsidRPr="00EE6AF7">
        <w:rPr>
          <w:rFonts w:eastAsia="Arial" w:cs="Arial"/>
          <w:color w:val="000000"/>
        </w:rPr>
        <w:t>a</w:t>
      </w:r>
      <w:r w:rsidRPr="00EE6AF7">
        <w:rPr>
          <w:rFonts w:eastAsia="Arial" w:cs="Arial"/>
          <w:color w:val="000000"/>
          <w:spacing w:val="20"/>
        </w:rPr>
        <w:t xml:space="preserve"> 3</w:t>
      </w:r>
      <w:r w:rsidRPr="00EE6AF7">
        <w:rPr>
          <w:rFonts w:eastAsia="Arial" w:cs="Arial"/>
          <w:color w:val="000000"/>
          <w:w w:val="103"/>
        </w:rPr>
        <w:t>).</w:t>
      </w:r>
    </w:p>
    <w:p w:rsidR="006118E4" w:rsidRPr="00EE6AF7" w:rsidRDefault="006118E4" w:rsidP="006118E4">
      <w:pPr>
        <w:spacing w:before="100" w:beforeAutospacing="1" w:after="100" w:afterAutospacing="1"/>
        <w:rPr>
          <w:rFonts w:eastAsia="Arial" w:cs="Arial"/>
          <w:color w:val="000000"/>
        </w:rPr>
      </w:pPr>
    </w:p>
    <w:p w:rsidR="006118E4" w:rsidRPr="00EE6AF7" w:rsidRDefault="006118E4" w:rsidP="006118E4">
      <w:pPr>
        <w:spacing w:before="100" w:beforeAutospacing="1" w:after="100" w:afterAutospacing="1"/>
        <w:jc w:val="center"/>
        <w:rPr>
          <w:rFonts w:eastAsia="Arial" w:cs="Arial"/>
          <w:b/>
          <w:bCs/>
          <w:color w:val="000000"/>
          <w:w w:val="103"/>
        </w:rPr>
      </w:pPr>
      <w:r w:rsidRPr="00EE6AF7">
        <w:rPr>
          <w:rFonts w:eastAsia="Arial" w:cs="Arial"/>
          <w:b/>
          <w:bCs/>
          <w:color w:val="000000"/>
          <w:w w:val="103"/>
        </w:rPr>
        <w:t>Gráfica 3. Especificidad de la inversión</w:t>
      </w:r>
    </w:p>
    <w:p w:rsidR="006118E4" w:rsidRPr="00EE6AF7" w:rsidRDefault="006118E4" w:rsidP="006118E4">
      <w:pPr>
        <w:spacing w:before="100" w:beforeAutospacing="1" w:after="100" w:afterAutospacing="1"/>
        <w:jc w:val="center"/>
        <w:rPr>
          <w:rFonts w:eastAsia="Arial" w:cs="Arial"/>
          <w:color w:val="000000"/>
          <w:w w:val="103"/>
        </w:rPr>
      </w:pPr>
    </w:p>
    <w:p w:rsidR="006118E4" w:rsidRPr="00EE6AF7" w:rsidRDefault="008A5EAC" w:rsidP="006118E4">
      <w:pPr>
        <w:spacing w:before="100" w:beforeAutospacing="1" w:after="100" w:afterAutospacing="1"/>
        <w:jc w:val="center"/>
        <w:rPr>
          <w:rFonts w:eastAsia="Arial" w:cs="Arial"/>
          <w:color w:val="000000"/>
          <w:w w:val="103"/>
        </w:rPr>
      </w:pPr>
      <w:r w:rsidRPr="00CF51C3">
        <w:rPr>
          <w:noProof/>
          <w:lang w:eastAsia="es-MX"/>
        </w:rPr>
        <w:drawing>
          <wp:inline distT="0" distB="0" distL="0" distR="0">
            <wp:extent cx="5353050" cy="1866900"/>
            <wp:effectExtent l="0" t="0" r="0" b="0"/>
            <wp:docPr id="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18E4" w:rsidRPr="00EE6AF7" w:rsidRDefault="006118E4" w:rsidP="006118E4">
      <w:pPr>
        <w:spacing w:before="100" w:beforeAutospacing="1" w:after="100" w:afterAutospacing="1"/>
        <w:jc w:val="center"/>
        <w:rPr>
          <w:rFonts w:eastAsia="Arial" w:cs="Arial"/>
          <w:color w:val="000000"/>
        </w:rPr>
      </w:pPr>
      <w:r w:rsidRPr="00EE6AF7">
        <w:rPr>
          <w:rFonts w:eastAsia="Arial" w:cs="Arial"/>
          <w:color w:val="000000"/>
        </w:rPr>
        <w:t>Fuente: Elaboración propia.</w:t>
      </w:r>
    </w:p>
    <w:p w:rsidR="006118E4" w:rsidRPr="00EE6AF7" w:rsidRDefault="006118E4" w:rsidP="006118E4">
      <w:pPr>
        <w:spacing w:before="100" w:beforeAutospacing="1" w:after="100" w:afterAutospacing="1"/>
        <w:rPr>
          <w:rFonts w:eastAsia="Arial" w:cs="Arial"/>
          <w:color w:val="000000"/>
          <w:w w:val="103"/>
        </w:rPr>
      </w:pPr>
      <w:r w:rsidRPr="00EE6AF7">
        <w:rPr>
          <w:rFonts w:eastAsia="Arial" w:cs="Arial"/>
          <w:color w:val="000000"/>
          <w:w w:val="103"/>
        </w:rPr>
        <w:t xml:space="preserve">Para bienes públicos, se destinan 383 millones 586 mil 314 pesos, lo que representa el 5.95% de la inversión. A su vez </w:t>
      </w:r>
      <w:r w:rsidRPr="00EE6AF7">
        <w:rPr>
          <w:rFonts w:eastAsia="Arial" w:cs="Arial"/>
          <w:color w:val="000000"/>
        </w:rPr>
        <w:t>el</w:t>
      </w:r>
      <w:r w:rsidRPr="00EE6AF7">
        <w:rPr>
          <w:rFonts w:eastAsia="Arial" w:cs="Arial"/>
          <w:color w:val="000000"/>
          <w:spacing w:val="34"/>
        </w:rPr>
        <w:t xml:space="preserve"> </w:t>
      </w:r>
      <w:r w:rsidRPr="00EE6AF7">
        <w:rPr>
          <w:rFonts w:eastAsia="Arial" w:cs="Arial"/>
          <w:color w:val="000000"/>
        </w:rPr>
        <w:t xml:space="preserve">2.35% </w:t>
      </w:r>
      <w:r w:rsidRPr="00EE6AF7">
        <w:rPr>
          <w:rFonts w:eastAsia="Arial" w:cs="Arial"/>
          <w:color w:val="000000"/>
          <w:spacing w:val="-1"/>
        </w:rPr>
        <w:t>d</w:t>
      </w:r>
      <w:r w:rsidRPr="00EE6AF7">
        <w:rPr>
          <w:rFonts w:eastAsia="Arial" w:cs="Arial"/>
          <w:color w:val="000000"/>
        </w:rPr>
        <w:t>el</w:t>
      </w:r>
      <w:r w:rsidRPr="00EE6AF7">
        <w:rPr>
          <w:rFonts w:eastAsia="Arial" w:cs="Arial"/>
          <w:color w:val="000000"/>
          <w:spacing w:val="38"/>
        </w:rPr>
        <w:t xml:space="preserve"> </w:t>
      </w:r>
      <w:r w:rsidRPr="00EE6AF7">
        <w:rPr>
          <w:rFonts w:eastAsia="Arial" w:cs="Arial"/>
          <w:color w:val="000000"/>
        </w:rPr>
        <w:t>importe</w:t>
      </w:r>
      <w:r w:rsidRPr="00EE6AF7">
        <w:rPr>
          <w:rFonts w:eastAsia="Arial" w:cs="Arial"/>
          <w:color w:val="000000"/>
          <w:spacing w:val="45"/>
        </w:rPr>
        <w:t xml:space="preserve"> </w:t>
      </w:r>
      <w:r w:rsidRPr="00EE6AF7">
        <w:rPr>
          <w:rFonts w:eastAsia="Arial" w:cs="Arial"/>
          <w:color w:val="000000"/>
        </w:rPr>
        <w:t xml:space="preserve">total </w:t>
      </w:r>
      <w:r w:rsidR="00514E11" w:rsidRPr="00EE6AF7">
        <w:rPr>
          <w:rFonts w:eastAsia="Arial" w:cs="Arial"/>
          <w:color w:val="000000"/>
        </w:rPr>
        <w:t>está</w:t>
      </w:r>
      <w:r w:rsidRPr="00EE6AF7">
        <w:rPr>
          <w:rFonts w:eastAsia="Arial" w:cs="Arial"/>
          <w:color w:val="000000"/>
        </w:rPr>
        <w:t xml:space="preserve"> destinado a la inversión específica o directa el cual asciende</w:t>
      </w:r>
      <w:r w:rsidRPr="00EE6AF7">
        <w:rPr>
          <w:rFonts w:eastAsia="Arial" w:cs="Arial"/>
          <w:color w:val="000000"/>
          <w:spacing w:val="26"/>
        </w:rPr>
        <w:t xml:space="preserve"> </w:t>
      </w:r>
      <w:r w:rsidRPr="00EE6AF7">
        <w:rPr>
          <w:rFonts w:eastAsia="Arial" w:cs="Arial"/>
          <w:color w:val="000000"/>
        </w:rPr>
        <w:t>en 151</w:t>
      </w:r>
      <w:r w:rsidRPr="00EE6AF7">
        <w:rPr>
          <w:rFonts w:eastAsia="Arial" w:cs="Arial"/>
          <w:color w:val="000000"/>
          <w:spacing w:val="12"/>
        </w:rPr>
        <w:t xml:space="preserve"> </w:t>
      </w:r>
      <w:r w:rsidRPr="00EE6AF7">
        <w:rPr>
          <w:rFonts w:eastAsia="Arial" w:cs="Arial"/>
          <w:color w:val="000000"/>
        </w:rPr>
        <w:t>mil</w:t>
      </w:r>
      <w:r w:rsidRPr="00EE6AF7">
        <w:rPr>
          <w:rFonts w:eastAsia="Arial" w:cs="Arial"/>
          <w:color w:val="000000"/>
          <w:spacing w:val="-2"/>
        </w:rPr>
        <w:t>l</w:t>
      </w:r>
      <w:r w:rsidRPr="00EE6AF7">
        <w:rPr>
          <w:rFonts w:eastAsia="Arial" w:cs="Arial"/>
          <w:color w:val="000000"/>
        </w:rPr>
        <w:t>ones</w:t>
      </w:r>
      <w:r w:rsidRPr="00EE6AF7">
        <w:rPr>
          <w:rFonts w:eastAsia="Arial" w:cs="Arial"/>
          <w:color w:val="000000"/>
          <w:spacing w:val="24"/>
        </w:rPr>
        <w:t xml:space="preserve"> </w:t>
      </w:r>
      <w:r w:rsidRPr="00EE6AF7">
        <w:rPr>
          <w:rFonts w:eastAsia="Arial" w:cs="Arial"/>
          <w:color w:val="000000"/>
        </w:rPr>
        <w:t>843</w:t>
      </w:r>
      <w:r w:rsidRPr="00EE6AF7">
        <w:rPr>
          <w:rFonts w:eastAsia="Arial" w:cs="Arial"/>
          <w:color w:val="000000"/>
          <w:spacing w:val="12"/>
        </w:rPr>
        <w:t xml:space="preserve"> </w:t>
      </w:r>
      <w:r w:rsidRPr="00EE6AF7">
        <w:rPr>
          <w:rFonts w:eastAsia="Arial" w:cs="Arial"/>
          <w:color w:val="000000"/>
        </w:rPr>
        <w:t>m</w:t>
      </w:r>
      <w:r w:rsidRPr="00EE6AF7">
        <w:rPr>
          <w:rFonts w:eastAsia="Arial" w:cs="Arial"/>
          <w:color w:val="000000"/>
          <w:spacing w:val="-2"/>
        </w:rPr>
        <w:t>i</w:t>
      </w:r>
      <w:r w:rsidRPr="00EE6AF7">
        <w:rPr>
          <w:rFonts w:eastAsia="Arial" w:cs="Arial"/>
          <w:color w:val="000000"/>
        </w:rPr>
        <w:t>l</w:t>
      </w:r>
      <w:r w:rsidRPr="00EE6AF7">
        <w:rPr>
          <w:rFonts w:eastAsia="Arial" w:cs="Arial"/>
          <w:color w:val="000000"/>
          <w:spacing w:val="10"/>
        </w:rPr>
        <w:t xml:space="preserve"> </w:t>
      </w:r>
      <w:r w:rsidRPr="00EE6AF7">
        <w:rPr>
          <w:rFonts w:eastAsia="Arial" w:cs="Arial"/>
          <w:color w:val="000000"/>
        </w:rPr>
        <w:t>924</w:t>
      </w:r>
      <w:r w:rsidRPr="00EE6AF7">
        <w:rPr>
          <w:rFonts w:eastAsia="Arial" w:cs="Arial"/>
          <w:color w:val="000000"/>
          <w:spacing w:val="12"/>
        </w:rPr>
        <w:t xml:space="preserve"> </w:t>
      </w:r>
      <w:r w:rsidRPr="00EE6AF7">
        <w:rPr>
          <w:rFonts w:eastAsia="Arial" w:cs="Arial"/>
          <w:color w:val="000000"/>
          <w:w w:val="103"/>
        </w:rPr>
        <w:t>pe</w:t>
      </w:r>
      <w:r w:rsidRPr="00EE6AF7">
        <w:rPr>
          <w:rFonts w:eastAsia="Arial" w:cs="Arial"/>
          <w:color w:val="000000"/>
          <w:spacing w:val="-1"/>
          <w:w w:val="103"/>
        </w:rPr>
        <w:t>s</w:t>
      </w:r>
      <w:r w:rsidRPr="00EE6AF7">
        <w:rPr>
          <w:rFonts w:eastAsia="Arial" w:cs="Arial"/>
          <w:color w:val="000000"/>
          <w:w w:val="103"/>
        </w:rPr>
        <w:t>os.</w:t>
      </w:r>
    </w:p>
    <w:p w:rsidR="006118E4" w:rsidRPr="00EE6AF7" w:rsidRDefault="006118E4" w:rsidP="006118E4">
      <w:pPr>
        <w:spacing w:before="100" w:beforeAutospacing="1" w:after="100" w:afterAutospacing="1"/>
        <w:rPr>
          <w:rFonts w:eastAsia="Arial" w:cs="Arial"/>
          <w:color w:val="000000"/>
          <w:w w:val="103"/>
        </w:rPr>
      </w:pPr>
      <w:r w:rsidRPr="00EE6AF7">
        <w:rPr>
          <w:rFonts w:eastAsia="Arial" w:cs="Arial"/>
          <w:color w:val="000000"/>
          <w:w w:val="103"/>
        </w:rPr>
        <w:t>Asimismo, el total de la inversión para la juventud en el 2022, está asignada en 46 Programas Presupuestarios, ejecutados por 36 instituciones de la Administración Pública Estatal</w:t>
      </w:r>
      <w:r w:rsidR="00514E11" w:rsidRPr="00EE6AF7">
        <w:rPr>
          <w:rFonts w:eastAsia="Arial" w:cs="Arial"/>
          <w:color w:val="000000"/>
          <w:w w:val="103"/>
        </w:rPr>
        <w:t xml:space="preserve"> </w:t>
      </w:r>
      <w:r w:rsidRPr="00EE6AF7">
        <w:rPr>
          <w:rFonts w:eastAsia="Arial" w:cs="Arial"/>
          <w:color w:val="000000"/>
          <w:w w:val="103"/>
        </w:rPr>
        <w:t>(tabla 3).</w:t>
      </w:r>
    </w:p>
    <w:p w:rsidR="006118E4" w:rsidRPr="004454D2" w:rsidRDefault="006118E4" w:rsidP="006118E4">
      <w:pPr>
        <w:spacing w:after="100" w:afterAutospacing="1"/>
        <w:jc w:val="center"/>
      </w:pPr>
      <w:r w:rsidRPr="00EE6AF7">
        <w:rPr>
          <w:rFonts w:eastAsia="Arial" w:cs="Arial"/>
          <w:b/>
          <w:color w:val="000000"/>
          <w:spacing w:val="5"/>
        </w:rPr>
        <w:t>Tabla 3. Asignación presupuestal por programa</w:t>
      </w:r>
    </w:p>
    <w:tbl>
      <w:tblPr>
        <w:tblW w:w="11010" w:type="dxa"/>
        <w:tblCellMar>
          <w:left w:w="70" w:type="dxa"/>
          <w:right w:w="70" w:type="dxa"/>
        </w:tblCellMar>
        <w:tblLook w:val="04A0" w:firstRow="1" w:lastRow="0" w:firstColumn="1" w:lastColumn="0" w:noHBand="0" w:noVBand="1"/>
      </w:tblPr>
      <w:tblGrid>
        <w:gridCol w:w="5937"/>
        <w:gridCol w:w="1890"/>
        <w:gridCol w:w="1815"/>
        <w:gridCol w:w="1368"/>
      </w:tblGrid>
      <w:tr w:rsidR="006118E4" w:rsidRPr="00EE6AF7" w:rsidTr="2EAB6CC5">
        <w:trPr>
          <w:trHeight w:val="613"/>
          <w:tblHeader/>
        </w:trPr>
        <w:tc>
          <w:tcPr>
            <w:tcW w:w="6158"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6118E4" w:rsidRPr="004454D2" w:rsidRDefault="006118E4" w:rsidP="0056150B">
            <w:pPr>
              <w:jc w:val="center"/>
              <w:rPr>
                <w:rFonts w:eastAsia="Times New Roman" w:cs="Arial"/>
                <w:b/>
                <w:bCs/>
                <w:color w:val="EDEDED"/>
                <w:lang w:eastAsia="es-MX"/>
              </w:rPr>
            </w:pPr>
            <w:r w:rsidRPr="004454D2">
              <w:rPr>
                <w:rFonts w:eastAsia="Times New Roman" w:cs="Arial"/>
                <w:b/>
                <w:bCs/>
                <w:color w:val="EDEDED"/>
                <w:lang w:eastAsia="es-MX"/>
              </w:rPr>
              <w:t xml:space="preserve">Programa Presupuestario </w:t>
            </w:r>
          </w:p>
        </w:tc>
        <w:tc>
          <w:tcPr>
            <w:tcW w:w="1890" w:type="dxa"/>
            <w:tcBorders>
              <w:top w:val="single" w:sz="4" w:space="0" w:color="auto"/>
              <w:left w:val="nil"/>
              <w:bottom w:val="single" w:sz="4" w:space="0" w:color="auto"/>
              <w:right w:val="single" w:sz="4" w:space="0" w:color="auto"/>
            </w:tcBorders>
            <w:shd w:val="clear" w:color="auto" w:fill="4B4B4B"/>
            <w:vAlign w:val="center"/>
            <w:hideMark/>
          </w:tcPr>
          <w:p w:rsidR="006118E4" w:rsidRPr="004454D2" w:rsidRDefault="006118E4" w:rsidP="0056150B">
            <w:pPr>
              <w:jc w:val="center"/>
              <w:rPr>
                <w:rFonts w:eastAsia="Times New Roman" w:cs="Arial"/>
                <w:b/>
                <w:bCs/>
                <w:color w:val="EDEDED"/>
                <w:lang w:eastAsia="es-MX"/>
              </w:rPr>
            </w:pPr>
            <w:r w:rsidRPr="004454D2">
              <w:rPr>
                <w:rFonts w:eastAsia="Times New Roman" w:cs="Arial"/>
                <w:b/>
                <w:bCs/>
                <w:color w:val="EDEDED"/>
                <w:lang w:eastAsia="es-MX"/>
              </w:rPr>
              <w:t>Importe PP</w:t>
            </w:r>
            <w:r>
              <w:rPr>
                <w:rFonts w:eastAsia="Times New Roman" w:cs="Arial"/>
                <w:b/>
                <w:bCs/>
                <w:color w:val="EDEDED"/>
                <w:lang w:eastAsia="es-MX"/>
              </w:rPr>
              <w:t xml:space="preserve"> </w:t>
            </w:r>
            <w:r w:rsidRPr="004454D2">
              <w:rPr>
                <w:rFonts w:eastAsia="Times New Roman" w:cs="Arial"/>
                <w:b/>
                <w:bCs/>
                <w:color w:val="EDEDED"/>
                <w:lang w:eastAsia="es-MX"/>
              </w:rPr>
              <w:t>(Pesos)</w:t>
            </w:r>
          </w:p>
        </w:tc>
        <w:tc>
          <w:tcPr>
            <w:tcW w:w="1815" w:type="dxa"/>
            <w:tcBorders>
              <w:top w:val="single" w:sz="4" w:space="0" w:color="auto"/>
              <w:left w:val="nil"/>
              <w:bottom w:val="single" w:sz="4" w:space="0" w:color="auto"/>
              <w:right w:val="single" w:sz="4" w:space="0" w:color="auto"/>
            </w:tcBorders>
            <w:shd w:val="clear" w:color="auto" w:fill="4B4B4B"/>
            <w:vAlign w:val="center"/>
            <w:hideMark/>
          </w:tcPr>
          <w:p w:rsidR="006118E4" w:rsidRPr="004454D2" w:rsidRDefault="006118E4" w:rsidP="0056150B">
            <w:pPr>
              <w:jc w:val="center"/>
              <w:rPr>
                <w:rFonts w:eastAsia="Times New Roman" w:cs="Arial"/>
                <w:b/>
                <w:bCs/>
                <w:color w:val="EDEDED"/>
                <w:lang w:eastAsia="es-MX"/>
              </w:rPr>
            </w:pPr>
            <w:r w:rsidRPr="004454D2">
              <w:rPr>
                <w:rFonts w:eastAsia="Times New Roman" w:cs="Arial"/>
                <w:b/>
                <w:bCs/>
                <w:color w:val="EDEDED"/>
                <w:lang w:eastAsia="es-MX"/>
              </w:rPr>
              <w:t>Importe jóvenes (Pesos)</w:t>
            </w:r>
          </w:p>
        </w:tc>
        <w:tc>
          <w:tcPr>
            <w:tcW w:w="1147" w:type="dxa"/>
            <w:tcBorders>
              <w:top w:val="single" w:sz="4" w:space="0" w:color="auto"/>
              <w:left w:val="nil"/>
              <w:bottom w:val="single" w:sz="4" w:space="0" w:color="auto"/>
              <w:right w:val="single" w:sz="4" w:space="0" w:color="auto"/>
            </w:tcBorders>
            <w:shd w:val="clear" w:color="auto" w:fill="4B4B4B"/>
            <w:vAlign w:val="center"/>
            <w:hideMark/>
          </w:tcPr>
          <w:p w:rsidR="006118E4" w:rsidRPr="004454D2" w:rsidRDefault="006118E4" w:rsidP="0056150B">
            <w:pPr>
              <w:tabs>
                <w:tab w:val="left" w:pos="260"/>
              </w:tabs>
              <w:jc w:val="center"/>
              <w:rPr>
                <w:rFonts w:eastAsia="Times New Roman" w:cs="Arial"/>
                <w:b/>
                <w:bCs/>
                <w:color w:val="EDEDED"/>
                <w:lang w:eastAsia="es-MX"/>
              </w:rPr>
            </w:pPr>
            <w:r w:rsidRPr="004454D2">
              <w:rPr>
                <w:rFonts w:eastAsia="Times New Roman" w:cs="Arial"/>
                <w:b/>
                <w:bCs/>
                <w:color w:val="EDEDED"/>
                <w:lang w:eastAsia="es-MX"/>
              </w:rPr>
              <w:t xml:space="preserve">Porcentaje </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1C5202A4">
            <w:pPr>
              <w:ind w:left="-222"/>
              <w:rPr>
                <w:rFonts w:eastAsia="Times New Roman" w:cs="Arial"/>
                <w:color w:val="000000"/>
                <w:lang w:eastAsia="es-MX"/>
              </w:rPr>
            </w:pPr>
            <w:r w:rsidRPr="00EE6AF7">
              <w:rPr>
                <w:rFonts w:eastAsia="Times New Roman" w:cs="Arial"/>
                <w:color w:val="000000"/>
                <w:lang w:eastAsia="es-MX"/>
              </w:rPr>
              <w:t>F</w:t>
            </w:r>
            <w:r w:rsidR="00771647" w:rsidRPr="00EE6AF7">
              <w:rPr>
                <w:rFonts w:eastAsia="Times New Roman" w:cs="Arial"/>
                <w:color w:val="000000"/>
                <w:lang w:eastAsia="es-MX"/>
              </w:rPr>
              <w:t xml:space="preserve"> F</w:t>
            </w:r>
            <w:r w:rsidRPr="00EE6AF7">
              <w:rPr>
                <w:rFonts w:eastAsia="Times New Roman" w:cs="Arial"/>
                <w:color w:val="000000"/>
                <w:lang w:eastAsia="es-MX"/>
              </w:rPr>
              <w:t>ortalecimiento del Sistema de Justicia Penal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525,217,381</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12,271,063</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2.34%</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a Víctimas de Violencia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16,393,761</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1,000,000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6.10%</w:t>
            </w:r>
          </w:p>
        </w:tc>
      </w:tr>
      <w:tr w:rsidR="006118E4" w:rsidRPr="00EE6AF7" w:rsidTr="2EAB6CC5">
        <w:trPr>
          <w:trHeight w:val="315"/>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Asistencia Jurídica al Sector Público y Social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108,268,876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510,077</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0</w:t>
            </w:r>
            <w:r w:rsidR="00EE1306">
              <w:rPr>
                <w:rFonts w:eastAsia="Times New Roman" w:cs="Arial"/>
                <w:color w:val="000000"/>
                <w:lang w:eastAsia="es-MX"/>
              </w:rPr>
              <w:t>.47</w:t>
            </w:r>
            <w:r w:rsidR="007C3E71" w:rsidRPr="004454D2">
              <w:rPr>
                <w:rFonts w:eastAsia="Times New Roman" w:cs="Arial"/>
                <w:color w:val="000000"/>
                <w:lang w:eastAsia="es-MX"/>
              </w:rPr>
              <w:t xml:space="preserve"> </w:t>
            </w:r>
            <w:r w:rsidRPr="004454D2">
              <w:rPr>
                <w:rFonts w:eastAsia="Times New Roman" w:cs="Arial"/>
                <w:color w:val="000000"/>
                <w:lang w:eastAsia="es-MX"/>
              </w:rPr>
              <w:t>%</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a Migrantes</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116,654</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56,000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48.01%</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Reinserción Social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260,926,579</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26,455,297</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10.14%</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del Delito</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35,962,023</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436,572</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1.21%</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Consolidación del Sistema de Seguimiento y Evaluación del Desempeño</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13,518,845</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44,000</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0.33%</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Ampliación de la Cobertura para Acceso a los Servicios Básicos de la Vivienda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172,829,836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101,712,000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59%</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del Embarazo en Adolescentes</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6,214,591</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6,214,591</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100.00%</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y Control de VIH, SIDA e Infecciones de Transmisión Sexual</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8,124,890</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4,692,386</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57.75%</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Promoción, Prevención y Atención Integral de la Salud Mental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19,869,688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10,102,408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50.84%</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y Promoción de la Salud en la Comunidad</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12,726,868</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723,868</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5.69%</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Promoción, Prevención y Atención Integral de Enfermedades Relacionadas con la Nutrición</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29,243,168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14,460,378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49.45%</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Integral a la Salud Reproductiva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195,249,595</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9,974,406</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5.11%</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Prestación de Servicios de Salud a la Infancia</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84,450,927</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70,220,498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83.15%</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Cobertura con Equidad en Educación Básica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8,490,036,526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3,486,106,993</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41.06%</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Acceso y Permanencia en Educación Básica</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179,511,626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34,229,356</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19.07%</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Educativa en Media Superior</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719,497,884</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708,958,884</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98.54%</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Acceso y Permanencia en Educación Media Superior</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367,230,043</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366,150,953</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99.71%</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del Rezago Educativo y Analfabetismo</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192,710,864</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37,621,629</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19.52%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Desarrollo del Servicio Profesional Docente</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1,421,582</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1,421,582</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w:t>
            </w:r>
            <w:r>
              <w:rPr>
                <w:rFonts w:eastAsia="Times New Roman" w:cs="Arial"/>
                <w:color w:val="000000"/>
                <w:lang w:eastAsia="es-MX"/>
              </w:rPr>
              <w:t>.00</w:t>
            </w:r>
            <w:r w:rsidRPr="004454D2">
              <w:rPr>
                <w:rFonts w:eastAsia="Times New Roman" w:cs="Arial"/>
                <w:color w:val="000000"/>
                <w:lang w:eastAsia="es-MX"/>
              </w:rPr>
              <w:t>%</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Integral en Alimentación a Personas Sujetas de Asistencia Social</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285,799,508</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172,112,633</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60.22%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Promoción de Calidad y Espacios en la Vivienda</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282,390,241</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248,220,839</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87.90%</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Prestación de Servicios de Salud</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4,525,632,478</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158,361,631</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3.50%</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Impulso al Deporte de Alto Rendimiento</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53,784,930</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27,200,312</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50.57%</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de la Cultura Física y Recreación</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157,222,317</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46,921,258</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29.84%</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y Sensibilización hacia el Consumo Cultural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34,311,378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647,500</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1.89%</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y Difusión de la Cultura Tradicional Yucateca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41,556,047</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2,752,304</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6.62%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Educación para la Profesionalización Artística</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21,737,526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15,825,803</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72.80%</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Preservación, Fomento y Difusión del Patrimonio Histórico, Artístico y Biocultural del Estado de Yucatán</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233,697,926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45,000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0.02%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y Atención Integral del Cáncer en la Mujer</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4,373,708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4,373,708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100.00%</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Asistencia Social a Personas Vulnerables</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146,195,132</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6,052,831</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4.14%</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Promoción y Restitución de Derechos de Niñas, Niños y Adolescentes del Estado de Yucatán</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153,463,982</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138,764,318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90.42%</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Autonomía y Empoderamiento de las Mujeres</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23,144,276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7,548,423</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33%</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y Atención a las Violencias contra las Mujeres</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142,796,779</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84,856,151</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59.42%</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Fortalecimiento de las Instituciones de Educación Superior</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172,066,226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85,623,094</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49.76%</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Mejoramiento de la Calidad en Instituciones de Educación Superior Públicas</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290,254,986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290,038,971</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99.93%</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Eficiencia Terminal en Educación Superior</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121,614,445</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107,284,997</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88.22%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Gestión Eficiente de las Instituciones del Sector Innovación</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169,815,756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121,358,550</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71.46%</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Impulso a la Población Emprendedora y Empresarial con Enfoque de Inclusión</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36,633,194</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13,297,324</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36.30%</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Empleo de Calidad, Incluyente y Formal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17,800,558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1,105,196</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6.21%</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Productividad Laboral</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4,673,896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0.00</w:t>
            </w:r>
            <w:r>
              <w:rPr>
                <w:rFonts w:eastAsia="Times New Roman" w:cs="Arial"/>
                <w:color w:val="000000"/>
                <w:lang w:eastAsia="es-MX"/>
              </w:rPr>
              <w:t>2</w:t>
            </w:r>
            <w:r w:rsidRPr="004454D2">
              <w:rPr>
                <w:rFonts w:eastAsia="Times New Roman" w:cs="Arial"/>
                <w:color w:val="000000"/>
                <w:lang w:eastAsia="es-MX"/>
              </w:rPr>
              <w:t>%</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al Autoempleo para la Población en Situación de Vulnerabilidad</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4,015,876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4,015,876</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100.00%</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Fortalecimiento al Conocimiento Científico, Tecnológico e Innovación</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30,006,071</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13,000,000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43.32%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Vinculación, Promoción y Gestión con el Sector Productivo y Social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6,644,016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5,477,391</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82.44%</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de una Cultura para la Sustentabilidad</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301,500</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90,000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30%</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4B4B4B"/>
            <w:vAlign w:val="center"/>
            <w:hideMark/>
          </w:tcPr>
          <w:p w:rsidR="006118E4" w:rsidRPr="004454D2" w:rsidRDefault="006118E4" w:rsidP="0056150B">
            <w:pPr>
              <w:jc w:val="center"/>
              <w:rPr>
                <w:rFonts w:eastAsia="Times New Roman" w:cs="Arial"/>
                <w:b/>
                <w:bCs/>
                <w:color w:val="EDEDED"/>
                <w:lang w:eastAsia="es-MX"/>
              </w:rPr>
            </w:pPr>
            <w:r w:rsidRPr="004454D2">
              <w:rPr>
                <w:rFonts w:eastAsia="Times New Roman" w:cs="Arial"/>
                <w:b/>
                <w:bCs/>
                <w:color w:val="EDEDED"/>
                <w:lang w:eastAsia="es-MX"/>
              </w:rPr>
              <w:t>Total</w:t>
            </w:r>
          </w:p>
        </w:tc>
        <w:tc>
          <w:tcPr>
            <w:tcW w:w="1890" w:type="dxa"/>
            <w:tcBorders>
              <w:top w:val="nil"/>
              <w:left w:val="nil"/>
              <w:bottom w:val="single" w:sz="4" w:space="0" w:color="auto"/>
              <w:right w:val="single" w:sz="4" w:space="0" w:color="auto"/>
            </w:tcBorders>
            <w:shd w:val="clear" w:color="auto" w:fill="4B4B4B"/>
            <w:noWrap/>
            <w:vAlign w:val="center"/>
            <w:hideMark/>
          </w:tcPr>
          <w:p w:rsidR="006118E4" w:rsidRPr="004454D2" w:rsidRDefault="006118E4" w:rsidP="0056150B">
            <w:pPr>
              <w:jc w:val="right"/>
              <w:rPr>
                <w:rFonts w:eastAsia="Times New Roman" w:cs="Arial"/>
                <w:b/>
                <w:bCs/>
                <w:color w:val="EDEDED"/>
                <w:lang w:eastAsia="es-MX"/>
              </w:rPr>
            </w:pPr>
            <w:r w:rsidRPr="004454D2">
              <w:rPr>
                <w:rFonts w:eastAsia="Times New Roman" w:cs="Arial"/>
                <w:b/>
                <w:bCs/>
                <w:color w:val="EDEDED"/>
                <w:lang w:eastAsia="es-MX"/>
              </w:rPr>
              <w:t>18,399,454,959</w:t>
            </w:r>
          </w:p>
        </w:tc>
        <w:tc>
          <w:tcPr>
            <w:tcW w:w="1815" w:type="dxa"/>
            <w:tcBorders>
              <w:top w:val="nil"/>
              <w:left w:val="nil"/>
              <w:bottom w:val="single" w:sz="4" w:space="0" w:color="auto"/>
              <w:right w:val="single" w:sz="4" w:space="0" w:color="auto"/>
            </w:tcBorders>
            <w:shd w:val="clear" w:color="auto" w:fill="4B4B4B"/>
            <w:noWrap/>
            <w:vAlign w:val="center"/>
            <w:hideMark/>
          </w:tcPr>
          <w:p w:rsidR="006118E4" w:rsidRPr="004454D2" w:rsidRDefault="006118E4" w:rsidP="0056150B">
            <w:pPr>
              <w:jc w:val="right"/>
              <w:rPr>
                <w:rFonts w:eastAsia="Times New Roman" w:cs="Arial"/>
                <w:b/>
                <w:bCs/>
                <w:color w:val="EDEDED"/>
                <w:lang w:eastAsia="es-MX"/>
              </w:rPr>
            </w:pPr>
            <w:r w:rsidRPr="004454D2">
              <w:rPr>
                <w:rFonts w:eastAsia="Times New Roman" w:cs="Arial"/>
                <w:b/>
                <w:bCs/>
                <w:color w:val="EDEDED"/>
                <w:lang w:eastAsia="es-MX"/>
              </w:rPr>
              <w:t>6,448,337,151</w:t>
            </w:r>
          </w:p>
        </w:tc>
        <w:tc>
          <w:tcPr>
            <w:tcW w:w="1147" w:type="dxa"/>
            <w:tcBorders>
              <w:top w:val="nil"/>
              <w:left w:val="nil"/>
              <w:bottom w:val="single" w:sz="4" w:space="0" w:color="auto"/>
              <w:right w:val="single" w:sz="4" w:space="0" w:color="auto"/>
            </w:tcBorders>
            <w:shd w:val="clear" w:color="auto" w:fill="4B4B4B"/>
            <w:noWrap/>
            <w:vAlign w:val="center"/>
            <w:hideMark/>
          </w:tcPr>
          <w:p w:rsidR="006118E4" w:rsidRPr="004454D2" w:rsidRDefault="006118E4" w:rsidP="0056150B">
            <w:pPr>
              <w:jc w:val="right"/>
              <w:rPr>
                <w:rFonts w:eastAsia="Times New Roman" w:cs="Arial"/>
                <w:b/>
                <w:bCs/>
                <w:color w:val="FFFFFF"/>
                <w:lang w:eastAsia="es-MX"/>
              </w:rPr>
            </w:pPr>
            <w:r w:rsidRPr="004454D2">
              <w:rPr>
                <w:rFonts w:eastAsia="Times New Roman" w:cs="Arial"/>
                <w:b/>
                <w:bCs/>
                <w:color w:val="FFFFFF"/>
                <w:lang w:eastAsia="es-MX"/>
              </w:rPr>
              <w:t>35%</w:t>
            </w:r>
          </w:p>
        </w:tc>
      </w:tr>
    </w:tbl>
    <w:p w:rsidR="006118E4" w:rsidRPr="00EE6AF7" w:rsidRDefault="006118E4" w:rsidP="006118E4">
      <w:pPr>
        <w:spacing w:after="100" w:afterAutospacing="1"/>
        <w:jc w:val="center"/>
        <w:rPr>
          <w:rFonts w:eastAsia="Arial" w:cs="Arial"/>
          <w:color w:val="000000"/>
          <w:spacing w:val="17"/>
        </w:rPr>
      </w:pPr>
      <w:r w:rsidRPr="00EE6AF7">
        <w:rPr>
          <w:rFonts w:eastAsia="Arial" w:cs="Arial"/>
          <w:color w:val="000000"/>
        </w:rPr>
        <w:t>Fuente: Elaboración propia.</w:t>
      </w:r>
    </w:p>
    <w:p w:rsidR="006118E4" w:rsidRPr="00EE6AF7" w:rsidRDefault="006118E4" w:rsidP="006118E4">
      <w:pPr>
        <w:autoSpaceDE w:val="0"/>
        <w:autoSpaceDN w:val="0"/>
        <w:adjustRightInd w:val="0"/>
        <w:spacing w:before="100" w:beforeAutospacing="1" w:after="100" w:afterAutospacing="1"/>
        <w:rPr>
          <w:rFonts w:eastAsia="Arial" w:cs="Arial"/>
          <w:color w:val="000000"/>
          <w:w w:val="103"/>
        </w:rPr>
      </w:pPr>
      <w:r w:rsidRPr="00EE6AF7">
        <w:rPr>
          <w:rFonts w:eastAsia="Arial" w:cs="Arial"/>
          <w:color w:val="000000"/>
          <w:w w:val="103"/>
        </w:rPr>
        <w:t>Los programas, actividades institucionales, obras y acciones que conforman el Anexo contribuyen al cumplimiento de 8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84.62% de la inversión jóvenes; en segundo lugar el Objetivo 11 Lograr que las ciudades y los asentamientos humanos sean inclusivos, seguros, resilientes y sostenibles.</w:t>
      </w:r>
    </w:p>
    <w:p w:rsidR="006118E4" w:rsidRPr="00EE6AF7" w:rsidRDefault="006118E4" w:rsidP="006118E4">
      <w:pPr>
        <w:autoSpaceDE w:val="0"/>
        <w:autoSpaceDN w:val="0"/>
        <w:adjustRightInd w:val="0"/>
        <w:spacing w:before="100" w:beforeAutospacing="1" w:after="100" w:afterAutospacing="1"/>
        <w:rPr>
          <w:rFonts w:eastAsia="Arial" w:cs="Arial"/>
          <w:color w:val="000000"/>
          <w:w w:val="103"/>
        </w:rPr>
      </w:pPr>
      <w:r w:rsidRPr="00EE6AF7">
        <w:rPr>
          <w:rFonts w:eastAsia="Arial" w:cs="Arial"/>
          <w:color w:val="000000"/>
          <w:w w:val="103"/>
        </w:rPr>
        <w:t xml:space="preserve">A </w:t>
      </w:r>
      <w:r w:rsidR="00514E11" w:rsidRPr="00EE6AF7">
        <w:rPr>
          <w:rFonts w:eastAsia="Arial" w:cs="Arial"/>
          <w:color w:val="000000"/>
          <w:w w:val="103"/>
        </w:rPr>
        <w:t>continuación,</w:t>
      </w:r>
      <w:r w:rsidRPr="00EE6AF7">
        <w:rPr>
          <w:rFonts w:eastAsia="Arial" w:cs="Arial"/>
          <w:color w:val="000000"/>
          <w:w w:val="103"/>
        </w:rPr>
        <w:t xml:space="preserve"> se muestra las asignaciones para cada uno de los 8 Objetivos de Desarrollo Sostenible en la tabla 4.</w:t>
      </w:r>
    </w:p>
    <w:p w:rsidR="006118E4" w:rsidRPr="00EE6AF7" w:rsidRDefault="006118E4" w:rsidP="006118E4">
      <w:pPr>
        <w:spacing w:before="100" w:beforeAutospacing="1" w:after="100" w:afterAutospacing="1"/>
        <w:jc w:val="center"/>
        <w:rPr>
          <w:rFonts w:eastAsia="Arial" w:cs="Arial"/>
          <w:b/>
          <w:color w:val="000000"/>
        </w:rPr>
      </w:pPr>
      <w:r w:rsidRPr="00EE6AF7">
        <w:rPr>
          <w:rFonts w:eastAsia="Arial" w:cs="Arial"/>
          <w:b/>
          <w:color w:val="000000"/>
        </w:rPr>
        <w:t>Tabla 4. Asignaciones presupuestales por Objetivo de Desarrollo Sostenible</w:t>
      </w:r>
    </w:p>
    <w:tbl>
      <w:tblPr>
        <w:tblW w:w="5000" w:type="pct"/>
        <w:tblCellMar>
          <w:left w:w="70" w:type="dxa"/>
          <w:right w:w="70" w:type="dxa"/>
        </w:tblCellMar>
        <w:tblLook w:val="04A0" w:firstRow="1" w:lastRow="0" w:firstColumn="1" w:lastColumn="0" w:noHBand="0" w:noVBand="1"/>
      </w:tblPr>
      <w:tblGrid>
        <w:gridCol w:w="8903"/>
        <w:gridCol w:w="2257"/>
      </w:tblGrid>
      <w:tr w:rsidR="006118E4" w:rsidRPr="00EE6AF7" w:rsidTr="006118E4">
        <w:trPr>
          <w:trHeight w:val="454"/>
          <w:tblHeader/>
        </w:trPr>
        <w:tc>
          <w:tcPr>
            <w:tcW w:w="3989" w:type="pct"/>
            <w:tcBorders>
              <w:top w:val="single" w:sz="4" w:space="0" w:color="auto"/>
              <w:left w:val="single" w:sz="4" w:space="0" w:color="auto"/>
              <w:bottom w:val="single" w:sz="4" w:space="0" w:color="auto"/>
              <w:right w:val="single" w:sz="4" w:space="0" w:color="auto"/>
            </w:tcBorders>
            <w:shd w:val="clear" w:color="auto" w:fill="4B4B4B"/>
            <w:vAlign w:val="center"/>
            <w:hideMark/>
          </w:tcPr>
          <w:p w:rsidR="006118E4" w:rsidRPr="007565AF" w:rsidRDefault="006118E4" w:rsidP="0056150B">
            <w:pPr>
              <w:jc w:val="center"/>
              <w:rPr>
                <w:rFonts w:eastAsia="Times New Roman" w:cs="Arial"/>
                <w:b/>
                <w:bCs/>
                <w:color w:val="EDEDED"/>
                <w:lang w:eastAsia="es-MX"/>
              </w:rPr>
            </w:pPr>
            <w:r w:rsidRPr="007565AF">
              <w:rPr>
                <w:rFonts w:eastAsia="Times New Roman" w:cs="Arial"/>
                <w:b/>
                <w:bCs/>
                <w:color w:val="EDEDED"/>
                <w:lang w:eastAsia="es-MX"/>
              </w:rPr>
              <w:t xml:space="preserve">Objetivos de Desarrollo Sostenible </w:t>
            </w:r>
          </w:p>
        </w:tc>
        <w:tc>
          <w:tcPr>
            <w:tcW w:w="1011" w:type="pct"/>
            <w:tcBorders>
              <w:top w:val="single" w:sz="4" w:space="0" w:color="auto"/>
              <w:left w:val="nil"/>
              <w:bottom w:val="single" w:sz="4" w:space="0" w:color="auto"/>
              <w:right w:val="single" w:sz="4" w:space="0" w:color="auto"/>
            </w:tcBorders>
            <w:shd w:val="clear" w:color="auto" w:fill="4B4B4B"/>
            <w:noWrap/>
            <w:vAlign w:val="center"/>
            <w:hideMark/>
          </w:tcPr>
          <w:p w:rsidR="006118E4" w:rsidRPr="007565AF" w:rsidRDefault="006118E4" w:rsidP="0056150B">
            <w:pPr>
              <w:jc w:val="center"/>
              <w:rPr>
                <w:rFonts w:eastAsia="Times New Roman" w:cs="Arial"/>
                <w:b/>
                <w:bCs/>
                <w:color w:val="EDEDED"/>
                <w:lang w:eastAsia="es-MX"/>
              </w:rPr>
            </w:pPr>
            <w:r w:rsidRPr="007565AF">
              <w:rPr>
                <w:rFonts w:eastAsia="Times New Roman" w:cs="Arial"/>
                <w:b/>
                <w:bCs/>
                <w:color w:val="EDEDED"/>
                <w:lang w:eastAsia="es-MX"/>
              </w:rPr>
              <w:t>Importe (pesos)</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auto"/>
            <w:vAlign w:val="center"/>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1.</w:t>
            </w:r>
            <w:r w:rsidRPr="007565AF">
              <w:rPr>
                <w:rFonts w:eastAsia="Times New Roman" w:cs="Arial"/>
                <w:color w:val="000000"/>
                <w:lang w:eastAsia="es-MX"/>
              </w:rPr>
              <w:t xml:space="preserve"> Poner fin a la pobreza en todas sus formas en todo el mundo</w:t>
            </w:r>
          </w:p>
        </w:tc>
        <w:tc>
          <w:tcPr>
            <w:tcW w:w="1011" w:type="pct"/>
            <w:tcBorders>
              <w:top w:val="nil"/>
              <w:left w:val="nil"/>
              <w:bottom w:val="single" w:sz="4" w:space="0" w:color="auto"/>
              <w:right w:val="single" w:sz="4" w:space="0" w:color="auto"/>
            </w:tcBorders>
            <w:shd w:val="clear" w:color="auto" w:fill="auto"/>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6,052,831</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EDEDED"/>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2.</w:t>
            </w:r>
            <w:r w:rsidRPr="007565AF">
              <w:rPr>
                <w:rFonts w:eastAsia="Times New Roman" w:cs="Arial"/>
                <w:color w:val="000000"/>
                <w:lang w:eastAsia="es-MX"/>
              </w:rPr>
              <w:t xml:space="preserve"> Poner fin al hambre, lograr la seguridad alimentaria y la mejora de la nutrición y promover la agricultura sostenible</w:t>
            </w:r>
          </w:p>
        </w:tc>
        <w:tc>
          <w:tcPr>
            <w:tcW w:w="1011" w:type="pct"/>
            <w:tcBorders>
              <w:top w:val="nil"/>
              <w:left w:val="nil"/>
              <w:bottom w:val="single" w:sz="4" w:space="0" w:color="auto"/>
              <w:right w:val="single" w:sz="4" w:space="0" w:color="auto"/>
            </w:tcBorders>
            <w:shd w:val="clear" w:color="auto" w:fill="EDEDED"/>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173,939,033</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auto"/>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3.</w:t>
            </w:r>
            <w:r w:rsidRPr="007565AF">
              <w:rPr>
                <w:rFonts w:eastAsia="Times New Roman" w:cs="Arial"/>
                <w:color w:val="000000"/>
                <w:lang w:eastAsia="es-MX"/>
              </w:rPr>
              <w:t xml:space="preserve"> Garantizar una vida sana y promover el bienestar para todos en todas las edades</w:t>
            </w:r>
          </w:p>
        </w:tc>
        <w:tc>
          <w:tcPr>
            <w:tcW w:w="1011" w:type="pct"/>
            <w:tcBorders>
              <w:top w:val="nil"/>
              <w:left w:val="nil"/>
              <w:bottom w:val="single" w:sz="4" w:space="0" w:color="auto"/>
              <w:right w:val="single" w:sz="4" w:space="0" w:color="auto"/>
            </w:tcBorders>
            <w:shd w:val="clear" w:color="auto" w:fill="auto"/>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279,397,186</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EDEDED"/>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4.</w:t>
            </w:r>
            <w:r w:rsidRPr="007565AF">
              <w:rPr>
                <w:rFonts w:eastAsia="Times New Roman" w:cs="Arial"/>
                <w:color w:val="000000"/>
                <w:lang w:eastAsia="es-MX"/>
              </w:rPr>
              <w:t xml:space="preserve"> Garantizar una educación inclusiva, equitativa y de calidad y promover oportunidades de aprendizaje durante toda la vida para todos</w:t>
            </w:r>
          </w:p>
        </w:tc>
        <w:tc>
          <w:tcPr>
            <w:tcW w:w="1011" w:type="pct"/>
            <w:tcBorders>
              <w:top w:val="nil"/>
              <w:left w:val="nil"/>
              <w:bottom w:val="single" w:sz="4" w:space="0" w:color="auto"/>
              <w:right w:val="single" w:sz="4" w:space="0" w:color="auto"/>
            </w:tcBorders>
            <w:shd w:val="clear" w:color="auto" w:fill="EDEDED"/>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5,268,665,307</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auto"/>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5.</w:t>
            </w:r>
            <w:r w:rsidRPr="007565AF">
              <w:rPr>
                <w:rFonts w:eastAsia="Times New Roman" w:cs="Arial"/>
                <w:color w:val="000000"/>
                <w:lang w:eastAsia="es-MX"/>
              </w:rPr>
              <w:t xml:space="preserve"> Lograr la igualdad entre los géneros y empoderar a todas las mujeres y las niñas</w:t>
            </w:r>
          </w:p>
        </w:tc>
        <w:tc>
          <w:tcPr>
            <w:tcW w:w="1011" w:type="pct"/>
            <w:tcBorders>
              <w:top w:val="nil"/>
              <w:left w:val="nil"/>
              <w:bottom w:val="single" w:sz="4" w:space="0" w:color="auto"/>
              <w:right w:val="single" w:sz="4" w:space="0" w:color="auto"/>
            </w:tcBorders>
            <w:shd w:val="clear" w:color="auto" w:fill="auto"/>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95,444,738</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EDEDED"/>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8.</w:t>
            </w:r>
            <w:r w:rsidRPr="007565AF">
              <w:rPr>
                <w:rFonts w:eastAsia="Times New Roman" w:cs="Arial"/>
                <w:color w:val="000000"/>
                <w:lang w:eastAsia="es-MX"/>
              </w:rPr>
              <w:t xml:space="preserve"> Promover el crecimiento económico sostenido, inclusivo y sostenible, el empleo pleno y productivo y el trabajo decente para todos</w:t>
            </w:r>
          </w:p>
        </w:tc>
        <w:tc>
          <w:tcPr>
            <w:tcW w:w="1011" w:type="pct"/>
            <w:tcBorders>
              <w:top w:val="nil"/>
              <w:left w:val="nil"/>
              <w:bottom w:val="single" w:sz="4" w:space="0" w:color="auto"/>
              <w:right w:val="single" w:sz="4" w:space="0" w:color="auto"/>
            </w:tcBorders>
            <w:shd w:val="clear" w:color="auto" w:fill="EDEDED"/>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15,535,308</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auto"/>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16.</w:t>
            </w:r>
            <w:r w:rsidRPr="007565AF">
              <w:rPr>
                <w:rFonts w:eastAsia="Times New Roman" w:cs="Arial"/>
                <w:color w:val="000000"/>
                <w:lang w:eastAsia="es-MX"/>
              </w:rPr>
              <w:t xml:space="preserve"> Promover sociedades pacíficas e inclusivas para el desarrollo sostenible, facilitar el acceso a la justicia para todos y crear instituciones eficaces, responsables e inclusivas a todos los niveles</w:t>
            </w:r>
          </w:p>
        </w:tc>
        <w:tc>
          <w:tcPr>
            <w:tcW w:w="1011" w:type="pct"/>
            <w:tcBorders>
              <w:top w:val="nil"/>
              <w:left w:val="nil"/>
              <w:bottom w:val="single" w:sz="4" w:space="0" w:color="auto"/>
              <w:right w:val="single" w:sz="4" w:space="0" w:color="auto"/>
            </w:tcBorders>
            <w:shd w:val="clear" w:color="auto" w:fill="auto"/>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36,724,828</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EDEDED"/>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11.</w:t>
            </w:r>
            <w:r w:rsidRPr="007565AF">
              <w:rPr>
                <w:rFonts w:eastAsia="Times New Roman" w:cs="Arial"/>
                <w:color w:val="000000"/>
                <w:lang w:eastAsia="es-MX"/>
              </w:rPr>
              <w:t xml:space="preserve"> Lograr que las ciudades y los asentamientos humanos sean inclusivos, seguros, resilientes y sostenibles</w:t>
            </w:r>
          </w:p>
        </w:tc>
        <w:tc>
          <w:tcPr>
            <w:tcW w:w="1011" w:type="pct"/>
            <w:tcBorders>
              <w:top w:val="nil"/>
              <w:left w:val="nil"/>
              <w:bottom w:val="single" w:sz="4" w:space="0" w:color="auto"/>
              <w:right w:val="single" w:sz="4" w:space="0" w:color="auto"/>
            </w:tcBorders>
            <w:shd w:val="clear" w:color="auto" w:fill="EDEDED"/>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349,932,839</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4B4B4B"/>
            <w:noWrap/>
            <w:vAlign w:val="center"/>
            <w:hideMark/>
          </w:tcPr>
          <w:p w:rsidR="006118E4" w:rsidRPr="007565AF" w:rsidRDefault="006118E4" w:rsidP="0056150B">
            <w:pPr>
              <w:jc w:val="center"/>
              <w:rPr>
                <w:rFonts w:eastAsia="Times New Roman" w:cs="Arial"/>
                <w:b/>
                <w:bCs/>
                <w:color w:val="EDEDED"/>
                <w:lang w:eastAsia="es-MX"/>
              </w:rPr>
            </w:pPr>
            <w:r w:rsidRPr="007565AF">
              <w:rPr>
                <w:rFonts w:eastAsia="Times New Roman" w:cs="Arial"/>
                <w:b/>
                <w:bCs/>
                <w:color w:val="EDEDED"/>
                <w:lang w:eastAsia="es-MX"/>
              </w:rPr>
              <w:t xml:space="preserve">Total general de los objetivos </w:t>
            </w:r>
          </w:p>
        </w:tc>
        <w:tc>
          <w:tcPr>
            <w:tcW w:w="1011" w:type="pct"/>
            <w:tcBorders>
              <w:top w:val="nil"/>
              <w:left w:val="nil"/>
              <w:bottom w:val="single" w:sz="4" w:space="0" w:color="auto"/>
              <w:right w:val="single" w:sz="4" w:space="0" w:color="auto"/>
            </w:tcBorders>
            <w:shd w:val="clear" w:color="auto" w:fill="4B4B4B"/>
            <w:noWrap/>
            <w:vAlign w:val="center"/>
            <w:hideMark/>
          </w:tcPr>
          <w:p w:rsidR="006118E4" w:rsidRPr="007565AF" w:rsidRDefault="006118E4" w:rsidP="0056150B">
            <w:pPr>
              <w:jc w:val="right"/>
              <w:rPr>
                <w:rFonts w:eastAsia="Times New Roman" w:cs="Arial"/>
                <w:b/>
                <w:bCs/>
                <w:color w:val="EDEDED"/>
                <w:lang w:eastAsia="es-MX"/>
              </w:rPr>
            </w:pPr>
            <w:r w:rsidRPr="007565AF">
              <w:rPr>
                <w:rFonts w:eastAsia="Times New Roman" w:cs="Arial"/>
                <w:b/>
                <w:bCs/>
                <w:color w:val="EDEDED"/>
                <w:lang w:eastAsia="es-MX"/>
              </w:rPr>
              <w:t>6,225,692,070</w:t>
            </w:r>
          </w:p>
        </w:tc>
      </w:tr>
    </w:tbl>
    <w:p w:rsidR="006118E4" w:rsidRPr="006118E4" w:rsidRDefault="006118E4" w:rsidP="00D7375A">
      <w:pPr>
        <w:spacing w:before="120"/>
        <w:jc w:val="center"/>
      </w:pPr>
      <w:r w:rsidRPr="00EE6AF7">
        <w:rPr>
          <w:rFonts w:eastAsia="Arial" w:cs="Arial"/>
          <w:color w:val="000000"/>
        </w:rPr>
        <w:t>Fuente: Elaboración propia.</w:t>
      </w:r>
    </w:p>
    <w:p w:rsidR="00FA49E9" w:rsidRDefault="00A11171" w:rsidP="00357431">
      <w:pPr>
        <w:pStyle w:val="Ttulo3"/>
      </w:pPr>
      <w:r>
        <w:br w:type="page"/>
      </w:r>
      <w:bookmarkStart w:id="83" w:name="X073ba29494554d879fcd350e807cc14f9372dac"/>
      <w:bookmarkEnd w:id="82"/>
      <w:r w:rsidR="009C1791">
        <w:t>ANEXO 18.4. ASIGNACIONES PRESUPUESTALES PARA IMPLEMENTAR LAS MEDIDAS DE MITIGACIÓN Y ADAPTACIÓN PARA EL CAMBIO CLIMÁTICO</w:t>
      </w:r>
    </w:p>
    <w:p w:rsidR="00E85FFB" w:rsidRPr="00E85FFB" w:rsidRDefault="00E85FFB" w:rsidP="00E85FFB"/>
    <w:tbl>
      <w:tblPr>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5410"/>
        <w:gridCol w:w="1485"/>
        <w:gridCol w:w="2761"/>
      </w:tblGrid>
      <w:tr w:rsidR="006347FE" w:rsidRPr="00EE6AF7" w:rsidTr="00D7375A">
        <w:trPr>
          <w:trHeight w:val="624"/>
          <w:tblHeader/>
        </w:trPr>
        <w:tc>
          <w:tcPr>
            <w:tcW w:w="1354" w:type="dxa"/>
            <w:shd w:val="clear" w:color="auto" w:fill="777777"/>
            <w:vAlign w:val="center"/>
            <w:hideMark/>
          </w:tcPr>
          <w:p w:rsidR="006347FE" w:rsidRPr="006347FE" w:rsidRDefault="006347FE" w:rsidP="006347FE">
            <w:pPr>
              <w:jc w:val="center"/>
              <w:rPr>
                <w:rFonts w:eastAsia="Times New Roman" w:cs="Arial"/>
                <w:b/>
                <w:bCs/>
                <w:color w:val="FFFFFF"/>
                <w:lang w:eastAsia="es-MX"/>
              </w:rPr>
            </w:pPr>
            <w:r w:rsidRPr="006347FE">
              <w:rPr>
                <w:rFonts w:eastAsia="Times New Roman" w:cs="Arial"/>
                <w:b/>
                <w:bCs/>
                <w:color w:val="FFFFFF"/>
                <w:lang w:eastAsia="es-MX"/>
              </w:rPr>
              <w:t>Institución</w:t>
            </w:r>
          </w:p>
        </w:tc>
        <w:tc>
          <w:tcPr>
            <w:tcW w:w="5410" w:type="dxa"/>
            <w:shd w:val="clear" w:color="auto" w:fill="777777"/>
            <w:vAlign w:val="center"/>
            <w:hideMark/>
          </w:tcPr>
          <w:p w:rsidR="006347FE" w:rsidRPr="006347FE" w:rsidRDefault="006347FE" w:rsidP="006347FE">
            <w:pPr>
              <w:jc w:val="center"/>
              <w:rPr>
                <w:rFonts w:eastAsia="Times New Roman" w:cs="Arial"/>
                <w:b/>
                <w:bCs/>
                <w:color w:val="FFFFFF"/>
                <w:lang w:eastAsia="es-MX"/>
              </w:rPr>
            </w:pPr>
            <w:r w:rsidRPr="006347FE">
              <w:rPr>
                <w:rFonts w:eastAsia="Times New Roman" w:cs="Arial"/>
                <w:b/>
                <w:bCs/>
                <w:color w:val="FFFFFF"/>
                <w:lang w:eastAsia="es-MX"/>
              </w:rPr>
              <w:t>Programa / Proyecto</w:t>
            </w:r>
          </w:p>
        </w:tc>
        <w:tc>
          <w:tcPr>
            <w:tcW w:w="1485" w:type="dxa"/>
            <w:shd w:val="clear" w:color="auto" w:fill="777777"/>
            <w:vAlign w:val="center"/>
            <w:hideMark/>
          </w:tcPr>
          <w:p w:rsidR="006347FE" w:rsidRPr="006347FE" w:rsidRDefault="006347FE" w:rsidP="006347FE">
            <w:pPr>
              <w:jc w:val="center"/>
              <w:rPr>
                <w:rFonts w:eastAsia="Times New Roman" w:cs="Arial"/>
                <w:b/>
                <w:bCs/>
                <w:color w:val="FFFFFF"/>
                <w:lang w:eastAsia="es-MX"/>
              </w:rPr>
            </w:pPr>
            <w:r w:rsidRPr="006347FE">
              <w:rPr>
                <w:rFonts w:eastAsia="Times New Roman" w:cs="Arial"/>
                <w:b/>
                <w:bCs/>
                <w:color w:val="FFFFFF"/>
                <w:lang w:eastAsia="es-MX"/>
              </w:rPr>
              <w:t>Importe</w:t>
            </w:r>
            <w:r w:rsidRPr="006347FE">
              <w:rPr>
                <w:rFonts w:eastAsia="Times New Roman" w:cs="Arial"/>
                <w:b/>
                <w:bCs/>
                <w:color w:val="FFFFFF"/>
                <w:lang w:eastAsia="es-MX"/>
              </w:rPr>
              <w:br/>
              <w:t>(pesos)</w:t>
            </w:r>
          </w:p>
        </w:tc>
        <w:tc>
          <w:tcPr>
            <w:tcW w:w="2761" w:type="dxa"/>
            <w:shd w:val="clear" w:color="auto" w:fill="777777"/>
            <w:vAlign w:val="center"/>
            <w:hideMark/>
          </w:tcPr>
          <w:p w:rsidR="006347FE" w:rsidRPr="006347FE" w:rsidRDefault="006347FE" w:rsidP="006347FE">
            <w:pPr>
              <w:jc w:val="center"/>
              <w:rPr>
                <w:rFonts w:eastAsia="Times New Roman" w:cs="Arial"/>
                <w:b/>
                <w:bCs/>
                <w:color w:val="FFFFFF"/>
                <w:lang w:eastAsia="es-MX"/>
              </w:rPr>
            </w:pPr>
            <w:r w:rsidRPr="006347FE">
              <w:rPr>
                <w:rFonts w:eastAsia="Times New Roman" w:cs="Arial"/>
                <w:b/>
                <w:bCs/>
                <w:color w:val="FFFFFF"/>
                <w:lang w:eastAsia="es-MX"/>
              </w:rPr>
              <w:t>Objetivo de Desarrollo Sostenible (ODS)</w:t>
            </w:r>
          </w:p>
        </w:tc>
      </w:tr>
      <w:tr w:rsidR="006347FE" w:rsidRPr="00EE6AF7" w:rsidTr="00D7375A">
        <w:trPr>
          <w:trHeight w:val="600"/>
        </w:trPr>
        <w:tc>
          <w:tcPr>
            <w:tcW w:w="1354" w:type="dxa"/>
            <w:vMerge w:val="restart"/>
            <w:shd w:val="clear" w:color="auto" w:fill="auto"/>
            <w:vAlign w:val="center"/>
            <w:hideMark/>
          </w:tcPr>
          <w:p w:rsidR="006347FE" w:rsidRPr="006347FE" w:rsidRDefault="006347FE" w:rsidP="006347FE">
            <w:pPr>
              <w:jc w:val="center"/>
              <w:rPr>
                <w:rFonts w:eastAsia="Times New Roman" w:cs="Arial"/>
                <w:color w:val="000000"/>
                <w:lang w:eastAsia="es-MX"/>
              </w:rPr>
            </w:pPr>
            <w:r w:rsidRPr="006347FE">
              <w:rPr>
                <w:rFonts w:eastAsia="Times New Roman" w:cs="Arial"/>
                <w:color w:val="000000"/>
                <w:lang w:eastAsia="es-MX"/>
              </w:rPr>
              <w:t>SDS</w:t>
            </w: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Elaboración de políticas públicas en el sector ambiental</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1,063,569</w:t>
            </w:r>
          </w:p>
        </w:tc>
        <w:tc>
          <w:tcPr>
            <w:tcW w:w="2761" w:type="dxa"/>
            <w:vMerge w:val="restart"/>
            <w:shd w:val="clear" w:color="auto" w:fill="auto"/>
            <w:vAlign w:val="center"/>
            <w:hideMark/>
          </w:tcPr>
          <w:p w:rsidR="006347FE" w:rsidRPr="006347FE" w:rsidRDefault="006347FE" w:rsidP="006347FE">
            <w:pPr>
              <w:jc w:val="center"/>
              <w:rPr>
                <w:rFonts w:eastAsia="Times New Roman" w:cs="Arial"/>
                <w:color w:val="000000"/>
                <w:lang w:eastAsia="es-MX"/>
              </w:rPr>
            </w:pPr>
            <w:r w:rsidRPr="006347FE">
              <w:rPr>
                <w:rFonts w:eastAsia="Times New Roman" w:cs="Arial"/>
                <w:color w:val="000000"/>
                <w:lang w:eastAsia="es-MX"/>
              </w:rPr>
              <w:t>Objetivo 13. Adoptar medidas urgentes para combatir el cambio climático y sus efectos</w:t>
            </w:r>
          </w:p>
        </w:tc>
      </w:tr>
      <w:tr w:rsidR="006347FE" w:rsidRPr="00EE6AF7" w:rsidTr="00EE6AF7">
        <w:trPr>
          <w:trHeight w:val="9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EDEDED"/>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Realización de pláticas y talleres para la conservación de los recursos naturales en el Parque Ecológico Metropolitano del Sur Yumtsil</w:t>
            </w:r>
          </w:p>
        </w:tc>
        <w:tc>
          <w:tcPr>
            <w:tcW w:w="1485" w:type="dxa"/>
            <w:shd w:val="clear" w:color="auto" w:fill="EDEDED"/>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90,000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 Seguimiento del Programa de Ordenamiento Ecológico Territorial</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40,980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EDEDED"/>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Proporcionar asistencia técnica a los municipios que cuentan con sistemas de manejo integral de residuos sólidos </w:t>
            </w:r>
          </w:p>
        </w:tc>
        <w:tc>
          <w:tcPr>
            <w:tcW w:w="1485" w:type="dxa"/>
            <w:shd w:val="clear" w:color="auto" w:fill="EDEDED"/>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36,500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Evaluación de Licencia Única Ambiental</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70,025,000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Administración del Fideicomiso Ambiental de la Secretaría de Desarrollo Sustentable</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500,000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Programa de producción de plantas nativas con fines de reforestación social y productiva</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800,000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Administración para el aprovechamiento sustentable de Áreas Naturales Protegidas (ANP´s) Estatales y sitios prioritarios</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364,680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1041"/>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Diseño de Sistemas de Información Geográfica para la elaboración de proyectos estratégicos de gestión ambiental sustentable</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20,000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Aprovechamiento sustentable de los Cenotes y Grutas </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98,555</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Regulación de fuentes fijas industriales y móviles de uso intensivo </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20,000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Manejo sustentable para la conservación de especies prioritarias y vida silvestre de la costa Yucateca</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97,000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Gestión costera para la conservación y mejora de las zonas erosionadas</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40,000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 Fortalecimiento de la resiliencia local ante los impactos del cambio climático </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20,000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54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Implementación de políticas públicas en materia de mitigación</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30,000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Implementación de la Estrategia Estatal Hídrica del Estado de Yucatán</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11,020,000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Administración de los recursos del Fondo Ambiental</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13,000,000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shd w:val="clear" w:color="auto" w:fill="F2F2F2"/>
            <w:vAlign w:val="center"/>
            <w:hideMark/>
          </w:tcPr>
          <w:p w:rsidR="006347FE" w:rsidRPr="006347FE" w:rsidRDefault="006347FE" w:rsidP="006347FE">
            <w:pPr>
              <w:jc w:val="center"/>
              <w:rPr>
                <w:rFonts w:eastAsia="Times New Roman" w:cs="Arial"/>
                <w:color w:val="000000"/>
                <w:lang w:eastAsia="es-MX"/>
              </w:rPr>
            </w:pPr>
            <w:r w:rsidRPr="006347FE">
              <w:rPr>
                <w:rFonts w:eastAsia="Times New Roman" w:cs="Arial"/>
                <w:color w:val="000000"/>
                <w:lang w:eastAsia="es-MX"/>
              </w:rPr>
              <w:t>SSY</w:t>
            </w: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Programa de Cambio climático en el Estado de Yucatán</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30,000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312"/>
        </w:trPr>
        <w:tc>
          <w:tcPr>
            <w:tcW w:w="1354" w:type="dxa"/>
            <w:shd w:val="clear" w:color="auto" w:fill="777777"/>
            <w:noWrap/>
            <w:vAlign w:val="bottom"/>
            <w:hideMark/>
          </w:tcPr>
          <w:p w:rsidR="006347FE" w:rsidRPr="006347FE" w:rsidRDefault="006347FE" w:rsidP="006347FE">
            <w:pPr>
              <w:jc w:val="left"/>
              <w:rPr>
                <w:rFonts w:eastAsia="Times New Roman" w:cs="Arial"/>
                <w:color w:val="FFFFFF"/>
                <w:lang w:eastAsia="es-MX"/>
              </w:rPr>
            </w:pPr>
            <w:r w:rsidRPr="006347FE">
              <w:rPr>
                <w:rFonts w:eastAsia="Times New Roman" w:cs="Arial"/>
                <w:color w:val="FFFFFF"/>
                <w:lang w:eastAsia="es-MX"/>
              </w:rPr>
              <w:t> </w:t>
            </w:r>
          </w:p>
        </w:tc>
        <w:tc>
          <w:tcPr>
            <w:tcW w:w="5410" w:type="dxa"/>
            <w:shd w:val="clear" w:color="auto" w:fill="777777"/>
            <w:vAlign w:val="center"/>
            <w:hideMark/>
          </w:tcPr>
          <w:p w:rsidR="006347FE" w:rsidRPr="006347FE" w:rsidRDefault="006347FE" w:rsidP="006347FE">
            <w:pPr>
              <w:jc w:val="right"/>
              <w:rPr>
                <w:rFonts w:eastAsia="Times New Roman" w:cs="Arial"/>
                <w:b/>
                <w:bCs/>
                <w:color w:val="FFFFFF"/>
                <w:lang w:eastAsia="es-MX"/>
              </w:rPr>
            </w:pPr>
            <w:r w:rsidRPr="006347FE">
              <w:rPr>
                <w:rFonts w:eastAsia="Times New Roman" w:cs="Arial"/>
                <w:b/>
                <w:bCs/>
                <w:color w:val="FFFFFF"/>
                <w:lang w:eastAsia="es-MX"/>
              </w:rPr>
              <w:t>Total</w:t>
            </w:r>
          </w:p>
        </w:tc>
        <w:tc>
          <w:tcPr>
            <w:tcW w:w="1485" w:type="dxa"/>
            <w:shd w:val="clear" w:color="auto" w:fill="777777"/>
            <w:noWrap/>
            <w:vAlign w:val="center"/>
            <w:hideMark/>
          </w:tcPr>
          <w:p w:rsidR="006347FE" w:rsidRPr="006347FE" w:rsidRDefault="006347FE" w:rsidP="006347FE">
            <w:pPr>
              <w:jc w:val="right"/>
              <w:rPr>
                <w:rFonts w:eastAsia="Times New Roman" w:cs="Arial"/>
                <w:b/>
                <w:bCs/>
                <w:color w:val="FFFFFF"/>
                <w:lang w:eastAsia="es-MX"/>
              </w:rPr>
            </w:pPr>
            <w:r w:rsidRPr="006347FE">
              <w:rPr>
                <w:rFonts w:eastAsia="Times New Roman" w:cs="Arial"/>
                <w:b/>
                <w:bCs/>
                <w:color w:val="FFFFFF"/>
                <w:lang w:eastAsia="es-MX"/>
              </w:rPr>
              <w:t>97,296,284</w:t>
            </w:r>
          </w:p>
        </w:tc>
        <w:tc>
          <w:tcPr>
            <w:tcW w:w="2761" w:type="dxa"/>
            <w:shd w:val="clear" w:color="auto" w:fill="777777"/>
            <w:vAlign w:val="center"/>
            <w:hideMark/>
          </w:tcPr>
          <w:p w:rsidR="006347FE" w:rsidRPr="006347FE" w:rsidRDefault="006347FE" w:rsidP="006347FE">
            <w:pPr>
              <w:jc w:val="right"/>
              <w:rPr>
                <w:rFonts w:eastAsia="Times New Roman" w:cs="Arial"/>
                <w:b/>
                <w:bCs/>
                <w:color w:val="FFFFFF"/>
                <w:lang w:eastAsia="es-MX"/>
              </w:rPr>
            </w:pPr>
            <w:r w:rsidRPr="006347FE">
              <w:rPr>
                <w:rFonts w:eastAsia="Times New Roman" w:cs="Arial"/>
                <w:b/>
                <w:bCs/>
                <w:color w:val="FFFFFF"/>
                <w:lang w:eastAsia="es-MX"/>
              </w:rPr>
              <w:t> </w:t>
            </w:r>
          </w:p>
        </w:tc>
      </w:tr>
    </w:tbl>
    <w:p w:rsidR="00E85FFB" w:rsidRDefault="00E85FFB"/>
    <w:p w:rsidR="00E85FFB" w:rsidRDefault="00E85FFB">
      <w:pPr>
        <w:jc w:val="left"/>
      </w:pPr>
      <w:r>
        <w:br w:type="page"/>
      </w:r>
    </w:p>
    <w:p w:rsidR="00FA49E9" w:rsidRDefault="00FA49E9"/>
    <w:p w:rsidR="00FA49E9" w:rsidRDefault="009C1791">
      <w:pPr>
        <w:pStyle w:val="Ttulo3"/>
      </w:pPr>
      <w:bookmarkStart w:id="84" w:name="Xca1f55b81766881f44a1b787054a32da12d151b"/>
      <w:bookmarkEnd w:id="83"/>
      <w:r>
        <w:t>ANEXO 18.5. ASIGNACIONES PRESUPUESTALES PARA LA IGUALDAD ENTRE MUJERES Y HOMBRES</w:t>
      </w:r>
    </w:p>
    <w:p w:rsidR="00F04D6E" w:rsidRDefault="00F04D6E">
      <w:pPr>
        <w:jc w:val="left"/>
      </w:pPr>
    </w:p>
    <w:p w:rsidR="00F04D6E" w:rsidRDefault="00F04D6E" w:rsidP="00F04D6E">
      <w:pPr>
        <w:rPr>
          <w:rFonts w:eastAsia="Arial" w:cs="Arial"/>
        </w:rPr>
      </w:pPr>
      <w:r>
        <w:rPr>
          <w:rFonts w:eastAsia="Arial" w:cs="Arial"/>
        </w:rPr>
        <w:t>Este Anexo tiene como objetivo</w:t>
      </w:r>
      <w:r w:rsidRPr="00611A83">
        <w:rPr>
          <w:rFonts w:eastAsia="Arial" w:cs="Arial"/>
        </w:rPr>
        <w:t xml:space="preserve"> servir como herramienta de análisis para</w:t>
      </w:r>
      <w:r>
        <w:rPr>
          <w:rFonts w:eastAsia="Arial" w:cs="Arial"/>
        </w:rPr>
        <w:t xml:space="preserve"> mejorar la transparencia del presupuesto de egresos al</w:t>
      </w:r>
      <w:r w:rsidRPr="00611A83">
        <w:rPr>
          <w:rFonts w:eastAsia="Arial" w:cs="Arial"/>
        </w:rPr>
        <w:t xml:space="preserve"> visibilizar los montos de inversión que se presupuestan en materia de igualdad entre mujeres </w:t>
      </w:r>
      <w:r>
        <w:rPr>
          <w:rFonts w:eastAsia="Arial" w:cs="Arial"/>
        </w:rPr>
        <w:t>y hombres.</w:t>
      </w:r>
    </w:p>
    <w:p w:rsidR="00D82FFC" w:rsidRDefault="00D82FFC" w:rsidP="00F04D6E">
      <w:pPr>
        <w:rPr>
          <w:rFonts w:eastAsia="Arial" w:cs="Arial"/>
        </w:rPr>
      </w:pPr>
    </w:p>
    <w:p w:rsidR="00F04D6E" w:rsidRDefault="00F04D6E" w:rsidP="00F04D6E">
      <w:pPr>
        <w:rPr>
          <w:rFonts w:eastAsia="Arial" w:cs="Arial"/>
        </w:rPr>
      </w:pPr>
      <w:r w:rsidRPr="00611A83">
        <w:rPr>
          <w:rFonts w:cs="Arial"/>
          <w:b/>
        </w:rPr>
        <w:t>Metodología</w:t>
      </w:r>
      <w:r w:rsidRPr="00611A83">
        <w:rPr>
          <w:rFonts w:eastAsia="Arial" w:cs="Arial"/>
        </w:rPr>
        <w:t xml:space="preserve"> </w:t>
      </w:r>
    </w:p>
    <w:p w:rsidR="00D82FFC" w:rsidRPr="00611A83" w:rsidRDefault="00D82FFC" w:rsidP="00F04D6E">
      <w:pPr>
        <w:rPr>
          <w:rFonts w:eastAsia="Arial" w:cs="Arial"/>
        </w:rPr>
      </w:pPr>
    </w:p>
    <w:p w:rsidR="00F04D6E" w:rsidRDefault="00F04D6E" w:rsidP="00F04D6E">
      <w:pPr>
        <w:rPr>
          <w:rFonts w:eastAsia="Arial" w:cs="Arial"/>
        </w:rPr>
      </w:pPr>
      <w:r w:rsidRPr="00611A83">
        <w:rPr>
          <w:rFonts w:eastAsia="Arial" w:cs="Arial"/>
        </w:rPr>
        <w:t xml:space="preserve">Para la elaboración de este Anexo, el primer paso consiste en tomar como elemento </w:t>
      </w:r>
      <w:r>
        <w:rPr>
          <w:rFonts w:eastAsia="Arial" w:cs="Arial"/>
        </w:rPr>
        <w:t xml:space="preserve">de análisis los programas, actividades institucionales, obras y acciones del Anteproyecto, en los que se establecen para el año fiscal los objetivos, los entregables con las metas </w:t>
      </w:r>
      <w:r w:rsidRPr="00611A83">
        <w:rPr>
          <w:rFonts w:eastAsia="Arial" w:cs="Arial"/>
        </w:rPr>
        <w:t xml:space="preserve">y el presupuesto destinado para producir los bienes, servicios, subsidios, ayudas, actividades institucionales o los servicios personales. </w:t>
      </w:r>
    </w:p>
    <w:p w:rsidR="00D31C25" w:rsidRPr="00611A83" w:rsidRDefault="00D31C25" w:rsidP="00F04D6E">
      <w:pPr>
        <w:rPr>
          <w:rFonts w:eastAsia="Arial" w:cs="Arial"/>
        </w:rPr>
      </w:pPr>
    </w:p>
    <w:p w:rsidR="00F04D6E" w:rsidRDefault="00F04D6E" w:rsidP="00F04D6E">
      <w:pPr>
        <w:rPr>
          <w:rFonts w:eastAsia="Arial" w:cs="Arial"/>
        </w:rPr>
      </w:pPr>
      <w:r>
        <w:rPr>
          <w:rFonts w:eastAsia="Arial" w:cs="Arial"/>
        </w:rPr>
        <w:t>Se revisaron el contenido de las intervenciones</w:t>
      </w:r>
      <w:r w:rsidRPr="00611A83">
        <w:rPr>
          <w:rFonts w:eastAsia="Arial" w:cs="Arial"/>
        </w:rPr>
        <w:t xml:space="preserve">, identificando palabras como igualdad, equidad, género, mujeres, niñas, perspectiva de género, violencia contra las mujeres, entre otras que pudieran dar como referencia la atención a las mujeres, además de acciones para reducir brechas y que contribuyan a la igualdad. </w:t>
      </w:r>
    </w:p>
    <w:p w:rsidR="00D31C25" w:rsidRPr="00611A83" w:rsidRDefault="00D31C25" w:rsidP="00F04D6E">
      <w:pPr>
        <w:rPr>
          <w:rFonts w:eastAsia="Arial" w:cs="Arial"/>
        </w:rPr>
      </w:pPr>
    </w:p>
    <w:p w:rsidR="00F04D6E" w:rsidRDefault="00F04D6E" w:rsidP="00F04D6E">
      <w:pPr>
        <w:rPr>
          <w:rFonts w:eastAsia="Arial" w:cs="Arial"/>
        </w:rPr>
      </w:pPr>
      <w:r>
        <w:rPr>
          <w:rFonts w:eastAsia="Arial" w:cs="Arial"/>
        </w:rPr>
        <w:t>En este análisis n</w:t>
      </w:r>
      <w:r w:rsidRPr="00611A83">
        <w:rPr>
          <w:rFonts w:eastAsia="Arial" w:cs="Arial"/>
        </w:rPr>
        <w:t>o se conside</w:t>
      </w:r>
      <w:r>
        <w:rPr>
          <w:rFonts w:eastAsia="Arial" w:cs="Arial"/>
        </w:rPr>
        <w:t>raron las intervenciones</w:t>
      </w:r>
      <w:r w:rsidRPr="00611A83">
        <w:rPr>
          <w:rFonts w:eastAsia="Arial" w:cs="Arial"/>
        </w:rPr>
        <w:t xml:space="preserve"> que incluyen los gastos generales de las oficinas, tales como suministro de servicios básicos, arrendamientos, entre otros, ya que no tienen impacto en la igualdad entre mujeres y hombres.</w:t>
      </w:r>
    </w:p>
    <w:p w:rsidR="00D31C25" w:rsidRPr="00611A83" w:rsidRDefault="00D31C25" w:rsidP="00F04D6E">
      <w:pPr>
        <w:rPr>
          <w:rFonts w:eastAsia="Arial" w:cs="Arial"/>
        </w:rPr>
      </w:pPr>
    </w:p>
    <w:p w:rsidR="00F04D6E" w:rsidRDefault="00F04D6E" w:rsidP="00F04D6E">
      <w:pPr>
        <w:rPr>
          <w:rFonts w:eastAsia="Arial" w:cs="Arial"/>
        </w:rPr>
      </w:pPr>
      <w:r>
        <w:rPr>
          <w:rFonts w:eastAsia="Arial" w:cs="Arial"/>
        </w:rPr>
        <w:t>Posteriormente, las intervenciones</w:t>
      </w:r>
      <w:r w:rsidRPr="00611A83">
        <w:rPr>
          <w:rFonts w:eastAsia="Arial" w:cs="Arial"/>
        </w:rPr>
        <w:t xml:space="preserve"> seleccionadas se agruparon a partir de los derechos humanos de las mujeres, tomando como base la clasificación promovida por el Instituto Nacional de las Mujeres, sustentada en los ordenamientos legislativos vigentes en México</w:t>
      </w:r>
      <w:r w:rsidRPr="00611A83">
        <w:rPr>
          <w:rFonts w:eastAsia="Arial" w:cs="Arial"/>
          <w:vertAlign w:val="superscript"/>
        </w:rPr>
        <w:footnoteReference w:id="18"/>
      </w:r>
      <w:r w:rsidRPr="00611A83">
        <w:rPr>
          <w:rFonts w:eastAsia="Arial" w:cs="Arial"/>
        </w:rPr>
        <w:t>. Para cada derecho, se identificaron temas específicos que permitieron conceptualizarlos para tener una mayor claridad del ámbito de que abarca cada uno de ellos.</w:t>
      </w:r>
    </w:p>
    <w:p w:rsidR="00D31C25" w:rsidRPr="00611A83" w:rsidRDefault="00D31C25" w:rsidP="00F04D6E">
      <w:pPr>
        <w:rPr>
          <w:rFonts w:eastAsia="Arial" w:cs="Arial"/>
        </w:rPr>
      </w:pPr>
    </w:p>
    <w:p w:rsidR="00F04D6E" w:rsidRDefault="00F04D6E" w:rsidP="00F04D6E">
      <w:pPr>
        <w:rPr>
          <w:rFonts w:eastAsia="Arial" w:cs="Arial"/>
        </w:rPr>
      </w:pPr>
      <w:r w:rsidRPr="00611A83">
        <w:rPr>
          <w:rFonts w:eastAsia="Arial" w:cs="Arial"/>
        </w:rPr>
        <w:t xml:space="preserve">A </w:t>
      </w:r>
      <w:r w:rsidR="00D31C25" w:rsidRPr="00611A83">
        <w:rPr>
          <w:rFonts w:eastAsia="Arial" w:cs="Arial"/>
        </w:rPr>
        <w:t>continuación,</w:t>
      </w:r>
      <w:r w:rsidRPr="00611A83">
        <w:rPr>
          <w:rFonts w:eastAsia="Arial" w:cs="Arial"/>
        </w:rPr>
        <w:t xml:space="preserve"> se presenta el listado de los derechos con sus respectivos temas y conceptualizaciones.</w:t>
      </w:r>
    </w:p>
    <w:p w:rsidR="00D31C25" w:rsidRPr="00611A83" w:rsidRDefault="00D31C25" w:rsidP="00F04D6E">
      <w:pPr>
        <w:rPr>
          <w:rFonts w:eastAsia="Arial" w:cs="Arial"/>
        </w:rPr>
      </w:pPr>
    </w:p>
    <w:p w:rsidR="00F04D6E" w:rsidRPr="00611A83" w:rsidRDefault="00F04D6E" w:rsidP="00F04D6E">
      <w:pPr>
        <w:jc w:val="center"/>
        <w:rPr>
          <w:rFonts w:eastAsia="Arial" w:cs="Arial"/>
          <w:b/>
          <w:bCs/>
          <w:w w:val="103"/>
        </w:rPr>
      </w:pPr>
      <w:r w:rsidRPr="00611A83">
        <w:rPr>
          <w:rFonts w:eastAsia="Arial" w:cs="Arial"/>
          <w:b/>
          <w:bCs/>
          <w:w w:val="103"/>
        </w:rPr>
        <w:t xml:space="preserve">Tabla </w:t>
      </w:r>
      <w:r w:rsidR="00C95CA3" w:rsidRPr="00611A83">
        <w:rPr>
          <w:rFonts w:eastAsia="Arial" w:cs="Arial"/>
          <w:b/>
          <w:bCs/>
          <w:w w:val="103"/>
        </w:rPr>
        <w:fldChar w:fldCharType="begin"/>
      </w:r>
      <w:r w:rsidRPr="00611A83">
        <w:rPr>
          <w:rFonts w:eastAsia="Arial" w:cs="Arial"/>
          <w:b/>
          <w:bCs/>
          <w:w w:val="103"/>
        </w:rPr>
        <w:instrText xml:space="preserve"> SEQ Tabla \* ARABIC </w:instrText>
      </w:r>
      <w:r w:rsidR="00C95CA3" w:rsidRPr="00611A83">
        <w:rPr>
          <w:rFonts w:eastAsia="Arial" w:cs="Arial"/>
          <w:b/>
          <w:bCs/>
          <w:w w:val="103"/>
        </w:rPr>
        <w:fldChar w:fldCharType="separate"/>
      </w:r>
      <w:r w:rsidR="006B7B6C">
        <w:rPr>
          <w:rFonts w:eastAsia="Arial" w:cs="Arial"/>
          <w:b/>
          <w:bCs/>
          <w:noProof/>
          <w:w w:val="103"/>
        </w:rPr>
        <w:t>1</w:t>
      </w:r>
      <w:r w:rsidR="00C95CA3" w:rsidRPr="00611A83">
        <w:rPr>
          <w:rFonts w:eastAsia="Arial" w:cs="Arial"/>
          <w:b/>
          <w:bCs/>
          <w:w w:val="103"/>
        </w:rPr>
        <w:fldChar w:fldCharType="end"/>
      </w:r>
      <w:r w:rsidRPr="00611A83">
        <w:rPr>
          <w:rFonts w:eastAsia="Arial" w:cs="Arial"/>
          <w:b/>
          <w:bCs/>
          <w:w w:val="103"/>
        </w:rPr>
        <w:t xml:space="preserve">. </w:t>
      </w:r>
      <w:r>
        <w:rPr>
          <w:rFonts w:eastAsia="Arial" w:cs="Arial"/>
          <w:b/>
          <w:bCs/>
          <w:w w:val="103"/>
        </w:rPr>
        <w:t>Derechos Humanos de las Mujeres</w:t>
      </w:r>
    </w:p>
    <w:tbl>
      <w:tblPr>
        <w:tblW w:w="1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5899"/>
        <w:gridCol w:w="3288"/>
      </w:tblGrid>
      <w:tr w:rsidR="00D31C30" w:rsidRPr="00EE6AF7" w:rsidTr="00EE6AF7">
        <w:trPr>
          <w:trHeight w:val="694"/>
          <w:tblHeader/>
        </w:trPr>
        <w:tc>
          <w:tcPr>
            <w:tcW w:w="1916" w:type="dxa"/>
            <w:shd w:val="clear" w:color="auto" w:fill="4B4B4B"/>
            <w:vAlign w:val="center"/>
          </w:tcPr>
          <w:p w:rsidR="00F04D6E" w:rsidRPr="00EE6AF7" w:rsidRDefault="00F04D6E" w:rsidP="00EE6AF7">
            <w:pPr>
              <w:jc w:val="center"/>
              <w:rPr>
                <w:rFonts w:eastAsia="Times New Roman" w:cs="Arial"/>
                <w:b/>
                <w:bCs/>
                <w:color w:val="FFFFFF"/>
                <w:lang w:eastAsia="es-MX"/>
              </w:rPr>
            </w:pPr>
            <w:r w:rsidRPr="00EE6AF7">
              <w:rPr>
                <w:rFonts w:eastAsia="Times New Roman" w:cs="Arial"/>
                <w:b/>
                <w:color w:val="FFFFFF"/>
                <w:lang w:eastAsia="es-MX"/>
              </w:rPr>
              <w:t>Derechos de las mujeres</w:t>
            </w:r>
          </w:p>
        </w:tc>
        <w:tc>
          <w:tcPr>
            <w:tcW w:w="5899" w:type="dxa"/>
            <w:shd w:val="clear" w:color="auto" w:fill="4B4B4B"/>
            <w:vAlign w:val="center"/>
          </w:tcPr>
          <w:p w:rsidR="00F04D6E" w:rsidRPr="00EE6AF7" w:rsidRDefault="00F04D6E" w:rsidP="00EE6AF7">
            <w:pPr>
              <w:jc w:val="center"/>
              <w:rPr>
                <w:rFonts w:eastAsia="Times New Roman" w:cs="Arial"/>
                <w:b/>
                <w:bCs/>
                <w:color w:val="FFFFFF"/>
                <w:lang w:eastAsia="es-MX"/>
              </w:rPr>
            </w:pPr>
            <w:r w:rsidRPr="00EE6AF7">
              <w:rPr>
                <w:rFonts w:eastAsia="Times New Roman" w:cs="Arial"/>
                <w:b/>
                <w:color w:val="FFFFFF"/>
                <w:lang w:eastAsia="es-MX"/>
              </w:rPr>
              <w:t>Conceptualización</w:t>
            </w:r>
          </w:p>
        </w:tc>
        <w:tc>
          <w:tcPr>
            <w:tcW w:w="3288" w:type="dxa"/>
            <w:shd w:val="clear" w:color="auto" w:fill="4B4B4B"/>
            <w:vAlign w:val="center"/>
          </w:tcPr>
          <w:p w:rsidR="00F04D6E" w:rsidRPr="00EE6AF7" w:rsidRDefault="00F04D6E" w:rsidP="00EE6AF7">
            <w:pPr>
              <w:ind w:right="-108"/>
              <w:jc w:val="center"/>
              <w:rPr>
                <w:rFonts w:eastAsia="Times New Roman" w:cs="Arial"/>
                <w:b/>
                <w:bCs/>
                <w:color w:val="FFFFFF"/>
                <w:lang w:eastAsia="es-MX"/>
              </w:rPr>
            </w:pPr>
            <w:r w:rsidRPr="00EE6AF7">
              <w:rPr>
                <w:rFonts w:eastAsia="Times New Roman" w:cs="Arial"/>
                <w:b/>
                <w:color w:val="FFFFFF"/>
                <w:lang w:eastAsia="es-MX"/>
              </w:rPr>
              <w:t>Temática</w:t>
            </w:r>
          </w:p>
        </w:tc>
      </w:tr>
      <w:tr w:rsidR="00D31C30" w:rsidRPr="00EE6AF7" w:rsidTr="00EE6AF7">
        <w:trPr>
          <w:trHeight w:val="1595"/>
        </w:trPr>
        <w:tc>
          <w:tcPr>
            <w:tcW w:w="1916" w:type="dxa"/>
            <w:tcBorders>
              <w:top w:val="single" w:sz="8" w:space="0" w:color="4472C4"/>
              <w:left w:val="single" w:sz="8" w:space="0" w:color="4472C4"/>
              <w:bottom w:val="single" w:sz="8" w:space="0" w:color="4472C4"/>
            </w:tcBorders>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la educación</w:t>
            </w:r>
          </w:p>
          <w:p w:rsidR="00F04D6E" w:rsidRPr="00EE6AF7" w:rsidRDefault="00F04D6E" w:rsidP="00EE6AF7">
            <w:pPr>
              <w:jc w:val="center"/>
              <w:rPr>
                <w:rFonts w:eastAsia="Times New Roman" w:cs="Arial"/>
                <w:b/>
                <w:bCs/>
                <w:lang w:eastAsia="es-MX"/>
              </w:rPr>
            </w:pPr>
          </w:p>
        </w:tc>
        <w:tc>
          <w:tcPr>
            <w:tcW w:w="5899" w:type="dxa"/>
            <w:tcBorders>
              <w:top w:val="single" w:sz="8" w:space="0" w:color="4472C4"/>
              <w:bottom w:val="single" w:sz="8" w:space="0" w:color="4472C4"/>
            </w:tcBorders>
            <w:shd w:val="clear" w:color="auto" w:fill="auto"/>
            <w:vAlign w:val="center"/>
            <w:hideMark/>
          </w:tcPr>
          <w:p w:rsidR="00F04D6E" w:rsidRPr="00EE6AF7" w:rsidRDefault="00F04D6E" w:rsidP="00D31C25">
            <w:pPr>
              <w:rPr>
                <w:rFonts w:eastAsia="Times New Roman" w:cs="Arial"/>
                <w:bCs/>
                <w:lang w:eastAsia="es-MX"/>
              </w:rPr>
            </w:pPr>
            <w:r w:rsidRPr="00EE6AF7">
              <w:rPr>
                <w:rFonts w:eastAsia="Times New Roman" w:cs="Arial"/>
                <w:lang w:eastAsia="es-MX"/>
              </w:rPr>
              <w:t>Se refiere al derecho a recibir educación no discriminatoria que promueva la solidaridad, equidad y respeto. También incluye acciones para que las mujeres aumenten su nivel educativo y capacitación para mejorar las posibilidades en el mercado laboral.</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Acceso</w:t>
            </w:r>
          </w:p>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Permanencia</w:t>
            </w:r>
          </w:p>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Calidad</w:t>
            </w:r>
          </w:p>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Inclusión</w:t>
            </w:r>
          </w:p>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Educación formal para el trabajo de las mujeres</w:t>
            </w:r>
          </w:p>
        </w:tc>
      </w:tr>
      <w:tr w:rsidR="00D31C30" w:rsidRPr="00EE6AF7" w:rsidTr="00EE6AF7">
        <w:trPr>
          <w:trHeight w:val="1090"/>
        </w:trPr>
        <w:tc>
          <w:tcPr>
            <w:tcW w:w="1916" w:type="dxa"/>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la salud</w:t>
            </w:r>
          </w:p>
        </w:tc>
        <w:tc>
          <w:tcPr>
            <w:tcW w:w="5899" w:type="dxa"/>
            <w:shd w:val="clear" w:color="auto" w:fill="auto"/>
            <w:noWrap/>
            <w:vAlign w:val="center"/>
            <w:hideMark/>
          </w:tcPr>
          <w:p w:rsidR="00F04D6E" w:rsidRPr="00EE6AF7" w:rsidRDefault="00F04D6E" w:rsidP="00D31C25">
            <w:pPr>
              <w:rPr>
                <w:rFonts w:eastAsia="Times New Roman" w:cs="Arial"/>
                <w:lang w:eastAsia="es-MX"/>
              </w:rPr>
            </w:pPr>
            <w:r w:rsidRPr="00EE6AF7">
              <w:rPr>
                <w:rFonts w:eastAsia="Times New Roman" w:cs="Arial"/>
                <w:lang w:eastAsia="es-MX"/>
              </w:rPr>
              <w:t>La salud física y mental es un derecho fundamental; incluye contar con acceso a servicios de salud accesibles y de calidad, que se brinde atención integral con perspectiva de género. También se consideran acciones que busquen contar con una alimentación balanceada que permita el pleno desarrollo de las mujeres.</w:t>
            </w:r>
          </w:p>
        </w:tc>
        <w:tc>
          <w:tcPr>
            <w:tcW w:w="3288" w:type="dxa"/>
            <w:shd w:val="clear" w:color="auto" w:fill="auto"/>
          </w:tcPr>
          <w:p w:rsidR="00F04D6E" w:rsidRPr="00EE6AF7" w:rsidRDefault="00F04D6E" w:rsidP="00EE6AF7">
            <w:pPr>
              <w:pStyle w:val="Prrafodelista"/>
              <w:numPr>
                <w:ilvl w:val="0"/>
                <w:numId w:val="4"/>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Acceso a servicios de salud de calidad</w:t>
            </w:r>
          </w:p>
          <w:p w:rsidR="00F04D6E" w:rsidRPr="00EE6AF7" w:rsidRDefault="00F04D6E" w:rsidP="00EE6AF7">
            <w:pPr>
              <w:pStyle w:val="Prrafodelista"/>
              <w:numPr>
                <w:ilvl w:val="0"/>
                <w:numId w:val="4"/>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Servicios integrales de salud</w:t>
            </w:r>
          </w:p>
          <w:p w:rsidR="00F04D6E" w:rsidRPr="00EE6AF7" w:rsidRDefault="00F04D6E" w:rsidP="00EE6AF7">
            <w:pPr>
              <w:pStyle w:val="Prrafodelista"/>
              <w:numPr>
                <w:ilvl w:val="0"/>
                <w:numId w:val="4"/>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Servicios específicos para la mujer</w:t>
            </w:r>
          </w:p>
          <w:p w:rsidR="00F04D6E" w:rsidRPr="00EE6AF7" w:rsidRDefault="00F04D6E" w:rsidP="00EE6AF7">
            <w:pPr>
              <w:pStyle w:val="Prrafodelista"/>
              <w:numPr>
                <w:ilvl w:val="0"/>
                <w:numId w:val="4"/>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Nutrición y alimentación para la mujer</w:t>
            </w:r>
          </w:p>
        </w:tc>
      </w:tr>
      <w:tr w:rsidR="00D31C30" w:rsidRPr="00EE6AF7" w:rsidTr="00EE6AF7">
        <w:trPr>
          <w:trHeight w:val="1391"/>
        </w:trPr>
        <w:tc>
          <w:tcPr>
            <w:tcW w:w="1916" w:type="dxa"/>
            <w:tcBorders>
              <w:top w:val="single" w:sz="8" w:space="0" w:color="4472C4"/>
              <w:left w:val="single" w:sz="8" w:space="0" w:color="4472C4"/>
              <w:bottom w:val="single" w:sz="8" w:space="0" w:color="4472C4"/>
            </w:tcBorders>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Derechos sexuales y reproductivos</w:t>
            </w:r>
          </w:p>
        </w:tc>
        <w:tc>
          <w:tcPr>
            <w:tcW w:w="5899" w:type="dxa"/>
            <w:tcBorders>
              <w:top w:val="single" w:sz="8" w:space="0" w:color="4472C4"/>
              <w:bottom w:val="single" w:sz="8" w:space="0" w:color="4472C4"/>
            </w:tcBorders>
            <w:shd w:val="clear" w:color="auto" w:fill="auto"/>
            <w:vAlign w:val="center"/>
            <w:hideMark/>
          </w:tcPr>
          <w:p w:rsidR="00F04D6E" w:rsidRPr="00EE6AF7" w:rsidRDefault="00F04D6E" w:rsidP="00D31C25">
            <w:pPr>
              <w:rPr>
                <w:rFonts w:eastAsia="Times New Roman" w:cs="Arial"/>
                <w:lang w:eastAsia="es-MX"/>
              </w:rPr>
            </w:pPr>
            <w:r w:rsidRPr="00EE6AF7">
              <w:rPr>
                <w:rFonts w:eastAsia="Times New Roman" w:cs="Arial"/>
                <w:lang w:eastAsia="es-MX"/>
              </w:rPr>
              <w:t>Implica el desarrollo pleno de la sexualidad, por lo que se requiere acceso a información y educación sexual a fin de ejercer una sexualidad de manera responsable.</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5"/>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Educación sexual</w:t>
            </w:r>
          </w:p>
          <w:p w:rsidR="00F04D6E" w:rsidRPr="00EE6AF7" w:rsidRDefault="00F04D6E" w:rsidP="00EE6AF7">
            <w:pPr>
              <w:pStyle w:val="Prrafodelista"/>
              <w:numPr>
                <w:ilvl w:val="0"/>
                <w:numId w:val="5"/>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Planificación familiar</w:t>
            </w:r>
          </w:p>
        </w:tc>
      </w:tr>
      <w:tr w:rsidR="00D31C30" w:rsidRPr="00EE6AF7" w:rsidTr="00EE6AF7">
        <w:trPr>
          <w:trHeight w:val="872"/>
        </w:trPr>
        <w:tc>
          <w:tcPr>
            <w:tcW w:w="1916" w:type="dxa"/>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una vida libre de violencia</w:t>
            </w:r>
          </w:p>
        </w:tc>
        <w:tc>
          <w:tcPr>
            <w:tcW w:w="5899" w:type="dxa"/>
            <w:shd w:val="clear" w:color="auto" w:fill="auto"/>
            <w:noWrap/>
            <w:vAlign w:val="center"/>
            <w:hideMark/>
          </w:tcPr>
          <w:p w:rsidR="00F04D6E" w:rsidRPr="00EE6AF7" w:rsidRDefault="00F04D6E" w:rsidP="00D31C25">
            <w:pPr>
              <w:rPr>
                <w:rFonts w:eastAsia="Times New Roman" w:cs="Arial"/>
                <w:lang w:eastAsia="es-MX"/>
              </w:rPr>
            </w:pPr>
            <w:r w:rsidRPr="00EE6AF7">
              <w:rPr>
                <w:rFonts w:eastAsia="Times New Roman" w:cs="Arial"/>
                <w:lang w:eastAsia="es-MX"/>
              </w:rPr>
              <w:t>Se refiere a que se prevengan, investiguen y castiguen los actos violentos contra mujeres cometidos por cualquier persona; que no se aludan o apliquen costumbres o tradiciones para justificar la violencia. Implica el derecho a recibir servicios de ayuda adecuada y eficiente para evitar y combatir la violencia.</w:t>
            </w:r>
          </w:p>
        </w:tc>
        <w:tc>
          <w:tcPr>
            <w:tcW w:w="3288" w:type="dxa"/>
            <w:shd w:val="clear" w:color="auto" w:fill="auto"/>
          </w:tcPr>
          <w:p w:rsidR="00F04D6E" w:rsidRPr="00EE6AF7" w:rsidRDefault="00F04D6E" w:rsidP="00EE6AF7">
            <w:pPr>
              <w:pStyle w:val="Prrafodelista"/>
              <w:numPr>
                <w:ilvl w:val="0"/>
                <w:numId w:val="6"/>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Prevención</w:t>
            </w:r>
          </w:p>
          <w:p w:rsidR="00F04D6E" w:rsidRPr="00EE6AF7" w:rsidRDefault="00F04D6E" w:rsidP="00EE6AF7">
            <w:pPr>
              <w:pStyle w:val="Prrafodelista"/>
              <w:numPr>
                <w:ilvl w:val="0"/>
                <w:numId w:val="6"/>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Atención</w:t>
            </w:r>
          </w:p>
          <w:p w:rsidR="00F04D6E" w:rsidRPr="00EE6AF7" w:rsidRDefault="00F04D6E" w:rsidP="00EE6AF7">
            <w:pPr>
              <w:pStyle w:val="Prrafodelista"/>
              <w:numPr>
                <w:ilvl w:val="0"/>
                <w:numId w:val="6"/>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Impartición de justicia</w:t>
            </w:r>
          </w:p>
        </w:tc>
      </w:tr>
      <w:tr w:rsidR="00D31C30" w:rsidRPr="00EE6AF7" w:rsidTr="00EE6AF7">
        <w:trPr>
          <w:trHeight w:val="654"/>
        </w:trPr>
        <w:tc>
          <w:tcPr>
            <w:tcW w:w="1916" w:type="dxa"/>
            <w:tcBorders>
              <w:top w:val="single" w:sz="8" w:space="0" w:color="4472C4"/>
              <w:left w:val="single" w:sz="8" w:space="0" w:color="4472C4"/>
              <w:bottom w:val="single" w:sz="8" w:space="0" w:color="4472C4"/>
            </w:tcBorders>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al trabajo</w:t>
            </w:r>
          </w:p>
        </w:tc>
        <w:tc>
          <w:tcPr>
            <w:tcW w:w="5899" w:type="dxa"/>
            <w:tcBorders>
              <w:top w:val="single" w:sz="8" w:space="0" w:color="4472C4"/>
              <w:bottom w:val="single" w:sz="8" w:space="0" w:color="4472C4"/>
            </w:tcBorders>
            <w:shd w:val="clear" w:color="auto" w:fill="auto"/>
            <w:noWrap/>
            <w:vAlign w:val="center"/>
            <w:hideMark/>
          </w:tcPr>
          <w:p w:rsidR="00F04D6E" w:rsidRPr="00EE6AF7" w:rsidRDefault="00F04D6E" w:rsidP="00D31C25">
            <w:pPr>
              <w:rPr>
                <w:rFonts w:eastAsia="Times New Roman" w:cs="Arial"/>
                <w:lang w:eastAsia="es-MX"/>
              </w:rPr>
            </w:pPr>
            <w:r w:rsidRPr="00EE6AF7">
              <w:rPr>
                <w:rFonts w:eastAsia="Times New Roman" w:cs="Arial"/>
                <w:lang w:eastAsia="es-MX"/>
              </w:rPr>
              <w:t>El derecho al trabajo incluye el derecho a recibir salario justo e igual al que perciben los hombres por el mismo trabajo, a que se cuenten con horarios que permitan compartir equitativamente las responsabilidades familiares, que no se discrimine a las mujeres para ocupar un puesto.</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Igualdad de oportunidades</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Igualdad de trato</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Igualdad de pago</w:t>
            </w:r>
          </w:p>
        </w:tc>
      </w:tr>
      <w:tr w:rsidR="00D31C30" w:rsidRPr="00EE6AF7" w:rsidTr="00EE6AF7">
        <w:trPr>
          <w:trHeight w:val="654"/>
        </w:trPr>
        <w:tc>
          <w:tcPr>
            <w:tcW w:w="1916" w:type="dxa"/>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al desarrollo</w:t>
            </w:r>
          </w:p>
        </w:tc>
        <w:tc>
          <w:tcPr>
            <w:tcW w:w="5899" w:type="dxa"/>
            <w:shd w:val="clear" w:color="auto" w:fill="auto"/>
            <w:noWrap/>
            <w:vAlign w:val="center"/>
          </w:tcPr>
          <w:p w:rsidR="00F04D6E" w:rsidRPr="00EE6AF7" w:rsidRDefault="00F04D6E" w:rsidP="00D31C25">
            <w:pPr>
              <w:rPr>
                <w:rFonts w:eastAsia="Times New Roman" w:cs="Arial"/>
                <w:lang w:eastAsia="es-MX"/>
              </w:rPr>
            </w:pPr>
            <w:r w:rsidRPr="00EE6AF7">
              <w:rPr>
                <w:rFonts w:eastAsia="Times New Roman" w:cs="Arial"/>
                <w:lang w:eastAsia="es-MX"/>
              </w:rPr>
              <w:t>Implica la distribución equitativa de bienes, patrimonios, ingresos y servicios, el derecho a una vida digna y con bienestar.</w:t>
            </w:r>
          </w:p>
        </w:tc>
        <w:tc>
          <w:tcPr>
            <w:tcW w:w="3288" w:type="dxa"/>
            <w:shd w:val="clear" w:color="auto" w:fill="auto"/>
          </w:tcPr>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Acceso a la propiedad</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Vivienda</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Acceso al crédito para la actividad económica</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Acceso equitativo a los beneficios del desarrollo</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Deporte</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Cultura y recreación</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Asistencia social</w:t>
            </w:r>
          </w:p>
        </w:tc>
      </w:tr>
      <w:tr w:rsidR="00D31C30" w:rsidRPr="00EE6AF7" w:rsidTr="00EE6AF7">
        <w:trPr>
          <w:trHeight w:val="654"/>
        </w:trPr>
        <w:tc>
          <w:tcPr>
            <w:tcW w:w="1916" w:type="dxa"/>
            <w:tcBorders>
              <w:top w:val="single" w:sz="8" w:space="0" w:color="4472C4"/>
              <w:left w:val="single" w:sz="8" w:space="0" w:color="4472C4"/>
              <w:bottom w:val="single" w:sz="8" w:space="0" w:color="4472C4"/>
            </w:tcBorders>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la participación política</w:t>
            </w:r>
          </w:p>
        </w:tc>
        <w:tc>
          <w:tcPr>
            <w:tcW w:w="5899" w:type="dxa"/>
            <w:tcBorders>
              <w:top w:val="single" w:sz="8" w:space="0" w:color="4472C4"/>
              <w:bottom w:val="single" w:sz="8" w:space="0" w:color="4472C4"/>
            </w:tcBorders>
            <w:shd w:val="clear" w:color="auto" w:fill="auto"/>
            <w:noWrap/>
            <w:vAlign w:val="center"/>
          </w:tcPr>
          <w:p w:rsidR="00F04D6E" w:rsidRPr="00EE6AF7" w:rsidRDefault="00F04D6E" w:rsidP="00D31C25">
            <w:pPr>
              <w:rPr>
                <w:rFonts w:eastAsia="Times New Roman" w:cs="Arial"/>
                <w:lang w:eastAsia="es-MX"/>
              </w:rPr>
            </w:pPr>
            <w:r w:rsidRPr="00EE6AF7">
              <w:rPr>
                <w:rFonts w:eastAsia="Times New Roman" w:cs="Arial"/>
                <w:lang w:eastAsia="es-MX"/>
              </w:rPr>
              <w:t>Es el derecho a participar activamente y de manera equitativa en instituciones gubernamentales, a tomar decisiones en igualdad de condiciones que los hombres tanto en el ámbito privado como el público, y el derecho a recibir capacitación para fomentar el liderazgo.</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Capacitación en materia de liderazgo</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Promoción y difusión de derechos políticos</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Participación política en puestos de elección popular y cargos de toma de decisiones en instituciones públicas</w:t>
            </w:r>
          </w:p>
        </w:tc>
      </w:tr>
      <w:tr w:rsidR="00D31C30" w:rsidRPr="00EE6AF7" w:rsidTr="00EE6AF7">
        <w:trPr>
          <w:trHeight w:val="654"/>
        </w:trPr>
        <w:tc>
          <w:tcPr>
            <w:tcW w:w="1916" w:type="dxa"/>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un ambiente sano</w:t>
            </w:r>
          </w:p>
        </w:tc>
        <w:tc>
          <w:tcPr>
            <w:tcW w:w="5899" w:type="dxa"/>
            <w:shd w:val="clear" w:color="auto" w:fill="auto"/>
            <w:noWrap/>
            <w:vAlign w:val="center"/>
          </w:tcPr>
          <w:p w:rsidR="00F04D6E" w:rsidRPr="00EE6AF7" w:rsidRDefault="00F04D6E" w:rsidP="00D31C25">
            <w:pPr>
              <w:rPr>
                <w:rFonts w:eastAsia="Times New Roman" w:cs="Arial"/>
                <w:lang w:eastAsia="es-MX"/>
              </w:rPr>
            </w:pPr>
            <w:r w:rsidRPr="00EE6AF7">
              <w:rPr>
                <w:rFonts w:eastAsia="Times New Roman" w:cs="Arial"/>
                <w:lang w:eastAsia="es-MX"/>
              </w:rPr>
              <w:t>Implica el derecho a recibir capacitación y educación para un manejo adecuado de los recursos naturales y en la conservación del medio ambiente, el uso de tecnologías limpias, participar en la toma de decisiones relacionadas con el medio ambiente.</w:t>
            </w:r>
          </w:p>
        </w:tc>
        <w:tc>
          <w:tcPr>
            <w:tcW w:w="3288" w:type="dxa"/>
            <w:shd w:val="clear" w:color="auto" w:fill="auto"/>
          </w:tcPr>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Participación en planes y políticas de desarrollo ecológico territorial</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Educación y capacitación para el cuidado de los recursos naturales considerando la perspectiva de género</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Participación en actividades para tener un ambiente sano y manejo de los recursos naturales</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Uso de tecnología que mejore la salud y conserve el planeta</w:t>
            </w:r>
          </w:p>
        </w:tc>
      </w:tr>
      <w:tr w:rsidR="00D31C30" w:rsidRPr="00EE6AF7" w:rsidTr="00EE6AF7">
        <w:trPr>
          <w:trHeight w:val="654"/>
        </w:trPr>
        <w:tc>
          <w:tcPr>
            <w:tcW w:w="1916" w:type="dxa"/>
            <w:tcBorders>
              <w:top w:val="single" w:sz="8" w:space="0" w:color="4472C4"/>
              <w:left w:val="single" w:sz="8" w:space="0" w:color="4472C4"/>
              <w:bottom w:val="single" w:sz="8" w:space="0" w:color="4472C4"/>
            </w:tcBorders>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la información</w:t>
            </w:r>
          </w:p>
        </w:tc>
        <w:tc>
          <w:tcPr>
            <w:tcW w:w="5899" w:type="dxa"/>
            <w:tcBorders>
              <w:top w:val="single" w:sz="8" w:space="0" w:color="4472C4"/>
              <w:bottom w:val="single" w:sz="8" w:space="0" w:color="4472C4"/>
            </w:tcBorders>
            <w:shd w:val="clear" w:color="auto" w:fill="auto"/>
            <w:noWrap/>
            <w:vAlign w:val="center"/>
          </w:tcPr>
          <w:p w:rsidR="00F04D6E" w:rsidRPr="00EE6AF7" w:rsidRDefault="00F04D6E" w:rsidP="00D31C25">
            <w:pPr>
              <w:rPr>
                <w:rFonts w:eastAsia="Times New Roman" w:cs="Arial"/>
                <w:lang w:eastAsia="es-MX"/>
              </w:rPr>
            </w:pPr>
            <w:r w:rsidRPr="00EE6AF7">
              <w:rPr>
                <w:rFonts w:eastAsia="Times New Roman" w:cs="Arial"/>
                <w:lang w:eastAsia="es-MX"/>
              </w:rPr>
              <w:t>Implica al derecho a recibir información, que los medios de comunicación no promuevan discriminación o violencia contra las mujeres, derecho a la libre expresión.</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Medios masivos de comunicación</w:t>
            </w:r>
            <w:r w:rsidRPr="00EE6AF7">
              <w:rPr>
                <w:rFonts w:ascii="Arial" w:eastAsia="Times New Roman" w:hAnsi="Arial" w:cs="Arial"/>
                <w:sz w:val="16"/>
                <w:szCs w:val="24"/>
                <w:lang w:val="es-ES_tradnl" w:eastAsia="es-MX"/>
              </w:rPr>
              <w:footnoteReference w:id="19"/>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Espacios de libertad de expresión para las mujeres</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Acceso a la información pública</w:t>
            </w:r>
          </w:p>
        </w:tc>
      </w:tr>
    </w:tbl>
    <w:p w:rsidR="00F04D6E" w:rsidRPr="00611A83" w:rsidRDefault="00F04D6E" w:rsidP="00F04D6E">
      <w:pPr>
        <w:jc w:val="center"/>
        <w:rPr>
          <w:rFonts w:eastAsia="Arial" w:cs="Arial"/>
        </w:rPr>
      </w:pPr>
      <w:r w:rsidRPr="00611A83">
        <w:rPr>
          <w:rFonts w:eastAsia="Arial" w:cs="Arial"/>
        </w:rPr>
        <w:t>Fuente: Elaboración propia basada en Derechos Humanos de las Mujeres (Inmujeres, 2007).</w:t>
      </w:r>
    </w:p>
    <w:p w:rsidR="00F04D6E" w:rsidRPr="00611A83" w:rsidRDefault="00F04D6E" w:rsidP="00F04D6E">
      <w:pPr>
        <w:rPr>
          <w:rFonts w:cs="Arial"/>
        </w:rPr>
      </w:pPr>
      <w:r w:rsidRPr="00611A83">
        <w:rPr>
          <w:rFonts w:cs="Arial"/>
        </w:rPr>
        <w:t xml:space="preserve">Para definir las categorías de análisis </w:t>
      </w:r>
      <w:r w:rsidR="00D31C25" w:rsidRPr="00611A83">
        <w:rPr>
          <w:rFonts w:cs="Arial"/>
        </w:rPr>
        <w:t>de acuerdo con</w:t>
      </w:r>
      <w:r w:rsidRPr="00611A83">
        <w:rPr>
          <w:rFonts w:cs="Arial"/>
        </w:rPr>
        <w:t xml:space="preserve"> la asignación de los recursos, se hizo una revisión y adaptación de las categorías utilizadas en la metodología elaborada por el Fondo de las Naciones Unidas para la Infancia (Unicef) en el análisis de la inversión en infancia y adolescencia</w:t>
      </w:r>
      <w:r w:rsidRPr="00611A83">
        <w:rPr>
          <w:rFonts w:cs="Arial"/>
          <w:vertAlign w:val="superscript"/>
        </w:rPr>
        <w:footnoteReference w:id="20"/>
      </w:r>
      <w:r w:rsidRPr="00611A83">
        <w:rPr>
          <w:rFonts w:cs="Arial"/>
        </w:rPr>
        <w:t xml:space="preserve">. A fin de hacer un adecuado análisis de las asignaciones presupuestales para la igualdad entre mujeres y hombres, se establecieron las siguientes. </w:t>
      </w:r>
    </w:p>
    <w:p w:rsidR="00F04D6E" w:rsidRDefault="00F04D6E" w:rsidP="00F04D6E">
      <w:pPr>
        <w:jc w:val="center"/>
        <w:rPr>
          <w:rFonts w:eastAsia="Arial" w:cs="Arial"/>
          <w:b/>
          <w:bCs/>
          <w:w w:val="103"/>
        </w:rPr>
      </w:pPr>
    </w:p>
    <w:p w:rsidR="00F04D6E" w:rsidRPr="00611A83" w:rsidRDefault="00F04D6E" w:rsidP="00F04D6E">
      <w:pPr>
        <w:jc w:val="center"/>
        <w:rPr>
          <w:rFonts w:eastAsia="Arial" w:cs="Arial"/>
          <w:b/>
          <w:bCs/>
          <w:w w:val="103"/>
        </w:rPr>
      </w:pPr>
      <w:r w:rsidRPr="00611A83">
        <w:rPr>
          <w:rFonts w:eastAsia="Arial" w:cs="Arial"/>
          <w:b/>
          <w:bCs/>
          <w:w w:val="103"/>
        </w:rPr>
        <w:t xml:space="preserve">Tabla </w:t>
      </w:r>
      <w:r w:rsidR="00C95CA3" w:rsidRPr="00611A83">
        <w:rPr>
          <w:rFonts w:eastAsia="Arial" w:cs="Arial"/>
          <w:b/>
          <w:bCs/>
          <w:w w:val="103"/>
        </w:rPr>
        <w:fldChar w:fldCharType="begin"/>
      </w:r>
      <w:r w:rsidRPr="00611A83">
        <w:rPr>
          <w:rFonts w:eastAsia="Arial" w:cs="Arial"/>
          <w:b/>
          <w:bCs/>
          <w:w w:val="103"/>
        </w:rPr>
        <w:instrText xml:space="preserve"> SEQ Tabla \* ARABIC </w:instrText>
      </w:r>
      <w:r w:rsidR="00C95CA3" w:rsidRPr="00611A83">
        <w:rPr>
          <w:rFonts w:eastAsia="Arial" w:cs="Arial"/>
          <w:b/>
          <w:bCs/>
          <w:w w:val="103"/>
        </w:rPr>
        <w:fldChar w:fldCharType="separate"/>
      </w:r>
      <w:r w:rsidR="006B7B6C">
        <w:rPr>
          <w:rFonts w:eastAsia="Arial" w:cs="Arial"/>
          <w:b/>
          <w:bCs/>
          <w:noProof/>
          <w:w w:val="103"/>
        </w:rPr>
        <w:t>2</w:t>
      </w:r>
      <w:r w:rsidR="00C95CA3" w:rsidRPr="00611A83">
        <w:rPr>
          <w:rFonts w:eastAsia="Arial" w:cs="Arial"/>
          <w:b/>
          <w:bCs/>
          <w:w w:val="103"/>
        </w:rPr>
        <w:fldChar w:fldCharType="end"/>
      </w:r>
      <w:r>
        <w:rPr>
          <w:rFonts w:eastAsia="Arial" w:cs="Arial"/>
          <w:b/>
          <w:bCs/>
          <w:w w:val="103"/>
        </w:rPr>
        <w:t>. Especificidad de la inversión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9155"/>
      </w:tblGrid>
      <w:tr w:rsidR="00D31C30" w:rsidRPr="00EE6AF7" w:rsidTr="00EE6AF7">
        <w:trPr>
          <w:trHeight w:val="266"/>
          <w:tblHeader/>
        </w:trPr>
        <w:tc>
          <w:tcPr>
            <w:tcW w:w="926" w:type="pct"/>
            <w:tcBorders>
              <w:top w:val="single" w:sz="8" w:space="0" w:color="ED7D31"/>
              <w:bottom w:val="single" w:sz="8" w:space="0" w:color="ED7D31"/>
            </w:tcBorders>
            <w:shd w:val="clear" w:color="auto" w:fill="4B4B4B"/>
          </w:tcPr>
          <w:p w:rsidR="00F04D6E" w:rsidRPr="00EE6AF7" w:rsidRDefault="00F04D6E" w:rsidP="00EE6AF7">
            <w:pPr>
              <w:spacing w:line="276" w:lineRule="auto"/>
              <w:jc w:val="center"/>
              <w:rPr>
                <w:rFonts w:eastAsia="Times New Roman" w:cs="Arial"/>
                <w:b/>
                <w:color w:val="FFFFFF"/>
                <w:lang w:eastAsia="es-MX"/>
              </w:rPr>
            </w:pPr>
            <w:r w:rsidRPr="00EE6AF7">
              <w:rPr>
                <w:rFonts w:eastAsia="Times New Roman" w:cs="Arial"/>
                <w:b/>
                <w:color w:val="FFFFFF"/>
                <w:lang w:eastAsia="es-MX"/>
              </w:rPr>
              <w:t>Tipo de inversión</w:t>
            </w:r>
          </w:p>
        </w:tc>
        <w:tc>
          <w:tcPr>
            <w:tcW w:w="4074" w:type="pct"/>
            <w:tcBorders>
              <w:top w:val="single" w:sz="8" w:space="0" w:color="ED7D31"/>
              <w:bottom w:val="single" w:sz="8" w:space="0" w:color="ED7D31"/>
            </w:tcBorders>
            <w:shd w:val="clear" w:color="auto" w:fill="4B4B4B"/>
            <w:vAlign w:val="center"/>
          </w:tcPr>
          <w:p w:rsidR="00F04D6E" w:rsidRPr="00EE6AF7" w:rsidRDefault="00F04D6E" w:rsidP="00EE6AF7">
            <w:pPr>
              <w:spacing w:line="276" w:lineRule="auto"/>
              <w:jc w:val="center"/>
              <w:rPr>
                <w:rFonts w:eastAsia="Times New Roman" w:cs="Arial"/>
                <w:b/>
                <w:bCs/>
                <w:color w:val="FFFFFF"/>
                <w:lang w:eastAsia="es-MX"/>
              </w:rPr>
            </w:pPr>
            <w:r w:rsidRPr="00EE6AF7">
              <w:rPr>
                <w:rFonts w:eastAsia="Times New Roman" w:cs="Arial"/>
                <w:b/>
                <w:bCs/>
                <w:color w:val="FFFFFF"/>
                <w:lang w:eastAsia="es-MX"/>
              </w:rPr>
              <w:t>Definición</w:t>
            </w:r>
          </w:p>
        </w:tc>
      </w:tr>
      <w:tr w:rsidR="00F15631" w:rsidRPr="00EE6AF7" w:rsidTr="00EE6AF7">
        <w:trPr>
          <w:trHeight w:val="886"/>
        </w:trPr>
        <w:tc>
          <w:tcPr>
            <w:tcW w:w="926" w:type="pct"/>
            <w:tcBorders>
              <w:left w:val="nil"/>
              <w:right w:val="nil"/>
            </w:tcBorders>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lang w:eastAsia="es-MX"/>
              </w:rPr>
              <w:t>Inversión Específica</w:t>
            </w:r>
          </w:p>
        </w:tc>
        <w:tc>
          <w:tcPr>
            <w:tcW w:w="4074" w:type="pct"/>
            <w:tcBorders>
              <w:left w:val="nil"/>
              <w:right w:val="nil"/>
            </w:tcBorders>
            <w:shd w:val="clear" w:color="auto" w:fill="auto"/>
            <w:vAlign w:val="center"/>
            <w:hideMark/>
          </w:tcPr>
          <w:p w:rsidR="00F04D6E" w:rsidRPr="00EE6AF7" w:rsidRDefault="00F04D6E" w:rsidP="0056150B">
            <w:pPr>
              <w:rPr>
                <w:rFonts w:eastAsia="Times New Roman" w:cs="Arial"/>
                <w:b/>
                <w:bCs/>
                <w:lang w:eastAsia="es-MX"/>
              </w:rPr>
            </w:pPr>
            <w:r w:rsidRPr="00EE6AF7">
              <w:rPr>
                <w:rFonts w:eastAsia="Times New Roman" w:cs="Arial"/>
                <w:lang w:eastAsia="es-MX"/>
              </w:rPr>
              <w:t>Es la destinada a aquellas intervenciones que entregan bienes o servicios directamente a las mujeres para asegurar el cumplimiento de sus derechos.</w:t>
            </w:r>
          </w:p>
        </w:tc>
      </w:tr>
      <w:tr w:rsidR="00F15631" w:rsidRPr="00EE6AF7" w:rsidTr="00EE6AF7">
        <w:trPr>
          <w:trHeight w:val="810"/>
        </w:trPr>
        <w:tc>
          <w:tcPr>
            <w:tcW w:w="926" w:type="pct"/>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lang w:eastAsia="es-MX"/>
              </w:rPr>
              <w:t>Inversión específica para la igualdad</w:t>
            </w:r>
          </w:p>
        </w:tc>
        <w:tc>
          <w:tcPr>
            <w:tcW w:w="4074" w:type="pct"/>
            <w:shd w:val="clear" w:color="auto" w:fill="auto"/>
            <w:vAlign w:val="center"/>
            <w:hideMark/>
          </w:tcPr>
          <w:p w:rsidR="00F04D6E" w:rsidRPr="00EE6AF7" w:rsidRDefault="00F04D6E" w:rsidP="0056150B">
            <w:pPr>
              <w:rPr>
                <w:rFonts w:eastAsia="Times New Roman" w:cs="Arial"/>
                <w:lang w:eastAsia="es-MX"/>
              </w:rPr>
            </w:pPr>
            <w:r w:rsidRPr="00EE6AF7">
              <w:rPr>
                <w:rFonts w:eastAsia="Arial" w:cs="Arial"/>
              </w:rPr>
              <w:t>Aquella destinada a las intervenciones que proveen bienes y servicios a la población en general con el objetivo de reducir las brechas de género; por ejemplo, campañas de difusión de derechos de la mujer, la aplicación de medidas afirmativas</w:t>
            </w:r>
            <w:r w:rsidRPr="00EE6AF7">
              <w:rPr>
                <w:rFonts w:cs="Arial"/>
                <w:vertAlign w:val="superscript"/>
              </w:rPr>
              <w:footnoteReference w:id="21"/>
            </w:r>
            <w:r w:rsidRPr="00EE6AF7">
              <w:rPr>
                <w:rFonts w:eastAsia="Arial" w:cs="Arial"/>
              </w:rPr>
              <w:t>, o la implementación de acciones para la transversalización de la perspectiva de género en programas públicos</w:t>
            </w:r>
            <w:r w:rsidRPr="00EE6AF7">
              <w:rPr>
                <w:rFonts w:eastAsia="Times New Roman" w:cs="Arial"/>
                <w:lang w:eastAsia="es-MX"/>
              </w:rPr>
              <w:t>.</w:t>
            </w:r>
          </w:p>
        </w:tc>
      </w:tr>
      <w:tr w:rsidR="00F15631" w:rsidRPr="00EE6AF7" w:rsidTr="00EE6AF7">
        <w:trPr>
          <w:trHeight w:val="871"/>
        </w:trPr>
        <w:tc>
          <w:tcPr>
            <w:tcW w:w="926" w:type="pct"/>
            <w:tcBorders>
              <w:left w:val="nil"/>
              <w:right w:val="nil"/>
            </w:tcBorders>
            <w:shd w:val="clear" w:color="auto" w:fill="auto"/>
            <w:vAlign w:val="center"/>
            <w:hideMark/>
          </w:tcPr>
          <w:p w:rsidR="00F04D6E" w:rsidRPr="00EE6AF7" w:rsidRDefault="00F04D6E" w:rsidP="00EE6AF7">
            <w:pPr>
              <w:spacing w:line="276" w:lineRule="auto"/>
              <w:jc w:val="center"/>
              <w:rPr>
                <w:rFonts w:eastAsia="Times New Roman" w:cs="Arial"/>
                <w:b/>
                <w:bCs/>
                <w:lang w:eastAsia="es-MX"/>
              </w:rPr>
            </w:pPr>
            <w:r w:rsidRPr="00EE6AF7">
              <w:rPr>
                <w:rFonts w:eastAsia="Times New Roman" w:cs="Arial"/>
                <w:b/>
                <w:lang w:eastAsia="es-MX"/>
              </w:rPr>
              <w:t>Inversión agéntica</w:t>
            </w:r>
          </w:p>
        </w:tc>
        <w:tc>
          <w:tcPr>
            <w:tcW w:w="4074" w:type="pct"/>
            <w:tcBorders>
              <w:left w:val="nil"/>
              <w:right w:val="nil"/>
            </w:tcBorders>
            <w:shd w:val="clear" w:color="auto" w:fill="auto"/>
            <w:vAlign w:val="center"/>
            <w:hideMark/>
          </w:tcPr>
          <w:p w:rsidR="00F04D6E" w:rsidRPr="00EE6AF7" w:rsidRDefault="00F04D6E" w:rsidP="0056150B">
            <w:pPr>
              <w:rPr>
                <w:rFonts w:eastAsia="Times New Roman" w:cs="Arial"/>
                <w:lang w:eastAsia="es-MX"/>
              </w:rPr>
            </w:pPr>
            <w:r w:rsidRPr="00EE6AF7">
              <w:rPr>
                <w:rFonts w:eastAsia="Arial" w:cs="Arial"/>
              </w:rPr>
              <w:t>La destinada a aquellas intervenciones que promueven el fortalecimiento de los agentes que actúan a favor de las mujeres (todo el personal que se enfoca de forma exclusiva a la atención de mujeres como profesionales en el campo de la psicología, medicina o abogacía. Se consideran los sueldos y salarios del personal de instituciones como el Hospital Materno-Infantil, Centro de Justicia para las Mujeres, entre otros). Un criterio de elección es que los agentes atiendan de manera exclusiva a las mujeres; de no ser así, la inversión se considera como ampliada.</w:t>
            </w:r>
          </w:p>
        </w:tc>
      </w:tr>
      <w:tr w:rsidR="00F15631" w:rsidRPr="00EE6AF7" w:rsidTr="00EE6AF7">
        <w:trPr>
          <w:trHeight w:val="817"/>
        </w:trPr>
        <w:tc>
          <w:tcPr>
            <w:tcW w:w="926" w:type="pct"/>
            <w:shd w:val="clear" w:color="auto" w:fill="auto"/>
            <w:vAlign w:val="center"/>
            <w:hideMark/>
          </w:tcPr>
          <w:p w:rsidR="00F04D6E" w:rsidRPr="00EE6AF7" w:rsidRDefault="00F04D6E" w:rsidP="00EE6AF7">
            <w:pPr>
              <w:spacing w:line="276" w:lineRule="auto"/>
              <w:jc w:val="center"/>
              <w:rPr>
                <w:rFonts w:eastAsia="Times New Roman" w:cs="Arial"/>
                <w:b/>
                <w:bCs/>
                <w:lang w:eastAsia="es-MX"/>
              </w:rPr>
            </w:pPr>
            <w:r w:rsidRPr="00EE6AF7">
              <w:rPr>
                <w:rFonts w:eastAsia="Times New Roman" w:cs="Arial"/>
                <w:b/>
                <w:lang w:eastAsia="es-MX"/>
              </w:rPr>
              <w:t>Inversión Ampliada</w:t>
            </w:r>
          </w:p>
        </w:tc>
        <w:tc>
          <w:tcPr>
            <w:tcW w:w="4074" w:type="pct"/>
            <w:shd w:val="clear" w:color="auto" w:fill="auto"/>
            <w:vAlign w:val="center"/>
            <w:hideMark/>
          </w:tcPr>
          <w:p w:rsidR="00F04D6E" w:rsidRPr="00EE6AF7" w:rsidRDefault="00F04D6E" w:rsidP="0056150B">
            <w:pPr>
              <w:rPr>
                <w:rFonts w:eastAsia="Times New Roman" w:cs="Arial"/>
                <w:lang w:eastAsia="es-MX"/>
              </w:rPr>
            </w:pPr>
            <w:r w:rsidRPr="00EE6AF7">
              <w:rPr>
                <w:rFonts w:eastAsia="Arial" w:cs="Arial"/>
              </w:rPr>
              <w:t>Se refiere al presupuesto asignado a aquellas intervenciones que atienden a grupos donde las mujeres representan una fracción significativa de la población objetivo y atendida.</w:t>
            </w:r>
          </w:p>
        </w:tc>
      </w:tr>
      <w:tr w:rsidR="00F15631" w:rsidRPr="00EE6AF7" w:rsidTr="00EE6AF7">
        <w:trPr>
          <w:trHeight w:val="1793"/>
        </w:trPr>
        <w:tc>
          <w:tcPr>
            <w:tcW w:w="926" w:type="pct"/>
            <w:tcBorders>
              <w:left w:val="nil"/>
              <w:right w:val="nil"/>
            </w:tcBorders>
            <w:shd w:val="clear" w:color="auto" w:fill="auto"/>
            <w:vAlign w:val="center"/>
          </w:tcPr>
          <w:p w:rsidR="00F04D6E" w:rsidRPr="00EE6AF7" w:rsidRDefault="00F04D6E" w:rsidP="00EE6AF7">
            <w:pPr>
              <w:jc w:val="center"/>
              <w:rPr>
                <w:rFonts w:eastAsia="Arial" w:cs="Arial"/>
                <w:b/>
                <w:bCs/>
              </w:rPr>
            </w:pPr>
            <w:r w:rsidRPr="00EE6AF7">
              <w:rPr>
                <w:rFonts w:eastAsia="Times New Roman" w:cs="Arial"/>
                <w:b/>
                <w:lang w:eastAsia="es-MX"/>
              </w:rPr>
              <w:t>Inversión en programas y proyectos que incluyen acciones de género</w:t>
            </w:r>
          </w:p>
        </w:tc>
        <w:tc>
          <w:tcPr>
            <w:tcW w:w="4074" w:type="pct"/>
            <w:tcBorders>
              <w:left w:val="nil"/>
              <w:right w:val="nil"/>
            </w:tcBorders>
            <w:shd w:val="clear" w:color="auto" w:fill="auto"/>
            <w:vAlign w:val="center"/>
          </w:tcPr>
          <w:p w:rsidR="00F04D6E" w:rsidRPr="00EE6AF7" w:rsidRDefault="00F04D6E" w:rsidP="00EE6AF7">
            <w:pPr>
              <w:tabs>
                <w:tab w:val="left" w:pos="1010"/>
              </w:tabs>
              <w:rPr>
                <w:rFonts w:eastAsia="Arial" w:cs="Arial"/>
              </w:rPr>
            </w:pPr>
            <w:r w:rsidRPr="00EE6AF7">
              <w:rPr>
                <w:rFonts w:eastAsia="Arial" w:cs="Arial"/>
              </w:rPr>
              <w:t>Se consideran aquellas intervenciones que incluyen alguna acción o actividad relacionada con la política de la igualdad de género, sin que esto signifique que estén diseñadas con perspectiva de género.</w:t>
            </w:r>
          </w:p>
        </w:tc>
      </w:tr>
      <w:tr w:rsidR="00F15631" w:rsidRPr="00EE6AF7" w:rsidTr="00EE6AF7">
        <w:trPr>
          <w:trHeight w:val="817"/>
        </w:trPr>
        <w:tc>
          <w:tcPr>
            <w:tcW w:w="926" w:type="pct"/>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Arial" w:cs="Arial"/>
                <w:b/>
                <w:bCs/>
              </w:rPr>
              <w:t>Inversión en bienes públicos</w:t>
            </w:r>
          </w:p>
        </w:tc>
        <w:tc>
          <w:tcPr>
            <w:tcW w:w="4074" w:type="pct"/>
            <w:shd w:val="clear" w:color="auto" w:fill="auto"/>
            <w:vAlign w:val="center"/>
          </w:tcPr>
          <w:p w:rsidR="00F04D6E" w:rsidRPr="00EE6AF7" w:rsidRDefault="00F04D6E" w:rsidP="0056150B">
            <w:pPr>
              <w:rPr>
                <w:rFonts w:eastAsia="Arial" w:cs="Arial"/>
              </w:rPr>
            </w:pPr>
            <w:r w:rsidRPr="00EE6AF7">
              <w:rPr>
                <w:rFonts w:eastAsia="Arial" w:cs="Arial"/>
              </w:rPr>
              <w:t>Es la destinada a la provisión o financiamiento de bienes que son monopolio natural del Estado, o servicios prestados de forma abierta a la sociedad que hayan estado al menos parcialmente diseñados para atender necesidades específicas de las mujeres.</w:t>
            </w:r>
          </w:p>
        </w:tc>
      </w:tr>
    </w:tbl>
    <w:p w:rsidR="00F04D6E" w:rsidRDefault="00F04D6E" w:rsidP="00F04D6E">
      <w:pPr>
        <w:jc w:val="center"/>
        <w:rPr>
          <w:rFonts w:eastAsia="Arial" w:cs="Arial"/>
        </w:rPr>
      </w:pPr>
      <w:r w:rsidRPr="00611A83">
        <w:rPr>
          <w:rFonts w:eastAsia="Arial" w:cs="Arial"/>
        </w:rPr>
        <w:t>Fuente: Elaboración propia basada en Inversión Pública en la Infancia y la Adolescencia en México. (Unicef,2011</w:t>
      </w:r>
      <w:r w:rsidR="301D99A3" w:rsidRPr="301D99A3">
        <w:rPr>
          <w:rFonts w:eastAsia="Arial" w:cs="Arial"/>
        </w:rPr>
        <w:t>).</w:t>
      </w:r>
    </w:p>
    <w:p w:rsidR="00D31C25" w:rsidRPr="00D71090" w:rsidRDefault="00D31C25" w:rsidP="00F04D6E">
      <w:pPr>
        <w:jc w:val="center"/>
        <w:rPr>
          <w:rFonts w:eastAsia="Arial" w:cs="Arial"/>
        </w:rPr>
      </w:pPr>
    </w:p>
    <w:p w:rsidR="00F04D6E" w:rsidRDefault="00F04D6E" w:rsidP="00F04D6E">
      <w:pPr>
        <w:rPr>
          <w:rFonts w:eastAsia="Arial" w:cs="Arial"/>
        </w:rPr>
      </w:pPr>
      <w:r w:rsidRPr="00611A83">
        <w:rPr>
          <w:rFonts w:eastAsia="Arial" w:cs="Arial"/>
        </w:rPr>
        <w:t xml:space="preserve">Es necesario hacer una precisión en relación con la inversión asignada a la educación: no se incluyó el presupuesto global del sector que atiende a niños, niñas, adolescentes y jóvenes. Si bien, en estricto sentido dicha información debió incorporarse al Anexo, esto aumentaría sustancialmente el gasto asignado para la igualdad; dicho monto debería ser clasificado como gasto ampliado, pues una proporción sustancial de mujeres es beneficiaria. No obstante, actualmente no es posible identificar la proporción de este gasto que se destina a las mujeres, lo que hace necesaria la aplicación futura de ponderadores para calcular los montos correspondientes. </w:t>
      </w:r>
    </w:p>
    <w:p w:rsidR="00D31C25" w:rsidRPr="00611A83" w:rsidRDefault="00D31C25" w:rsidP="00F04D6E">
      <w:pPr>
        <w:rPr>
          <w:rFonts w:eastAsia="Arial" w:cs="Arial"/>
        </w:rPr>
      </w:pPr>
    </w:p>
    <w:p w:rsidR="00F04D6E" w:rsidRDefault="00F04D6E" w:rsidP="00F04D6E">
      <w:pPr>
        <w:rPr>
          <w:rFonts w:eastAsia="Arial" w:cs="Arial"/>
        </w:rPr>
      </w:pPr>
      <w:r w:rsidRPr="00611A83">
        <w:rPr>
          <w:rFonts w:eastAsia="Arial" w:cs="Arial"/>
        </w:rPr>
        <w:t>Posteriormente, se lle</w:t>
      </w:r>
      <w:r>
        <w:rPr>
          <w:rFonts w:eastAsia="Arial" w:cs="Arial"/>
        </w:rPr>
        <w:t>vó a cabo el análisis de las intervenciones</w:t>
      </w:r>
      <w:r w:rsidRPr="00611A83">
        <w:rPr>
          <w:rFonts w:eastAsia="Arial" w:cs="Arial"/>
        </w:rPr>
        <w:t xml:space="preserve"> identificadas para el Anexo de Igualdad </w:t>
      </w:r>
      <w:r w:rsidR="00D31C25" w:rsidRPr="00611A83">
        <w:rPr>
          <w:rFonts w:eastAsia="Arial" w:cs="Arial"/>
        </w:rPr>
        <w:t>de acuerdo con</w:t>
      </w:r>
      <w:r w:rsidRPr="00611A83">
        <w:rPr>
          <w:rFonts w:eastAsia="Arial" w:cs="Arial"/>
        </w:rPr>
        <w:t xml:space="preserve"> su alineación con los programas presupuestarios.  </w:t>
      </w:r>
    </w:p>
    <w:p w:rsidR="00D31C25" w:rsidRPr="00611A83" w:rsidRDefault="00D31C25" w:rsidP="00F04D6E">
      <w:pPr>
        <w:rPr>
          <w:rFonts w:eastAsia="Arial" w:cs="Arial"/>
        </w:rPr>
      </w:pPr>
    </w:p>
    <w:p w:rsidR="00F04D6E" w:rsidRDefault="00F04D6E" w:rsidP="00F04D6E">
      <w:pPr>
        <w:rPr>
          <w:rFonts w:eastAsia="Arial" w:cs="Arial"/>
        </w:rPr>
      </w:pPr>
      <w:r w:rsidRPr="00611A83">
        <w:rPr>
          <w:rFonts w:eastAsia="Arial" w:cs="Arial"/>
        </w:rPr>
        <w:t>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w:t>
      </w:r>
      <w:r w:rsidRPr="00611A83">
        <w:rPr>
          <w:rFonts w:eastAsia="Arial" w:cs="Arial"/>
          <w:vertAlign w:val="superscript"/>
        </w:rPr>
        <w:footnoteReference w:id="22"/>
      </w:r>
      <w:r w:rsidRPr="00611A83">
        <w:rPr>
          <w:rFonts w:eastAsia="Arial" w:cs="Arial"/>
        </w:rPr>
        <w:t xml:space="preserve">. </w:t>
      </w:r>
    </w:p>
    <w:p w:rsidR="00D31C25" w:rsidRPr="00611A83" w:rsidRDefault="00D31C25" w:rsidP="00F04D6E">
      <w:pPr>
        <w:rPr>
          <w:rFonts w:eastAsia="Arial" w:cs="Arial"/>
        </w:rPr>
      </w:pPr>
    </w:p>
    <w:p w:rsidR="00F04D6E" w:rsidRDefault="00F04D6E" w:rsidP="00F04D6E">
      <w:pPr>
        <w:rPr>
          <w:rFonts w:eastAsia="Arial" w:cs="Arial"/>
        </w:rPr>
      </w:pPr>
      <w:r w:rsidRPr="00611A83">
        <w:rPr>
          <w:rFonts w:eastAsia="Arial" w:cs="Arial"/>
        </w:rPr>
        <w:t xml:space="preserve">Al formar parte de los compromisos internacionales adquiridos por México y estar incluidos en el Plan Estatal de Desarrollo 2018-2024, es relevante identificar las asignaciones presupuestarias de los programas y </w:t>
      </w:r>
      <w:r w:rsidR="00D31C25" w:rsidRPr="00611A83">
        <w:rPr>
          <w:rFonts w:eastAsia="Arial" w:cs="Arial"/>
        </w:rPr>
        <w:t>acciones de</w:t>
      </w:r>
      <w:r w:rsidRPr="00611A83">
        <w:rPr>
          <w:rFonts w:eastAsia="Arial" w:cs="Arial"/>
        </w:rPr>
        <w:t xml:space="preserve"> este Anexo que de manera directa contribuyen al cumplimiento de los ODS y sus respectivas metas. Para ell</w:t>
      </w:r>
      <w:r>
        <w:rPr>
          <w:rFonts w:eastAsia="Arial" w:cs="Arial"/>
        </w:rPr>
        <w:t>o, se revisó cada una de las intervenciones</w:t>
      </w:r>
      <w:r w:rsidRPr="00611A83">
        <w:rPr>
          <w:rFonts w:eastAsia="Arial" w:cs="Arial"/>
        </w:rPr>
        <w:t xml:space="preserve"> identificadas en los pasos anteriores, y se procedió a revisar su información para clasificarlas de acuerdo al obj</w:t>
      </w:r>
      <w:r>
        <w:rPr>
          <w:rFonts w:eastAsia="Arial" w:cs="Arial"/>
        </w:rPr>
        <w:t>etivo con el que se relacionan.</w:t>
      </w:r>
    </w:p>
    <w:p w:rsidR="00D31C25" w:rsidRPr="00611A83" w:rsidRDefault="00D31C25" w:rsidP="00F04D6E">
      <w:pPr>
        <w:rPr>
          <w:rFonts w:eastAsia="Arial" w:cs="Arial"/>
        </w:rPr>
      </w:pPr>
    </w:p>
    <w:p w:rsidR="00F04D6E" w:rsidRDefault="00F04D6E" w:rsidP="00F04D6E">
      <w:pPr>
        <w:spacing w:line="276" w:lineRule="auto"/>
        <w:rPr>
          <w:rFonts w:cs="Arial"/>
          <w:b/>
        </w:rPr>
      </w:pPr>
      <w:r w:rsidRPr="00611A83">
        <w:rPr>
          <w:rFonts w:cs="Arial"/>
          <w:b/>
        </w:rPr>
        <w:t>Análisis de Resultados</w:t>
      </w:r>
    </w:p>
    <w:p w:rsidR="00D31C25" w:rsidRPr="00611A83" w:rsidRDefault="00D31C25" w:rsidP="00F04D6E">
      <w:pPr>
        <w:spacing w:line="276" w:lineRule="auto"/>
        <w:rPr>
          <w:rFonts w:eastAsia="Arial" w:cs="Arial"/>
        </w:rPr>
      </w:pPr>
    </w:p>
    <w:p w:rsidR="00F04D6E" w:rsidRDefault="00F04D6E" w:rsidP="00F04D6E">
      <w:pPr>
        <w:rPr>
          <w:rFonts w:eastAsia="Arial" w:cs="Arial"/>
        </w:rPr>
      </w:pPr>
      <w:r w:rsidRPr="00611A83">
        <w:rPr>
          <w:rFonts w:eastAsia="Arial" w:cs="Arial"/>
        </w:rPr>
        <w:t>En el Proyecto del</w:t>
      </w:r>
      <w:r>
        <w:rPr>
          <w:rFonts w:eastAsia="Arial" w:cs="Arial"/>
        </w:rPr>
        <w:t xml:space="preserve"> Presupuesto de Egresos del 2022</w:t>
      </w:r>
      <w:r w:rsidRPr="00611A83">
        <w:rPr>
          <w:rFonts w:eastAsia="Arial" w:cs="Arial"/>
        </w:rPr>
        <w:t xml:space="preserve">, se asignaron </w:t>
      </w:r>
      <w:r>
        <w:rPr>
          <w:rFonts w:eastAsia="Arial" w:cs="Arial"/>
          <w:b/>
        </w:rPr>
        <w:t>849 millones 951 mil 931</w:t>
      </w:r>
      <w:r w:rsidRPr="00611A83">
        <w:rPr>
          <w:rFonts w:eastAsia="Arial" w:cs="Arial"/>
          <w:b/>
        </w:rPr>
        <w:t xml:space="preserve"> pesos</w:t>
      </w:r>
      <w:r w:rsidRPr="00611A83">
        <w:rPr>
          <w:rFonts w:eastAsia="Arial" w:cs="Arial"/>
        </w:rPr>
        <w:t xml:space="preserve"> a programas y acciones dirigidas al cumplimiento de los derechos de las mujeres y la igualdad de género, lo que representa </w:t>
      </w:r>
      <w:r>
        <w:rPr>
          <w:rFonts w:eastAsia="Arial" w:cs="Arial"/>
        </w:rPr>
        <w:t>1.8</w:t>
      </w:r>
      <w:r w:rsidRPr="00611A83">
        <w:rPr>
          <w:rFonts w:eastAsia="Arial" w:cs="Arial"/>
        </w:rPr>
        <w:t xml:space="preserve">% del total del presupuesto </w:t>
      </w:r>
      <w:r>
        <w:rPr>
          <w:rFonts w:eastAsia="Arial" w:cs="Arial"/>
        </w:rPr>
        <w:t>estatal y 2.1</w:t>
      </w:r>
      <w:r w:rsidRPr="00611A83">
        <w:rPr>
          <w:rFonts w:eastAsia="Arial" w:cs="Arial"/>
        </w:rPr>
        <w:t>% del gasto programable (gráfica 1).</w:t>
      </w:r>
    </w:p>
    <w:p w:rsidR="00D31C25" w:rsidRPr="00F16E8F" w:rsidRDefault="00D31C25" w:rsidP="00F04D6E">
      <w:pPr>
        <w:rPr>
          <w:rFonts w:eastAsia="Arial" w:cs="Arial"/>
        </w:rPr>
      </w:pPr>
    </w:p>
    <w:p w:rsidR="00F04D6E" w:rsidRPr="00611A83" w:rsidRDefault="00F04D6E" w:rsidP="00F04D6E">
      <w:pPr>
        <w:jc w:val="center"/>
        <w:rPr>
          <w:rFonts w:eastAsia="Arial" w:cs="Arial"/>
          <w:b/>
          <w:bCs/>
          <w:w w:val="103"/>
        </w:rPr>
      </w:pPr>
      <w:r w:rsidRPr="00611A83">
        <w:rPr>
          <w:rFonts w:eastAsia="Arial" w:cs="Arial"/>
          <w:b/>
          <w:bCs/>
          <w:w w:val="103"/>
        </w:rPr>
        <w:t>Gráfica 1. Asignaciones presupuestales para la igualdad entre mujeres y hombres</w:t>
      </w:r>
    </w:p>
    <w:p w:rsidR="00F04D6E" w:rsidRPr="00611A83" w:rsidRDefault="00F04D6E" w:rsidP="00F04D6E">
      <w:pPr>
        <w:contextualSpacing/>
        <w:rPr>
          <w:rFonts w:cs="Arial"/>
        </w:rPr>
      </w:pPr>
    </w:p>
    <w:p w:rsidR="00F04D6E" w:rsidRPr="00611A83" w:rsidRDefault="008A5EAC" w:rsidP="00F04D6E">
      <w:pPr>
        <w:contextualSpacing/>
        <w:jc w:val="center"/>
        <w:rPr>
          <w:rFonts w:cs="Arial"/>
        </w:rPr>
      </w:pPr>
      <w:r w:rsidRPr="00CF51C3">
        <w:rPr>
          <w:noProof/>
          <w:lang w:eastAsia="es-MX"/>
        </w:rPr>
        <w:drawing>
          <wp:inline distT="0" distB="0" distL="0" distR="0">
            <wp:extent cx="5791200" cy="2857500"/>
            <wp:effectExtent l="0" t="0" r="0" b="0"/>
            <wp:docPr id="10"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4D6E" w:rsidRDefault="00F04D6E" w:rsidP="00F04D6E">
      <w:pPr>
        <w:contextualSpacing/>
        <w:jc w:val="center"/>
        <w:rPr>
          <w:rFonts w:cs="Arial"/>
        </w:rPr>
      </w:pPr>
      <w:r w:rsidRPr="00611A83">
        <w:rPr>
          <w:rFonts w:cs="Arial"/>
        </w:rPr>
        <w:t>Fuente: Elaboración propia.</w:t>
      </w:r>
    </w:p>
    <w:p w:rsidR="00F04D6E" w:rsidRPr="00611A83" w:rsidRDefault="00F04D6E" w:rsidP="00F04D6E">
      <w:pPr>
        <w:contextualSpacing/>
        <w:jc w:val="center"/>
        <w:rPr>
          <w:rFonts w:cs="Arial"/>
        </w:rPr>
      </w:pPr>
    </w:p>
    <w:p w:rsidR="00F04D6E" w:rsidRDefault="00F04D6E" w:rsidP="00F04D6E">
      <w:pPr>
        <w:rPr>
          <w:rFonts w:eastAsia="Arial" w:cs="Arial"/>
        </w:rPr>
      </w:pPr>
      <w:r w:rsidRPr="00611A83">
        <w:rPr>
          <w:rFonts w:eastAsia="Arial" w:cs="Arial"/>
        </w:rPr>
        <w:t>Cabe destacar que en el Anexo de erogaciones para la igualdad entre mujeres y hombres del presupuesto federal 2</w:t>
      </w:r>
      <w:r>
        <w:rPr>
          <w:rFonts w:eastAsia="Arial" w:cs="Arial"/>
        </w:rPr>
        <w:t>022</w:t>
      </w:r>
      <w:r w:rsidRPr="00611A83">
        <w:rPr>
          <w:rFonts w:eastAsia="Arial" w:cs="Arial"/>
        </w:rPr>
        <w:t xml:space="preserve"> se muestra una asignación presupuestaria destinada a este ámbito que representa el </w:t>
      </w:r>
      <w:r w:rsidRPr="00264541">
        <w:rPr>
          <w:rFonts w:eastAsia="Arial" w:cs="Arial"/>
        </w:rPr>
        <w:t>3.3</w:t>
      </w:r>
      <w:r w:rsidRPr="009E68C4">
        <w:rPr>
          <w:rFonts w:eastAsia="Arial" w:cs="Arial"/>
        </w:rPr>
        <w:t>%</w:t>
      </w:r>
      <w:r w:rsidRPr="00611A83">
        <w:rPr>
          <w:rFonts w:eastAsia="Arial" w:cs="Arial"/>
        </w:rPr>
        <w:t xml:space="preserve"> del gasto total federal.</w:t>
      </w:r>
    </w:p>
    <w:p w:rsidR="00F826C0" w:rsidRPr="00611A83" w:rsidRDefault="00F826C0" w:rsidP="00F04D6E">
      <w:pPr>
        <w:rPr>
          <w:rFonts w:eastAsia="Arial" w:cs="Arial"/>
        </w:rPr>
      </w:pPr>
    </w:p>
    <w:p w:rsidR="00F04D6E" w:rsidRDefault="00F04D6E" w:rsidP="00F04D6E">
      <w:pPr>
        <w:rPr>
          <w:rFonts w:eastAsia="Arial" w:cs="Arial"/>
        </w:rPr>
      </w:pPr>
      <w:r w:rsidRPr="00611A83">
        <w:rPr>
          <w:rFonts w:eastAsia="Arial" w:cs="Arial"/>
        </w:rPr>
        <w:t>En los resultados del análisis de la asignación presupuestaria destinada a los derechos de la mujer, se encontró que el derecho a la salud representa la may</w:t>
      </w:r>
      <w:r>
        <w:rPr>
          <w:rFonts w:eastAsia="Arial" w:cs="Arial"/>
        </w:rPr>
        <w:t>or inversión en el estado, con 55.9</w:t>
      </w:r>
      <w:r w:rsidRPr="00611A83">
        <w:rPr>
          <w:rFonts w:eastAsia="Arial" w:cs="Arial"/>
        </w:rPr>
        <w:t xml:space="preserve">% del presupuesto para la igualdad entre mujeres y hombres; en segundo lugar se encuentra el derecho a una vida libre de violencia con </w:t>
      </w:r>
      <w:r>
        <w:rPr>
          <w:rFonts w:eastAsia="Arial" w:cs="Arial"/>
        </w:rPr>
        <w:t>19.5</w:t>
      </w:r>
      <w:r w:rsidRPr="00611A83">
        <w:rPr>
          <w:rFonts w:eastAsia="Arial" w:cs="Arial"/>
        </w:rPr>
        <w:t>%, s</w:t>
      </w:r>
      <w:r>
        <w:rPr>
          <w:rFonts w:eastAsia="Arial" w:cs="Arial"/>
        </w:rPr>
        <w:t>eguido del derecho al desarrollo</w:t>
      </w:r>
      <w:r w:rsidRPr="00611A83">
        <w:rPr>
          <w:rFonts w:eastAsia="Arial" w:cs="Arial"/>
        </w:rPr>
        <w:t xml:space="preserve"> con </w:t>
      </w:r>
      <w:r>
        <w:rPr>
          <w:rFonts w:eastAsia="Arial" w:cs="Arial"/>
        </w:rPr>
        <w:t>14.1</w:t>
      </w:r>
      <w:r w:rsidRPr="00611A83">
        <w:rPr>
          <w:rFonts w:eastAsia="Arial" w:cs="Arial"/>
        </w:rPr>
        <w:t>% (gráfica 2).</w:t>
      </w:r>
    </w:p>
    <w:p w:rsidR="00CE71CA" w:rsidRDefault="00CE71CA">
      <w:pPr>
        <w:jc w:val="left"/>
        <w:rPr>
          <w:rFonts w:eastAsia="Arial" w:cs="Arial"/>
        </w:rPr>
      </w:pPr>
    </w:p>
    <w:p w:rsidR="00F04D6E" w:rsidRDefault="00F04D6E" w:rsidP="00F04D6E">
      <w:pPr>
        <w:jc w:val="center"/>
        <w:rPr>
          <w:rFonts w:eastAsia="Arial" w:cs="Arial"/>
          <w:b/>
          <w:bCs/>
          <w:w w:val="103"/>
        </w:rPr>
      </w:pPr>
      <w:r w:rsidRPr="00611A83">
        <w:rPr>
          <w:rFonts w:eastAsia="Arial" w:cs="Arial"/>
          <w:b/>
          <w:bCs/>
          <w:w w:val="103"/>
        </w:rPr>
        <w:t>Gráfica 2. Distribución del presupuesto para la igualdad según derecho de la mujer</w:t>
      </w:r>
    </w:p>
    <w:p w:rsidR="00CE71CA" w:rsidRPr="00611A83" w:rsidRDefault="00CE71CA" w:rsidP="00F04D6E">
      <w:pPr>
        <w:jc w:val="center"/>
        <w:rPr>
          <w:rFonts w:eastAsia="Arial" w:cs="Arial"/>
          <w:b/>
          <w:bCs/>
          <w:w w:val="103"/>
        </w:rPr>
      </w:pPr>
    </w:p>
    <w:p w:rsidR="00F04D6E" w:rsidRDefault="008A5EAC" w:rsidP="00F04D6E">
      <w:pPr>
        <w:jc w:val="center"/>
        <w:rPr>
          <w:rFonts w:cs="Arial"/>
        </w:rPr>
      </w:pPr>
      <w:r w:rsidRPr="00CF51C3">
        <w:rPr>
          <w:noProof/>
          <w:lang w:eastAsia="es-MX"/>
        </w:rPr>
        <w:drawing>
          <wp:inline distT="0" distB="0" distL="0" distR="0">
            <wp:extent cx="7419975" cy="3238500"/>
            <wp:effectExtent l="0" t="0" r="0" b="0"/>
            <wp:docPr id="1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04D6E" w:rsidRDefault="00F04D6E" w:rsidP="00F04D6E">
      <w:pPr>
        <w:jc w:val="center"/>
        <w:rPr>
          <w:rFonts w:cs="Arial"/>
        </w:rPr>
      </w:pPr>
      <w:r w:rsidRPr="00611A83">
        <w:rPr>
          <w:rFonts w:cs="Arial"/>
        </w:rPr>
        <w:t>Fuente: Elaboración propia.</w:t>
      </w:r>
      <w:r>
        <w:rPr>
          <w:rFonts w:cs="Arial"/>
        </w:rPr>
        <w:t xml:space="preserve"> </w:t>
      </w:r>
    </w:p>
    <w:p w:rsidR="00CE71CA" w:rsidRDefault="00CE71CA" w:rsidP="00F04D6E">
      <w:pPr>
        <w:jc w:val="center"/>
        <w:rPr>
          <w:rFonts w:cs="Arial"/>
        </w:rPr>
      </w:pPr>
    </w:p>
    <w:p w:rsidR="00CE71CA" w:rsidRDefault="00F04D6E" w:rsidP="00BF5258">
      <w:pPr>
        <w:rPr>
          <w:rFonts w:eastAsia="Arial" w:cs="Arial"/>
        </w:rPr>
      </w:pPr>
      <w:r w:rsidRPr="00611A83">
        <w:rPr>
          <w:rFonts w:eastAsia="Arial" w:cs="Arial"/>
        </w:rPr>
        <w:t>A partir de la clasificación del presupuesto asignado por derecho, se hizo una alineación a los temas que</w:t>
      </w:r>
      <w:r>
        <w:rPr>
          <w:rFonts w:eastAsia="Arial" w:cs="Arial"/>
        </w:rPr>
        <w:t xml:space="preserve"> serán atendidos durante 2022</w:t>
      </w:r>
      <w:r w:rsidRPr="00611A83">
        <w:rPr>
          <w:rFonts w:eastAsia="Arial" w:cs="Arial"/>
        </w:rPr>
        <w:t xml:space="preserve"> (tabla 3).</w:t>
      </w:r>
    </w:p>
    <w:p w:rsidR="00BF5258" w:rsidRDefault="00BF5258" w:rsidP="00BF5258">
      <w:pPr>
        <w:rPr>
          <w:rFonts w:eastAsia="Arial" w:cs="Arial"/>
        </w:rPr>
      </w:pPr>
    </w:p>
    <w:p w:rsidR="00F04D6E" w:rsidRDefault="00F04D6E" w:rsidP="00F04D6E">
      <w:pPr>
        <w:jc w:val="center"/>
        <w:rPr>
          <w:rFonts w:eastAsia="Arial" w:cs="Arial"/>
          <w:b/>
          <w:bCs/>
          <w:w w:val="103"/>
        </w:rPr>
      </w:pPr>
      <w:r w:rsidRPr="00611A83">
        <w:rPr>
          <w:rFonts w:eastAsia="Arial" w:cs="Arial"/>
          <w:b/>
          <w:bCs/>
          <w:w w:val="103"/>
        </w:rPr>
        <w:t xml:space="preserve">Tabla </w:t>
      </w:r>
      <w:r w:rsidR="00C95CA3" w:rsidRPr="00611A83">
        <w:rPr>
          <w:rFonts w:eastAsia="Arial" w:cs="Arial"/>
          <w:b/>
          <w:bCs/>
          <w:w w:val="103"/>
        </w:rPr>
        <w:fldChar w:fldCharType="begin"/>
      </w:r>
      <w:r w:rsidRPr="00611A83">
        <w:rPr>
          <w:rFonts w:eastAsia="Arial" w:cs="Arial"/>
          <w:b/>
          <w:bCs/>
          <w:w w:val="103"/>
        </w:rPr>
        <w:instrText xml:space="preserve"> SEQ Tabla \* ARABIC </w:instrText>
      </w:r>
      <w:r w:rsidR="00C95CA3" w:rsidRPr="00611A83">
        <w:rPr>
          <w:rFonts w:eastAsia="Arial" w:cs="Arial"/>
          <w:b/>
          <w:bCs/>
          <w:w w:val="103"/>
        </w:rPr>
        <w:fldChar w:fldCharType="separate"/>
      </w:r>
      <w:r w:rsidR="006B7B6C">
        <w:rPr>
          <w:rFonts w:eastAsia="Arial" w:cs="Arial"/>
          <w:b/>
          <w:bCs/>
          <w:noProof/>
          <w:w w:val="103"/>
        </w:rPr>
        <w:t>3</w:t>
      </w:r>
      <w:r w:rsidR="00C95CA3" w:rsidRPr="00611A83">
        <w:rPr>
          <w:rFonts w:eastAsia="Arial" w:cs="Arial"/>
          <w:b/>
          <w:bCs/>
          <w:w w:val="103"/>
        </w:rPr>
        <w:fldChar w:fldCharType="end"/>
      </w:r>
      <w:r w:rsidRPr="00611A83">
        <w:rPr>
          <w:rFonts w:eastAsia="Arial" w:cs="Arial"/>
          <w:b/>
          <w:bCs/>
          <w:w w:val="103"/>
        </w:rPr>
        <w:t>. Clasificación por derecho de la mujer y temática</w:t>
      </w:r>
    </w:p>
    <w:p w:rsidR="00CE71CA" w:rsidRPr="00611A83" w:rsidRDefault="00CE71CA" w:rsidP="00F04D6E">
      <w:pPr>
        <w:jc w:val="center"/>
        <w:rPr>
          <w:rFonts w:eastAsia="Arial" w:cs="Arial"/>
          <w:b/>
          <w:bCs/>
          <w:w w:val="10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31"/>
        <w:gridCol w:w="3029"/>
      </w:tblGrid>
      <w:tr w:rsidR="00F04D6E" w:rsidRPr="00EE6AF7" w:rsidTr="00CE71CA">
        <w:trPr>
          <w:trHeight w:val="433"/>
          <w:tblHeader/>
        </w:trPr>
        <w:tc>
          <w:tcPr>
            <w:tcW w:w="3643" w:type="pct"/>
            <w:shd w:val="clear" w:color="auto" w:fill="4B4B4B"/>
            <w:noWrap/>
            <w:vAlign w:val="center"/>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Derechos de las mujeres/Temática</w:t>
            </w:r>
          </w:p>
        </w:tc>
        <w:tc>
          <w:tcPr>
            <w:tcW w:w="1357" w:type="pct"/>
            <w:shd w:val="clear" w:color="auto" w:fill="4B4B4B"/>
            <w:noWrap/>
            <w:vAlign w:val="center"/>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 LA EDUCACIÓN</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rPr>
              <w:t xml:space="preserve"> </w:t>
            </w:r>
            <w:r w:rsidRPr="00EE6AF7">
              <w:rPr>
                <w:rFonts w:cs="Arial"/>
                <w:b/>
              </w:rPr>
              <w:t>5,091,518</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Permanencia</w:t>
            </w:r>
          </w:p>
        </w:tc>
        <w:tc>
          <w:tcPr>
            <w:tcW w:w="1357" w:type="pct"/>
            <w:shd w:val="clear" w:color="auto" w:fill="auto"/>
            <w:noWrap/>
            <w:vAlign w:val="bottom"/>
            <w:hideMark/>
          </w:tcPr>
          <w:p w:rsidR="00F04D6E" w:rsidRPr="0065291F" w:rsidRDefault="00F04D6E" w:rsidP="0056150B">
            <w:pPr>
              <w:jc w:val="right"/>
              <w:rPr>
                <w:rFonts w:eastAsia="Times New Roman" w:cs="Arial"/>
                <w:lang w:eastAsia="es-MX"/>
              </w:rPr>
            </w:pPr>
            <w:r w:rsidRPr="00EE6AF7">
              <w:rPr>
                <w:rFonts w:cs="Arial"/>
              </w:rPr>
              <w:t xml:space="preserve"> 1,860,209</w:t>
            </w:r>
          </w:p>
        </w:tc>
      </w:tr>
      <w:tr w:rsidR="00F04D6E" w:rsidRPr="00EE6AF7" w:rsidTr="00CE71CA">
        <w:trPr>
          <w:trHeight w:val="433"/>
        </w:trPr>
        <w:tc>
          <w:tcPr>
            <w:tcW w:w="3643" w:type="pct"/>
            <w:shd w:val="clear" w:color="auto" w:fill="auto"/>
            <w:noWrap/>
            <w:vAlign w:val="bottom"/>
          </w:tcPr>
          <w:p w:rsidR="00F04D6E" w:rsidRPr="00B032FB" w:rsidRDefault="00F04D6E" w:rsidP="0056150B">
            <w:pPr>
              <w:rPr>
                <w:rFonts w:eastAsia="Times New Roman" w:cs="Arial"/>
                <w:lang w:eastAsia="es-MX"/>
              </w:rPr>
            </w:pPr>
            <w:r w:rsidRPr="00C220F2">
              <w:rPr>
                <w:rFonts w:eastAsia="Times New Roman" w:cs="Arial"/>
                <w:lang w:eastAsia="es-MX"/>
              </w:rPr>
              <w:t>Inclusión</w:t>
            </w:r>
            <w:r w:rsidRPr="00C220F2">
              <w:rPr>
                <w:rFonts w:eastAsia="Times New Roman" w:cs="Arial"/>
                <w:lang w:eastAsia="es-MX"/>
              </w:rPr>
              <w:tab/>
            </w:r>
            <w:r w:rsidRPr="00C220F2">
              <w:rPr>
                <w:rFonts w:eastAsia="Times New Roman" w:cs="Arial"/>
                <w:lang w:eastAsia="es-MX"/>
              </w:rPr>
              <w:tab/>
            </w:r>
          </w:p>
        </w:tc>
        <w:tc>
          <w:tcPr>
            <w:tcW w:w="1357" w:type="pct"/>
            <w:shd w:val="clear" w:color="auto" w:fill="auto"/>
            <w:noWrap/>
            <w:vAlign w:val="bottom"/>
          </w:tcPr>
          <w:p w:rsidR="00F04D6E" w:rsidRPr="0065291F" w:rsidRDefault="00F04D6E" w:rsidP="0056150B">
            <w:pPr>
              <w:jc w:val="right"/>
              <w:rPr>
                <w:rFonts w:eastAsia="Times New Roman" w:cs="Arial"/>
                <w:lang w:eastAsia="es-MX"/>
              </w:rPr>
            </w:pPr>
            <w:r w:rsidRPr="00EE6AF7">
              <w:rPr>
                <w:rFonts w:cs="Arial"/>
              </w:rPr>
              <w:t xml:space="preserve"> 3,180,909</w:t>
            </w:r>
          </w:p>
        </w:tc>
      </w:tr>
      <w:tr w:rsidR="00F04D6E" w:rsidRPr="00EE6AF7" w:rsidTr="00CE71CA">
        <w:trPr>
          <w:trHeight w:val="433"/>
        </w:trPr>
        <w:tc>
          <w:tcPr>
            <w:tcW w:w="3643" w:type="pct"/>
            <w:shd w:val="clear" w:color="auto" w:fill="auto"/>
            <w:noWrap/>
            <w:vAlign w:val="bottom"/>
          </w:tcPr>
          <w:p w:rsidR="00F04D6E" w:rsidRPr="00B032FB" w:rsidRDefault="00F04D6E" w:rsidP="0056150B">
            <w:pPr>
              <w:rPr>
                <w:rFonts w:eastAsia="Times New Roman" w:cs="Arial"/>
                <w:lang w:eastAsia="es-MX"/>
              </w:rPr>
            </w:pPr>
            <w:r w:rsidRPr="00C220F2">
              <w:rPr>
                <w:rFonts w:eastAsia="Times New Roman" w:cs="Arial"/>
                <w:lang w:eastAsia="es-MX"/>
              </w:rPr>
              <w:t>Educación formal para el trabajo</w:t>
            </w:r>
            <w:r w:rsidRPr="00C220F2">
              <w:rPr>
                <w:rFonts w:eastAsia="Times New Roman" w:cs="Arial"/>
                <w:lang w:eastAsia="es-MX"/>
              </w:rPr>
              <w:tab/>
            </w:r>
            <w:r w:rsidRPr="00C220F2">
              <w:rPr>
                <w:rFonts w:eastAsia="Times New Roman" w:cs="Arial"/>
                <w:lang w:eastAsia="es-MX"/>
              </w:rPr>
              <w:tab/>
              <w:t xml:space="preserve"> </w:t>
            </w:r>
          </w:p>
        </w:tc>
        <w:tc>
          <w:tcPr>
            <w:tcW w:w="1357" w:type="pct"/>
            <w:shd w:val="clear" w:color="auto" w:fill="auto"/>
            <w:noWrap/>
            <w:vAlign w:val="bottom"/>
          </w:tcPr>
          <w:p w:rsidR="00F04D6E" w:rsidRPr="0065291F" w:rsidRDefault="00F04D6E" w:rsidP="0056150B">
            <w:pPr>
              <w:jc w:val="right"/>
              <w:rPr>
                <w:rFonts w:eastAsia="Times New Roman" w:cs="Arial"/>
                <w:lang w:eastAsia="es-MX"/>
              </w:rPr>
            </w:pPr>
            <w:r w:rsidRPr="00EE6AF7">
              <w:rPr>
                <w:rFonts w:cs="Arial"/>
              </w:rPr>
              <w:t xml:space="preserve"> 50,400</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 LA SALUD</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rPr>
              <w:t xml:space="preserve">  </w:t>
            </w:r>
            <w:r w:rsidRPr="00EE6AF7">
              <w:rPr>
                <w:rFonts w:cs="Arial"/>
                <w:b/>
              </w:rPr>
              <w:t>474,938,506</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Acceso a servicios de salud de calidad</w:t>
            </w:r>
          </w:p>
        </w:tc>
        <w:tc>
          <w:tcPr>
            <w:tcW w:w="1357" w:type="pct"/>
            <w:shd w:val="clear" w:color="auto" w:fill="auto"/>
            <w:noWrap/>
            <w:vAlign w:val="bottom"/>
            <w:hideMark/>
          </w:tcPr>
          <w:p w:rsidR="00F04D6E" w:rsidRPr="008F3927" w:rsidRDefault="00F04D6E" w:rsidP="0056150B">
            <w:pPr>
              <w:jc w:val="right"/>
              <w:rPr>
                <w:rFonts w:eastAsia="Times New Roman" w:cs="Arial"/>
                <w:lang w:eastAsia="es-MX"/>
              </w:rPr>
            </w:pPr>
            <w:r w:rsidRPr="00EE6AF7">
              <w:rPr>
                <w:rFonts w:cs="Arial"/>
              </w:rPr>
              <w:t xml:space="preserve"> 36,712,854</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Servicios integrales de salud</w:t>
            </w:r>
          </w:p>
        </w:tc>
        <w:tc>
          <w:tcPr>
            <w:tcW w:w="1357" w:type="pct"/>
            <w:shd w:val="clear" w:color="auto" w:fill="auto"/>
            <w:noWrap/>
            <w:vAlign w:val="bottom"/>
            <w:hideMark/>
          </w:tcPr>
          <w:p w:rsidR="00F04D6E" w:rsidRPr="008F3927" w:rsidRDefault="00F04D6E" w:rsidP="0056150B">
            <w:pPr>
              <w:jc w:val="right"/>
              <w:rPr>
                <w:rFonts w:eastAsia="Times New Roman" w:cs="Arial"/>
                <w:lang w:eastAsia="es-MX"/>
              </w:rPr>
            </w:pPr>
            <w:r w:rsidRPr="00EE6AF7">
              <w:rPr>
                <w:rFonts w:cs="Arial"/>
              </w:rPr>
              <w:t xml:space="preserve"> 9,502,386</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Servicios específicos para la mujer</w:t>
            </w:r>
          </w:p>
        </w:tc>
        <w:tc>
          <w:tcPr>
            <w:tcW w:w="1357" w:type="pct"/>
            <w:shd w:val="clear" w:color="auto" w:fill="auto"/>
            <w:noWrap/>
            <w:vAlign w:val="bottom"/>
            <w:hideMark/>
          </w:tcPr>
          <w:p w:rsidR="00F04D6E" w:rsidRPr="008F3927" w:rsidRDefault="00F04D6E" w:rsidP="0056150B">
            <w:pPr>
              <w:jc w:val="right"/>
              <w:rPr>
                <w:rFonts w:eastAsia="Times New Roman" w:cs="Arial"/>
                <w:lang w:eastAsia="es-MX"/>
              </w:rPr>
            </w:pPr>
            <w:r w:rsidRPr="00EE6AF7">
              <w:rPr>
                <w:rFonts w:cs="Arial"/>
              </w:rPr>
              <w:t xml:space="preserve">  257,652,317</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Nutrición y alimentación para la mujer</w:t>
            </w:r>
          </w:p>
        </w:tc>
        <w:tc>
          <w:tcPr>
            <w:tcW w:w="1357" w:type="pct"/>
            <w:shd w:val="clear" w:color="auto" w:fill="auto"/>
            <w:noWrap/>
            <w:vAlign w:val="bottom"/>
            <w:hideMark/>
          </w:tcPr>
          <w:p w:rsidR="00F04D6E" w:rsidRPr="008F3927" w:rsidRDefault="00F04D6E" w:rsidP="0056150B">
            <w:pPr>
              <w:jc w:val="right"/>
              <w:rPr>
                <w:rFonts w:eastAsia="Times New Roman" w:cs="Arial"/>
                <w:lang w:eastAsia="es-MX"/>
              </w:rPr>
            </w:pPr>
            <w:r w:rsidRPr="00EE6AF7">
              <w:rPr>
                <w:rFonts w:cs="Arial"/>
              </w:rPr>
              <w:t xml:space="preserve"> 171,070,949</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DERECHOS SEXUALES Y REPRODUCTIVOS</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rPr>
              <w:t xml:space="preserve"> </w:t>
            </w:r>
            <w:r w:rsidRPr="00EE6AF7">
              <w:rPr>
                <w:rFonts w:cs="Arial"/>
                <w:b/>
              </w:rPr>
              <w:t>15,146,292</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Pr>
                <w:rFonts w:eastAsia="Times New Roman" w:cs="Arial"/>
                <w:lang w:eastAsia="es-MX"/>
              </w:rPr>
              <w:t>E</w:t>
            </w:r>
            <w:r w:rsidRPr="00B032FB">
              <w:rPr>
                <w:rFonts w:eastAsia="Times New Roman" w:cs="Arial"/>
                <w:lang w:eastAsia="es-MX"/>
              </w:rPr>
              <w:t>ducación sexual</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6,214,591</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Planificación familiar</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8,931,701</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 UNA VIDA LIBRE DE VIOLENCIA</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b/>
              </w:rPr>
              <w:t>165,458,873</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Prevención</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106,106,018</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Atención</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58,352,855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Impartición de justicia</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1,000,000</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AL TRABAJO</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b/>
              </w:rPr>
              <w:t xml:space="preserve"> 66,048,505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Igualdad de oportunidades</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66,048,505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AL DESARROLLO</w:t>
            </w:r>
          </w:p>
        </w:tc>
        <w:tc>
          <w:tcPr>
            <w:tcW w:w="1357" w:type="pct"/>
            <w:shd w:val="clear" w:color="auto" w:fill="auto"/>
            <w:noWrap/>
            <w:vAlign w:val="bottom"/>
            <w:hideMark/>
          </w:tcPr>
          <w:p w:rsidR="00F04D6E" w:rsidRDefault="00F04D6E" w:rsidP="0056150B">
            <w:pPr>
              <w:jc w:val="right"/>
              <w:rPr>
                <w:rFonts w:eastAsia="Times New Roman" w:cs="Arial"/>
                <w:lang w:eastAsia="es-MX"/>
              </w:rPr>
            </w:pPr>
          </w:p>
          <w:p w:rsidR="00F04D6E" w:rsidRPr="00337DA2" w:rsidRDefault="00F04D6E" w:rsidP="0056150B">
            <w:pPr>
              <w:jc w:val="right"/>
              <w:rPr>
                <w:rFonts w:eastAsia="Times New Roman" w:cs="Arial"/>
                <w:b/>
                <w:lang w:eastAsia="es-MX"/>
              </w:rPr>
            </w:pPr>
            <w:r w:rsidRPr="00337DA2">
              <w:rPr>
                <w:rFonts w:eastAsia="Times New Roman" w:cs="Arial"/>
                <w:b/>
                <w:lang w:eastAsia="es-MX"/>
              </w:rPr>
              <w:t>119,555,125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Acceso equitativo a los beneficios del desarrollo</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37,525,889</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Vivienda</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72,766,375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Acceso al crédito para la actividad económica</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6,270,313</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Pr>
                <w:rFonts w:eastAsia="Times New Roman" w:cs="Arial"/>
                <w:lang w:eastAsia="es-MX"/>
              </w:rPr>
              <w:t>C</w:t>
            </w:r>
            <w:r w:rsidRPr="00B032FB">
              <w:rPr>
                <w:rFonts w:eastAsia="Times New Roman" w:cs="Arial"/>
                <w:lang w:eastAsia="es-MX"/>
              </w:rPr>
              <w:t>ultura</w:t>
            </w:r>
            <w:r>
              <w:rPr>
                <w:rFonts w:eastAsia="Times New Roman" w:cs="Arial"/>
                <w:lang w:eastAsia="es-MX"/>
              </w:rPr>
              <w:t xml:space="preserve"> y recreación</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t xml:space="preserve"> 1,069,302</w:t>
            </w:r>
          </w:p>
        </w:tc>
      </w:tr>
      <w:tr w:rsidR="00F04D6E" w:rsidRPr="00EE6AF7" w:rsidTr="00CE71CA">
        <w:trPr>
          <w:trHeight w:val="433"/>
        </w:trPr>
        <w:tc>
          <w:tcPr>
            <w:tcW w:w="3643" w:type="pct"/>
            <w:shd w:val="clear" w:color="auto" w:fill="auto"/>
            <w:noWrap/>
            <w:vAlign w:val="bottom"/>
          </w:tcPr>
          <w:p w:rsidR="00F04D6E" w:rsidRDefault="00B10307" w:rsidP="0056150B">
            <w:pPr>
              <w:rPr>
                <w:rFonts w:eastAsia="Times New Roman" w:cs="Arial"/>
                <w:lang w:eastAsia="es-MX"/>
              </w:rPr>
            </w:pPr>
            <w:r>
              <w:rPr>
                <w:rFonts w:eastAsia="Times New Roman" w:cs="Arial"/>
                <w:lang w:eastAsia="es-MX"/>
              </w:rPr>
              <w:t>Asistencia</w:t>
            </w:r>
            <w:r w:rsidR="00F04D6E">
              <w:rPr>
                <w:rFonts w:eastAsia="Times New Roman" w:cs="Arial"/>
                <w:lang w:eastAsia="es-MX"/>
              </w:rPr>
              <w:t xml:space="preserve"> social</w:t>
            </w:r>
          </w:p>
        </w:tc>
        <w:tc>
          <w:tcPr>
            <w:tcW w:w="1357" w:type="pct"/>
            <w:shd w:val="clear" w:color="auto" w:fill="auto"/>
            <w:noWrap/>
            <w:vAlign w:val="bottom"/>
          </w:tcPr>
          <w:p w:rsidR="00F04D6E" w:rsidRPr="00EE6AF7" w:rsidRDefault="00F04D6E" w:rsidP="0056150B">
            <w:pPr>
              <w:jc w:val="right"/>
              <w:rPr>
                <w:rFonts w:cs="Arial"/>
              </w:rPr>
            </w:pPr>
            <w:r w:rsidRPr="00EE6AF7">
              <w:rPr>
                <w:rFonts w:cs="Arial"/>
              </w:rPr>
              <w:t>1,923,246</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 LA INFORMACIÓN</w:t>
            </w:r>
          </w:p>
        </w:tc>
        <w:tc>
          <w:tcPr>
            <w:tcW w:w="1357" w:type="pct"/>
            <w:shd w:val="clear" w:color="auto" w:fill="auto"/>
            <w:noWrap/>
            <w:vAlign w:val="bottom"/>
            <w:hideMark/>
          </w:tcPr>
          <w:p w:rsidR="00F04D6E" w:rsidRDefault="00F04D6E" w:rsidP="0056150B">
            <w:pPr>
              <w:jc w:val="right"/>
              <w:rPr>
                <w:rFonts w:eastAsia="Times New Roman" w:cs="Arial"/>
                <w:lang w:eastAsia="es-MX"/>
              </w:rPr>
            </w:pPr>
          </w:p>
          <w:p w:rsidR="00F04D6E" w:rsidRPr="00337DA2" w:rsidRDefault="00F04D6E" w:rsidP="0056150B">
            <w:pPr>
              <w:jc w:val="right"/>
              <w:rPr>
                <w:rFonts w:eastAsia="Times New Roman" w:cs="Arial"/>
                <w:b/>
                <w:lang w:eastAsia="es-MX"/>
              </w:rPr>
            </w:pPr>
            <w:r w:rsidRPr="00337DA2">
              <w:rPr>
                <w:rFonts w:eastAsia="Times New Roman" w:cs="Arial"/>
                <w:b/>
                <w:lang w:eastAsia="es-MX"/>
              </w:rPr>
              <w:t>3,710,101</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Medios masivos de comunicación</w:t>
            </w:r>
          </w:p>
        </w:tc>
        <w:tc>
          <w:tcPr>
            <w:tcW w:w="1357" w:type="pct"/>
            <w:shd w:val="clear" w:color="auto" w:fill="auto"/>
            <w:noWrap/>
            <w:vAlign w:val="bottom"/>
            <w:hideMark/>
          </w:tcPr>
          <w:p w:rsidR="00F04D6E" w:rsidRPr="00B032FB" w:rsidRDefault="00F04D6E" w:rsidP="0056150B">
            <w:pPr>
              <w:jc w:val="right"/>
              <w:rPr>
                <w:rFonts w:eastAsia="Times New Roman" w:cs="Arial"/>
                <w:lang w:eastAsia="es-MX"/>
              </w:rPr>
            </w:pPr>
            <w:r w:rsidRPr="000164B3">
              <w:rPr>
                <w:rFonts w:eastAsia="Times New Roman" w:cs="Arial"/>
                <w:lang w:eastAsia="es-MX"/>
              </w:rPr>
              <w:t>3,709,101</w:t>
            </w:r>
          </w:p>
        </w:tc>
      </w:tr>
      <w:tr w:rsidR="00F04D6E" w:rsidRPr="00EE6AF7" w:rsidTr="00CE71CA">
        <w:trPr>
          <w:trHeight w:val="433"/>
        </w:trPr>
        <w:tc>
          <w:tcPr>
            <w:tcW w:w="3643" w:type="pct"/>
            <w:shd w:val="clear" w:color="auto" w:fill="auto"/>
            <w:noWrap/>
            <w:vAlign w:val="bottom"/>
          </w:tcPr>
          <w:p w:rsidR="00F04D6E" w:rsidRPr="00B032FB" w:rsidRDefault="00F04D6E" w:rsidP="0056150B">
            <w:pPr>
              <w:rPr>
                <w:rFonts w:eastAsia="Times New Roman" w:cs="Arial"/>
                <w:lang w:eastAsia="es-MX"/>
              </w:rPr>
            </w:pPr>
            <w:r w:rsidRPr="009D0341">
              <w:rPr>
                <w:rFonts w:eastAsia="Times New Roman" w:cs="Arial"/>
                <w:lang w:eastAsia="es-MX"/>
              </w:rPr>
              <w:t>Acceso a la información pública</w:t>
            </w:r>
            <w:r w:rsidRPr="009D0341">
              <w:rPr>
                <w:rFonts w:eastAsia="Times New Roman" w:cs="Arial"/>
                <w:lang w:eastAsia="es-MX"/>
              </w:rPr>
              <w:tab/>
            </w:r>
          </w:p>
        </w:tc>
        <w:tc>
          <w:tcPr>
            <w:tcW w:w="1357" w:type="pct"/>
            <w:shd w:val="clear" w:color="auto" w:fill="auto"/>
            <w:noWrap/>
            <w:vAlign w:val="bottom"/>
          </w:tcPr>
          <w:p w:rsidR="00F04D6E" w:rsidRDefault="00F04D6E" w:rsidP="0056150B">
            <w:pPr>
              <w:jc w:val="right"/>
              <w:rPr>
                <w:rFonts w:eastAsia="Times New Roman" w:cs="Arial"/>
                <w:lang w:eastAsia="es-MX"/>
              </w:rPr>
            </w:pPr>
          </w:p>
          <w:p w:rsidR="00F04D6E" w:rsidRDefault="00F04D6E" w:rsidP="0056150B">
            <w:pPr>
              <w:jc w:val="right"/>
              <w:rPr>
                <w:rFonts w:eastAsia="Times New Roman" w:cs="Arial"/>
                <w:lang w:eastAsia="es-MX"/>
              </w:rPr>
            </w:pPr>
            <w:r w:rsidRPr="000164B3">
              <w:rPr>
                <w:rFonts w:eastAsia="Times New Roman" w:cs="Arial"/>
                <w:lang w:eastAsia="es-MX"/>
              </w:rPr>
              <w:t>1,000</w:t>
            </w:r>
          </w:p>
        </w:tc>
      </w:tr>
      <w:tr w:rsidR="00F04D6E" w:rsidRPr="00EE6AF7" w:rsidTr="00CE71CA">
        <w:trPr>
          <w:trHeight w:val="433"/>
        </w:trPr>
        <w:tc>
          <w:tcPr>
            <w:tcW w:w="3643" w:type="pct"/>
            <w:shd w:val="clear" w:color="auto" w:fill="auto"/>
            <w:noWrap/>
            <w:vAlign w:val="bottom"/>
          </w:tcPr>
          <w:p w:rsidR="00F04D6E" w:rsidRPr="009D0341" w:rsidRDefault="00F04D6E" w:rsidP="0056150B">
            <w:pPr>
              <w:rPr>
                <w:rFonts w:eastAsia="Times New Roman" w:cs="Arial"/>
                <w:b/>
                <w:lang w:eastAsia="es-MX"/>
              </w:rPr>
            </w:pPr>
            <w:r w:rsidRPr="009D0341">
              <w:rPr>
                <w:rFonts w:eastAsia="Times New Roman" w:cs="Arial"/>
                <w:b/>
                <w:lang w:eastAsia="es-MX"/>
              </w:rPr>
              <w:t>DERECHO A LA PARTICIPACIÓN POLÍTICA</w:t>
            </w:r>
          </w:p>
        </w:tc>
        <w:tc>
          <w:tcPr>
            <w:tcW w:w="1357" w:type="pct"/>
            <w:shd w:val="clear" w:color="auto" w:fill="auto"/>
            <w:noWrap/>
            <w:vAlign w:val="bottom"/>
          </w:tcPr>
          <w:p w:rsidR="00F04D6E" w:rsidRPr="00337DA2" w:rsidRDefault="00F04D6E" w:rsidP="0056150B">
            <w:pPr>
              <w:jc w:val="right"/>
              <w:rPr>
                <w:rFonts w:eastAsia="Times New Roman" w:cs="Arial"/>
                <w:b/>
                <w:lang w:eastAsia="es-MX"/>
              </w:rPr>
            </w:pPr>
            <w:r w:rsidRPr="00EE6AF7">
              <w:rPr>
                <w:rFonts w:cs="Arial"/>
                <w:b/>
              </w:rPr>
              <w:t xml:space="preserve"> 3,011</w:t>
            </w:r>
          </w:p>
        </w:tc>
      </w:tr>
      <w:tr w:rsidR="00F04D6E" w:rsidRPr="00EE6AF7" w:rsidTr="00CE71CA">
        <w:trPr>
          <w:trHeight w:val="433"/>
        </w:trPr>
        <w:tc>
          <w:tcPr>
            <w:tcW w:w="3643" w:type="pct"/>
            <w:shd w:val="clear" w:color="auto" w:fill="auto"/>
            <w:noWrap/>
            <w:vAlign w:val="bottom"/>
          </w:tcPr>
          <w:p w:rsidR="00F04D6E" w:rsidRPr="00B032FB" w:rsidRDefault="00F04D6E" w:rsidP="0056150B">
            <w:pPr>
              <w:rPr>
                <w:rFonts w:eastAsia="Times New Roman" w:cs="Arial"/>
                <w:lang w:eastAsia="es-MX"/>
              </w:rPr>
            </w:pPr>
            <w:r w:rsidRPr="009D0341">
              <w:rPr>
                <w:rFonts w:eastAsia="Times New Roman" w:cs="Arial"/>
                <w:lang w:eastAsia="es-MX"/>
              </w:rPr>
              <w:t>Capacitación en materia de liderazgo</w:t>
            </w:r>
            <w:r w:rsidRPr="009D0341">
              <w:rPr>
                <w:rFonts w:eastAsia="Times New Roman" w:cs="Arial"/>
                <w:lang w:eastAsia="es-MX"/>
              </w:rPr>
              <w:tab/>
            </w:r>
          </w:p>
        </w:tc>
        <w:tc>
          <w:tcPr>
            <w:tcW w:w="1357" w:type="pct"/>
            <w:shd w:val="clear" w:color="auto" w:fill="auto"/>
            <w:noWrap/>
            <w:vAlign w:val="bottom"/>
          </w:tcPr>
          <w:p w:rsidR="00F04D6E" w:rsidRPr="000164B3" w:rsidRDefault="00F04D6E" w:rsidP="0056150B">
            <w:pPr>
              <w:jc w:val="right"/>
              <w:rPr>
                <w:rFonts w:eastAsia="Times New Roman" w:cs="Arial"/>
                <w:lang w:eastAsia="es-MX"/>
              </w:rPr>
            </w:pPr>
            <w:r w:rsidRPr="00EE6AF7">
              <w:rPr>
                <w:rFonts w:cs="Arial"/>
              </w:rPr>
              <w:t xml:space="preserve"> 3,011</w:t>
            </w:r>
          </w:p>
        </w:tc>
      </w:tr>
      <w:tr w:rsidR="00F04D6E" w:rsidRPr="00EE6AF7" w:rsidTr="00CE71CA">
        <w:trPr>
          <w:trHeight w:val="299"/>
        </w:trPr>
        <w:tc>
          <w:tcPr>
            <w:tcW w:w="3643" w:type="pct"/>
            <w:shd w:val="clear" w:color="auto" w:fill="4B4B4B"/>
            <w:noWrap/>
            <w:vAlign w:val="bottom"/>
            <w:hideMark/>
          </w:tcPr>
          <w:p w:rsidR="00F04D6E" w:rsidRPr="00EE6AF7" w:rsidRDefault="00F04D6E" w:rsidP="0056150B">
            <w:pPr>
              <w:rPr>
                <w:rFonts w:eastAsia="Times New Roman" w:cs="Arial"/>
                <w:b/>
                <w:bCs/>
                <w:color w:val="FFFFFF"/>
                <w:lang w:eastAsia="es-MX"/>
              </w:rPr>
            </w:pPr>
            <w:r w:rsidRPr="00EE6AF7">
              <w:rPr>
                <w:rFonts w:eastAsia="Times New Roman" w:cs="Arial"/>
                <w:b/>
                <w:bCs/>
                <w:color w:val="FFFFFF"/>
                <w:lang w:eastAsia="es-MX"/>
              </w:rPr>
              <w:t>TOTAL</w:t>
            </w:r>
          </w:p>
        </w:tc>
        <w:tc>
          <w:tcPr>
            <w:tcW w:w="1357" w:type="pct"/>
            <w:shd w:val="clear" w:color="auto" w:fill="4B4B4B"/>
            <w:noWrap/>
            <w:vAlign w:val="bottom"/>
            <w:hideMark/>
          </w:tcPr>
          <w:p w:rsidR="00F04D6E" w:rsidRPr="00EE6AF7" w:rsidRDefault="00F04D6E" w:rsidP="0056150B">
            <w:pPr>
              <w:jc w:val="right"/>
              <w:rPr>
                <w:rFonts w:eastAsia="Times New Roman" w:cs="Arial"/>
                <w:b/>
                <w:bCs/>
                <w:color w:val="FFFFFF"/>
                <w:lang w:eastAsia="es-MX"/>
              </w:rPr>
            </w:pPr>
            <w:r w:rsidRPr="00EE6AF7">
              <w:rPr>
                <w:rFonts w:eastAsia="Times New Roman" w:cs="Arial"/>
                <w:b/>
                <w:bCs/>
                <w:color w:val="FFFFFF"/>
                <w:lang w:eastAsia="es-MX"/>
              </w:rPr>
              <w:t>849,951,931</w:t>
            </w:r>
          </w:p>
        </w:tc>
      </w:tr>
    </w:tbl>
    <w:p w:rsidR="00F04D6E" w:rsidRPr="00611A83" w:rsidRDefault="00F04D6E" w:rsidP="00F04D6E">
      <w:pPr>
        <w:contextualSpacing/>
        <w:jc w:val="center"/>
        <w:rPr>
          <w:rFonts w:cs="Arial"/>
        </w:rPr>
      </w:pPr>
      <w:r w:rsidRPr="00611A83">
        <w:rPr>
          <w:rFonts w:cs="Arial"/>
        </w:rPr>
        <w:t>Fuente: Elaboración propia.</w:t>
      </w:r>
    </w:p>
    <w:p w:rsidR="00F04D6E" w:rsidRPr="00611A83" w:rsidRDefault="00F04D6E" w:rsidP="00F04D6E">
      <w:pPr>
        <w:contextualSpacing/>
        <w:jc w:val="center"/>
        <w:rPr>
          <w:rFonts w:cs="Arial"/>
          <w:b/>
        </w:rPr>
      </w:pPr>
    </w:p>
    <w:p w:rsidR="00F04D6E" w:rsidRDefault="00F04D6E" w:rsidP="00F04D6E">
      <w:pPr>
        <w:rPr>
          <w:rFonts w:eastAsia="Arial" w:cs="Arial"/>
        </w:rPr>
      </w:pPr>
      <w:r w:rsidRPr="00611A83">
        <w:rPr>
          <w:rFonts w:eastAsia="Arial" w:cs="Arial"/>
        </w:rPr>
        <w:t xml:space="preserve">Para complementar el análisis de los derechos de la mujer, se realizó la clasificación por especificidad de la inversión, lo que permite conocer su orientación de acuerdo a la población objetivo a la que se dirigen las intervenciones públicas. </w:t>
      </w:r>
    </w:p>
    <w:p w:rsidR="00F04D6E" w:rsidRDefault="00F04D6E" w:rsidP="00F04D6E">
      <w:pPr>
        <w:jc w:val="center"/>
        <w:rPr>
          <w:rFonts w:eastAsia="Arial" w:cs="Arial"/>
          <w:b/>
          <w:bCs/>
          <w:w w:val="103"/>
        </w:rPr>
      </w:pPr>
      <w:r w:rsidRPr="00611A83">
        <w:rPr>
          <w:rFonts w:eastAsia="Arial" w:cs="Arial"/>
          <w:b/>
          <w:bCs/>
          <w:w w:val="103"/>
        </w:rPr>
        <w:t>Gráfica 3. Distribución de acuerdo a la especificidad de la inversión</w:t>
      </w:r>
    </w:p>
    <w:p w:rsidR="00B10307" w:rsidRPr="00611A83" w:rsidRDefault="00B10307" w:rsidP="00F04D6E">
      <w:pPr>
        <w:jc w:val="center"/>
        <w:rPr>
          <w:rFonts w:eastAsia="Arial" w:cs="Arial"/>
          <w:b/>
          <w:bCs/>
          <w:w w:val="103"/>
        </w:rPr>
      </w:pPr>
    </w:p>
    <w:p w:rsidR="00F04D6E" w:rsidRDefault="008A5EAC" w:rsidP="00F04D6E">
      <w:pPr>
        <w:jc w:val="center"/>
        <w:rPr>
          <w:rFonts w:eastAsia="Arial" w:cs="Arial"/>
          <w:b/>
          <w:bCs/>
          <w:w w:val="103"/>
        </w:rPr>
      </w:pPr>
      <w:r w:rsidRPr="00CF51C3">
        <w:rPr>
          <w:noProof/>
          <w:lang w:eastAsia="es-MX"/>
        </w:rPr>
        <w:drawing>
          <wp:inline distT="0" distB="0" distL="0" distR="0">
            <wp:extent cx="7381875" cy="4162425"/>
            <wp:effectExtent l="0" t="0" r="0" b="0"/>
            <wp:docPr id="12"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4D6E" w:rsidRDefault="00F04D6E" w:rsidP="00F04D6E">
      <w:pPr>
        <w:jc w:val="center"/>
        <w:rPr>
          <w:rFonts w:cs="Arial"/>
        </w:rPr>
      </w:pPr>
      <w:r>
        <w:rPr>
          <w:rFonts w:cs="Arial"/>
        </w:rPr>
        <w:t>F</w:t>
      </w:r>
      <w:r w:rsidRPr="00611A83">
        <w:rPr>
          <w:rFonts w:cs="Arial"/>
        </w:rPr>
        <w:t xml:space="preserve">uente: Elaboración propia. </w:t>
      </w:r>
    </w:p>
    <w:p w:rsidR="00B10307" w:rsidRDefault="00B10307" w:rsidP="00F04D6E">
      <w:pPr>
        <w:jc w:val="center"/>
        <w:rPr>
          <w:rFonts w:eastAsia="Arial" w:cs="Arial"/>
          <w:b/>
          <w:bCs/>
          <w:w w:val="103"/>
        </w:rPr>
      </w:pPr>
    </w:p>
    <w:p w:rsidR="00F04D6E" w:rsidRPr="00B80D29" w:rsidRDefault="00F04D6E" w:rsidP="00F04D6E">
      <w:pPr>
        <w:rPr>
          <w:rFonts w:eastAsia="Arial" w:cs="Arial"/>
          <w:b/>
          <w:bCs/>
          <w:w w:val="103"/>
        </w:rPr>
      </w:pPr>
      <w:r w:rsidRPr="00795F4A">
        <w:rPr>
          <w:rFonts w:eastAsia="Arial" w:cs="Arial"/>
        </w:rPr>
        <w:t xml:space="preserve">La mayor inversión se refleja en inversión </w:t>
      </w:r>
      <w:r>
        <w:rPr>
          <w:rFonts w:eastAsia="Arial" w:cs="Arial"/>
        </w:rPr>
        <w:t>ampliada</w:t>
      </w:r>
      <w:r w:rsidRPr="00795F4A">
        <w:rPr>
          <w:rFonts w:eastAsia="Arial" w:cs="Arial"/>
        </w:rPr>
        <w:t xml:space="preserve">, lo que representa </w:t>
      </w:r>
      <w:r>
        <w:rPr>
          <w:rFonts w:eastAsia="Arial" w:cs="Arial"/>
        </w:rPr>
        <w:t>48.7</w:t>
      </w:r>
      <w:r w:rsidRPr="00795F4A">
        <w:rPr>
          <w:rFonts w:eastAsia="Arial" w:cs="Arial"/>
        </w:rPr>
        <w:t xml:space="preserve">% de las erogaciones para la igualdad; por su parte, la inversión </w:t>
      </w:r>
      <w:r>
        <w:rPr>
          <w:rFonts w:eastAsia="Arial" w:cs="Arial"/>
        </w:rPr>
        <w:t>agéntica o indirecta representa el 37.2</w:t>
      </w:r>
      <w:r w:rsidRPr="00795F4A">
        <w:rPr>
          <w:rFonts w:eastAsia="Arial" w:cs="Arial"/>
        </w:rPr>
        <w:t xml:space="preserve">% del total (gráfica 3). </w:t>
      </w:r>
    </w:p>
    <w:p w:rsidR="00F04D6E" w:rsidRDefault="00F04D6E" w:rsidP="00F04D6E">
      <w:pPr>
        <w:rPr>
          <w:rFonts w:eastAsia="Arial" w:cs="Arial"/>
        </w:rPr>
      </w:pPr>
      <w:r w:rsidRPr="00795F4A">
        <w:rPr>
          <w:rFonts w:eastAsia="Arial" w:cs="Arial"/>
        </w:rPr>
        <w:t xml:space="preserve">Estas erogaciones presupuestales se distribuyen en </w:t>
      </w:r>
      <w:r>
        <w:rPr>
          <w:rFonts w:eastAsia="Arial" w:cs="Arial"/>
        </w:rPr>
        <w:t>40 programas presupuestarios, así como entre 25</w:t>
      </w:r>
      <w:r w:rsidRPr="00611A83">
        <w:rPr>
          <w:rFonts w:eastAsia="Arial" w:cs="Arial"/>
        </w:rPr>
        <w:t xml:space="preserve"> dependenc</w:t>
      </w:r>
      <w:r>
        <w:rPr>
          <w:rFonts w:eastAsia="Arial" w:cs="Arial"/>
        </w:rPr>
        <w:t>ias y entidades que destinan</w:t>
      </w:r>
      <w:r w:rsidRPr="00611A83">
        <w:rPr>
          <w:rFonts w:eastAsia="Arial" w:cs="Arial"/>
        </w:rPr>
        <w:t xml:space="preserve"> recursos para la igualdad entre mujeres y hombres </w:t>
      </w:r>
      <w:r w:rsidRPr="00795F4A">
        <w:rPr>
          <w:rFonts w:eastAsia="Arial" w:cs="Arial"/>
        </w:rPr>
        <w:t>los cuales se presentan en la siguiente tabla.</w:t>
      </w:r>
    </w:p>
    <w:p w:rsidR="00B10307" w:rsidRPr="00611A83" w:rsidRDefault="00B10307" w:rsidP="00F04D6E">
      <w:pPr>
        <w:rPr>
          <w:rFonts w:eastAsia="Arial" w:cs="Arial"/>
        </w:rPr>
      </w:pPr>
    </w:p>
    <w:p w:rsidR="00F04D6E" w:rsidRDefault="00F04D6E" w:rsidP="00F04D6E">
      <w:pPr>
        <w:jc w:val="center"/>
        <w:rPr>
          <w:rFonts w:eastAsia="Arial" w:cs="Arial"/>
          <w:b/>
          <w:bCs/>
          <w:w w:val="103"/>
        </w:rPr>
      </w:pPr>
      <w:r w:rsidRPr="00611A83">
        <w:rPr>
          <w:rFonts w:eastAsia="Arial" w:cs="Arial"/>
          <w:b/>
          <w:bCs/>
          <w:w w:val="103"/>
        </w:rPr>
        <w:t xml:space="preserve">Tabla </w:t>
      </w:r>
      <w:r w:rsidR="00C95CA3" w:rsidRPr="00611A83">
        <w:rPr>
          <w:rFonts w:eastAsia="Arial" w:cs="Arial"/>
          <w:b/>
          <w:bCs/>
          <w:w w:val="103"/>
        </w:rPr>
        <w:fldChar w:fldCharType="begin"/>
      </w:r>
      <w:r w:rsidRPr="00611A83">
        <w:rPr>
          <w:rFonts w:eastAsia="Arial" w:cs="Arial"/>
          <w:b/>
          <w:bCs/>
          <w:w w:val="103"/>
        </w:rPr>
        <w:instrText xml:space="preserve"> SEQ Tabla \* ARABIC </w:instrText>
      </w:r>
      <w:r w:rsidR="00C95CA3" w:rsidRPr="00611A83">
        <w:rPr>
          <w:rFonts w:eastAsia="Arial" w:cs="Arial"/>
          <w:b/>
          <w:bCs/>
          <w:w w:val="103"/>
        </w:rPr>
        <w:fldChar w:fldCharType="separate"/>
      </w:r>
      <w:r w:rsidR="006B7B6C">
        <w:rPr>
          <w:rFonts w:eastAsia="Arial" w:cs="Arial"/>
          <w:b/>
          <w:bCs/>
          <w:noProof/>
          <w:w w:val="103"/>
        </w:rPr>
        <w:t>4</w:t>
      </w:r>
      <w:r w:rsidR="00C95CA3" w:rsidRPr="00611A83">
        <w:rPr>
          <w:rFonts w:eastAsia="Arial" w:cs="Arial"/>
          <w:b/>
          <w:bCs/>
          <w:w w:val="103"/>
        </w:rPr>
        <w:fldChar w:fldCharType="end"/>
      </w:r>
      <w:r w:rsidRPr="00611A83">
        <w:rPr>
          <w:rFonts w:eastAsia="Arial" w:cs="Arial"/>
          <w:b/>
          <w:bCs/>
          <w:w w:val="103"/>
        </w:rPr>
        <w:t>. Asig</w:t>
      </w:r>
      <w:r>
        <w:rPr>
          <w:rFonts w:eastAsia="Arial" w:cs="Arial"/>
          <w:b/>
          <w:bCs/>
          <w:w w:val="103"/>
        </w:rPr>
        <w:t>nación presupuestal por institución y programa</w:t>
      </w:r>
    </w:p>
    <w:p w:rsidR="00B10307" w:rsidRPr="00611A83" w:rsidRDefault="00B10307" w:rsidP="00F04D6E">
      <w:pPr>
        <w:jc w:val="center"/>
        <w:rPr>
          <w:rFonts w:eastAsia="Arial" w:cs="Arial"/>
          <w:b/>
          <w:bCs/>
          <w:w w:val="103"/>
        </w:rPr>
      </w:pPr>
    </w:p>
    <w:tbl>
      <w:tblPr>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4452"/>
        <w:gridCol w:w="1800"/>
        <w:gridCol w:w="1822"/>
        <w:gridCol w:w="1459"/>
      </w:tblGrid>
      <w:tr w:rsidR="00F04D6E" w:rsidRPr="00EE6AF7" w:rsidTr="0E6AD53A">
        <w:trPr>
          <w:trHeight w:val="736"/>
          <w:tblHeader/>
        </w:trPr>
        <w:tc>
          <w:tcPr>
            <w:tcW w:w="1477" w:type="dxa"/>
            <w:shd w:val="clear" w:color="auto" w:fill="4B4B4B"/>
            <w:vAlign w:val="center"/>
          </w:tcPr>
          <w:p w:rsidR="00F04D6E" w:rsidRPr="00EE6AF7" w:rsidRDefault="00F04D6E" w:rsidP="0056150B">
            <w:pPr>
              <w:jc w:val="center"/>
              <w:rPr>
                <w:rFonts w:cs="Arial"/>
                <w:b/>
                <w:bCs/>
                <w:color w:val="FFFFFF"/>
              </w:rPr>
            </w:pPr>
            <w:r w:rsidRPr="00EE6AF7">
              <w:rPr>
                <w:rFonts w:cs="Arial"/>
                <w:b/>
                <w:bCs/>
                <w:color w:val="FFFFFF"/>
              </w:rPr>
              <w:t>Institución</w:t>
            </w:r>
          </w:p>
          <w:p w:rsidR="00F04D6E" w:rsidRPr="00EE6AF7" w:rsidRDefault="00F04D6E" w:rsidP="0056150B">
            <w:pPr>
              <w:jc w:val="center"/>
              <w:rPr>
                <w:rFonts w:cs="Arial"/>
                <w:b/>
                <w:bCs/>
                <w:color w:val="FFFFFF"/>
              </w:rPr>
            </w:pPr>
            <w:r w:rsidRPr="00EE6AF7">
              <w:rPr>
                <w:rFonts w:cs="Arial"/>
                <w:b/>
                <w:bCs/>
                <w:color w:val="FFFFFF"/>
              </w:rPr>
              <w:t>Ejecutora</w:t>
            </w:r>
          </w:p>
        </w:tc>
        <w:tc>
          <w:tcPr>
            <w:tcW w:w="4452" w:type="dxa"/>
            <w:shd w:val="clear" w:color="auto" w:fill="4B4B4B"/>
            <w:tcMar>
              <w:top w:w="15" w:type="dxa"/>
              <w:left w:w="15" w:type="dxa"/>
              <w:bottom w:w="0" w:type="dxa"/>
              <w:right w:w="15" w:type="dxa"/>
            </w:tcMar>
            <w:vAlign w:val="center"/>
            <w:hideMark/>
          </w:tcPr>
          <w:p w:rsidR="00F04D6E" w:rsidRPr="00EE6AF7" w:rsidRDefault="00F04D6E" w:rsidP="0056150B">
            <w:pPr>
              <w:jc w:val="center"/>
              <w:rPr>
                <w:rFonts w:cs="Arial"/>
                <w:b/>
                <w:bCs/>
                <w:color w:val="FFFFFF"/>
              </w:rPr>
            </w:pPr>
            <w:r w:rsidRPr="00EE6AF7">
              <w:rPr>
                <w:rFonts w:cs="Arial"/>
                <w:b/>
                <w:bCs/>
                <w:color w:val="FFFFFF"/>
              </w:rPr>
              <w:t xml:space="preserve"> Nombre del Programa Presupuestario </w:t>
            </w:r>
          </w:p>
        </w:tc>
        <w:tc>
          <w:tcPr>
            <w:tcW w:w="1800" w:type="dxa"/>
            <w:shd w:val="clear" w:color="auto" w:fill="4B4B4B"/>
            <w:tcMar>
              <w:top w:w="15" w:type="dxa"/>
              <w:left w:w="15" w:type="dxa"/>
              <w:bottom w:w="0" w:type="dxa"/>
              <w:right w:w="15" w:type="dxa"/>
            </w:tcMar>
            <w:vAlign w:val="center"/>
            <w:hideMark/>
          </w:tcPr>
          <w:p w:rsidR="00F04D6E" w:rsidRPr="00EE6AF7" w:rsidRDefault="00F04D6E" w:rsidP="0056150B">
            <w:pPr>
              <w:jc w:val="center"/>
              <w:rPr>
                <w:rFonts w:cs="Arial"/>
                <w:b/>
                <w:bCs/>
                <w:color w:val="FFFFFF"/>
              </w:rPr>
            </w:pPr>
            <w:r w:rsidRPr="00EE6AF7">
              <w:rPr>
                <w:rFonts w:cs="Arial"/>
                <w:b/>
                <w:bCs/>
                <w:color w:val="FFFFFF"/>
              </w:rPr>
              <w:t xml:space="preserve"> Importe PP (pesos) </w:t>
            </w:r>
          </w:p>
        </w:tc>
        <w:tc>
          <w:tcPr>
            <w:tcW w:w="1822" w:type="dxa"/>
            <w:shd w:val="clear" w:color="auto" w:fill="4B4B4B"/>
            <w:tcMar>
              <w:top w:w="15" w:type="dxa"/>
              <w:left w:w="15" w:type="dxa"/>
              <w:bottom w:w="0" w:type="dxa"/>
              <w:right w:w="15" w:type="dxa"/>
            </w:tcMar>
            <w:vAlign w:val="center"/>
            <w:hideMark/>
          </w:tcPr>
          <w:p w:rsidR="00F04D6E" w:rsidRPr="00EE6AF7" w:rsidRDefault="00F04D6E" w:rsidP="0056150B">
            <w:pPr>
              <w:jc w:val="center"/>
              <w:rPr>
                <w:rFonts w:cs="Arial"/>
                <w:b/>
                <w:bCs/>
                <w:color w:val="FFFFFF"/>
              </w:rPr>
            </w:pPr>
            <w:r w:rsidRPr="00EE6AF7">
              <w:rPr>
                <w:rFonts w:cs="Arial"/>
                <w:b/>
                <w:bCs/>
                <w:color w:val="FFFFFF"/>
              </w:rPr>
              <w:t xml:space="preserve"> Importe Igualdad (pesos) </w:t>
            </w:r>
          </w:p>
        </w:tc>
        <w:tc>
          <w:tcPr>
            <w:tcW w:w="1459" w:type="dxa"/>
            <w:shd w:val="clear" w:color="auto" w:fill="4B4B4B"/>
            <w:tcMar>
              <w:top w:w="15" w:type="dxa"/>
              <w:left w:w="15" w:type="dxa"/>
              <w:bottom w:w="0" w:type="dxa"/>
              <w:right w:w="15" w:type="dxa"/>
            </w:tcMar>
            <w:vAlign w:val="center"/>
            <w:hideMark/>
          </w:tcPr>
          <w:p w:rsidR="00F04D6E" w:rsidRPr="00EE6AF7" w:rsidRDefault="00F04D6E" w:rsidP="0056150B">
            <w:pPr>
              <w:jc w:val="center"/>
              <w:rPr>
                <w:rFonts w:cs="Arial"/>
                <w:b/>
                <w:bCs/>
                <w:color w:val="FFFFFF"/>
              </w:rPr>
            </w:pPr>
            <w:r w:rsidRPr="00EE6AF7">
              <w:rPr>
                <w:rFonts w:cs="Arial"/>
                <w:b/>
                <w:bCs/>
                <w:color w:val="FFFFFF"/>
              </w:rPr>
              <w:t xml:space="preserve"> Porcentaje </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SAF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E401PP- Rendición de Cuentas en Instituciones de Seguridad, Justicia y Gobernabilidad</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157,599,924</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3,356,301</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2.1%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FGE</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E402PP- Fortalecimiento del Sistema de Justicia Penal</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525,217,381 </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70,678,943 </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5.4%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CEEAV</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E403PP- Atención a Víctimas de Violencia</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16,393,761</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 1,097,643 </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6.7%</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223,246 </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CJ</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E404PP- Asistencia Jurídica al Sector Público y Social</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96,508,737</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418,077</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189,200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R405PP- Desarrollo Institucional de los Municipios </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43,533,282</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3,011</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SSP</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 xml:space="preserve"> E411PP- Reforzamiento de Vigilancia y Operativos en Materia de Seguridad Pública </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1,936,404,200</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219,753</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 xml:space="preserve"> E412PP- Reinserción Social </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260,926,579</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2,563,321</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FGE</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S414PP- Prevención del Delito </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35,962,023 </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 436,572 </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 1,146,697 </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3.2%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SSP</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146,834 </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SEPLAN</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P418PP- Consolidación del Sistema de Seguimiento y Evaluación del Desempeño </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13,518,845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13,000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SAF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P421PP- Implementación del Presupuesto Basado en Resultados </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30,171,050</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0.003%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SEMUJERES</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E430PP- Prevención del Embarazo en Adolescentes </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6,214,591</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 5,074,964 </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81.7%</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vMerge/>
            <w:tcMar>
              <w:top w:w="15" w:type="dxa"/>
              <w:left w:w="15" w:type="dxa"/>
              <w:bottom w:w="0" w:type="dxa"/>
              <w:right w:w="15" w:type="dxa"/>
            </w:tcMa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1,139,627 </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18.3%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shd w:val="clear" w:color="auto" w:fill="auto"/>
            <w:tcMar>
              <w:top w:w="15" w:type="dxa"/>
              <w:left w:w="15" w:type="dxa"/>
              <w:bottom w:w="0" w:type="dxa"/>
              <w:right w:w="15" w:type="dxa"/>
            </w:tcMar>
          </w:tcPr>
          <w:p w:rsidR="00F04D6E" w:rsidRPr="00EE6AF7" w:rsidRDefault="00F04D6E" w:rsidP="0056150B">
            <w:pPr>
              <w:rPr>
                <w:rFonts w:cs="Arial"/>
              </w:rPr>
            </w:pPr>
            <w:r w:rsidRPr="00EE6AF7">
              <w:rPr>
                <w:rFonts w:cs="Arial"/>
              </w:rPr>
              <w:t>E431PP- Prevención y Control de VIH, SIDA e Infecciones de Transmisión Sexual</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8,124,890</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4,692,386</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57.8%</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E434PP- Prevención y Promoción de la Salud en la Comunidad</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12,726,868</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348,000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2.7%</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E439PP- Promoción, Prevención y Atención Integral de Enfermedades Relacionadas con la Nutrición</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29,243,168</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1,273,804</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HCP</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E440PP- Atención Integral a la Salud Reproductiva</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195,249,595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39,338,243</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20.1%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HCT</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15,329,884</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7.9%</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12,194,726</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6.2%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E444PP- Cobertura con Equidad en Educación Básica</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8,490,036,526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8,901,484</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0.10%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SEGEY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S446PP- Acceso y Permanencia en Educación Básica</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179,511,626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1,860,209</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S451PP- Atención Integral en Alimentación a Personas Sujetas de Asistencia Social</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285,799,508</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169,797,145</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59.4%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IVEY</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S453PP- Promoción de Calidad y Espacios en la Vivienda</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282,390,241</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72,766,375</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25.8%</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INDEMAYA</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E454PP- Reducción de las Brechas Sociales de los Pueblos Indígenas</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12,962,205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13,963</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0.11%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ISSTEY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E455PP- Otorgamiento de Prestaciones para la Seguridad Social de los Trabajadores del Gobierno del Estado</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749,993,164</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10,825</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0.001%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E456PP- Prestación de Servicios de Salud</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4,525,632,478</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1,203,250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vMerge/>
            <w:tcMar>
              <w:top w:w="15" w:type="dxa"/>
              <w:left w:w="15" w:type="dxa"/>
              <w:bottom w:w="0" w:type="dxa"/>
              <w:right w:w="15" w:type="dxa"/>
            </w:tcMar>
            <w:vAlign w:val="center"/>
            <w:hideMark/>
          </w:tcPr>
          <w:p w:rsidR="00F04D6E" w:rsidRPr="00EE6AF7" w:rsidRDefault="00F04D6E" w:rsidP="0056150B">
            <w:pPr>
              <w:jc w:val="cente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center"/>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194,999,457</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CAEY</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F461PP- Fomento y Difusión de la Cultura Tradicional Yucateca</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41,556,047</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573,400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INDEMAYA</w:t>
            </w:r>
          </w:p>
        </w:tc>
        <w:tc>
          <w:tcPr>
            <w:tcW w:w="4452" w:type="dxa"/>
            <w:vMerge/>
            <w:tcMar>
              <w:top w:w="15" w:type="dxa"/>
              <w:left w:w="15" w:type="dxa"/>
              <w:bottom w:w="0" w:type="dxa"/>
              <w:right w:w="15" w:type="dxa"/>
            </w:tcMar>
            <w:vAlign w:val="center"/>
          </w:tcPr>
          <w:p w:rsidR="00F04D6E" w:rsidRPr="00EE6AF7" w:rsidRDefault="00F04D6E" w:rsidP="0056150B">
            <w:pPr>
              <w:jc w:val="cente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center"/>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175,969</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ESAY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E463PP- Educación para la Profesionalización Artística</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21,737,526</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1,069,302</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4.9%</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S474PP- Atención Integral a Personas con Discapacidad del Estado de Yucatán</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41,992,975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35,509,604</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84.6%</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E475PP- Prevención y Atención Integral del Cáncer en la Mujer</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4,373,708</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4,373,708</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100.0%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SEDESOL</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E476PP- Atención y Desarrollo de las Organizaciones Sociales</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33,364,966</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620,000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1.9%</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E477PP- Asistencia Social a Personas Vulnerables</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146,195,132</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4,810,000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3.3%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SEDESOL</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1,200,000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0.8%</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F478PP- Prevención y Eliminación de la Discriminación</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2,681,159</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1,582,926</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59.0%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E479PP- Promoción y Restitución de Derechos de Niñas, Niños y Adolescentes del Estado de Yucatán</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153,463,982</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61,941,402</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40.4%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SEMUJERES</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E481PP- Autonomía y Empoderamiento de las Mujeres</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23,144,276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22,644,276</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97.8%</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SEFOET</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500,000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2.2%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E482PP- Prevención y Atención a las Violencias contra las Mujeres</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142,796,779</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2,034,800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FGE</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16,615,383</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11.6%</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SEMUJERES</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41,253,977</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28.9%</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SSP</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71,268</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0.05%</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831,374</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0.6%</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SEMUJERES</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M483PP- Gestión Eficiente de las Instituciones del Sector de Igualdad de Género</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13,608,420</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11,106,805</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81.6%</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UPY</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E486PP- Eficiencia Terminal en Educación Superior</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121,614,445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1,250,109</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INCCOPY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K491PP- Mejoramiento de la Infraestructura Urbana</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373,776,273</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12,500,000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3.3%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IYEM</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jc w:val="left"/>
              <w:rPr>
                <w:rFonts w:cs="Arial"/>
              </w:rPr>
            </w:pPr>
            <w:r w:rsidRPr="00EE6AF7">
              <w:rPr>
                <w:rFonts w:cs="Arial"/>
              </w:rPr>
              <w:t>S494PP- Impulso a la Población Emprendedora y Empresarial con Enfoque de Inclusión</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36,633,194</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3,333,313</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9.1%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SEDESOL</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2,700,000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7.4%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SEFOET</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S500PP- Productividad Laboral</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4,673,896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0.002%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SEDER</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S501PP- Fomento del Sector Agropecuario y Agroindustrial</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235,571,046</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9,750,000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E510PP- Fomento al Autoempleo para la Población en Situación de Vulnerabilidad</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4,015,876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4,015,876</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100%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SIIES</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S511PP- Fortalecimiento al Conocimiento Científico, Tecnológico e Innovación</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30,006,071</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50,400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0.2%</w:t>
            </w:r>
          </w:p>
        </w:tc>
      </w:tr>
      <w:tr w:rsidR="00F04D6E" w:rsidRPr="00EE6AF7" w:rsidTr="0E6AD53A">
        <w:trPr>
          <w:trHeight w:val="340"/>
        </w:trPr>
        <w:tc>
          <w:tcPr>
            <w:tcW w:w="1477" w:type="dxa"/>
            <w:shd w:val="clear" w:color="auto" w:fill="4B4B4B"/>
          </w:tcPr>
          <w:p w:rsidR="00F04D6E" w:rsidRPr="00EE6AF7" w:rsidRDefault="00F04D6E" w:rsidP="0056150B">
            <w:pPr>
              <w:rPr>
                <w:rFonts w:cs="Arial"/>
                <w:b/>
                <w:bCs/>
                <w:color w:val="FFFFFF"/>
              </w:rPr>
            </w:pPr>
          </w:p>
        </w:tc>
        <w:tc>
          <w:tcPr>
            <w:tcW w:w="4452" w:type="dxa"/>
            <w:shd w:val="clear" w:color="auto" w:fill="4B4B4B"/>
            <w:noWrap/>
            <w:tcMar>
              <w:top w:w="15" w:type="dxa"/>
              <w:left w:w="15" w:type="dxa"/>
              <w:bottom w:w="0" w:type="dxa"/>
              <w:right w:w="15" w:type="dxa"/>
            </w:tcMar>
            <w:vAlign w:val="center"/>
            <w:hideMark/>
          </w:tcPr>
          <w:p w:rsidR="00F04D6E" w:rsidRPr="00EE6AF7" w:rsidRDefault="00F04D6E" w:rsidP="00902B65">
            <w:pPr>
              <w:jc w:val="center"/>
              <w:rPr>
                <w:rFonts w:cs="Arial"/>
                <w:b/>
                <w:bCs/>
                <w:color w:val="FFFFFF"/>
              </w:rPr>
            </w:pPr>
            <w:r w:rsidRPr="00EE6AF7">
              <w:rPr>
                <w:rFonts w:cs="Arial"/>
                <w:b/>
                <w:bCs/>
                <w:color w:val="FFFFFF"/>
              </w:rPr>
              <w:t>TOTAL</w:t>
            </w:r>
          </w:p>
        </w:tc>
        <w:tc>
          <w:tcPr>
            <w:tcW w:w="1800" w:type="dxa"/>
            <w:shd w:val="clear" w:color="auto" w:fill="4B4B4B"/>
            <w:noWrap/>
            <w:tcMar>
              <w:top w:w="15" w:type="dxa"/>
              <w:left w:w="15" w:type="dxa"/>
              <w:bottom w:w="0" w:type="dxa"/>
              <w:right w:w="15" w:type="dxa"/>
            </w:tcMar>
            <w:vAlign w:val="center"/>
            <w:hideMark/>
          </w:tcPr>
          <w:p w:rsidR="00F04D6E" w:rsidRPr="00EE6AF7" w:rsidRDefault="00F04D6E" w:rsidP="0E6AD53A">
            <w:pPr>
              <w:jc w:val="right"/>
              <w:rPr>
                <w:rFonts w:cs="Arial"/>
                <w:b/>
                <w:bCs/>
                <w:color w:val="FFFFFF"/>
              </w:rPr>
            </w:pPr>
            <w:r w:rsidRPr="00EE6AF7">
              <w:rPr>
                <w:rFonts w:cs="Arial"/>
                <w:b/>
                <w:color w:val="FFFFFF"/>
              </w:rPr>
              <w:t>19,337,086,552</w:t>
            </w:r>
          </w:p>
        </w:tc>
        <w:tc>
          <w:tcPr>
            <w:tcW w:w="1822" w:type="dxa"/>
            <w:shd w:val="clear" w:color="auto" w:fill="4B4B4B"/>
            <w:noWrap/>
            <w:tcMar>
              <w:top w:w="15" w:type="dxa"/>
              <w:left w:w="15" w:type="dxa"/>
              <w:bottom w:w="0" w:type="dxa"/>
              <w:right w:w="15" w:type="dxa"/>
            </w:tcMar>
            <w:vAlign w:val="center"/>
            <w:hideMark/>
          </w:tcPr>
          <w:p w:rsidR="00F04D6E" w:rsidRPr="00EE6AF7" w:rsidRDefault="00F04D6E" w:rsidP="0E6AD53A">
            <w:pPr>
              <w:jc w:val="right"/>
              <w:rPr>
                <w:rFonts w:cs="Arial"/>
                <w:b/>
                <w:bCs/>
                <w:color w:val="FFFFFF"/>
              </w:rPr>
            </w:pPr>
            <w:r w:rsidRPr="00EE6AF7">
              <w:rPr>
                <w:rFonts w:cs="Arial"/>
                <w:b/>
                <w:color w:val="FFFFFF"/>
              </w:rPr>
              <w:t>849,951,931</w:t>
            </w:r>
          </w:p>
        </w:tc>
        <w:tc>
          <w:tcPr>
            <w:tcW w:w="1459" w:type="dxa"/>
            <w:shd w:val="clear" w:color="auto" w:fill="4B4B4B"/>
            <w:noWrap/>
            <w:tcMar>
              <w:top w:w="15" w:type="dxa"/>
              <w:left w:w="15" w:type="dxa"/>
              <w:bottom w:w="0" w:type="dxa"/>
              <w:right w:w="15" w:type="dxa"/>
            </w:tcMar>
            <w:vAlign w:val="center"/>
            <w:hideMark/>
          </w:tcPr>
          <w:p w:rsidR="00F04D6E" w:rsidRPr="00EE6AF7" w:rsidRDefault="00F04D6E" w:rsidP="0E6AD53A">
            <w:pPr>
              <w:jc w:val="right"/>
              <w:rPr>
                <w:rFonts w:cs="Arial"/>
                <w:b/>
                <w:bCs/>
                <w:color w:val="FFFFFF"/>
              </w:rPr>
            </w:pPr>
            <w:r w:rsidRPr="00EE6AF7">
              <w:rPr>
                <w:rFonts w:cs="Arial"/>
                <w:b/>
                <w:color w:val="FFFFFF"/>
              </w:rPr>
              <w:t>4.4%</w:t>
            </w:r>
          </w:p>
        </w:tc>
      </w:tr>
    </w:tbl>
    <w:p w:rsidR="00F04D6E" w:rsidRPr="00611A83" w:rsidRDefault="00F04D6E" w:rsidP="00F04D6E">
      <w:pPr>
        <w:contextualSpacing/>
        <w:rPr>
          <w:rFonts w:cs="Arial"/>
        </w:rPr>
      </w:pPr>
    </w:p>
    <w:p w:rsidR="00F04D6E" w:rsidRPr="00611A83" w:rsidRDefault="00F04D6E" w:rsidP="00F04D6E">
      <w:pPr>
        <w:contextualSpacing/>
        <w:jc w:val="center"/>
        <w:rPr>
          <w:rFonts w:cs="Arial"/>
        </w:rPr>
      </w:pPr>
      <w:r w:rsidRPr="00611A83">
        <w:rPr>
          <w:rFonts w:cs="Arial"/>
        </w:rPr>
        <w:t>Fuente: Elaboración propia.</w:t>
      </w:r>
    </w:p>
    <w:p w:rsidR="00F04D6E" w:rsidRDefault="00F04D6E" w:rsidP="00F04D6E">
      <w:pPr>
        <w:spacing w:line="276" w:lineRule="auto"/>
        <w:rPr>
          <w:rFonts w:eastAsia="Arial" w:cs="Arial"/>
        </w:rPr>
      </w:pPr>
    </w:p>
    <w:p w:rsidR="00F04D6E" w:rsidRPr="00611A83" w:rsidRDefault="00F04D6E" w:rsidP="00F04D6E">
      <w:pPr>
        <w:rPr>
          <w:rFonts w:eastAsia="Arial" w:cs="Arial"/>
        </w:rPr>
      </w:pPr>
      <w:r w:rsidRPr="00611A83">
        <w:rPr>
          <w:rFonts w:eastAsia="Arial" w:cs="Arial"/>
        </w:rPr>
        <w:t xml:space="preserve">En cuanto a los Objetivos de Desarrollo Sostenible, el </w:t>
      </w:r>
      <w:r>
        <w:rPr>
          <w:rFonts w:eastAsia="Arial" w:cs="Arial"/>
        </w:rPr>
        <w:t>70.4</w:t>
      </w:r>
      <w:r w:rsidRPr="00611A83">
        <w:rPr>
          <w:rFonts w:eastAsia="Arial" w:cs="Arial"/>
        </w:rPr>
        <w:t>% de la inversión destinada para la igualdad entre mujeres y hombres incluida en este Anexo contribuye a l</w:t>
      </w:r>
      <w:r>
        <w:rPr>
          <w:rFonts w:eastAsia="Arial" w:cs="Arial"/>
        </w:rPr>
        <w:t>a atención de 6</w:t>
      </w:r>
      <w:r w:rsidRPr="00611A83">
        <w:rPr>
          <w:rFonts w:eastAsia="Arial" w:cs="Arial"/>
        </w:rPr>
        <w:t xml:space="preserve"> de los 17 objetivos (ver tabla 6): </w:t>
      </w:r>
    </w:p>
    <w:p w:rsidR="00F04D6E"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Pr>
          <w:rFonts w:ascii="Arial" w:eastAsia="Arial" w:hAnsi="Arial" w:cs="Arial"/>
          <w:szCs w:val="24"/>
        </w:rPr>
        <w:t>Objetivo 2</w:t>
      </w:r>
      <w:r w:rsidRPr="00611A83">
        <w:rPr>
          <w:rFonts w:ascii="Arial" w:eastAsia="Arial" w:hAnsi="Arial" w:cs="Arial"/>
          <w:szCs w:val="24"/>
        </w:rPr>
        <w:t xml:space="preserve">. </w:t>
      </w:r>
      <w:r w:rsidRPr="006E182B">
        <w:rPr>
          <w:rFonts w:ascii="Arial" w:eastAsia="Arial" w:hAnsi="Arial" w:cs="Arial"/>
          <w:szCs w:val="24"/>
        </w:rPr>
        <w:t>Poner fin al hambre, lograr la seguridad alimentaria y la mejora de la nutrición y promover la agricultura sostenible</w:t>
      </w:r>
    </w:p>
    <w:p w:rsidR="00F04D6E" w:rsidRPr="006E182B"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sidRPr="00611A83">
        <w:rPr>
          <w:rFonts w:ascii="Arial" w:eastAsia="Arial" w:hAnsi="Arial" w:cs="Arial"/>
          <w:szCs w:val="24"/>
        </w:rPr>
        <w:t>Objetivo 3. Garantizar una vida sana y promover el bienestar para todos en todas las edades</w:t>
      </w:r>
    </w:p>
    <w:p w:rsidR="00F04D6E" w:rsidRPr="00611A83"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sidRPr="00611A83">
        <w:rPr>
          <w:rFonts w:ascii="Arial" w:eastAsia="Arial" w:hAnsi="Arial" w:cs="Arial"/>
          <w:szCs w:val="24"/>
        </w:rPr>
        <w:t>Objetivo 4. Garantizar una educación inclusiva, equitativa y de calidad y promover oportunidades de aprendizaje durante toda la vida para todos</w:t>
      </w:r>
    </w:p>
    <w:p w:rsidR="00F04D6E" w:rsidRPr="00611A83"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sidRPr="00611A83">
        <w:rPr>
          <w:rFonts w:ascii="Arial" w:eastAsia="Arial" w:hAnsi="Arial" w:cs="Arial"/>
          <w:szCs w:val="24"/>
        </w:rPr>
        <w:t>Objetivo 5. Lograr la igualdad entre los géneros y empoderar a todas las mujeres y las niñas</w:t>
      </w:r>
    </w:p>
    <w:p w:rsidR="00F04D6E" w:rsidRPr="00611A83"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Pr>
          <w:rFonts w:ascii="Arial" w:eastAsia="Arial" w:hAnsi="Arial" w:cs="Arial"/>
          <w:szCs w:val="24"/>
        </w:rPr>
        <w:t>Ob</w:t>
      </w:r>
      <w:r w:rsidRPr="00611A83">
        <w:rPr>
          <w:rFonts w:ascii="Arial" w:eastAsia="Arial" w:hAnsi="Arial" w:cs="Arial"/>
          <w:szCs w:val="24"/>
        </w:rPr>
        <w:t>jetivo 8. Promover el crecimiento económico sostenido, inclusivo y sostenible, el empleo pleno y productivo y el trabajo decente para todos</w:t>
      </w:r>
    </w:p>
    <w:p w:rsidR="00F04D6E"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sidRPr="00611A83">
        <w:rPr>
          <w:rFonts w:ascii="Arial" w:eastAsia="Arial" w:hAnsi="Arial" w:cs="Arial"/>
          <w:szCs w:val="24"/>
        </w:rPr>
        <w:t>Objetivo 16. Promover sociedades pacíficas e inclusivas para el desarrollo sostenible, facilitar el acceso a la justicia para todos y crear instituciones eficaces, responsables e inclusivas a todos los niveles.</w:t>
      </w:r>
    </w:p>
    <w:p w:rsidR="00F04D6E" w:rsidRPr="00C87D9D" w:rsidRDefault="00F04D6E" w:rsidP="00F04D6E">
      <w:pPr>
        <w:pStyle w:val="Prrafodelista"/>
        <w:spacing w:after="100" w:line="240" w:lineRule="auto"/>
        <w:rPr>
          <w:rFonts w:ascii="Arial" w:eastAsia="Arial" w:hAnsi="Arial" w:cs="Arial"/>
          <w:szCs w:val="24"/>
        </w:rPr>
      </w:pPr>
    </w:p>
    <w:p w:rsidR="00F04D6E" w:rsidRPr="00C87D9D" w:rsidRDefault="00F04D6E" w:rsidP="00F04D6E">
      <w:pPr>
        <w:pStyle w:val="Prrafodelista"/>
        <w:jc w:val="center"/>
        <w:rPr>
          <w:rFonts w:ascii="Arial" w:eastAsia="Arial" w:hAnsi="Arial" w:cs="Arial"/>
          <w:b/>
          <w:bCs/>
          <w:w w:val="103"/>
          <w:szCs w:val="24"/>
        </w:rPr>
      </w:pPr>
      <w:r w:rsidRPr="00611A83">
        <w:rPr>
          <w:rFonts w:ascii="Arial" w:eastAsia="Arial" w:hAnsi="Arial" w:cs="Arial"/>
          <w:b/>
          <w:bCs/>
          <w:w w:val="103"/>
          <w:szCs w:val="24"/>
        </w:rPr>
        <w:t xml:space="preserve">Tabla </w:t>
      </w:r>
      <w:r>
        <w:rPr>
          <w:rFonts w:ascii="Arial" w:eastAsia="Arial" w:hAnsi="Arial" w:cs="Arial"/>
          <w:b/>
          <w:bCs/>
          <w:w w:val="103"/>
          <w:szCs w:val="24"/>
        </w:rPr>
        <w:t>5</w:t>
      </w:r>
      <w:r w:rsidRPr="00910ECD">
        <w:rPr>
          <w:rFonts w:ascii="Arial" w:eastAsia="Arial" w:hAnsi="Arial" w:cs="Arial"/>
          <w:b/>
          <w:bCs/>
          <w:w w:val="103"/>
          <w:szCs w:val="24"/>
        </w:rPr>
        <w:t>. Asignaciones presupuestales por Objetivo de Desarrollo Sostenible</w:t>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59"/>
        <w:gridCol w:w="1843"/>
      </w:tblGrid>
      <w:tr w:rsidR="00F04D6E" w:rsidRPr="00EE6AF7" w:rsidTr="007A3E37">
        <w:trPr>
          <w:trHeight w:val="20"/>
          <w:tblHeader/>
          <w:jc w:val="center"/>
        </w:trPr>
        <w:tc>
          <w:tcPr>
            <w:tcW w:w="8359" w:type="dxa"/>
            <w:shd w:val="clear" w:color="auto" w:fill="4B4B4B"/>
            <w:tcMar>
              <w:top w:w="15" w:type="dxa"/>
              <w:left w:w="15" w:type="dxa"/>
              <w:bottom w:w="0" w:type="dxa"/>
              <w:right w:w="15" w:type="dxa"/>
            </w:tcMar>
            <w:vAlign w:val="center"/>
            <w:hideMark/>
          </w:tcPr>
          <w:p w:rsidR="00F04D6E" w:rsidRPr="00EE6AF7" w:rsidRDefault="00F04D6E" w:rsidP="007A3E37">
            <w:pPr>
              <w:jc w:val="left"/>
              <w:rPr>
                <w:rFonts w:cs="Arial"/>
                <w:b/>
                <w:bCs/>
                <w:color w:val="FFFFFF"/>
              </w:rPr>
            </w:pPr>
            <w:r w:rsidRPr="00EE6AF7">
              <w:rPr>
                <w:rFonts w:cs="Arial"/>
                <w:b/>
                <w:bCs/>
                <w:color w:val="FFFFFF"/>
              </w:rPr>
              <w:t>Objetivos de Desarrollo Sostenible</w:t>
            </w:r>
          </w:p>
        </w:tc>
        <w:tc>
          <w:tcPr>
            <w:tcW w:w="1843" w:type="dxa"/>
            <w:shd w:val="clear" w:color="auto" w:fill="4B4B4B"/>
            <w:tcMar>
              <w:top w:w="15" w:type="dxa"/>
              <w:left w:w="15" w:type="dxa"/>
              <w:bottom w:w="0" w:type="dxa"/>
              <w:right w:w="15" w:type="dxa"/>
            </w:tcMar>
            <w:vAlign w:val="center"/>
            <w:hideMark/>
          </w:tcPr>
          <w:p w:rsidR="00F04D6E" w:rsidRPr="00EE6AF7" w:rsidRDefault="00F04D6E" w:rsidP="007A3E37">
            <w:pPr>
              <w:jc w:val="left"/>
              <w:rPr>
                <w:rFonts w:cs="Arial"/>
                <w:b/>
                <w:bCs/>
                <w:color w:val="FFFFFF"/>
              </w:rPr>
            </w:pPr>
            <w:r w:rsidRPr="00EE6AF7">
              <w:rPr>
                <w:rFonts w:cs="Arial"/>
                <w:b/>
                <w:bCs/>
                <w:color w:val="FFFFFF"/>
              </w:rPr>
              <w:t>Importe (pesos)</w:t>
            </w:r>
          </w:p>
        </w:tc>
      </w:tr>
      <w:tr w:rsidR="00F04D6E" w:rsidRPr="00EE6AF7" w:rsidTr="007A3E37">
        <w:trPr>
          <w:trHeight w:val="20"/>
          <w:jc w:val="center"/>
        </w:trPr>
        <w:tc>
          <w:tcPr>
            <w:tcW w:w="83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04D6E" w:rsidRPr="00EE6AF7" w:rsidRDefault="00F04D6E" w:rsidP="007A3E37">
            <w:pPr>
              <w:jc w:val="left"/>
              <w:rPr>
                <w:rFonts w:cs="Arial"/>
              </w:rPr>
            </w:pPr>
            <w:r w:rsidRPr="00EE6AF7">
              <w:rPr>
                <w:rFonts w:cs="Arial"/>
              </w:rPr>
              <w:t>Objetivo 2. Poner fin al hambre, lograr la seguridad alimentaria y la mejora de la nutrición y promover la agricultura sostenible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04D6E" w:rsidRPr="00EE6AF7" w:rsidRDefault="00F04D6E" w:rsidP="007A3E37">
            <w:pPr>
              <w:jc w:val="right"/>
              <w:rPr>
                <w:rFonts w:cs="Arial"/>
              </w:rPr>
            </w:pPr>
            <w:r w:rsidRPr="00EE6AF7">
              <w:rPr>
                <w:rFonts w:cs="Arial"/>
              </w:rPr>
              <w:t>180,820,949</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3. Garantizar una vida sana y promover el bienestar para todos en todas las edades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275,145,414</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4. Garantizar una educación inclusiva, equitativa y de calidad y promover oportunidades de aprendizaje durante toda la vida para todos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3,160,718</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5. Lograr la igualdad entre los géneros y empoderar a todas las mujeres y las niñas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131,946,729</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8. Promover el crecimiento económico sostenido, inclusivo y sostenible, el empleo pleno y productivo y el trabajo decente para todos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6,709,382</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16. Promover sociedades pacíficas e inclusivas para el desarrollo sostenible, facilitar el acceso a la justicia para todos y crear instituciones eficaces, responsables e inclusivas a todos los niveles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771,424</w:t>
            </w:r>
          </w:p>
        </w:tc>
      </w:tr>
      <w:tr w:rsidR="00F04D6E" w:rsidRPr="00EE6AF7" w:rsidTr="007A3E37">
        <w:trPr>
          <w:trHeight w:val="103"/>
          <w:jc w:val="center"/>
        </w:trPr>
        <w:tc>
          <w:tcPr>
            <w:tcW w:w="8359" w:type="dxa"/>
            <w:shd w:val="clear" w:color="auto" w:fill="4B4B4B"/>
            <w:noWrap/>
            <w:tcMar>
              <w:top w:w="15" w:type="dxa"/>
              <w:left w:w="15" w:type="dxa"/>
              <w:bottom w:w="0" w:type="dxa"/>
              <w:right w:w="15" w:type="dxa"/>
            </w:tcMar>
            <w:vAlign w:val="center"/>
            <w:hideMark/>
          </w:tcPr>
          <w:p w:rsidR="00F04D6E" w:rsidRPr="00EE6AF7" w:rsidRDefault="00F04D6E" w:rsidP="007A3E37">
            <w:pPr>
              <w:jc w:val="left"/>
              <w:rPr>
                <w:rFonts w:cs="Arial"/>
                <w:b/>
                <w:bCs/>
                <w:color w:val="FFFFFF"/>
                <w:sz w:val="22"/>
                <w:szCs w:val="22"/>
              </w:rPr>
            </w:pPr>
            <w:r w:rsidRPr="00EE6AF7">
              <w:rPr>
                <w:rFonts w:cs="Arial"/>
                <w:b/>
                <w:bCs/>
                <w:color w:val="FFFFFF"/>
                <w:sz w:val="22"/>
                <w:szCs w:val="22"/>
              </w:rPr>
              <w:t>TOTAL</w:t>
            </w:r>
          </w:p>
        </w:tc>
        <w:tc>
          <w:tcPr>
            <w:tcW w:w="1843" w:type="dxa"/>
            <w:shd w:val="clear" w:color="auto" w:fill="4B4B4B"/>
            <w:noWrap/>
            <w:tcMar>
              <w:top w:w="15" w:type="dxa"/>
              <w:left w:w="15" w:type="dxa"/>
              <w:bottom w:w="0" w:type="dxa"/>
              <w:right w:w="15" w:type="dxa"/>
            </w:tcMar>
            <w:vAlign w:val="center"/>
            <w:hideMark/>
          </w:tcPr>
          <w:p w:rsidR="00F04D6E" w:rsidRPr="00EE6AF7" w:rsidRDefault="00F04D6E" w:rsidP="004D6A35">
            <w:pPr>
              <w:jc w:val="right"/>
              <w:rPr>
                <w:rFonts w:cs="Arial"/>
                <w:b/>
                <w:bCs/>
                <w:color w:val="FFFFFF"/>
                <w:sz w:val="22"/>
                <w:szCs w:val="22"/>
              </w:rPr>
            </w:pPr>
            <w:r w:rsidRPr="00EE6AF7">
              <w:rPr>
                <w:rFonts w:cs="Arial"/>
                <w:b/>
                <w:color w:val="FFFFFF"/>
                <w:sz w:val="22"/>
                <w:szCs w:val="22"/>
              </w:rPr>
              <w:t>598,554,616</w:t>
            </w:r>
          </w:p>
        </w:tc>
      </w:tr>
    </w:tbl>
    <w:p w:rsidR="00F04D6E" w:rsidRPr="00611A83" w:rsidRDefault="00F04D6E" w:rsidP="00F04D6E">
      <w:pPr>
        <w:contextualSpacing/>
        <w:rPr>
          <w:rFonts w:cs="Arial"/>
        </w:rPr>
      </w:pPr>
    </w:p>
    <w:p w:rsidR="00F04D6E" w:rsidRDefault="00F04D6E" w:rsidP="00F04D6E">
      <w:pPr>
        <w:contextualSpacing/>
        <w:jc w:val="center"/>
        <w:rPr>
          <w:rFonts w:cs="Arial"/>
        </w:rPr>
      </w:pPr>
      <w:r>
        <w:rPr>
          <w:rFonts w:cs="Arial"/>
        </w:rPr>
        <w:t>Fuente: Elaboración propia.</w:t>
      </w:r>
    </w:p>
    <w:p w:rsidR="00F04D6E" w:rsidRPr="00CF75A9" w:rsidRDefault="00F04D6E" w:rsidP="00F04D6E">
      <w:pPr>
        <w:contextualSpacing/>
        <w:jc w:val="center"/>
        <w:rPr>
          <w:rFonts w:cs="Arial"/>
        </w:rPr>
      </w:pPr>
    </w:p>
    <w:p w:rsidR="00F04D6E" w:rsidRDefault="00F04D6E" w:rsidP="00F04D6E">
      <w:pPr>
        <w:rPr>
          <w:rFonts w:eastAsia="Arial" w:cs="Arial"/>
        </w:rPr>
      </w:pPr>
      <w:r w:rsidRPr="00611A83">
        <w:rPr>
          <w:rFonts w:eastAsia="Arial" w:cs="Arial"/>
        </w:rPr>
        <w:t xml:space="preserve">Cabe destacar que el ODS número 5 se diseñó exclusivamente para el logro de la igualdad entre mujeres y </w:t>
      </w:r>
      <w:r w:rsidR="007A3E37" w:rsidRPr="00611A83">
        <w:rPr>
          <w:rFonts w:eastAsia="Arial" w:cs="Arial"/>
        </w:rPr>
        <w:t>hombres,</w:t>
      </w:r>
      <w:r w:rsidRPr="00611A83">
        <w:rPr>
          <w:rFonts w:eastAsia="Arial" w:cs="Arial"/>
        </w:rPr>
        <w:t xml:space="preserve"> así como el empoderamiento de niñas y mujeres, e incluye metas en diferentes ámbitos del desarrollo, como son la educación, el empleo, la participación política, la salud, la transversalización de las políticas públicas de igualdad, entre otros. Es por el</w:t>
      </w:r>
      <w:r>
        <w:rPr>
          <w:rFonts w:eastAsia="Arial" w:cs="Arial"/>
        </w:rPr>
        <w:t xml:space="preserve">lo, que tiene una </w:t>
      </w:r>
      <w:r w:rsidRPr="00611A83">
        <w:rPr>
          <w:rFonts w:eastAsia="Arial" w:cs="Arial"/>
        </w:rPr>
        <w:t>proporción</w:t>
      </w:r>
      <w:r>
        <w:rPr>
          <w:rFonts w:eastAsia="Arial" w:cs="Arial"/>
        </w:rPr>
        <w:t xml:space="preserve"> significativa</w:t>
      </w:r>
      <w:r w:rsidRPr="00611A83">
        <w:rPr>
          <w:rFonts w:eastAsia="Arial" w:cs="Arial"/>
        </w:rPr>
        <w:t xml:space="preserve"> de las asignaciones presupuestales para la igualdad</w:t>
      </w:r>
      <w:r>
        <w:rPr>
          <w:rFonts w:eastAsia="Arial" w:cs="Arial"/>
        </w:rPr>
        <w:t xml:space="preserve"> que</w:t>
      </w:r>
      <w:r w:rsidRPr="00611A83">
        <w:rPr>
          <w:rFonts w:eastAsia="Arial" w:cs="Arial"/>
        </w:rPr>
        <w:t xml:space="preserve"> se alinean a este objetivo. </w:t>
      </w:r>
    </w:p>
    <w:p w:rsidR="007A3E37" w:rsidRDefault="007A3E37" w:rsidP="00F04D6E">
      <w:pPr>
        <w:rPr>
          <w:rFonts w:eastAsia="Arial" w:cs="Arial"/>
        </w:rPr>
      </w:pPr>
    </w:p>
    <w:p w:rsidR="00F04D6E" w:rsidRDefault="00F04D6E" w:rsidP="00F04D6E">
      <w:pPr>
        <w:rPr>
          <w:rFonts w:cs="Arial"/>
        </w:rPr>
      </w:pPr>
      <w:r w:rsidRPr="00166CCF">
        <w:rPr>
          <w:rFonts w:cs="Arial"/>
        </w:rPr>
        <w:t>Como parte del seguimiento a lo establecido en el “Dictamen sobre la Implementación de las propuestas contenidas en las conclusiones del informe emitido por el Grupo de Trabajo conformado para atender la solicitud de Alerta de Violencia de Género contra las Mujeres en el Estado de Yucatán”, para el 2022 se destinan 92 millones 753 mil 633 pesos, lo que representa el 9% del total del presupuesto destinado para la igualdad de género. Los montos por conclusión y la estructura porcentual se</w:t>
      </w:r>
      <w:r>
        <w:rPr>
          <w:rFonts w:cs="Arial"/>
        </w:rPr>
        <w:t xml:space="preserve"> muestran en la siguiente tabla:</w:t>
      </w:r>
    </w:p>
    <w:p w:rsidR="00F04D6E" w:rsidRPr="00166CCF" w:rsidRDefault="00F04D6E" w:rsidP="00F04D6E">
      <w:pPr>
        <w:rPr>
          <w:rFonts w:cs="Arial"/>
        </w:rPr>
      </w:pPr>
    </w:p>
    <w:p w:rsidR="00F04D6E" w:rsidRDefault="00F04D6E" w:rsidP="00F04D6E">
      <w:pPr>
        <w:jc w:val="center"/>
        <w:rPr>
          <w:rFonts w:cs="Arial"/>
          <w:b/>
        </w:rPr>
      </w:pPr>
      <w:r>
        <w:rPr>
          <w:rFonts w:cs="Arial"/>
          <w:b/>
        </w:rPr>
        <w:t>Tabla 6</w:t>
      </w:r>
      <w:r w:rsidRPr="001103A4">
        <w:rPr>
          <w:rFonts w:cs="Arial"/>
          <w:b/>
        </w:rPr>
        <w:t>. Montos totales y porcentajes asignados por conclusión</w:t>
      </w:r>
    </w:p>
    <w:p w:rsidR="007A3E37" w:rsidRPr="001103A4" w:rsidRDefault="007A3E37" w:rsidP="00F04D6E">
      <w:pPr>
        <w:jc w:val="center"/>
        <w:rPr>
          <w:rFonts w:cs="Arial"/>
          <w:b/>
        </w:rPr>
      </w:pP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6"/>
        <w:gridCol w:w="1830"/>
        <w:gridCol w:w="466"/>
        <w:gridCol w:w="2612"/>
      </w:tblGrid>
      <w:tr w:rsidR="00F04D6E" w:rsidRPr="00EE6AF7" w:rsidTr="0056150B">
        <w:trPr>
          <w:trHeight w:val="300"/>
          <w:tblHeader/>
          <w:jc w:val="center"/>
        </w:trPr>
        <w:tc>
          <w:tcPr>
            <w:tcW w:w="1856" w:type="dxa"/>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Conclusión</w:t>
            </w:r>
          </w:p>
        </w:tc>
        <w:tc>
          <w:tcPr>
            <w:tcW w:w="2296" w:type="dxa"/>
            <w:gridSpan w:val="2"/>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c>
          <w:tcPr>
            <w:tcW w:w="2612" w:type="dxa"/>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C.1</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17.96%</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8,629,223</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C.10</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2.59%</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960,000</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C.2</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5.61%</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16,184,786</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C.3</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3.05%</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2,928,911</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C.4</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0.81%</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180,000</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C.5</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0.42%</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3,135,110</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C.6</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2.70%</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363,600</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C.7</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10.81%</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7,868,881</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C.8</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51.55%</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49,703,318</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C.9</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4.50%</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2,799,804</w:t>
            </w:r>
          </w:p>
        </w:tc>
      </w:tr>
      <w:tr w:rsidR="00F04D6E" w:rsidRPr="00EE6AF7" w:rsidTr="0056150B">
        <w:trPr>
          <w:trHeight w:val="300"/>
          <w:jc w:val="center"/>
        </w:trPr>
        <w:tc>
          <w:tcPr>
            <w:tcW w:w="1856" w:type="dxa"/>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TOTAL</w:t>
            </w:r>
          </w:p>
        </w:tc>
        <w:tc>
          <w:tcPr>
            <w:tcW w:w="1830" w:type="dxa"/>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100%</w:t>
            </w:r>
          </w:p>
        </w:tc>
        <w:tc>
          <w:tcPr>
            <w:tcW w:w="3078" w:type="dxa"/>
            <w:gridSpan w:val="2"/>
            <w:shd w:val="clear" w:color="auto" w:fill="4B4B4B"/>
            <w:noWrap/>
            <w:vAlign w:val="center"/>
            <w:hideMark/>
          </w:tcPr>
          <w:p w:rsidR="00F04D6E" w:rsidRPr="00EE6AF7" w:rsidRDefault="00F04D6E" w:rsidP="0056150B">
            <w:pPr>
              <w:jc w:val="right"/>
              <w:rPr>
                <w:rFonts w:eastAsia="Times New Roman" w:cs="Arial"/>
                <w:b/>
                <w:bCs/>
                <w:color w:val="FFFFFF"/>
                <w:lang w:eastAsia="es-MX"/>
              </w:rPr>
            </w:pPr>
            <w:r w:rsidRPr="00EE6AF7">
              <w:rPr>
                <w:rFonts w:cs="Arial"/>
                <w:b/>
                <w:color w:val="FFFFFF"/>
              </w:rPr>
              <w:t>92,753,633</w:t>
            </w:r>
          </w:p>
        </w:tc>
      </w:tr>
    </w:tbl>
    <w:p w:rsidR="00F04D6E" w:rsidRPr="00611A83" w:rsidRDefault="00F04D6E" w:rsidP="00F04D6E">
      <w:pPr>
        <w:contextualSpacing/>
        <w:jc w:val="center"/>
        <w:rPr>
          <w:rFonts w:cs="Arial"/>
        </w:rPr>
      </w:pPr>
      <w:r>
        <w:rPr>
          <w:rFonts w:cs="Arial"/>
        </w:rPr>
        <w:t>Fuente: Secretaría de la Mujeres</w:t>
      </w:r>
      <w:r w:rsidRPr="00611A83">
        <w:rPr>
          <w:rFonts w:cs="Arial"/>
        </w:rPr>
        <w:t>.</w:t>
      </w:r>
    </w:p>
    <w:p w:rsidR="00F04D6E" w:rsidRPr="00A207FE" w:rsidRDefault="00F04D6E" w:rsidP="00F04D6E">
      <w:pPr>
        <w:jc w:val="center"/>
        <w:rPr>
          <w:rFonts w:cs="Arial"/>
          <w:b/>
        </w:rPr>
      </w:pPr>
    </w:p>
    <w:p w:rsidR="00F04D6E" w:rsidRPr="00166CCF" w:rsidRDefault="00F04D6E" w:rsidP="00F04D6E">
      <w:pPr>
        <w:rPr>
          <w:rFonts w:cs="Arial"/>
        </w:rPr>
      </w:pPr>
      <w:r w:rsidRPr="00166CCF">
        <w:rPr>
          <w:rFonts w:cs="Arial"/>
        </w:rPr>
        <w:t>La conclusión 8 se enfoca en el fortalecimiento de bienes, servicios y acciones que beneficien prioritariamente a las mujeres, a través de las asignaciones presupuestales de las dep</w:t>
      </w:r>
      <w:r>
        <w:rPr>
          <w:rFonts w:cs="Arial"/>
        </w:rPr>
        <w:t>endencias y entidades. Para 2022</w:t>
      </w:r>
      <w:r w:rsidRPr="00166CCF">
        <w:rPr>
          <w:rFonts w:cs="Arial"/>
        </w:rPr>
        <w:t xml:space="preserve">, esta conclusión compromete 49 millones 703 mil 318 pesos, que representan el 51.55% dentro del presupuesto destinado al seguimiento de la AVG; mientras que la conclusión con menor asignación fue la cuarta, con 0.81%, la cual se relaciona con las atenciones en apego a la NOM-046-SSA-2016 desde los servicios de salud. Asimismo, resalta sobre la conclusión 2, relacionada con el Banco Estatal de Datos e Información sobre casos de Violencia contra las Mujeres (BAESVIM) un incremento en sus asignaciones respecto a las del año anterior. </w:t>
      </w:r>
    </w:p>
    <w:p w:rsidR="00F04D6E" w:rsidRPr="00166CCF" w:rsidRDefault="00F04D6E" w:rsidP="00F04D6E">
      <w:pPr>
        <w:rPr>
          <w:rFonts w:cs="Arial"/>
        </w:rPr>
      </w:pPr>
      <w:r w:rsidRPr="00166CCF">
        <w:rPr>
          <w:rFonts w:cs="Arial"/>
        </w:rPr>
        <w:t>La siguiente gráfica muestra el porcentaje del presupuesto etiquetado por conclusión asignado por las instituciones:</w:t>
      </w:r>
    </w:p>
    <w:p w:rsidR="00F04D6E" w:rsidRDefault="00F04D6E" w:rsidP="00F04D6E">
      <w:pPr>
        <w:jc w:val="center"/>
        <w:rPr>
          <w:rFonts w:cs="Arial"/>
        </w:rPr>
      </w:pPr>
    </w:p>
    <w:p w:rsidR="003D4E1D" w:rsidRDefault="00F04D6E" w:rsidP="00F04D6E">
      <w:pPr>
        <w:jc w:val="center"/>
        <w:rPr>
          <w:rFonts w:cs="Arial"/>
          <w:b/>
        </w:rPr>
      </w:pPr>
      <w:r w:rsidRPr="001103A4">
        <w:rPr>
          <w:rFonts w:cs="Arial"/>
          <w:b/>
        </w:rPr>
        <w:t>Gráfica 4. Porcentaje del presupuesto para la igualdad asignado a alguna conclusión</w:t>
      </w:r>
      <w:r w:rsidRPr="00166CCF">
        <w:rPr>
          <w:rFonts w:cs="Arial"/>
        </w:rPr>
        <w:t xml:space="preserve"> </w:t>
      </w:r>
      <w:r w:rsidRPr="001103A4">
        <w:rPr>
          <w:rFonts w:cs="Arial"/>
          <w:b/>
        </w:rPr>
        <w:t>AVG</w:t>
      </w:r>
    </w:p>
    <w:p w:rsidR="003D4E1D" w:rsidRDefault="003D4E1D" w:rsidP="00F04D6E">
      <w:pPr>
        <w:jc w:val="center"/>
        <w:rPr>
          <w:rFonts w:cs="Arial"/>
          <w:b/>
        </w:rPr>
      </w:pPr>
    </w:p>
    <w:p w:rsidR="00F04D6E" w:rsidRDefault="008A5EAC" w:rsidP="00F04D6E">
      <w:pPr>
        <w:jc w:val="center"/>
        <w:rPr>
          <w:rFonts w:cs="Arial"/>
        </w:rPr>
      </w:pPr>
      <w:r w:rsidRPr="00EE6AF7">
        <w:rPr>
          <w:rFonts w:cs="Arial"/>
          <w:noProof/>
          <w:lang w:eastAsia="es-MX"/>
        </w:rPr>
        <w:drawing>
          <wp:inline distT="0" distB="0" distL="0" distR="0">
            <wp:extent cx="6245225" cy="3674745"/>
            <wp:effectExtent l="0" t="0" r="0" b="0"/>
            <wp:docPr id="13"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4D6E" w:rsidRDefault="00F04D6E" w:rsidP="003D4E1D">
      <w:pPr>
        <w:jc w:val="center"/>
        <w:rPr>
          <w:rFonts w:cs="Arial"/>
        </w:rPr>
      </w:pPr>
      <w:r>
        <w:rPr>
          <w:rFonts w:cs="Arial"/>
        </w:rPr>
        <w:t>Fuente: Secretaría de la Mujeres</w:t>
      </w:r>
      <w:r w:rsidRPr="00611A83">
        <w:rPr>
          <w:rFonts w:cs="Arial"/>
        </w:rPr>
        <w:t>.</w:t>
      </w:r>
    </w:p>
    <w:p w:rsidR="003D4E1D" w:rsidRDefault="003D4E1D" w:rsidP="003D4E1D">
      <w:pPr>
        <w:rPr>
          <w:rFonts w:cs="Arial"/>
        </w:rPr>
      </w:pPr>
    </w:p>
    <w:p w:rsidR="00F04D6E" w:rsidRPr="00166CCF" w:rsidRDefault="00F04D6E" w:rsidP="00F04D6E">
      <w:pPr>
        <w:rPr>
          <w:rFonts w:cs="Arial"/>
        </w:rPr>
      </w:pPr>
      <w:r w:rsidRPr="00166CCF">
        <w:rPr>
          <w:rFonts w:cs="Arial"/>
        </w:rPr>
        <w:t>La institución que designó más recursos para dar seguimiento a las conclusiones fue la Secretaría de las Mujeres con el 67.04%. Cabe mencionar que, aún existen retos en el fortalecimiento de la asignación presupuestal para el seguimiento de la AVG en materia de seguridad pública y desarrollo social. La siguiente gráfica muestra el porcentaje de los recursos asignados para cada conclusión:</w:t>
      </w:r>
    </w:p>
    <w:p w:rsidR="00F04D6E" w:rsidRPr="00166CCF" w:rsidRDefault="00F04D6E" w:rsidP="00F04D6E">
      <w:pPr>
        <w:rPr>
          <w:rFonts w:cs="Arial"/>
        </w:rPr>
      </w:pPr>
    </w:p>
    <w:p w:rsidR="00F04D6E" w:rsidRDefault="00F04D6E" w:rsidP="00F04D6E">
      <w:pPr>
        <w:jc w:val="center"/>
        <w:rPr>
          <w:rFonts w:cs="Arial"/>
          <w:b/>
        </w:rPr>
      </w:pPr>
      <w:r>
        <w:rPr>
          <w:rFonts w:cs="Arial"/>
          <w:b/>
        </w:rPr>
        <w:t>Gráfica 5</w:t>
      </w:r>
      <w:r w:rsidRPr="001103A4">
        <w:rPr>
          <w:rFonts w:cs="Arial"/>
          <w:b/>
        </w:rPr>
        <w:t>. Par</w:t>
      </w:r>
      <w:r>
        <w:rPr>
          <w:rFonts w:cs="Arial"/>
          <w:b/>
        </w:rPr>
        <w:t>ticipación en el presupuesto AVG</w:t>
      </w:r>
      <w:r w:rsidRPr="001103A4">
        <w:rPr>
          <w:rFonts w:cs="Arial"/>
          <w:b/>
        </w:rPr>
        <w:t xml:space="preserve"> por institución</w:t>
      </w:r>
    </w:p>
    <w:p w:rsidR="003D4E1D" w:rsidRPr="001103A4" w:rsidRDefault="003D4E1D" w:rsidP="00F04D6E">
      <w:pPr>
        <w:jc w:val="center"/>
        <w:rPr>
          <w:rFonts w:cs="Arial"/>
          <w:b/>
        </w:rPr>
      </w:pPr>
    </w:p>
    <w:p w:rsidR="00F04D6E" w:rsidRPr="00166CCF" w:rsidRDefault="008A5EAC" w:rsidP="00F04D6E">
      <w:pPr>
        <w:jc w:val="center"/>
        <w:rPr>
          <w:rFonts w:cs="Arial"/>
        </w:rPr>
      </w:pPr>
      <w:r w:rsidRPr="00EE6AF7">
        <w:rPr>
          <w:rFonts w:cs="Arial"/>
          <w:noProof/>
          <w:lang w:eastAsia="es-MX"/>
        </w:rPr>
        <w:drawing>
          <wp:inline distT="0" distB="0" distL="0" distR="0">
            <wp:extent cx="7132955" cy="4178300"/>
            <wp:effectExtent l="0" t="0" r="0" b="0"/>
            <wp:docPr id="1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04D6E" w:rsidRDefault="00F04D6E" w:rsidP="00F04D6E">
      <w:pPr>
        <w:jc w:val="center"/>
        <w:rPr>
          <w:rFonts w:cs="Arial"/>
        </w:rPr>
      </w:pPr>
      <w:r>
        <w:rPr>
          <w:rFonts w:cs="Arial"/>
        </w:rPr>
        <w:t>Fuente: Secretaría de la Mujeres</w:t>
      </w:r>
      <w:r w:rsidRPr="00611A83">
        <w:rPr>
          <w:rFonts w:cs="Arial"/>
        </w:rPr>
        <w:t>.</w:t>
      </w:r>
    </w:p>
    <w:p w:rsidR="00F04D6E" w:rsidRDefault="00F04D6E" w:rsidP="00F04D6E">
      <w:pPr>
        <w:rPr>
          <w:rFonts w:cs="Arial"/>
        </w:rPr>
      </w:pPr>
      <w:r w:rsidRPr="00166CCF">
        <w:rPr>
          <w:rFonts w:cs="Arial"/>
        </w:rPr>
        <w:t>El monto al que ascienden los recursos comprometidos por dependencia o entidad se muestra en la siguiente tabla, en la que también se observa la participación de cada una dentro del total asignado para la atención de las distintas conclusiones.</w:t>
      </w:r>
    </w:p>
    <w:p w:rsidR="00F04D6E" w:rsidRPr="00166CCF" w:rsidRDefault="00F04D6E" w:rsidP="00F04D6E">
      <w:pPr>
        <w:rPr>
          <w:rFonts w:cs="Arial"/>
        </w:rPr>
      </w:pPr>
    </w:p>
    <w:p w:rsidR="00F04D6E" w:rsidRDefault="00F04D6E" w:rsidP="00F04D6E">
      <w:pPr>
        <w:jc w:val="center"/>
        <w:rPr>
          <w:rFonts w:cs="Arial"/>
          <w:b/>
        </w:rPr>
      </w:pPr>
      <w:r>
        <w:rPr>
          <w:rFonts w:cs="Arial"/>
          <w:b/>
        </w:rPr>
        <w:t>Tabla 7</w:t>
      </w:r>
      <w:r w:rsidRPr="001103A4">
        <w:rPr>
          <w:rFonts w:cs="Arial"/>
          <w:b/>
        </w:rPr>
        <w:t>. Participación y monto asignado por institución para el seg</w:t>
      </w:r>
      <w:r>
        <w:rPr>
          <w:rFonts w:cs="Arial"/>
          <w:b/>
        </w:rPr>
        <w:t>uimiento de las conclusiones AVG</w:t>
      </w:r>
      <w:r w:rsidRPr="001103A4">
        <w:rPr>
          <w:rFonts w:cs="Arial"/>
          <w:b/>
        </w:rPr>
        <w:t>.</w:t>
      </w:r>
    </w:p>
    <w:p w:rsidR="003D4E1D" w:rsidRPr="001103A4" w:rsidRDefault="003D4E1D" w:rsidP="00F04D6E">
      <w:pPr>
        <w:jc w:val="center"/>
        <w:rPr>
          <w:rFonts w:cs="Arial"/>
          <w:b/>
        </w:rPr>
      </w:pPr>
    </w:p>
    <w:tbl>
      <w:tblPr>
        <w:tblW w:w="10020" w:type="dxa"/>
        <w:jc w:val="center"/>
        <w:tblCellMar>
          <w:left w:w="70" w:type="dxa"/>
          <w:right w:w="70" w:type="dxa"/>
        </w:tblCellMar>
        <w:tblLook w:val="04A0" w:firstRow="1" w:lastRow="0" w:firstColumn="1" w:lastColumn="0" w:noHBand="0" w:noVBand="1"/>
      </w:tblPr>
      <w:tblGrid>
        <w:gridCol w:w="3340"/>
        <w:gridCol w:w="3340"/>
        <w:gridCol w:w="3340"/>
      </w:tblGrid>
      <w:tr w:rsidR="00F04D6E" w:rsidRPr="00EE6AF7" w:rsidTr="0056150B">
        <w:trPr>
          <w:trHeight w:val="315"/>
          <w:jc w:val="center"/>
        </w:trPr>
        <w:tc>
          <w:tcPr>
            <w:tcW w:w="3340" w:type="dxa"/>
            <w:tcBorders>
              <w:top w:val="single" w:sz="4" w:space="0" w:color="auto"/>
              <w:left w:val="single" w:sz="4" w:space="0" w:color="auto"/>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Institución</w:t>
            </w:r>
          </w:p>
        </w:tc>
        <w:tc>
          <w:tcPr>
            <w:tcW w:w="3340" w:type="dxa"/>
            <w:tcBorders>
              <w:top w:val="single" w:sz="4" w:space="0" w:color="auto"/>
              <w:left w:val="nil"/>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c>
          <w:tcPr>
            <w:tcW w:w="3340" w:type="dxa"/>
            <w:tcBorders>
              <w:top w:val="single" w:sz="4" w:space="0" w:color="auto"/>
              <w:left w:val="nil"/>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CECYTEY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0.89%</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2,831,268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CEEAV</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4.76%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1,057,643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CJ</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3.16%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489,150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DIF</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0.97%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1,228,881</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ESAY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1,069,302</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INSEJUPY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0.14%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3,819</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SEDESOL</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4.45%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2,436,400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SEFOET</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5.95%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500,120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SEGEY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180,000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67.04%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76,459,020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SEPLAN</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0.75%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1,573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SGG</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5.04%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2,742,683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SSP</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71,268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SSY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0.64%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3,460,106</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 xml:space="preserve">TOTAL </w:t>
            </w:r>
          </w:p>
        </w:tc>
        <w:tc>
          <w:tcPr>
            <w:tcW w:w="3340" w:type="dxa"/>
            <w:tcBorders>
              <w:top w:val="nil"/>
              <w:left w:val="nil"/>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100%</w:t>
            </w:r>
          </w:p>
        </w:tc>
        <w:tc>
          <w:tcPr>
            <w:tcW w:w="3340" w:type="dxa"/>
            <w:tcBorders>
              <w:top w:val="nil"/>
              <w:left w:val="nil"/>
              <w:bottom w:val="single" w:sz="4" w:space="0" w:color="auto"/>
              <w:right w:val="single" w:sz="4" w:space="0" w:color="auto"/>
            </w:tcBorders>
            <w:shd w:val="clear" w:color="auto" w:fill="4B4B4B"/>
            <w:noWrap/>
            <w:vAlign w:val="bottom"/>
            <w:hideMark/>
          </w:tcPr>
          <w:p w:rsidR="00F04D6E" w:rsidRPr="00EE6AF7" w:rsidRDefault="00F04D6E" w:rsidP="0056150B">
            <w:pPr>
              <w:jc w:val="right"/>
              <w:rPr>
                <w:rFonts w:eastAsia="Times New Roman" w:cs="Arial"/>
                <w:b/>
                <w:bCs/>
                <w:color w:val="FFFFFF"/>
                <w:lang w:eastAsia="es-MX"/>
              </w:rPr>
            </w:pPr>
            <w:r w:rsidRPr="00EE6AF7">
              <w:rPr>
                <w:rFonts w:eastAsia="Times New Roman" w:cs="Arial"/>
                <w:b/>
                <w:bCs/>
                <w:color w:val="FFFFFF"/>
                <w:lang w:eastAsia="es-MX"/>
              </w:rPr>
              <w:t>92,531,233</w:t>
            </w:r>
          </w:p>
        </w:tc>
      </w:tr>
    </w:tbl>
    <w:p w:rsidR="00F04D6E" w:rsidRDefault="00F04D6E" w:rsidP="00F04D6E">
      <w:pPr>
        <w:jc w:val="center"/>
        <w:rPr>
          <w:rFonts w:cs="Arial"/>
        </w:rPr>
      </w:pPr>
      <w:r>
        <w:rPr>
          <w:rFonts w:cs="Arial"/>
        </w:rPr>
        <w:t>Fuente: Secretaría de la Mujeres</w:t>
      </w:r>
      <w:r w:rsidRPr="00611A83">
        <w:rPr>
          <w:rFonts w:cs="Arial"/>
        </w:rPr>
        <w:t>.</w:t>
      </w:r>
    </w:p>
    <w:p w:rsidR="003D4E1D" w:rsidRPr="00166CCF" w:rsidRDefault="003D4E1D" w:rsidP="00F04D6E">
      <w:pPr>
        <w:jc w:val="center"/>
        <w:rPr>
          <w:rFonts w:cs="Arial"/>
        </w:rPr>
      </w:pPr>
    </w:p>
    <w:p w:rsidR="00F04D6E" w:rsidRDefault="00F04D6E" w:rsidP="00F04D6E">
      <w:pPr>
        <w:rPr>
          <w:rFonts w:cs="Arial"/>
        </w:rPr>
      </w:pPr>
      <w:r w:rsidRPr="00166CCF">
        <w:rPr>
          <w:rFonts w:cs="Arial"/>
        </w:rPr>
        <w:t>A continuación, se resumen las asignaciones realizadas por cada institución para cada conclusión:</w:t>
      </w:r>
    </w:p>
    <w:p w:rsidR="003D4E1D" w:rsidRPr="00166CCF" w:rsidRDefault="003D4E1D" w:rsidP="00F04D6E">
      <w:pPr>
        <w:rPr>
          <w:rFonts w:cs="Arial"/>
        </w:rPr>
      </w:pPr>
    </w:p>
    <w:tbl>
      <w:tblPr>
        <w:tblW w:w="10020" w:type="dxa"/>
        <w:jc w:val="center"/>
        <w:tblCellMar>
          <w:left w:w="70" w:type="dxa"/>
          <w:right w:w="70" w:type="dxa"/>
        </w:tblCellMar>
        <w:tblLook w:val="04A0" w:firstRow="1" w:lastRow="0" w:firstColumn="1" w:lastColumn="0" w:noHBand="0" w:noVBand="1"/>
      </w:tblPr>
      <w:tblGrid>
        <w:gridCol w:w="3340"/>
        <w:gridCol w:w="3340"/>
        <w:gridCol w:w="3340"/>
      </w:tblGrid>
      <w:tr w:rsidR="00F04D6E" w:rsidRPr="00EE6AF7" w:rsidTr="0056150B">
        <w:trPr>
          <w:trHeight w:val="315"/>
          <w:tblHeader/>
          <w:jc w:val="center"/>
        </w:trPr>
        <w:tc>
          <w:tcPr>
            <w:tcW w:w="3340" w:type="dxa"/>
            <w:tcBorders>
              <w:top w:val="single" w:sz="4" w:space="0" w:color="auto"/>
              <w:left w:val="single" w:sz="4" w:space="0" w:color="auto"/>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Pr>
                <w:rFonts w:eastAsia="Times New Roman" w:cs="Arial"/>
                <w:b/>
                <w:bCs/>
                <w:color w:val="FFFFFF"/>
                <w:lang w:eastAsia="es-MX"/>
              </w:rPr>
              <w:t>Institución</w:t>
            </w:r>
          </w:p>
        </w:tc>
        <w:tc>
          <w:tcPr>
            <w:tcW w:w="3340" w:type="dxa"/>
            <w:tcBorders>
              <w:top w:val="single" w:sz="4" w:space="0" w:color="auto"/>
              <w:left w:val="nil"/>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Pr>
                <w:rFonts w:eastAsia="Times New Roman" w:cs="Arial"/>
                <w:b/>
                <w:bCs/>
                <w:color w:val="FFFFFF"/>
                <w:lang w:eastAsia="es-MX"/>
              </w:rPr>
              <w:t>Porcentaje</w:t>
            </w:r>
          </w:p>
        </w:tc>
        <w:tc>
          <w:tcPr>
            <w:tcW w:w="3340" w:type="dxa"/>
            <w:tcBorders>
              <w:top w:val="single" w:sz="4" w:space="0" w:color="auto"/>
              <w:left w:val="nil"/>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Pr>
                <w:rFonts w:eastAsia="Times New Roman" w:cs="Arial"/>
                <w:b/>
                <w:bCs/>
                <w:color w:val="FFFFFF"/>
                <w:lang w:eastAsia="es-MX"/>
              </w:rPr>
              <w:t xml:space="preserve"> Importe (pesos)</w:t>
            </w:r>
            <w:r w:rsidRPr="00A207FE">
              <w:rPr>
                <w:rFonts w:eastAsia="Times New Roman" w:cs="Arial"/>
                <w:b/>
                <w:bCs/>
                <w:color w:val="FFFFFF"/>
                <w:lang w:eastAsia="es-MX"/>
              </w:rPr>
              <w:t xml:space="preserve"> </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17.92%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8,406,824</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CJ</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3.16%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489,150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DIF</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0.08%</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219,241</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INSEJUPY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0.14%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3,819</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10.81%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7,020,780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SGG</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277,569</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SSP</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71,268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SSY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0.22%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324,996</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C.10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2.60%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960,000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CEEAV</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2.60%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960,000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5.61%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16,184,786</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4.87%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16,183,213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SEPLAN</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0.75%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1,573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C.3</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3.05%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2,928,911</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CECYTEY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0.89%</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2,831,268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CEEAV</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2.16%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97,643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180,000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SEGEY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180,000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0.42%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3,135,110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SSY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0.42%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3,135,110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363,600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363,600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10.81%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7,868,881</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ESAY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1,069,302</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8.11%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6,799,579</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C.8</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51.57%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49,703,318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DIF</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0.62%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806,160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SEDESOL</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3.10%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2,126,400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SEFOET</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5.95%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500,120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40.55%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46,091,848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SGG</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1.35%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178,790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C.9</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4.50%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2,799,804</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DIF</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0.27%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203,480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SEDESOL</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1.35%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310,000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SGG</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2.88%</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2,286,324</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sidRPr="00A207FE">
              <w:rPr>
                <w:rFonts w:eastAsia="Times New Roman" w:cs="Arial"/>
                <w:b/>
                <w:bCs/>
                <w:color w:val="FFFFFF"/>
                <w:lang w:eastAsia="es-MX"/>
              </w:rPr>
              <w:t xml:space="preserve">TOTAL </w:t>
            </w:r>
          </w:p>
        </w:tc>
        <w:tc>
          <w:tcPr>
            <w:tcW w:w="3340" w:type="dxa"/>
            <w:tcBorders>
              <w:top w:val="nil"/>
              <w:left w:val="nil"/>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Pr>
                <w:rFonts w:eastAsia="Times New Roman" w:cs="Arial"/>
                <w:b/>
                <w:bCs/>
                <w:color w:val="FFFFFF"/>
                <w:lang w:eastAsia="es-MX"/>
              </w:rPr>
              <w:t>100</w:t>
            </w:r>
            <w:r w:rsidRPr="00A207FE">
              <w:rPr>
                <w:rFonts w:eastAsia="Times New Roman" w:cs="Arial"/>
                <w:b/>
                <w:bCs/>
                <w:color w:val="FFFFFF"/>
                <w:lang w:eastAsia="es-MX"/>
              </w:rPr>
              <w:t>%</w:t>
            </w:r>
          </w:p>
        </w:tc>
        <w:tc>
          <w:tcPr>
            <w:tcW w:w="3340" w:type="dxa"/>
            <w:tcBorders>
              <w:top w:val="nil"/>
              <w:left w:val="nil"/>
              <w:bottom w:val="single" w:sz="4" w:space="0" w:color="auto"/>
              <w:right w:val="single" w:sz="4" w:space="0" w:color="auto"/>
            </w:tcBorders>
            <w:shd w:val="clear" w:color="auto" w:fill="4B4B4B"/>
            <w:noWrap/>
            <w:vAlign w:val="bottom"/>
            <w:hideMark/>
          </w:tcPr>
          <w:p w:rsidR="00F04D6E" w:rsidRPr="00A207FE" w:rsidRDefault="00F04D6E" w:rsidP="0056150B">
            <w:pPr>
              <w:jc w:val="right"/>
              <w:rPr>
                <w:rFonts w:eastAsia="Times New Roman" w:cs="Arial"/>
                <w:b/>
                <w:bCs/>
                <w:color w:val="FFFFFF"/>
                <w:lang w:eastAsia="es-MX"/>
              </w:rPr>
            </w:pPr>
            <w:r w:rsidRPr="00A207FE">
              <w:rPr>
                <w:rFonts w:eastAsia="Times New Roman" w:cs="Arial"/>
                <w:b/>
                <w:bCs/>
                <w:color w:val="FFFFFF"/>
                <w:lang w:eastAsia="es-MX"/>
              </w:rPr>
              <w:t>92,531,233</w:t>
            </w:r>
          </w:p>
        </w:tc>
      </w:tr>
    </w:tbl>
    <w:p w:rsidR="00F04D6E" w:rsidRPr="00166CCF" w:rsidRDefault="00F04D6E" w:rsidP="00F04D6E">
      <w:pPr>
        <w:jc w:val="center"/>
        <w:rPr>
          <w:rFonts w:cs="Arial"/>
        </w:rPr>
      </w:pPr>
      <w:r>
        <w:rPr>
          <w:rFonts w:cs="Arial"/>
        </w:rPr>
        <w:t>Fuente: Secretaría de la Mujeres</w:t>
      </w:r>
      <w:r w:rsidRPr="00611A83">
        <w:rPr>
          <w:rFonts w:cs="Arial"/>
        </w:rPr>
        <w:t>.</w:t>
      </w:r>
    </w:p>
    <w:p w:rsidR="00F04D6E" w:rsidRDefault="00F04D6E" w:rsidP="00F04D6E">
      <w:pPr>
        <w:rPr>
          <w:rFonts w:eastAsia="Arial" w:cs="Arial"/>
        </w:rPr>
      </w:pPr>
    </w:p>
    <w:p w:rsidR="008D0301" w:rsidRPr="008D0301" w:rsidRDefault="00560F3B" w:rsidP="003E669D">
      <w:pPr>
        <w:pStyle w:val="Ttulo3"/>
      </w:pPr>
      <w:r>
        <w:br w:type="page"/>
      </w:r>
      <w:bookmarkStart w:id="85" w:name="X3e230130bf3243e851d8dd06eb42ee0d8c3d486"/>
      <w:bookmarkEnd w:id="84"/>
      <w:r w:rsidR="009C1791">
        <w:t>ANEXO 18.6. ASIGNACIONES PRESUPUESTALES PARA EL SISTEMA DE JUSTICIA PENAL ACUSATORIO</w:t>
      </w:r>
    </w:p>
    <w:p w:rsidR="008D0301" w:rsidRPr="008D0301" w:rsidRDefault="008D0301" w:rsidP="008D0301"/>
    <w:tbl>
      <w:tblPr>
        <w:tblW w:w="11010" w:type="dxa"/>
        <w:tblCellMar>
          <w:left w:w="70" w:type="dxa"/>
          <w:right w:w="70" w:type="dxa"/>
        </w:tblCellMar>
        <w:tblLook w:val="04A0" w:firstRow="1" w:lastRow="0" w:firstColumn="1" w:lastColumn="0" w:noHBand="0" w:noVBand="1"/>
      </w:tblPr>
      <w:tblGrid>
        <w:gridCol w:w="4471"/>
        <w:gridCol w:w="1354"/>
        <w:gridCol w:w="1590"/>
        <w:gridCol w:w="3595"/>
      </w:tblGrid>
      <w:tr w:rsidR="00897BB1" w:rsidRPr="00EE6AF7" w:rsidTr="00EE6AF7">
        <w:trPr>
          <w:trHeight w:val="1125"/>
        </w:trPr>
        <w:tc>
          <w:tcPr>
            <w:tcW w:w="4471"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Programa Presupuestario</w:t>
            </w:r>
          </w:p>
        </w:tc>
        <w:tc>
          <w:tcPr>
            <w:tcW w:w="1354" w:type="dxa"/>
            <w:tcBorders>
              <w:top w:val="single" w:sz="4" w:space="0" w:color="auto"/>
              <w:left w:val="nil"/>
              <w:bottom w:val="single" w:sz="4" w:space="0" w:color="auto"/>
              <w:right w:val="single" w:sz="4" w:space="0" w:color="auto"/>
            </w:tcBorders>
            <w:shd w:val="clear" w:color="auto" w:fill="4B4B4B"/>
            <w:vAlign w:val="center"/>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Institución</w:t>
            </w:r>
          </w:p>
        </w:tc>
        <w:tc>
          <w:tcPr>
            <w:tcW w:w="1590" w:type="dxa"/>
            <w:tcBorders>
              <w:top w:val="single" w:sz="4" w:space="0" w:color="auto"/>
              <w:left w:val="nil"/>
              <w:bottom w:val="single" w:sz="4" w:space="0" w:color="auto"/>
              <w:right w:val="single" w:sz="4" w:space="0" w:color="auto"/>
            </w:tcBorders>
            <w:shd w:val="clear" w:color="auto" w:fill="4B4B4B"/>
            <w:vAlign w:val="center"/>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Importe (pesos)</w:t>
            </w:r>
          </w:p>
        </w:tc>
        <w:tc>
          <w:tcPr>
            <w:tcW w:w="3595" w:type="dxa"/>
            <w:tcBorders>
              <w:top w:val="single" w:sz="4" w:space="0" w:color="auto"/>
              <w:left w:val="nil"/>
              <w:bottom w:val="single" w:sz="4" w:space="0" w:color="auto"/>
              <w:right w:val="single" w:sz="4" w:space="0" w:color="auto"/>
            </w:tcBorders>
            <w:shd w:val="clear" w:color="auto" w:fill="4B4B4B"/>
            <w:vAlign w:val="center"/>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Objetivo de Desarrollo Sostenible</w:t>
            </w:r>
          </w:p>
        </w:tc>
      </w:tr>
      <w:tr w:rsidR="00897BB1" w:rsidRPr="00EE6AF7" w:rsidTr="00EE6AF7">
        <w:trPr>
          <w:trHeight w:val="738"/>
        </w:trPr>
        <w:tc>
          <w:tcPr>
            <w:tcW w:w="4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Fortalecimiento del Sistema de Justicia Penal</w:t>
            </w:r>
          </w:p>
        </w:tc>
        <w:tc>
          <w:tcPr>
            <w:tcW w:w="1354"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FGE</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375,415,517</w:t>
            </w:r>
          </w:p>
        </w:tc>
        <w:tc>
          <w:tcPr>
            <w:tcW w:w="3595" w:type="dxa"/>
            <w:vMerge w:val="restart"/>
            <w:tcBorders>
              <w:top w:val="single" w:sz="4" w:space="0" w:color="auto"/>
              <w:left w:val="single" w:sz="4" w:space="0" w:color="auto"/>
              <w:right w:val="single" w:sz="4" w:space="0" w:color="auto"/>
            </w:tcBorders>
            <w:shd w:val="clear" w:color="auto" w:fill="auto"/>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r>
      <w:tr w:rsidR="00897BB1" w:rsidRPr="00EE6AF7" w:rsidTr="00EE6AF7">
        <w:trPr>
          <w:trHeight w:val="738"/>
        </w:trPr>
        <w:tc>
          <w:tcPr>
            <w:tcW w:w="4471" w:type="dxa"/>
            <w:vMerge/>
            <w:tcBorders>
              <w:top w:val="single" w:sz="4" w:space="0" w:color="auto"/>
              <w:left w:val="single" w:sz="4" w:space="0" w:color="auto"/>
              <w:bottom w:val="single" w:sz="4" w:space="0" w:color="auto"/>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SSP</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149,801,864</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600"/>
        </w:trPr>
        <w:tc>
          <w:tcPr>
            <w:tcW w:w="4471" w:type="dxa"/>
            <w:tcBorders>
              <w:top w:val="single" w:sz="4" w:space="0" w:color="auto"/>
              <w:left w:val="single" w:sz="4" w:space="0" w:color="auto"/>
              <w:bottom w:val="single" w:sz="4" w:space="0" w:color="auto"/>
              <w:right w:val="single" w:sz="4" w:space="0" w:color="auto"/>
            </w:tcBorders>
            <w:shd w:val="clear" w:color="auto" w:fill="777777"/>
            <w:vAlign w:val="center"/>
            <w:hideMark/>
          </w:tcPr>
          <w:p w:rsidR="00897BB1" w:rsidRPr="00897BB1" w:rsidRDefault="00897BB1" w:rsidP="00897BB1">
            <w:pPr>
              <w:jc w:val="right"/>
              <w:rPr>
                <w:rFonts w:eastAsia="Times New Roman" w:cs="Arial"/>
                <w:b/>
                <w:bCs/>
                <w:color w:val="FFFFFF"/>
                <w:lang w:eastAsia="es-MX"/>
              </w:rPr>
            </w:pPr>
            <w:r w:rsidRPr="00897BB1">
              <w:rPr>
                <w:rFonts w:eastAsia="Times New Roman" w:cs="Arial"/>
                <w:b/>
                <w:bCs/>
                <w:color w:val="FFFFFF"/>
                <w:lang w:eastAsia="es-MX"/>
              </w:rPr>
              <w:t>Subtotal</w:t>
            </w:r>
          </w:p>
        </w:tc>
        <w:tc>
          <w:tcPr>
            <w:tcW w:w="1354" w:type="dxa"/>
            <w:tcBorders>
              <w:top w:val="nil"/>
              <w:left w:val="nil"/>
              <w:bottom w:val="nil"/>
              <w:right w:val="nil"/>
            </w:tcBorders>
            <w:shd w:val="clear" w:color="auto" w:fill="777777"/>
            <w:noWrap/>
            <w:vAlign w:val="center"/>
            <w:hideMark/>
          </w:tcPr>
          <w:p w:rsidR="00897BB1" w:rsidRPr="00897BB1" w:rsidRDefault="00897BB1" w:rsidP="00897BB1">
            <w:pPr>
              <w:jc w:val="left"/>
              <w:rPr>
                <w:rFonts w:eastAsia="Times New Roman" w:cs="Arial"/>
                <w:color w:val="FFFFFF"/>
                <w:sz w:val="22"/>
                <w:szCs w:val="22"/>
                <w:lang w:eastAsia="es-MX"/>
              </w:rPr>
            </w:pPr>
            <w:r w:rsidRPr="00897BB1">
              <w:rPr>
                <w:rFonts w:eastAsia="Times New Roman" w:cs="Arial"/>
                <w:color w:val="FFFFFF"/>
                <w:sz w:val="22"/>
                <w:szCs w:val="22"/>
                <w:lang w:eastAsia="es-MX"/>
              </w:rPr>
              <w:t> </w:t>
            </w:r>
          </w:p>
        </w:tc>
        <w:tc>
          <w:tcPr>
            <w:tcW w:w="1590" w:type="dxa"/>
            <w:tcBorders>
              <w:top w:val="nil"/>
              <w:left w:val="single" w:sz="4" w:space="0" w:color="auto"/>
              <w:bottom w:val="single" w:sz="4" w:space="0" w:color="auto"/>
              <w:right w:val="single" w:sz="4" w:space="0" w:color="auto"/>
            </w:tcBorders>
            <w:shd w:val="clear" w:color="auto" w:fill="777777"/>
            <w:noWrap/>
            <w:vAlign w:val="center"/>
            <w:hideMark/>
          </w:tcPr>
          <w:p w:rsidR="00897BB1" w:rsidRPr="00897BB1" w:rsidRDefault="00897BB1" w:rsidP="00897BB1">
            <w:pPr>
              <w:jc w:val="right"/>
              <w:rPr>
                <w:rFonts w:eastAsia="Times New Roman" w:cs="Arial"/>
                <w:b/>
                <w:bCs/>
                <w:color w:val="FFFFFF"/>
                <w:lang w:eastAsia="es-MX"/>
              </w:rPr>
            </w:pPr>
            <w:r w:rsidRPr="00897BB1">
              <w:rPr>
                <w:rFonts w:eastAsia="Times New Roman" w:cs="Arial"/>
                <w:b/>
                <w:bCs/>
                <w:color w:val="FFFFFF"/>
                <w:lang w:eastAsia="es-MX"/>
              </w:rPr>
              <w:t>525,217,381</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738"/>
        </w:trPr>
        <w:tc>
          <w:tcPr>
            <w:tcW w:w="4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Atención a Víctimas de Violencia</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CEEAV</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15,500,776</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738"/>
        </w:trPr>
        <w:tc>
          <w:tcPr>
            <w:tcW w:w="4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Asistencia Jurídica al Sector Público y Social</w:t>
            </w:r>
          </w:p>
        </w:tc>
        <w:tc>
          <w:tcPr>
            <w:tcW w:w="1354"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CJ</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33,362,873</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840"/>
        </w:trPr>
        <w:tc>
          <w:tcPr>
            <w:tcW w:w="4471" w:type="dxa"/>
            <w:tcBorders>
              <w:top w:val="nil"/>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Prevención y Atención a las Violencias contra las Mujeres</w:t>
            </w:r>
          </w:p>
        </w:tc>
        <w:tc>
          <w:tcPr>
            <w:tcW w:w="1354"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FGE</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16,615,383</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900"/>
        </w:trPr>
        <w:tc>
          <w:tcPr>
            <w:tcW w:w="4471" w:type="dxa"/>
            <w:tcBorders>
              <w:top w:val="nil"/>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Fortalecimiento del Desarrollo Integral de los Policías de la Secretaría de Seguridad Pública</w:t>
            </w:r>
          </w:p>
        </w:tc>
        <w:tc>
          <w:tcPr>
            <w:tcW w:w="1354"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SSP</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15,746,558</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312"/>
        </w:trPr>
        <w:tc>
          <w:tcPr>
            <w:tcW w:w="5825" w:type="dxa"/>
            <w:gridSpan w:val="2"/>
            <w:tcBorders>
              <w:top w:val="single" w:sz="4" w:space="0" w:color="auto"/>
              <w:left w:val="single" w:sz="4" w:space="0" w:color="auto"/>
              <w:bottom w:val="single" w:sz="4" w:space="0" w:color="auto"/>
              <w:right w:val="single" w:sz="4" w:space="0" w:color="000000"/>
            </w:tcBorders>
            <w:shd w:val="clear" w:color="auto" w:fill="4B4B4B"/>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Total</w:t>
            </w:r>
          </w:p>
        </w:tc>
        <w:tc>
          <w:tcPr>
            <w:tcW w:w="1590" w:type="dxa"/>
            <w:tcBorders>
              <w:top w:val="nil"/>
              <w:left w:val="nil"/>
              <w:bottom w:val="single" w:sz="4" w:space="0" w:color="auto"/>
              <w:right w:val="single" w:sz="4" w:space="0" w:color="auto"/>
            </w:tcBorders>
            <w:shd w:val="clear" w:color="auto" w:fill="4B4B4B"/>
            <w:noWrap/>
            <w:vAlign w:val="center"/>
            <w:hideMark/>
          </w:tcPr>
          <w:p w:rsidR="00897BB1" w:rsidRPr="00897BB1" w:rsidRDefault="00897BB1" w:rsidP="00897BB1">
            <w:pPr>
              <w:jc w:val="right"/>
              <w:rPr>
                <w:rFonts w:eastAsia="Times New Roman" w:cs="Arial"/>
                <w:b/>
                <w:bCs/>
                <w:color w:val="FFFFFF"/>
                <w:lang w:eastAsia="es-MX"/>
              </w:rPr>
            </w:pPr>
            <w:r w:rsidRPr="00EE6AF7">
              <w:rPr>
                <w:rFonts w:eastAsia="Times New Roman" w:cs="Arial"/>
                <w:b/>
                <w:color w:val="FFFFFF"/>
                <w:lang w:eastAsia="es-MX"/>
              </w:rPr>
              <w:t>606,442,971</w:t>
            </w:r>
          </w:p>
        </w:tc>
        <w:tc>
          <w:tcPr>
            <w:tcW w:w="3595" w:type="dxa"/>
            <w:tcBorders>
              <w:top w:val="nil"/>
              <w:left w:val="nil"/>
              <w:bottom w:val="single" w:sz="4" w:space="0" w:color="auto"/>
              <w:right w:val="single" w:sz="4" w:space="0" w:color="auto"/>
            </w:tcBorders>
            <w:shd w:val="clear" w:color="auto" w:fill="4B4B4B"/>
            <w:hideMark/>
          </w:tcPr>
          <w:p w:rsidR="00897BB1" w:rsidRPr="00897BB1" w:rsidRDefault="00897BB1" w:rsidP="00897BB1">
            <w:pPr>
              <w:jc w:val="left"/>
              <w:rPr>
                <w:rFonts w:eastAsia="Times New Roman" w:cs="Arial"/>
                <w:b/>
                <w:bCs/>
                <w:color w:val="FFFFFF"/>
                <w:lang w:eastAsia="es-MX"/>
              </w:rPr>
            </w:pPr>
            <w:r w:rsidRPr="00897BB1">
              <w:rPr>
                <w:rFonts w:eastAsia="Times New Roman" w:cs="Arial"/>
                <w:b/>
                <w:bCs/>
                <w:color w:val="FFFFFF"/>
                <w:lang w:eastAsia="es-MX"/>
              </w:rPr>
              <w:t> </w:t>
            </w:r>
          </w:p>
        </w:tc>
      </w:tr>
    </w:tbl>
    <w:p w:rsidR="00A30E00" w:rsidRDefault="008D0301" w:rsidP="003E669D">
      <w:pPr>
        <w:pStyle w:val="Ttulo3"/>
      </w:pPr>
      <w:r>
        <w:br w:type="page"/>
      </w:r>
      <w:bookmarkStart w:id="86" w:name="X9925a0868deb9d052892030f7452eb75638abf3"/>
      <w:bookmarkEnd w:id="85"/>
      <w:r w:rsidR="009C1791">
        <w:t xml:space="preserve">ANEXO 18.7. </w:t>
      </w:r>
      <w:r w:rsidR="00AF0BF8" w:rsidRPr="00AF0BF8">
        <w:t>PRESUPUESTARIO TRANSVERSAL DE INVERSIÓN PARA EL DESARROLLO RURAL SUSTENTABLE</w:t>
      </w:r>
    </w:p>
    <w:p w:rsidR="001A4168" w:rsidRDefault="001A4168">
      <w:pPr>
        <w:jc w:val="left"/>
      </w:pPr>
    </w:p>
    <w:p w:rsidR="001A4168" w:rsidRPr="004F4F24" w:rsidRDefault="001A4168" w:rsidP="001A4168">
      <w:pPr>
        <w:spacing w:before="100" w:beforeAutospacing="1" w:after="100" w:afterAutospacing="1"/>
        <w:rPr>
          <w:rFonts w:cs="Arial"/>
          <w:b/>
          <w:szCs w:val="28"/>
        </w:rPr>
      </w:pPr>
      <w:r w:rsidRPr="004F4F24">
        <w:rPr>
          <w:rFonts w:cs="Arial"/>
          <w:b/>
          <w:szCs w:val="28"/>
        </w:rPr>
        <w:t xml:space="preserve">Metodología </w:t>
      </w:r>
    </w:p>
    <w:p w:rsidR="001A4168" w:rsidRPr="004F4F24" w:rsidRDefault="001A4168" w:rsidP="001A4168">
      <w:pPr>
        <w:spacing w:before="100" w:beforeAutospacing="1" w:after="100" w:afterAutospacing="1"/>
        <w:rPr>
          <w:rFonts w:eastAsia="Arial" w:cs="Arial"/>
        </w:rPr>
      </w:pPr>
      <w:r w:rsidRPr="004F4F24">
        <w:rPr>
          <w:rFonts w:eastAsia="Arial" w:cs="Arial"/>
        </w:rPr>
        <w:t>Para efectos de este Anexo se desarrolló la metodología con el fin de visibilizar los recursos destinados al Desarrollo Rural Sustentable, para el mejoramiento integral del bienestar social de la población y de las actividades económicas en los territorios comprendidos como poblaciones rurales.</w:t>
      </w:r>
    </w:p>
    <w:p w:rsidR="001A4168" w:rsidRPr="004F4F24" w:rsidRDefault="001A4168" w:rsidP="001A4168">
      <w:pPr>
        <w:spacing w:before="100" w:beforeAutospacing="1" w:after="100" w:afterAutospacing="1"/>
        <w:rPr>
          <w:rFonts w:eastAsia="Arial" w:cs="Arial"/>
        </w:rPr>
      </w:pPr>
      <w:r w:rsidRPr="004F4F24">
        <w:rPr>
          <w:rFonts w:eastAsia="Arial" w:cs="Arial"/>
        </w:rPr>
        <w:t>Los pasos a seguir para la integración de este Anexo se describen a continuación:</w:t>
      </w:r>
    </w:p>
    <w:p w:rsidR="001A4168" w:rsidRPr="004F4F24" w:rsidRDefault="001A4168" w:rsidP="001A4168">
      <w:pPr>
        <w:pStyle w:val="Prrafodelista"/>
        <w:widowControl w:val="0"/>
        <w:numPr>
          <w:ilvl w:val="0"/>
          <w:numId w:val="49"/>
        </w:numPr>
        <w:spacing w:before="100" w:beforeAutospacing="1" w:after="100" w:afterAutospacing="1" w:line="240" w:lineRule="auto"/>
        <w:rPr>
          <w:rFonts w:ascii="Arial" w:hAnsi="Arial" w:cs="Arial"/>
          <w:b/>
          <w:i/>
          <w:szCs w:val="24"/>
        </w:rPr>
      </w:pPr>
      <w:r w:rsidRPr="004F4F24">
        <w:rPr>
          <w:rFonts w:ascii="Arial" w:hAnsi="Arial" w:cs="Arial"/>
          <w:b/>
          <w:i/>
          <w:szCs w:val="24"/>
        </w:rPr>
        <w:t>Análisis de los programas, actividades institucionales, obras y acciones 2022</w:t>
      </w:r>
    </w:p>
    <w:p w:rsidR="001A4168" w:rsidRPr="004F4F24" w:rsidRDefault="001A4168" w:rsidP="001A4168">
      <w:pPr>
        <w:spacing w:before="100" w:beforeAutospacing="1" w:after="100" w:afterAutospacing="1"/>
        <w:rPr>
          <w:rFonts w:eastAsia="Arial" w:cs="Arial"/>
        </w:rPr>
      </w:pPr>
      <w:r w:rsidRPr="004F4F24">
        <w:rPr>
          <w:rFonts w:eastAsia="Arial" w:cs="Arial"/>
        </w:rPr>
        <w:t xml:space="preserve">Se identificaron por institución responsable los programas, actividades institucionales, obras y acciones que forman parte del Anteproyecto de Presupuesto 2022 y que destinan parcial o totalmente su presupuesto al Desarrollo Rural Sustentable. </w:t>
      </w:r>
    </w:p>
    <w:p w:rsidR="001A4168" w:rsidRPr="004F4F24" w:rsidRDefault="001A4168" w:rsidP="001A4168">
      <w:pPr>
        <w:spacing w:before="100" w:beforeAutospacing="1" w:after="100" w:afterAutospacing="1"/>
        <w:rPr>
          <w:rFonts w:eastAsia="Arial" w:cs="Arial"/>
        </w:rPr>
      </w:pPr>
      <w:r w:rsidRPr="004F4F24">
        <w:rPr>
          <w:rFonts w:eastAsia="Arial" w:cs="Arial"/>
        </w:rPr>
        <w:t>Es decir, se seleccionaron aquellas intervenciones destinadas a financiar en forma directa o una parte de ellas que consideran implementar acciones en localidades rurales y por lo tanto van a atender a la población rural.</w:t>
      </w:r>
    </w:p>
    <w:p w:rsidR="001A4168" w:rsidRPr="004F4F24" w:rsidRDefault="001A4168" w:rsidP="001A4168">
      <w:pPr>
        <w:pStyle w:val="Prrafodelista"/>
        <w:numPr>
          <w:ilvl w:val="0"/>
          <w:numId w:val="49"/>
        </w:numPr>
        <w:spacing w:before="100" w:beforeAutospacing="1" w:after="100" w:afterAutospacing="1" w:line="240" w:lineRule="auto"/>
        <w:ind w:left="714" w:hanging="357"/>
        <w:rPr>
          <w:rFonts w:ascii="Arial" w:eastAsia="Arial" w:hAnsi="Arial" w:cs="Arial"/>
          <w:b/>
          <w:szCs w:val="24"/>
          <w:lang w:eastAsia="es-ES"/>
        </w:rPr>
      </w:pPr>
      <w:r w:rsidRPr="004F4F24">
        <w:rPr>
          <w:rFonts w:ascii="Arial" w:hAnsi="Arial" w:cs="Arial"/>
          <w:b/>
          <w:i/>
          <w:szCs w:val="24"/>
        </w:rPr>
        <w:t xml:space="preserve">Análisis basado en las Vertientes para el Desarrollo Rural Sustentable </w:t>
      </w:r>
    </w:p>
    <w:p w:rsidR="001A4168" w:rsidRPr="004F4F24" w:rsidRDefault="001A4168" w:rsidP="001A4168">
      <w:pPr>
        <w:spacing w:before="100" w:beforeAutospacing="1" w:after="100" w:afterAutospacing="1"/>
        <w:rPr>
          <w:rFonts w:eastAsia="Arial" w:cs="Arial"/>
        </w:rPr>
      </w:pPr>
      <w:r w:rsidRPr="004F4F24">
        <w:rPr>
          <w:rFonts w:eastAsia="Arial" w:cs="Arial"/>
        </w:rPr>
        <w:t>Una vez identificadas las intervenciones, se clasificaron en ocho vertientes orientadas a desarrollar acciones en el medio rural (Tabla1):</w:t>
      </w:r>
    </w:p>
    <w:p w:rsidR="003E669D" w:rsidRDefault="001A4168" w:rsidP="001A4168">
      <w:pPr>
        <w:spacing w:before="100" w:beforeAutospacing="1" w:after="100" w:afterAutospacing="1"/>
        <w:jc w:val="center"/>
        <w:rPr>
          <w:rFonts w:eastAsia="Arial" w:cs="Arial"/>
          <w:b/>
        </w:rPr>
      </w:pPr>
      <w:r w:rsidRPr="004F4F24">
        <w:rPr>
          <w:rFonts w:eastAsia="Arial" w:cs="Arial"/>
          <w:b/>
        </w:rPr>
        <w:t>Tabla 1. Vertientes para el Desarrollo Rural Sustentable</w:t>
      </w:r>
    </w:p>
    <w:p w:rsidR="001A4168" w:rsidRPr="004F4F24" w:rsidRDefault="003E669D" w:rsidP="003E669D">
      <w:r>
        <w:br w:type="page"/>
      </w:r>
    </w:p>
    <w:p w:rsidR="001A4168" w:rsidRPr="004F4F24" w:rsidRDefault="001A4168" w:rsidP="001A4168">
      <w:pPr>
        <w:jc w:val="center"/>
        <w:rPr>
          <w:rFonts w:eastAsia="Arial" w:cs="Arial"/>
          <w:b/>
        </w:rPr>
      </w:pPr>
    </w:p>
    <w:tbl>
      <w:tblPr>
        <w:tblW w:w="5000" w:type="pct"/>
        <w:jc w:val="center"/>
        <w:tblCellMar>
          <w:left w:w="70" w:type="dxa"/>
          <w:right w:w="70" w:type="dxa"/>
        </w:tblCellMar>
        <w:tblLook w:val="04A0" w:firstRow="1" w:lastRow="0" w:firstColumn="1" w:lastColumn="0" w:noHBand="0" w:noVBand="1"/>
      </w:tblPr>
      <w:tblGrid>
        <w:gridCol w:w="2437"/>
        <w:gridCol w:w="8723"/>
      </w:tblGrid>
      <w:tr w:rsidR="001A4168" w:rsidRPr="00EE6AF7" w:rsidTr="003359BE">
        <w:trPr>
          <w:trHeight w:val="340"/>
          <w:tblHeader/>
          <w:jc w:val="center"/>
        </w:trPr>
        <w:tc>
          <w:tcPr>
            <w:tcW w:w="1092" w:type="pct"/>
            <w:tcBorders>
              <w:top w:val="single" w:sz="4" w:space="0" w:color="auto"/>
              <w:left w:val="single" w:sz="4" w:space="0" w:color="auto"/>
              <w:bottom w:val="single" w:sz="4" w:space="0" w:color="auto"/>
              <w:right w:val="single" w:sz="4" w:space="0" w:color="auto"/>
            </w:tcBorders>
            <w:shd w:val="clear" w:color="auto" w:fill="4B4B4B"/>
            <w:vAlign w:val="center"/>
            <w:hideMark/>
          </w:tcPr>
          <w:p w:rsidR="001A4168" w:rsidRPr="004F4F24" w:rsidRDefault="001A4168" w:rsidP="0056150B">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Vertientes</w:t>
            </w:r>
          </w:p>
        </w:tc>
        <w:tc>
          <w:tcPr>
            <w:tcW w:w="3908" w:type="pct"/>
            <w:tcBorders>
              <w:top w:val="single" w:sz="4" w:space="0" w:color="auto"/>
              <w:left w:val="nil"/>
              <w:bottom w:val="single" w:sz="4" w:space="0" w:color="auto"/>
              <w:right w:val="single" w:sz="4" w:space="0" w:color="auto"/>
            </w:tcBorders>
            <w:shd w:val="clear" w:color="auto" w:fill="4B4B4B"/>
            <w:noWrap/>
            <w:vAlign w:val="center"/>
            <w:hideMark/>
          </w:tcPr>
          <w:p w:rsidR="001A4168" w:rsidRPr="004F4F24" w:rsidRDefault="001A4168" w:rsidP="0056150B">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Definición</w:t>
            </w:r>
          </w:p>
        </w:tc>
      </w:tr>
      <w:tr w:rsidR="001A4168" w:rsidRPr="00EE6AF7" w:rsidTr="003359BE">
        <w:trPr>
          <w:trHeight w:val="1134"/>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Competitividad</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Tiene como fin lograr la autosuficiencia alimentaria y rescate del campo, otorgando recursos en beneficio de productores de pequeña y mediana escala que cultivan preferentemente granos básicos, café y caña de azúcar.</w:t>
            </w:r>
          </w:p>
        </w:tc>
      </w:tr>
      <w:tr w:rsidR="001A4168" w:rsidRPr="00EE6AF7" w:rsidTr="003359BE">
        <w:trPr>
          <w:trHeight w:val="737"/>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Administrativa</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Se destinan recursos para el gasto administrativo de las dependencias u organismos encargados de los programas.</w:t>
            </w:r>
          </w:p>
        </w:tc>
      </w:tr>
      <w:tr w:rsidR="001A4168" w:rsidRPr="00EE6AF7" w:rsidTr="003359BE">
        <w:trPr>
          <w:trHeight w:val="507"/>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Medio Ambiente</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Se le asignan recursos para la sustentabilidad de los recursos naturales.</w:t>
            </w:r>
          </w:p>
        </w:tc>
      </w:tr>
      <w:tr w:rsidR="001A4168" w:rsidRPr="00EE6AF7" w:rsidTr="003359BE">
        <w:trPr>
          <w:trHeight w:val="762"/>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Infraestructura</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Se destinarán recursos para llevar a cabo obras, acciones sociales básicas, e inversiones en beneficio de las localidades con mayor rezago.</w:t>
            </w:r>
          </w:p>
        </w:tc>
      </w:tr>
      <w:tr w:rsidR="001A4168" w:rsidRPr="00EE6AF7" w:rsidTr="003359BE">
        <w:trPr>
          <w:trHeight w:val="454"/>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Agraria</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Atiende asuntos referentes a la certeza jurídica de la propiedad rural.</w:t>
            </w:r>
          </w:p>
        </w:tc>
      </w:tr>
      <w:tr w:rsidR="001A4168" w:rsidRPr="00EE6AF7" w:rsidTr="003359BE">
        <w:trPr>
          <w:trHeight w:val="680"/>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spacing w:before="100" w:beforeAutospacing="1" w:after="100" w:afterAutospacing="1"/>
              <w:jc w:val="center"/>
              <w:rPr>
                <w:rFonts w:eastAsia="Times New Roman" w:cs="Arial"/>
                <w:lang w:eastAsia="es-MX"/>
              </w:rPr>
            </w:pPr>
            <w:r w:rsidRPr="004F4F24">
              <w:rPr>
                <w:rFonts w:eastAsia="Times New Roman" w:cs="Arial"/>
                <w:lang w:eastAsia="es-MX"/>
              </w:rPr>
              <w:t>Social</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Tiene como fin reducir la pobreza y desigualdad, y del apoyo a adultos mayores, procura el bienestar y alimentación de la población rural.</w:t>
            </w:r>
          </w:p>
        </w:tc>
      </w:tr>
      <w:tr w:rsidR="001A4168" w:rsidRPr="00EE6AF7" w:rsidTr="003359BE">
        <w:trPr>
          <w:trHeight w:val="1191"/>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Educativa</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Fortalece las políticas públicas orientadas a elevar la calidad y cobertura de los servicios educativos, que disminuyan las diferencias de cobertura y fortalezcan las acciones para prevenir la deserción en la educación media superior en el medio rural.</w:t>
            </w:r>
          </w:p>
        </w:tc>
      </w:tr>
      <w:tr w:rsidR="001A4168" w:rsidRPr="00EE6AF7" w:rsidTr="003359BE">
        <w:trPr>
          <w:trHeight w:val="680"/>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Salud</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Tiene como objeto consolidar los programas del Sistema de Protección Social en Salud (SPSS) en las zonas rurales.</w:t>
            </w:r>
          </w:p>
        </w:tc>
      </w:tr>
    </w:tbl>
    <w:p w:rsidR="001A4168" w:rsidRPr="004F4F24" w:rsidRDefault="001A4168" w:rsidP="001A4168">
      <w:pPr>
        <w:spacing w:before="100" w:beforeAutospacing="1" w:after="100" w:afterAutospacing="1"/>
        <w:jc w:val="center"/>
        <w:rPr>
          <w:rFonts w:eastAsia="Arial" w:cs="Arial"/>
        </w:rPr>
      </w:pPr>
      <w:r w:rsidRPr="004F4F24">
        <w:rPr>
          <w:rFonts w:eastAsia="Arial" w:cs="Arial"/>
        </w:rPr>
        <w:t xml:space="preserve">Fuente: Elaboración propia basada en “Análisis del Programa Especial Concurrente 2020 – 2024” </w:t>
      </w:r>
      <w:r w:rsidRPr="004F4F24">
        <w:rPr>
          <w:rFonts w:eastAsia="Arial" w:cs="Arial"/>
        </w:rPr>
        <w:br/>
        <w:t>(Centro de Estudios para el Desarrollo Rural Sustentable y la Soberanía Alimentaria. Agosto 2020).</w:t>
      </w:r>
    </w:p>
    <w:p w:rsidR="001A4168" w:rsidRPr="004F4F24" w:rsidRDefault="001A4168" w:rsidP="001A4168">
      <w:pPr>
        <w:pStyle w:val="Prrafodelista"/>
        <w:numPr>
          <w:ilvl w:val="0"/>
          <w:numId w:val="49"/>
        </w:numPr>
        <w:spacing w:before="100" w:beforeAutospacing="1" w:after="100" w:afterAutospacing="1" w:line="240" w:lineRule="auto"/>
        <w:ind w:left="714" w:hanging="357"/>
        <w:rPr>
          <w:rFonts w:ascii="Arial" w:hAnsi="Arial" w:cs="Arial"/>
          <w:b/>
          <w:i/>
          <w:szCs w:val="24"/>
        </w:rPr>
      </w:pPr>
      <w:r w:rsidRPr="004F4F24">
        <w:rPr>
          <w:rFonts w:ascii="Arial" w:hAnsi="Arial" w:cs="Arial"/>
          <w:b/>
          <w:i/>
          <w:szCs w:val="24"/>
        </w:rPr>
        <w:t>Análisis de acuerdo con la especificidad de la inversión.</w:t>
      </w:r>
    </w:p>
    <w:p w:rsidR="001A4168" w:rsidRPr="004F4F24" w:rsidRDefault="001A4168" w:rsidP="001A4168">
      <w:pPr>
        <w:rPr>
          <w:rFonts w:eastAsia="Arial" w:cs="Arial"/>
        </w:rPr>
      </w:pPr>
      <w:r w:rsidRPr="00EE6AF7">
        <w:rPr>
          <w:rFonts w:cs="Arial"/>
          <w:color w:val="000000"/>
        </w:rPr>
        <w:t>Pa</w:t>
      </w:r>
      <w:r w:rsidRPr="00EE6AF7">
        <w:rPr>
          <w:rFonts w:cs="Arial"/>
          <w:color w:val="000000"/>
          <w:spacing w:val="2"/>
        </w:rPr>
        <w:t>r</w:t>
      </w:r>
      <w:r w:rsidRPr="00EE6AF7">
        <w:rPr>
          <w:rFonts w:cs="Arial"/>
          <w:color w:val="000000"/>
        </w:rPr>
        <w:t xml:space="preserve">a conocer la </w:t>
      </w:r>
      <w:r w:rsidRPr="00EE6AF7">
        <w:rPr>
          <w:rFonts w:cs="Arial"/>
          <w:color w:val="000000"/>
          <w:spacing w:val="-2"/>
        </w:rPr>
        <w:t>i</w:t>
      </w:r>
      <w:r w:rsidRPr="00EE6AF7">
        <w:rPr>
          <w:rFonts w:cs="Arial"/>
          <w:color w:val="000000"/>
          <w:spacing w:val="1"/>
        </w:rPr>
        <w:t>n</w:t>
      </w:r>
      <w:r w:rsidRPr="00EE6AF7">
        <w:rPr>
          <w:rFonts w:cs="Arial"/>
          <w:color w:val="000000"/>
        </w:rPr>
        <w:t>vers</w:t>
      </w:r>
      <w:r w:rsidRPr="00EE6AF7">
        <w:rPr>
          <w:rFonts w:cs="Arial"/>
          <w:color w:val="000000"/>
          <w:spacing w:val="-2"/>
        </w:rPr>
        <w:t>i</w:t>
      </w:r>
      <w:r w:rsidRPr="00EE6AF7">
        <w:rPr>
          <w:rFonts w:cs="Arial"/>
          <w:color w:val="000000"/>
        </w:rPr>
        <w:t>ón,</w:t>
      </w:r>
      <w:r w:rsidRPr="00EE6AF7">
        <w:rPr>
          <w:rFonts w:cs="Arial"/>
          <w:color w:val="000000"/>
          <w:spacing w:val="19"/>
        </w:rPr>
        <w:t xml:space="preserve"> </w:t>
      </w:r>
      <w:r w:rsidRPr="00EE6AF7">
        <w:rPr>
          <w:rFonts w:cs="Arial"/>
          <w:color w:val="000000"/>
          <w:w w:val="103"/>
        </w:rPr>
        <w:t>en</w:t>
      </w:r>
      <w:r w:rsidRPr="00EE6AF7">
        <w:rPr>
          <w:rFonts w:cs="Arial"/>
          <w:color w:val="000000"/>
        </w:rPr>
        <w:t xml:space="preserve"> cuanto</w:t>
      </w:r>
      <w:r w:rsidRPr="00EE6AF7">
        <w:rPr>
          <w:rFonts w:cs="Arial"/>
          <w:color w:val="000000"/>
          <w:spacing w:val="-38"/>
        </w:rPr>
        <w:t xml:space="preserve"> </w:t>
      </w:r>
      <w:r w:rsidRPr="00EE6AF7">
        <w:rPr>
          <w:rFonts w:cs="Arial"/>
          <w:color w:val="000000"/>
        </w:rPr>
        <w:t>a su</w:t>
      </w:r>
      <w:r w:rsidRPr="00EE6AF7">
        <w:rPr>
          <w:rFonts w:cs="Arial"/>
          <w:color w:val="000000"/>
          <w:spacing w:val="-49"/>
        </w:rPr>
        <w:t xml:space="preserve"> </w:t>
      </w:r>
      <w:r w:rsidRPr="00EE6AF7">
        <w:rPr>
          <w:rFonts w:cs="Arial"/>
          <w:color w:val="000000"/>
        </w:rPr>
        <w:t>per</w:t>
      </w:r>
      <w:r w:rsidRPr="00EE6AF7">
        <w:rPr>
          <w:rFonts w:cs="Arial"/>
          <w:color w:val="000000"/>
          <w:spacing w:val="1"/>
        </w:rPr>
        <w:t>ti</w:t>
      </w:r>
      <w:r w:rsidRPr="00EE6AF7">
        <w:rPr>
          <w:rFonts w:cs="Arial"/>
          <w:color w:val="000000"/>
        </w:rPr>
        <w:t>nen</w:t>
      </w:r>
      <w:r w:rsidRPr="00EE6AF7">
        <w:rPr>
          <w:rFonts w:cs="Arial"/>
          <w:color w:val="000000"/>
          <w:spacing w:val="-1"/>
        </w:rPr>
        <w:t>c</w:t>
      </w:r>
      <w:r w:rsidRPr="00EE6AF7">
        <w:rPr>
          <w:rFonts w:cs="Arial"/>
          <w:color w:val="000000"/>
        </w:rPr>
        <w:t>ia,</w:t>
      </w:r>
      <w:r w:rsidRPr="00EE6AF7">
        <w:rPr>
          <w:rFonts w:cs="Arial"/>
          <w:color w:val="000000"/>
          <w:spacing w:val="-25"/>
        </w:rPr>
        <w:t xml:space="preserve"> </w:t>
      </w:r>
      <w:r w:rsidRPr="00EE6AF7">
        <w:rPr>
          <w:rFonts w:cs="Arial"/>
          <w:color w:val="000000"/>
        </w:rPr>
        <w:t>cobertura,</w:t>
      </w:r>
      <w:r w:rsidRPr="00EE6AF7">
        <w:rPr>
          <w:rFonts w:cs="Arial"/>
          <w:color w:val="000000"/>
          <w:spacing w:val="-29"/>
        </w:rPr>
        <w:t xml:space="preserve"> </w:t>
      </w:r>
      <w:r w:rsidRPr="00EE6AF7">
        <w:rPr>
          <w:rFonts w:cs="Arial"/>
          <w:color w:val="000000"/>
        </w:rPr>
        <w:t>efectividad</w:t>
      </w:r>
      <w:r w:rsidRPr="00EE6AF7">
        <w:rPr>
          <w:rFonts w:cs="Arial"/>
          <w:color w:val="000000"/>
          <w:spacing w:val="-27"/>
        </w:rPr>
        <w:t xml:space="preserve"> </w:t>
      </w:r>
      <w:r w:rsidRPr="00EE6AF7">
        <w:rPr>
          <w:rFonts w:cs="Arial"/>
          <w:color w:val="000000"/>
        </w:rPr>
        <w:t>y resultados; s</w:t>
      </w:r>
      <w:r w:rsidRPr="004F4F24">
        <w:rPr>
          <w:rFonts w:eastAsia="Arial" w:cs="Arial"/>
        </w:rPr>
        <w:t xml:space="preserve">e determinó el grado de focalización de la inversión en el Desarrollo Rural Sustentable en el Estado, a partir de la clasificación de las intervenciones en alguna de las tres categorías de especificidad de la inversión, presentadas a continuación: </w:t>
      </w:r>
    </w:p>
    <w:p w:rsidR="001A4168" w:rsidRPr="004F4F24" w:rsidRDefault="001A4168" w:rsidP="001A4168">
      <w:pPr>
        <w:rPr>
          <w:rFonts w:eastAsia="Arial" w:cs="Arial"/>
        </w:rPr>
      </w:pPr>
    </w:p>
    <w:p w:rsidR="001A4168" w:rsidRPr="004F4F24" w:rsidRDefault="001A4168" w:rsidP="001A4168">
      <w:pPr>
        <w:spacing w:before="100" w:beforeAutospacing="1" w:after="100" w:afterAutospacing="1"/>
        <w:jc w:val="center"/>
        <w:rPr>
          <w:rFonts w:eastAsia="Arial" w:cs="Arial"/>
          <w:b/>
        </w:rPr>
      </w:pPr>
      <w:r w:rsidRPr="004F4F24">
        <w:rPr>
          <w:rFonts w:eastAsia="Arial" w:cs="Arial"/>
          <w:b/>
        </w:rPr>
        <w:t xml:space="preserve">Tabla 2. </w:t>
      </w:r>
      <w:r w:rsidRPr="004F4F24">
        <w:rPr>
          <w:rFonts w:cs="Arial"/>
          <w:b/>
          <w:i/>
        </w:rPr>
        <w:t xml:space="preserve">Especificidad de la inversión </w:t>
      </w:r>
    </w:p>
    <w:tbl>
      <w:tblPr>
        <w:tblW w:w="5000" w:type="pct"/>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20"/>
        <w:gridCol w:w="8016"/>
      </w:tblGrid>
      <w:tr w:rsidR="001A4168" w:rsidRPr="00EE6AF7" w:rsidTr="00EE6AF7">
        <w:trPr>
          <w:trHeight w:val="397"/>
          <w:tblHeader/>
          <w:jc w:val="center"/>
        </w:trPr>
        <w:tc>
          <w:tcPr>
            <w:tcW w:w="1433" w:type="pct"/>
            <w:shd w:val="clear" w:color="auto" w:fill="4B4B4B"/>
            <w:vAlign w:val="center"/>
          </w:tcPr>
          <w:p w:rsidR="001A4168" w:rsidRPr="00EE6AF7" w:rsidRDefault="001A4168" w:rsidP="00EE6AF7">
            <w:pPr>
              <w:autoSpaceDE w:val="0"/>
              <w:autoSpaceDN w:val="0"/>
              <w:adjustRightInd w:val="0"/>
              <w:spacing w:before="100" w:after="100"/>
              <w:ind w:firstLine="720"/>
              <w:jc w:val="center"/>
              <w:rPr>
                <w:rFonts w:eastAsia="Times New Roman" w:cs="Arial"/>
                <w:b/>
                <w:bCs/>
                <w:color w:val="FFFFFF"/>
                <w:lang w:eastAsia="es-ES"/>
              </w:rPr>
            </w:pPr>
            <w:r w:rsidRPr="00EE6AF7">
              <w:rPr>
                <w:rFonts w:cs="Arial"/>
                <w:b/>
                <w:bCs/>
                <w:color w:val="FFFFFF"/>
                <w:lang w:eastAsia="es-ES"/>
              </w:rPr>
              <w:t>Tipo de Inversión</w:t>
            </w:r>
          </w:p>
        </w:tc>
        <w:tc>
          <w:tcPr>
            <w:tcW w:w="3567" w:type="pct"/>
            <w:shd w:val="clear" w:color="auto" w:fill="4B4B4B"/>
            <w:vAlign w:val="center"/>
          </w:tcPr>
          <w:p w:rsidR="001A4168" w:rsidRPr="00EE6AF7" w:rsidRDefault="001A4168" w:rsidP="00EE6AF7">
            <w:pPr>
              <w:autoSpaceDE w:val="0"/>
              <w:autoSpaceDN w:val="0"/>
              <w:adjustRightInd w:val="0"/>
              <w:spacing w:before="100" w:after="100"/>
              <w:ind w:right="-538" w:firstLine="720"/>
              <w:jc w:val="center"/>
              <w:rPr>
                <w:rFonts w:eastAsia="Arial" w:cs="Arial"/>
                <w:b/>
                <w:bCs/>
                <w:color w:val="121D56"/>
                <w:lang w:eastAsia="es-ES"/>
              </w:rPr>
            </w:pPr>
            <w:r w:rsidRPr="00EE6AF7">
              <w:rPr>
                <w:rFonts w:cs="Arial"/>
                <w:b/>
                <w:bCs/>
                <w:color w:val="FFFFFF"/>
                <w:lang w:eastAsia="es-ES"/>
              </w:rPr>
              <w:t>Conceptualización</w:t>
            </w:r>
          </w:p>
        </w:tc>
      </w:tr>
      <w:tr w:rsidR="00D31C30" w:rsidRPr="00EE6AF7" w:rsidTr="00EE6AF7">
        <w:trPr>
          <w:trHeight w:val="1304"/>
          <w:jc w:val="center"/>
        </w:trPr>
        <w:tc>
          <w:tcPr>
            <w:tcW w:w="1433" w:type="pct"/>
            <w:tcBorders>
              <w:top w:val="single" w:sz="8" w:space="0" w:color="000000"/>
              <w:left w:val="single" w:sz="8" w:space="0" w:color="000000"/>
              <w:bottom w:val="single" w:sz="8" w:space="0" w:color="000000"/>
            </w:tcBorders>
            <w:shd w:val="clear" w:color="auto" w:fill="auto"/>
            <w:vAlign w:val="center"/>
            <w:hideMark/>
          </w:tcPr>
          <w:p w:rsidR="001A4168" w:rsidRPr="00EE6AF7" w:rsidRDefault="001A4168" w:rsidP="00EE6AF7">
            <w:pPr>
              <w:spacing w:before="100" w:beforeAutospacing="1" w:after="100" w:afterAutospacing="1" w:line="360" w:lineRule="auto"/>
              <w:jc w:val="center"/>
              <w:rPr>
                <w:rFonts w:eastAsia="Times New Roman" w:cs="Arial"/>
                <w:b/>
                <w:bCs/>
                <w:lang w:eastAsia="es-ES"/>
              </w:rPr>
            </w:pPr>
            <w:r w:rsidRPr="00EE6AF7">
              <w:rPr>
                <w:rFonts w:eastAsia="Times New Roman" w:cs="Arial"/>
                <w:b/>
                <w:bCs/>
                <w:lang w:eastAsia="es-ES"/>
              </w:rPr>
              <w:t>Inversión Específica o Directa</w:t>
            </w:r>
          </w:p>
        </w:tc>
        <w:tc>
          <w:tcPr>
            <w:tcW w:w="3567" w:type="pct"/>
            <w:tcBorders>
              <w:top w:val="single" w:sz="8" w:space="0" w:color="000000"/>
              <w:bottom w:val="single" w:sz="8" w:space="0" w:color="000000"/>
              <w:right w:val="single" w:sz="8" w:space="0" w:color="000000"/>
            </w:tcBorders>
            <w:shd w:val="clear" w:color="auto" w:fill="auto"/>
            <w:vAlign w:val="center"/>
            <w:hideMark/>
          </w:tcPr>
          <w:p w:rsidR="001A4168" w:rsidRPr="00EE6AF7" w:rsidRDefault="001A4168" w:rsidP="00EE6AF7">
            <w:pPr>
              <w:spacing w:before="100" w:beforeAutospacing="1" w:after="100" w:afterAutospacing="1"/>
              <w:ind w:firstLine="720"/>
              <w:rPr>
                <w:rFonts w:eastAsia="Arial" w:cs="Arial"/>
                <w:lang w:eastAsia="es-ES"/>
              </w:rPr>
            </w:pPr>
            <w:r w:rsidRPr="00EE6AF7">
              <w:rPr>
                <w:rFonts w:eastAsia="Arial" w:cs="Arial"/>
                <w:lang w:eastAsia="es-ES"/>
              </w:rPr>
              <w:t>Es la inversión destinada a financiar las intervenciones que consideran acciones que entregan beneficios directamente en las localidades rurales para asegurar el desarrollo rural sustentable.</w:t>
            </w:r>
          </w:p>
        </w:tc>
      </w:tr>
      <w:tr w:rsidR="001A4168" w:rsidRPr="00EE6AF7" w:rsidTr="00EE6AF7">
        <w:trPr>
          <w:trHeight w:val="846"/>
          <w:jc w:val="center"/>
        </w:trPr>
        <w:tc>
          <w:tcPr>
            <w:tcW w:w="1433" w:type="pct"/>
            <w:shd w:val="clear" w:color="auto" w:fill="auto"/>
            <w:vAlign w:val="center"/>
            <w:hideMark/>
          </w:tcPr>
          <w:p w:rsidR="001A4168" w:rsidRPr="00EE6AF7" w:rsidRDefault="001A4168" w:rsidP="00EE6AF7">
            <w:pPr>
              <w:spacing w:before="100" w:beforeAutospacing="1" w:after="100" w:afterAutospacing="1" w:line="360" w:lineRule="auto"/>
              <w:jc w:val="center"/>
              <w:rPr>
                <w:rFonts w:eastAsia="Times New Roman" w:cs="Arial"/>
                <w:b/>
                <w:bCs/>
                <w:lang w:eastAsia="es-ES"/>
              </w:rPr>
            </w:pPr>
            <w:r w:rsidRPr="00EE6AF7">
              <w:rPr>
                <w:rFonts w:eastAsia="Times New Roman" w:cs="Arial"/>
                <w:b/>
                <w:bCs/>
                <w:lang w:eastAsia="es-ES"/>
              </w:rPr>
              <w:t>Inversión en Bienes Públicos</w:t>
            </w:r>
          </w:p>
        </w:tc>
        <w:tc>
          <w:tcPr>
            <w:tcW w:w="3567" w:type="pct"/>
            <w:shd w:val="clear" w:color="auto" w:fill="auto"/>
            <w:vAlign w:val="center"/>
            <w:hideMark/>
          </w:tcPr>
          <w:p w:rsidR="001A4168" w:rsidRPr="00EE6AF7" w:rsidRDefault="001A4168" w:rsidP="00EE6AF7">
            <w:pPr>
              <w:spacing w:before="100" w:beforeAutospacing="1" w:after="100" w:afterAutospacing="1"/>
              <w:ind w:firstLine="720"/>
              <w:rPr>
                <w:rFonts w:eastAsia="Arial" w:cs="Arial"/>
                <w:lang w:eastAsia="es-ES"/>
              </w:rPr>
            </w:pPr>
            <w:r w:rsidRPr="00EE6AF7">
              <w:rPr>
                <w:rFonts w:eastAsia="Arial" w:cs="Arial"/>
                <w:lang w:eastAsia="es-ES"/>
              </w:rPr>
              <w:t>Es aquella inversión destinada a financiar las intervenciones que proveen servicios prestados de forma abierta a las localidades rurales (ejemplo: parque, camino o carretera), y que hayan estado al menos parcialmente diseñados para atender sus necesidades específicas de la población rural.</w:t>
            </w:r>
          </w:p>
        </w:tc>
      </w:tr>
      <w:tr w:rsidR="00D31C30" w:rsidRPr="00EE6AF7" w:rsidTr="00EE6AF7">
        <w:trPr>
          <w:trHeight w:val="1097"/>
          <w:jc w:val="center"/>
        </w:trPr>
        <w:tc>
          <w:tcPr>
            <w:tcW w:w="1433" w:type="pct"/>
            <w:tcBorders>
              <w:top w:val="single" w:sz="8" w:space="0" w:color="000000"/>
              <w:left w:val="single" w:sz="8" w:space="0" w:color="000000"/>
              <w:bottom w:val="single" w:sz="8" w:space="0" w:color="000000"/>
            </w:tcBorders>
            <w:shd w:val="clear" w:color="auto" w:fill="auto"/>
            <w:vAlign w:val="center"/>
            <w:hideMark/>
          </w:tcPr>
          <w:p w:rsidR="001A4168" w:rsidRPr="00EE6AF7" w:rsidRDefault="001A4168" w:rsidP="00EE6AF7">
            <w:pPr>
              <w:spacing w:before="100" w:beforeAutospacing="1" w:after="100" w:afterAutospacing="1" w:line="360" w:lineRule="auto"/>
              <w:jc w:val="center"/>
              <w:rPr>
                <w:rFonts w:eastAsia="Times New Roman" w:cs="Arial"/>
                <w:b/>
                <w:bCs/>
                <w:lang w:eastAsia="es-ES"/>
              </w:rPr>
            </w:pPr>
            <w:r w:rsidRPr="00EE6AF7">
              <w:rPr>
                <w:rFonts w:eastAsia="Times New Roman" w:cs="Arial"/>
                <w:b/>
                <w:bCs/>
                <w:lang w:eastAsia="es-ES"/>
              </w:rPr>
              <w:t>Inversión Ampliada</w:t>
            </w:r>
          </w:p>
        </w:tc>
        <w:tc>
          <w:tcPr>
            <w:tcW w:w="3567" w:type="pct"/>
            <w:tcBorders>
              <w:top w:val="single" w:sz="8" w:space="0" w:color="000000"/>
              <w:bottom w:val="single" w:sz="8" w:space="0" w:color="000000"/>
              <w:right w:val="single" w:sz="8" w:space="0" w:color="000000"/>
            </w:tcBorders>
            <w:shd w:val="clear" w:color="auto" w:fill="auto"/>
            <w:vAlign w:val="center"/>
            <w:hideMark/>
          </w:tcPr>
          <w:p w:rsidR="001A4168" w:rsidRPr="00EE6AF7" w:rsidRDefault="001A4168" w:rsidP="00EE6AF7">
            <w:pPr>
              <w:autoSpaceDE w:val="0"/>
              <w:autoSpaceDN w:val="0"/>
              <w:adjustRightInd w:val="0"/>
              <w:spacing w:before="100" w:beforeAutospacing="1" w:after="100" w:afterAutospacing="1"/>
              <w:ind w:firstLine="720"/>
              <w:rPr>
                <w:rFonts w:eastAsia="Arial" w:cs="Arial"/>
                <w:lang w:eastAsia="es-ES"/>
              </w:rPr>
            </w:pPr>
            <w:r w:rsidRPr="00EE6AF7">
              <w:rPr>
                <w:rFonts w:eastAsia="Arial" w:cs="Arial"/>
                <w:lang w:eastAsia="es-ES"/>
              </w:rPr>
              <w:t>Aquella destinada a financiar las intervenciones que atienden a grupos de población, en los cuales la población rural representa una fracción importante, y que tienen elementos que atienden a estos últimos.</w:t>
            </w:r>
          </w:p>
        </w:tc>
      </w:tr>
    </w:tbl>
    <w:p w:rsidR="001A4168" w:rsidRPr="004F4F24" w:rsidRDefault="001A4168" w:rsidP="001A4168">
      <w:pPr>
        <w:spacing w:before="100" w:beforeAutospacing="1" w:after="100" w:afterAutospacing="1"/>
        <w:jc w:val="center"/>
        <w:rPr>
          <w:rFonts w:eastAsia="Arial" w:cs="Arial"/>
          <w:sz w:val="22"/>
          <w:szCs w:val="22"/>
        </w:rPr>
      </w:pPr>
      <w:r w:rsidRPr="004F4F24">
        <w:rPr>
          <w:rFonts w:eastAsia="Arial" w:cs="Arial"/>
        </w:rPr>
        <w:t>Fuente:</w:t>
      </w:r>
      <w:r w:rsidR="42CD4BB5" w:rsidRPr="42CD4BB5">
        <w:rPr>
          <w:rFonts w:eastAsia="Arial" w:cs="Arial"/>
        </w:rPr>
        <w:t xml:space="preserve"> </w:t>
      </w:r>
      <w:r w:rsidRPr="004F4F24">
        <w:rPr>
          <w:rFonts w:eastAsia="Arial" w:cs="Arial"/>
        </w:rPr>
        <w:t>Elaboración propia basada en Inversión Publicada en la Infancia y la Adolescencia en México (Unicef, 2011)</w:t>
      </w:r>
    </w:p>
    <w:p w:rsidR="001A4168" w:rsidRPr="004F4F24" w:rsidRDefault="001A4168" w:rsidP="001A4168">
      <w:pPr>
        <w:pStyle w:val="Prrafodelista"/>
        <w:numPr>
          <w:ilvl w:val="0"/>
          <w:numId w:val="49"/>
        </w:numPr>
        <w:spacing w:before="100" w:beforeAutospacing="1" w:after="100" w:afterAutospacing="1" w:line="259" w:lineRule="auto"/>
        <w:rPr>
          <w:rFonts w:ascii="Arial" w:hAnsi="Arial" w:cs="Arial"/>
          <w:b/>
          <w:i/>
          <w:szCs w:val="24"/>
        </w:rPr>
      </w:pPr>
      <w:r w:rsidRPr="004F4F24">
        <w:rPr>
          <w:rFonts w:ascii="Arial" w:hAnsi="Arial" w:cs="Arial"/>
          <w:b/>
          <w:i/>
          <w:szCs w:val="24"/>
        </w:rPr>
        <w:t>Análisis de Programas Presupuestarios (PP)</w:t>
      </w:r>
      <w:r w:rsidRPr="004F4F24">
        <w:rPr>
          <w:szCs w:val="24"/>
          <w:vertAlign w:val="superscript"/>
        </w:rPr>
        <w:footnoteReference w:id="23"/>
      </w:r>
    </w:p>
    <w:p w:rsidR="001A4168" w:rsidRPr="00EE6AF7" w:rsidRDefault="001A4168" w:rsidP="001A4168">
      <w:pPr>
        <w:spacing w:before="100" w:beforeAutospacing="1" w:after="100" w:afterAutospacing="1"/>
        <w:rPr>
          <w:rFonts w:cs="Arial"/>
          <w:color w:val="000000"/>
        </w:rPr>
      </w:pPr>
      <w:r w:rsidRPr="00EE6AF7">
        <w:rPr>
          <w:rFonts w:cs="Arial"/>
          <w:color w:val="000000"/>
        </w:rPr>
        <w:t>Para conocer cuál es la contribución de cada programa presupuestario en el desarrollo rural sustentable, se identifican los programas presupuestarios en los que se encontraron los programas, actividades institucionales, obras y acciones orientadas a atender las necesidades de la población objeto de este anexo (pasos 1,2 y 3 de esta metodología).</w:t>
      </w:r>
    </w:p>
    <w:p w:rsidR="001A4168" w:rsidRPr="00EE6AF7" w:rsidRDefault="001A4168" w:rsidP="001A4168">
      <w:pPr>
        <w:spacing w:before="100" w:beforeAutospacing="1" w:after="100" w:afterAutospacing="1"/>
        <w:rPr>
          <w:rFonts w:cs="Arial"/>
          <w:color w:val="000000"/>
        </w:rPr>
      </w:pPr>
      <w:r w:rsidRPr="00EE6AF7">
        <w:rPr>
          <w:rFonts w:cs="Arial"/>
          <w:color w:val="000000"/>
        </w:rPr>
        <w:t>El importe presentado en el anexo podrá ser la totalidad o una parte de los recursos del programa presupuestario, lo anterior dependerá de las intervenciones identificadas en el medio rural.</w:t>
      </w:r>
    </w:p>
    <w:p w:rsidR="001A4168" w:rsidRPr="004F4F24" w:rsidRDefault="001A4168" w:rsidP="001A4168">
      <w:pPr>
        <w:pStyle w:val="Prrafodelista"/>
        <w:numPr>
          <w:ilvl w:val="0"/>
          <w:numId w:val="49"/>
        </w:numPr>
        <w:spacing w:before="100" w:beforeAutospacing="1" w:after="100" w:afterAutospacing="1" w:line="240" w:lineRule="auto"/>
        <w:ind w:left="714" w:hanging="357"/>
        <w:rPr>
          <w:rFonts w:ascii="Arial" w:hAnsi="Arial" w:cs="Arial"/>
          <w:b/>
          <w:i/>
          <w:szCs w:val="24"/>
        </w:rPr>
      </w:pPr>
      <w:r w:rsidRPr="004F4F24">
        <w:rPr>
          <w:rFonts w:ascii="Arial" w:hAnsi="Arial" w:cs="Arial"/>
          <w:b/>
          <w:i/>
          <w:szCs w:val="24"/>
        </w:rPr>
        <w:t>Análisis de Objetivos de Desarrollo Sostenible (ODS)</w:t>
      </w:r>
      <w:r w:rsidRPr="004F4F24">
        <w:rPr>
          <w:rFonts w:ascii="Arial" w:hAnsi="Arial" w:cs="Arial"/>
          <w:b/>
          <w:i/>
          <w:vertAlign w:val="superscript"/>
        </w:rPr>
        <w:footnoteReference w:id="24"/>
      </w:r>
    </w:p>
    <w:p w:rsidR="001A4168" w:rsidRPr="004F4F24" w:rsidRDefault="001A4168" w:rsidP="001A4168">
      <w:pPr>
        <w:spacing w:before="100" w:beforeAutospacing="1" w:after="100" w:afterAutospacing="1"/>
        <w:rPr>
          <w:rFonts w:eastAsia="Arial" w:cs="Arial"/>
        </w:rPr>
      </w:pPr>
      <w:r w:rsidRPr="004F4F24">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4F4F24">
        <w:rPr>
          <w:rStyle w:val="Refdenotaalpie"/>
          <w:rFonts w:cs="Arial"/>
        </w:rPr>
        <w:footnoteReference w:id="25"/>
      </w:r>
      <w:r w:rsidRPr="004F4F24">
        <w:rPr>
          <w:rFonts w:eastAsia="Arial" w:cs="Arial"/>
        </w:rPr>
        <w:t>.</w:t>
      </w:r>
    </w:p>
    <w:p w:rsidR="001A4168" w:rsidRPr="003359BE" w:rsidRDefault="001A4168" w:rsidP="001A4168">
      <w:pPr>
        <w:spacing w:before="100" w:beforeAutospacing="1" w:after="100" w:afterAutospacing="1"/>
        <w:rPr>
          <w:rFonts w:cs="Arial"/>
        </w:rPr>
      </w:pPr>
      <w:r w:rsidRPr="004F4F24">
        <w:rPr>
          <w:rFonts w:cs="Arial"/>
        </w:rPr>
        <w:t>Se analizaron las intervenciones del Anexo para identificar las asignaciones presupuestarias a los programas y acciones clasificados como inversión para el Desarrollo Rural Sustentable en el Estado que contribuyen al cumplimiento de las metas de los ODS. La inclusión de los ODS es fundamental al formar parte de los compromisos del Plan Estatal de Desarrollo 2018-2024.</w:t>
      </w:r>
    </w:p>
    <w:p w:rsidR="001A4168" w:rsidRPr="004F4F24" w:rsidRDefault="001A4168" w:rsidP="001A4168">
      <w:pPr>
        <w:spacing w:before="100" w:beforeAutospacing="1" w:after="100" w:afterAutospacing="1"/>
        <w:rPr>
          <w:rFonts w:eastAsia="Arial" w:cs="Arial"/>
          <w:color w:val="121D56"/>
          <w:sz w:val="22"/>
        </w:rPr>
      </w:pPr>
      <w:r w:rsidRPr="004F4F24">
        <w:rPr>
          <w:rFonts w:cs="Arial"/>
          <w:b/>
          <w:szCs w:val="28"/>
        </w:rPr>
        <w:t>Análisis de resultados</w:t>
      </w:r>
    </w:p>
    <w:p w:rsidR="001A4168" w:rsidRDefault="001A4168" w:rsidP="001A4168">
      <w:pPr>
        <w:autoSpaceDE w:val="0"/>
        <w:autoSpaceDN w:val="0"/>
        <w:adjustRightInd w:val="0"/>
        <w:spacing w:before="100" w:beforeAutospacing="1" w:after="100" w:afterAutospacing="1"/>
        <w:rPr>
          <w:rFonts w:eastAsia="Arial" w:cs="Arial"/>
          <w:b/>
          <w:bCs/>
          <w:w w:val="103"/>
        </w:rPr>
      </w:pPr>
      <w:r w:rsidRPr="004F4F24">
        <w:rPr>
          <w:rFonts w:eastAsia="Arial" w:cs="Arial"/>
        </w:rPr>
        <w:t>Para el Proyecto del Presupuesto de Egresos del 2022, el Gobierno del Estado destinará 3 mil 355 millones 342 mil 152 pesos en beneficio de la población rural, lo que representa un 7.29% del total del presupuesto estatal (Gráfica 1).</w:t>
      </w:r>
    </w:p>
    <w:p w:rsidR="001A4168" w:rsidRDefault="001A4168" w:rsidP="001A4168">
      <w:pPr>
        <w:spacing w:before="100" w:beforeAutospacing="1" w:after="100" w:afterAutospacing="1"/>
        <w:jc w:val="center"/>
        <w:rPr>
          <w:rFonts w:eastAsia="Arial" w:cs="Arial"/>
          <w:b/>
          <w:bCs/>
          <w:w w:val="103"/>
        </w:rPr>
      </w:pPr>
    </w:p>
    <w:p w:rsidR="001A4168" w:rsidRPr="0038710B" w:rsidRDefault="001A4168" w:rsidP="001A4168">
      <w:pPr>
        <w:spacing w:before="100" w:beforeAutospacing="1" w:after="100" w:afterAutospacing="1"/>
        <w:jc w:val="center"/>
        <w:rPr>
          <w:rFonts w:eastAsia="Arial" w:cs="Arial"/>
          <w:b/>
          <w:bCs/>
          <w:w w:val="103"/>
        </w:rPr>
      </w:pPr>
      <w:r w:rsidRPr="0038710B">
        <w:rPr>
          <w:rFonts w:eastAsia="Arial" w:cs="Arial"/>
          <w:b/>
          <w:bCs/>
          <w:w w:val="103"/>
        </w:rPr>
        <w:t>Gráfica 1. Inversión en Desarrollo Rural Sustentable</w:t>
      </w:r>
    </w:p>
    <w:p w:rsidR="001A4168" w:rsidRPr="00F464CD" w:rsidRDefault="008A5EAC" w:rsidP="001A4168">
      <w:pPr>
        <w:jc w:val="center"/>
        <w:rPr>
          <w:rFonts w:eastAsia="Arial" w:cs="Arial"/>
          <w:b/>
          <w:bCs/>
          <w:color w:val="002060"/>
          <w:w w:val="103"/>
        </w:rPr>
      </w:pPr>
      <w:r w:rsidRPr="00EE6AF7">
        <w:rPr>
          <w:noProof/>
          <w:shd w:val="clear" w:color="auto" w:fill="002060"/>
          <w:lang w:eastAsia="es-MX"/>
        </w:rPr>
        <w:drawing>
          <wp:inline distT="0" distB="0" distL="0" distR="0">
            <wp:extent cx="5915025" cy="4123690"/>
            <wp:effectExtent l="0" t="0" r="0" b="0"/>
            <wp:docPr id="15"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4168" w:rsidRPr="00B56E32" w:rsidRDefault="001A4168" w:rsidP="001A4168">
      <w:pPr>
        <w:spacing w:before="100" w:beforeAutospacing="1" w:after="100" w:afterAutospacing="1"/>
        <w:jc w:val="center"/>
        <w:rPr>
          <w:rFonts w:eastAsia="Arial" w:cs="Arial"/>
        </w:rPr>
      </w:pPr>
      <w:r w:rsidRPr="00B56E32">
        <w:rPr>
          <w:rFonts w:eastAsia="Arial" w:cs="Arial"/>
        </w:rPr>
        <w:t>Fuente: Elaboración propia</w:t>
      </w:r>
    </w:p>
    <w:p w:rsidR="001A4168" w:rsidRPr="004F4F24" w:rsidRDefault="001A4168" w:rsidP="001A4168">
      <w:pPr>
        <w:spacing w:before="100" w:beforeAutospacing="1" w:after="100" w:afterAutospacing="1"/>
        <w:rPr>
          <w:rFonts w:eastAsia="Arial" w:cs="Arial"/>
        </w:rPr>
      </w:pPr>
      <w:r>
        <w:rPr>
          <w:rFonts w:eastAsia="Arial" w:cs="Arial"/>
        </w:rPr>
        <w:t xml:space="preserve">En el </w:t>
      </w:r>
      <w:r w:rsidRPr="004F4F24">
        <w:rPr>
          <w:rFonts w:eastAsia="Arial" w:cs="Arial"/>
        </w:rPr>
        <w:t xml:space="preserve">análisis de la inversión </w:t>
      </w:r>
      <w:r>
        <w:rPr>
          <w:rFonts w:eastAsia="Arial" w:cs="Arial"/>
        </w:rPr>
        <w:t>de</w:t>
      </w:r>
      <w:r w:rsidRPr="004F4F24">
        <w:rPr>
          <w:rFonts w:eastAsia="Arial" w:cs="Arial"/>
        </w:rPr>
        <w:t xml:space="preserve"> </w:t>
      </w:r>
      <w:r>
        <w:rPr>
          <w:rFonts w:eastAsia="Arial" w:cs="Arial"/>
        </w:rPr>
        <w:t>acuerdo a las v</w:t>
      </w:r>
      <w:r w:rsidRPr="004F4F24">
        <w:rPr>
          <w:rFonts w:eastAsia="Arial" w:cs="Arial"/>
        </w:rPr>
        <w:t xml:space="preserve">ertientes para </w:t>
      </w:r>
      <w:r>
        <w:rPr>
          <w:rFonts w:eastAsia="Arial" w:cs="Arial"/>
        </w:rPr>
        <w:t>el Desarrollo Rural Sustentable, se distingue que</w:t>
      </w:r>
      <w:r w:rsidRPr="004F4F24">
        <w:rPr>
          <w:rFonts w:eastAsia="Arial" w:cs="Arial"/>
        </w:rPr>
        <w:t xml:space="preserve"> 38.65% está destinada a la vertiente Social y 34.70% destinad</w:t>
      </w:r>
      <w:r>
        <w:rPr>
          <w:rFonts w:eastAsia="Arial" w:cs="Arial"/>
        </w:rPr>
        <w:t>a</w:t>
      </w:r>
      <w:r w:rsidRPr="004F4F24">
        <w:rPr>
          <w:rFonts w:eastAsia="Arial" w:cs="Arial"/>
        </w:rPr>
        <w:t xml:space="preserve"> a la vertiente Educativa (Ver Gráfica 2).</w:t>
      </w:r>
    </w:p>
    <w:p w:rsidR="001A4168" w:rsidRPr="004F4F24" w:rsidRDefault="001A4168" w:rsidP="001A4168">
      <w:pPr>
        <w:rPr>
          <w:rFonts w:eastAsia="Arial" w:cs="Arial"/>
          <w:b/>
          <w:bCs/>
          <w:w w:val="103"/>
        </w:rPr>
      </w:pPr>
    </w:p>
    <w:p w:rsidR="001A4168" w:rsidRPr="004F4F24" w:rsidRDefault="001A4168" w:rsidP="001A4168">
      <w:pPr>
        <w:jc w:val="center"/>
        <w:rPr>
          <w:rFonts w:eastAsia="Arial" w:cs="Arial"/>
          <w:b/>
          <w:bCs/>
          <w:w w:val="103"/>
        </w:rPr>
      </w:pPr>
    </w:p>
    <w:p w:rsidR="001A4168" w:rsidRPr="0038710B" w:rsidRDefault="001A4168" w:rsidP="001A4168">
      <w:pPr>
        <w:jc w:val="center"/>
        <w:rPr>
          <w:rFonts w:eastAsia="Arial" w:cs="Arial"/>
          <w:b/>
          <w:bCs/>
          <w:color w:val="121D56"/>
          <w:w w:val="103"/>
        </w:rPr>
      </w:pPr>
      <w:r w:rsidRPr="004F4F24">
        <w:rPr>
          <w:rFonts w:eastAsia="Arial" w:cs="Arial"/>
          <w:b/>
          <w:bCs/>
          <w:w w:val="103"/>
        </w:rPr>
        <w:t>Gráfica 2. Inversión en Desarrollo Rural Sustentable por Vertiente</w:t>
      </w:r>
      <w:r w:rsidRPr="0038710B">
        <w:rPr>
          <w:rFonts w:eastAsia="Arial" w:cs="Arial"/>
          <w:b/>
          <w:bCs/>
          <w:w w:val="103"/>
          <w:highlight w:val="yellow"/>
        </w:rPr>
        <w:br/>
      </w:r>
    </w:p>
    <w:p w:rsidR="001A4168" w:rsidRDefault="008A5EAC" w:rsidP="001A4168">
      <w:pPr>
        <w:jc w:val="center"/>
        <w:rPr>
          <w:rFonts w:eastAsia="Arial" w:cs="Arial"/>
          <w:sz w:val="22"/>
        </w:rPr>
      </w:pPr>
      <w:r w:rsidRPr="00CF51C3">
        <w:rPr>
          <w:noProof/>
          <w:lang w:eastAsia="es-MX"/>
        </w:rPr>
        <w:drawing>
          <wp:inline distT="0" distB="0" distL="0" distR="0">
            <wp:extent cx="6931660" cy="2705100"/>
            <wp:effectExtent l="0" t="0" r="0" b="0"/>
            <wp:docPr id="16"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4168" w:rsidRPr="00F464CD" w:rsidRDefault="001A4168" w:rsidP="001A4168">
      <w:pPr>
        <w:spacing w:before="100" w:beforeAutospacing="1" w:after="100" w:afterAutospacing="1"/>
        <w:jc w:val="center"/>
        <w:rPr>
          <w:rFonts w:eastAsia="Arial" w:cs="Arial"/>
          <w:b/>
          <w:bCs/>
          <w:w w:val="103"/>
          <w:sz w:val="28"/>
        </w:rPr>
      </w:pPr>
      <w:r w:rsidRPr="00B56E32">
        <w:rPr>
          <w:rFonts w:eastAsia="Arial" w:cs="Arial"/>
        </w:rPr>
        <w:t>Fuente: Elaboración propia.</w:t>
      </w:r>
    </w:p>
    <w:p w:rsidR="001A4168" w:rsidRDefault="001A4168" w:rsidP="001A4168">
      <w:pPr>
        <w:autoSpaceDE w:val="0"/>
        <w:autoSpaceDN w:val="0"/>
        <w:adjustRightInd w:val="0"/>
        <w:spacing w:before="100" w:beforeAutospacing="1" w:after="100" w:afterAutospacing="1"/>
        <w:rPr>
          <w:rFonts w:eastAsia="Arial" w:cs="Arial"/>
        </w:rPr>
      </w:pPr>
      <w:r>
        <w:rPr>
          <w:rFonts w:eastAsia="Arial" w:cs="Arial"/>
        </w:rPr>
        <w:t>L</w:t>
      </w:r>
      <w:r w:rsidRPr="004F4F24">
        <w:rPr>
          <w:rFonts w:eastAsia="Arial" w:cs="Arial"/>
        </w:rPr>
        <w:t>a especificidad de la inversión permite conocer el grado</w:t>
      </w:r>
      <w:r>
        <w:rPr>
          <w:rFonts w:eastAsia="Arial" w:cs="Arial"/>
        </w:rPr>
        <w:t xml:space="preserve"> de focalización de la inversión, e</w:t>
      </w:r>
      <w:r w:rsidRPr="004F4F24">
        <w:rPr>
          <w:rFonts w:eastAsia="Arial" w:cs="Arial"/>
        </w:rPr>
        <w:t>n este sentido, se observa</w:t>
      </w:r>
      <w:r>
        <w:rPr>
          <w:rFonts w:eastAsia="Arial" w:cs="Arial"/>
        </w:rPr>
        <w:t xml:space="preserve"> que</w:t>
      </w:r>
      <w:r w:rsidRPr="004F4F24">
        <w:rPr>
          <w:rFonts w:eastAsia="Arial" w:cs="Arial"/>
        </w:rPr>
        <w:t xml:space="preserve"> 69.90% se destina a inversión específica o directa; en segundo </w:t>
      </w:r>
      <w:r>
        <w:rPr>
          <w:rFonts w:eastAsia="Arial" w:cs="Arial"/>
        </w:rPr>
        <w:t>término</w:t>
      </w:r>
      <w:r w:rsidRPr="004F4F24">
        <w:rPr>
          <w:rFonts w:eastAsia="Arial" w:cs="Arial"/>
        </w:rPr>
        <w:t xml:space="preserve"> se encuentra la inversión ampliada con un 26.50%, seguido de inversión en bienes públicos con 3.60% (Tabla 3).</w:t>
      </w:r>
    </w:p>
    <w:p w:rsidR="001A4168" w:rsidRPr="00F464CD" w:rsidRDefault="001A4168" w:rsidP="001A4168">
      <w:pPr>
        <w:autoSpaceDE w:val="0"/>
        <w:autoSpaceDN w:val="0"/>
        <w:adjustRightInd w:val="0"/>
        <w:spacing w:before="100" w:beforeAutospacing="1" w:after="100" w:afterAutospacing="1"/>
        <w:rPr>
          <w:rFonts w:eastAsia="Arial" w:cs="Arial"/>
        </w:rPr>
      </w:pPr>
    </w:p>
    <w:p w:rsidR="001A4168" w:rsidRPr="0038710B" w:rsidRDefault="001A4168" w:rsidP="001A4168">
      <w:pPr>
        <w:spacing w:before="100" w:beforeAutospacing="1" w:after="100" w:afterAutospacing="1"/>
        <w:jc w:val="center"/>
        <w:rPr>
          <w:rFonts w:eastAsia="Arial" w:cs="Arial"/>
          <w:b/>
        </w:rPr>
      </w:pPr>
      <w:r w:rsidRPr="0038710B">
        <w:rPr>
          <w:rFonts w:eastAsia="Arial" w:cs="Arial"/>
          <w:b/>
        </w:rPr>
        <w:t>Tabla 3. Especificidad de la inversión en Desarrollo Rural Sustentable</w:t>
      </w:r>
    </w:p>
    <w:tbl>
      <w:tblPr>
        <w:tblW w:w="6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1900"/>
        <w:gridCol w:w="1368"/>
      </w:tblGrid>
      <w:tr w:rsidR="001A4168" w:rsidRPr="00EE6AF7" w:rsidTr="003359BE">
        <w:trPr>
          <w:trHeight w:val="624"/>
          <w:jc w:val="center"/>
        </w:trPr>
        <w:tc>
          <w:tcPr>
            <w:tcW w:w="3685" w:type="dxa"/>
            <w:shd w:val="clear" w:color="auto" w:fill="4B4B4B"/>
            <w:noWrap/>
            <w:vAlign w:val="center"/>
            <w:hideMark/>
          </w:tcPr>
          <w:p w:rsidR="001A4168" w:rsidRPr="00EE6AF7" w:rsidRDefault="001A4168" w:rsidP="0056150B">
            <w:pPr>
              <w:spacing w:before="100" w:beforeAutospacing="1" w:after="100" w:afterAutospacing="1"/>
              <w:rPr>
                <w:rFonts w:eastAsia="Times New Roman" w:cs="Arial"/>
                <w:b/>
                <w:bCs/>
                <w:color w:val="FFFFFF"/>
                <w:lang w:eastAsia="es-MX"/>
              </w:rPr>
            </w:pPr>
            <w:r w:rsidRPr="00EE6AF7">
              <w:rPr>
                <w:rFonts w:eastAsia="Times New Roman" w:cs="Arial"/>
                <w:b/>
                <w:bCs/>
                <w:color w:val="FFFFFF"/>
                <w:lang w:eastAsia="es-MX"/>
              </w:rPr>
              <w:t>Especificidad de la inversión en Desarrollo rural sustentable</w:t>
            </w:r>
          </w:p>
        </w:tc>
        <w:tc>
          <w:tcPr>
            <w:tcW w:w="1900" w:type="dxa"/>
            <w:shd w:val="clear" w:color="auto" w:fill="4B4B4B"/>
            <w:noWrap/>
            <w:vAlign w:val="center"/>
            <w:hideMark/>
          </w:tcPr>
          <w:p w:rsidR="001A4168" w:rsidRPr="00EE6AF7" w:rsidRDefault="001A4168" w:rsidP="0056150B">
            <w:pPr>
              <w:spacing w:before="100" w:beforeAutospacing="1" w:after="100" w:afterAutospacing="1"/>
              <w:jc w:val="center"/>
              <w:rPr>
                <w:rFonts w:eastAsia="Times New Roman" w:cs="Arial"/>
                <w:b/>
                <w:bCs/>
                <w:color w:val="FFFFFF"/>
                <w:lang w:eastAsia="es-MX"/>
              </w:rPr>
            </w:pPr>
            <w:r w:rsidRPr="00EE6AF7">
              <w:rPr>
                <w:rFonts w:eastAsia="Times New Roman" w:cs="Arial"/>
                <w:b/>
                <w:bCs/>
                <w:color w:val="FFFFFF"/>
                <w:lang w:eastAsia="es-MX"/>
              </w:rPr>
              <w:t>Inversión (Pesos)</w:t>
            </w:r>
          </w:p>
        </w:tc>
        <w:tc>
          <w:tcPr>
            <w:tcW w:w="1368" w:type="dxa"/>
            <w:shd w:val="clear" w:color="auto" w:fill="4B4B4B"/>
            <w:noWrap/>
            <w:vAlign w:val="center"/>
            <w:hideMark/>
          </w:tcPr>
          <w:p w:rsidR="001A4168" w:rsidRPr="00EE6AF7" w:rsidRDefault="001A4168" w:rsidP="0056150B">
            <w:pPr>
              <w:spacing w:before="100" w:beforeAutospacing="1" w:after="100" w:afterAutospacing="1"/>
              <w:jc w:val="center"/>
              <w:rPr>
                <w:rFonts w:eastAsia="Times New Roman" w:cs="Arial"/>
                <w:b/>
                <w:color w:val="FFFFFF"/>
                <w:lang w:eastAsia="es-MX"/>
              </w:rPr>
            </w:pPr>
            <w:r w:rsidRPr="00EE6AF7">
              <w:rPr>
                <w:rFonts w:eastAsia="Times New Roman" w:cs="Arial"/>
                <w:b/>
                <w:color w:val="FFFFFF"/>
                <w:lang w:eastAsia="es-MX"/>
              </w:rPr>
              <w:t>Porcentaje</w:t>
            </w:r>
          </w:p>
        </w:tc>
      </w:tr>
      <w:tr w:rsidR="001A4168" w:rsidRPr="00EE6AF7" w:rsidTr="0056150B">
        <w:trPr>
          <w:trHeight w:val="315"/>
          <w:jc w:val="center"/>
        </w:trPr>
        <w:tc>
          <w:tcPr>
            <w:tcW w:w="3685" w:type="dxa"/>
            <w:shd w:val="clear" w:color="auto" w:fill="auto"/>
            <w:noWrap/>
            <w:vAlign w:val="bottom"/>
            <w:hideMark/>
          </w:tcPr>
          <w:p w:rsidR="001A4168" w:rsidRPr="0038710B" w:rsidRDefault="001A4168" w:rsidP="0056150B">
            <w:pPr>
              <w:spacing w:before="100" w:beforeAutospacing="1" w:after="100" w:afterAutospacing="1"/>
              <w:rPr>
                <w:rFonts w:eastAsia="Times New Roman" w:cs="Arial"/>
                <w:lang w:eastAsia="es-MX"/>
              </w:rPr>
            </w:pPr>
            <w:r w:rsidRPr="0038710B">
              <w:rPr>
                <w:rFonts w:eastAsia="Times New Roman" w:cs="Arial"/>
                <w:lang w:eastAsia="es-MX"/>
              </w:rPr>
              <w:t>Específica o Directa</w:t>
            </w:r>
          </w:p>
        </w:tc>
        <w:tc>
          <w:tcPr>
            <w:tcW w:w="1900" w:type="dxa"/>
            <w:shd w:val="clear" w:color="auto" w:fill="auto"/>
            <w:noWrap/>
            <w:vAlign w:val="center"/>
            <w:hideMark/>
          </w:tcPr>
          <w:p w:rsidR="001A4168" w:rsidRPr="0038710B" w:rsidRDefault="001A4168" w:rsidP="0056150B">
            <w:pPr>
              <w:spacing w:before="100" w:beforeAutospacing="1" w:after="100" w:afterAutospacing="1"/>
              <w:jc w:val="center"/>
              <w:rPr>
                <w:rFonts w:eastAsia="Times New Roman" w:cs="Arial"/>
                <w:lang w:eastAsia="es-MX"/>
              </w:rPr>
            </w:pPr>
            <w:r>
              <w:rPr>
                <w:rFonts w:eastAsia="Times New Roman" w:cs="Arial"/>
                <w:lang w:eastAsia="es-MX"/>
              </w:rPr>
              <w:t>2,345,5</w:t>
            </w:r>
            <w:r w:rsidRPr="0038710B">
              <w:rPr>
                <w:rFonts w:eastAsia="Times New Roman" w:cs="Arial"/>
                <w:lang w:eastAsia="es-MX"/>
              </w:rPr>
              <w:t>05,461</w:t>
            </w:r>
          </w:p>
        </w:tc>
        <w:tc>
          <w:tcPr>
            <w:tcW w:w="1368" w:type="dxa"/>
            <w:shd w:val="clear" w:color="auto" w:fill="auto"/>
            <w:noWrap/>
            <w:vAlign w:val="bottom"/>
            <w:hideMark/>
          </w:tcPr>
          <w:p w:rsidR="001A4168" w:rsidRPr="0038710B" w:rsidRDefault="001A4168" w:rsidP="0056150B">
            <w:pPr>
              <w:spacing w:before="100" w:beforeAutospacing="1" w:after="100" w:afterAutospacing="1"/>
              <w:jc w:val="right"/>
              <w:rPr>
                <w:rFonts w:eastAsia="Times New Roman" w:cs="Arial"/>
                <w:lang w:eastAsia="es-MX"/>
              </w:rPr>
            </w:pPr>
            <w:r>
              <w:rPr>
                <w:rFonts w:eastAsia="Times New Roman" w:cs="Arial"/>
                <w:lang w:eastAsia="es-MX"/>
              </w:rPr>
              <w:t>69.90</w:t>
            </w:r>
            <w:r w:rsidRPr="0038710B">
              <w:rPr>
                <w:rFonts w:eastAsia="Times New Roman" w:cs="Arial"/>
                <w:lang w:eastAsia="es-MX"/>
              </w:rPr>
              <w:t>%</w:t>
            </w:r>
          </w:p>
        </w:tc>
      </w:tr>
      <w:tr w:rsidR="001A4168" w:rsidRPr="00EE6AF7" w:rsidTr="0056150B">
        <w:trPr>
          <w:trHeight w:val="315"/>
          <w:jc w:val="center"/>
        </w:trPr>
        <w:tc>
          <w:tcPr>
            <w:tcW w:w="3685" w:type="dxa"/>
            <w:shd w:val="clear" w:color="auto" w:fill="auto"/>
            <w:noWrap/>
            <w:vAlign w:val="bottom"/>
            <w:hideMark/>
          </w:tcPr>
          <w:p w:rsidR="001A4168" w:rsidRPr="0038710B" w:rsidRDefault="001A4168" w:rsidP="0056150B">
            <w:pPr>
              <w:spacing w:before="100" w:beforeAutospacing="1" w:after="100" w:afterAutospacing="1"/>
              <w:rPr>
                <w:rFonts w:eastAsia="Times New Roman" w:cs="Arial"/>
                <w:lang w:eastAsia="es-MX"/>
              </w:rPr>
            </w:pPr>
            <w:r w:rsidRPr="0038710B">
              <w:rPr>
                <w:rFonts w:eastAsia="Times New Roman" w:cs="Arial"/>
                <w:lang w:eastAsia="es-MX"/>
              </w:rPr>
              <w:t>Bienes Públicos</w:t>
            </w:r>
          </w:p>
        </w:tc>
        <w:tc>
          <w:tcPr>
            <w:tcW w:w="1900" w:type="dxa"/>
            <w:shd w:val="clear" w:color="auto" w:fill="auto"/>
            <w:noWrap/>
            <w:vAlign w:val="center"/>
            <w:hideMark/>
          </w:tcPr>
          <w:p w:rsidR="001A4168" w:rsidRPr="0038710B" w:rsidRDefault="001A4168" w:rsidP="0056150B">
            <w:pPr>
              <w:spacing w:before="100" w:beforeAutospacing="1" w:after="100" w:afterAutospacing="1"/>
              <w:jc w:val="center"/>
              <w:rPr>
                <w:rFonts w:eastAsia="Times New Roman" w:cs="Arial"/>
                <w:lang w:eastAsia="es-MX"/>
              </w:rPr>
            </w:pPr>
            <w:r w:rsidRPr="0038710B">
              <w:rPr>
                <w:rFonts w:eastAsia="Times New Roman" w:cs="Arial"/>
                <w:lang w:eastAsia="es-MX"/>
              </w:rPr>
              <w:t>120,651,605</w:t>
            </w:r>
          </w:p>
        </w:tc>
        <w:tc>
          <w:tcPr>
            <w:tcW w:w="1368" w:type="dxa"/>
            <w:shd w:val="clear" w:color="auto" w:fill="auto"/>
            <w:noWrap/>
            <w:vAlign w:val="bottom"/>
            <w:hideMark/>
          </w:tcPr>
          <w:p w:rsidR="001A4168" w:rsidRPr="0038710B" w:rsidRDefault="001A4168" w:rsidP="0056150B">
            <w:pPr>
              <w:spacing w:before="100" w:beforeAutospacing="1" w:after="100" w:afterAutospacing="1"/>
              <w:jc w:val="right"/>
              <w:rPr>
                <w:rFonts w:eastAsia="Times New Roman" w:cs="Arial"/>
                <w:lang w:eastAsia="es-MX"/>
              </w:rPr>
            </w:pPr>
            <w:r>
              <w:rPr>
                <w:rFonts w:eastAsia="Times New Roman" w:cs="Arial"/>
                <w:lang w:eastAsia="es-MX"/>
              </w:rPr>
              <w:t>3.60</w:t>
            </w:r>
            <w:r w:rsidRPr="0038710B">
              <w:rPr>
                <w:rFonts w:eastAsia="Times New Roman" w:cs="Arial"/>
                <w:lang w:eastAsia="es-MX"/>
              </w:rPr>
              <w:t>%</w:t>
            </w:r>
          </w:p>
        </w:tc>
      </w:tr>
      <w:tr w:rsidR="001A4168" w:rsidRPr="00EE6AF7" w:rsidTr="0056150B">
        <w:trPr>
          <w:trHeight w:val="315"/>
          <w:jc w:val="center"/>
        </w:trPr>
        <w:tc>
          <w:tcPr>
            <w:tcW w:w="3685" w:type="dxa"/>
            <w:shd w:val="clear" w:color="auto" w:fill="auto"/>
            <w:noWrap/>
            <w:vAlign w:val="bottom"/>
            <w:hideMark/>
          </w:tcPr>
          <w:p w:rsidR="001A4168" w:rsidRPr="0038710B" w:rsidRDefault="001A4168" w:rsidP="0056150B">
            <w:pPr>
              <w:spacing w:before="100" w:beforeAutospacing="1" w:after="100" w:afterAutospacing="1"/>
              <w:rPr>
                <w:rFonts w:eastAsia="Times New Roman" w:cs="Arial"/>
                <w:lang w:eastAsia="es-MX"/>
              </w:rPr>
            </w:pPr>
            <w:r w:rsidRPr="0038710B">
              <w:rPr>
                <w:rFonts w:eastAsia="Times New Roman" w:cs="Arial"/>
                <w:lang w:eastAsia="es-MX"/>
              </w:rPr>
              <w:t>Ampliada</w:t>
            </w:r>
          </w:p>
        </w:tc>
        <w:tc>
          <w:tcPr>
            <w:tcW w:w="1900" w:type="dxa"/>
            <w:shd w:val="clear" w:color="auto" w:fill="auto"/>
            <w:noWrap/>
            <w:vAlign w:val="center"/>
            <w:hideMark/>
          </w:tcPr>
          <w:p w:rsidR="001A4168" w:rsidRPr="0038710B" w:rsidRDefault="001A4168" w:rsidP="0056150B">
            <w:pPr>
              <w:spacing w:before="100" w:beforeAutospacing="1" w:after="100" w:afterAutospacing="1"/>
              <w:jc w:val="center"/>
              <w:rPr>
                <w:rFonts w:eastAsia="Times New Roman" w:cs="Arial"/>
                <w:lang w:eastAsia="es-MX"/>
              </w:rPr>
            </w:pPr>
            <w:r>
              <w:rPr>
                <w:rFonts w:eastAsia="Times New Roman" w:cs="Arial"/>
                <w:lang w:eastAsia="es-MX"/>
              </w:rPr>
              <w:t>889,185,086</w:t>
            </w:r>
          </w:p>
        </w:tc>
        <w:tc>
          <w:tcPr>
            <w:tcW w:w="1368" w:type="dxa"/>
            <w:shd w:val="clear" w:color="auto" w:fill="auto"/>
            <w:noWrap/>
            <w:vAlign w:val="bottom"/>
            <w:hideMark/>
          </w:tcPr>
          <w:p w:rsidR="001A4168" w:rsidRPr="0038710B" w:rsidRDefault="001A4168" w:rsidP="0056150B">
            <w:pPr>
              <w:spacing w:before="100" w:beforeAutospacing="1" w:after="100" w:afterAutospacing="1"/>
              <w:jc w:val="right"/>
              <w:rPr>
                <w:rFonts w:eastAsia="Times New Roman" w:cs="Arial"/>
                <w:lang w:eastAsia="es-MX"/>
              </w:rPr>
            </w:pPr>
            <w:r w:rsidRPr="0038710B">
              <w:rPr>
                <w:rFonts w:eastAsia="Times New Roman" w:cs="Arial"/>
                <w:lang w:eastAsia="es-MX"/>
              </w:rPr>
              <w:t>26</w:t>
            </w:r>
            <w:r>
              <w:rPr>
                <w:rFonts w:eastAsia="Times New Roman" w:cs="Arial"/>
                <w:lang w:eastAsia="es-MX"/>
              </w:rPr>
              <w:t>.50</w:t>
            </w:r>
            <w:r w:rsidRPr="0038710B">
              <w:rPr>
                <w:rFonts w:eastAsia="Times New Roman" w:cs="Arial"/>
                <w:lang w:eastAsia="es-MX"/>
              </w:rPr>
              <w:t>%</w:t>
            </w:r>
          </w:p>
        </w:tc>
      </w:tr>
      <w:tr w:rsidR="001A4168" w:rsidRPr="00EE6AF7" w:rsidTr="003359BE">
        <w:trPr>
          <w:trHeight w:val="397"/>
          <w:jc w:val="center"/>
        </w:trPr>
        <w:tc>
          <w:tcPr>
            <w:tcW w:w="3685" w:type="dxa"/>
            <w:shd w:val="clear" w:color="auto" w:fill="4B4B4B"/>
            <w:noWrap/>
            <w:vAlign w:val="center"/>
            <w:hideMark/>
          </w:tcPr>
          <w:p w:rsidR="001A4168" w:rsidRPr="00EE6AF7" w:rsidRDefault="001A4168" w:rsidP="0056150B">
            <w:pPr>
              <w:spacing w:before="100" w:beforeAutospacing="1" w:after="100" w:afterAutospacing="1"/>
              <w:jc w:val="center"/>
              <w:rPr>
                <w:rFonts w:eastAsia="Times New Roman" w:cs="Arial"/>
                <w:b/>
                <w:bCs/>
                <w:color w:val="FFFFFF"/>
                <w:lang w:eastAsia="es-MX"/>
              </w:rPr>
            </w:pPr>
            <w:r w:rsidRPr="00EE6AF7">
              <w:rPr>
                <w:rFonts w:eastAsia="Times New Roman" w:cs="Arial"/>
                <w:b/>
                <w:bCs/>
                <w:color w:val="FFFFFF"/>
                <w:lang w:eastAsia="es-MX"/>
              </w:rPr>
              <w:t xml:space="preserve">                                 Total</w:t>
            </w:r>
          </w:p>
        </w:tc>
        <w:tc>
          <w:tcPr>
            <w:tcW w:w="1900" w:type="dxa"/>
            <w:shd w:val="clear" w:color="auto" w:fill="4B4B4B"/>
            <w:noWrap/>
            <w:vAlign w:val="center"/>
            <w:hideMark/>
          </w:tcPr>
          <w:p w:rsidR="001A4168" w:rsidRPr="00EE6AF7" w:rsidRDefault="001A4168" w:rsidP="0056150B">
            <w:pPr>
              <w:spacing w:before="100" w:beforeAutospacing="1" w:after="100" w:afterAutospacing="1"/>
              <w:jc w:val="center"/>
              <w:rPr>
                <w:rFonts w:eastAsia="Times New Roman" w:cs="Arial"/>
                <w:b/>
                <w:bCs/>
                <w:color w:val="FFFFFF"/>
                <w:lang w:eastAsia="es-MX"/>
              </w:rPr>
            </w:pPr>
            <w:r w:rsidRPr="00EE6AF7">
              <w:rPr>
                <w:rFonts w:eastAsia="Times New Roman" w:cs="Arial"/>
                <w:b/>
                <w:bCs/>
                <w:color w:val="FFFFFF"/>
                <w:lang w:eastAsia="es-MX"/>
              </w:rPr>
              <w:t>3,355,342,152</w:t>
            </w:r>
          </w:p>
        </w:tc>
        <w:tc>
          <w:tcPr>
            <w:tcW w:w="1368" w:type="dxa"/>
            <w:shd w:val="clear" w:color="auto" w:fill="4B4B4B"/>
            <w:noWrap/>
            <w:vAlign w:val="center"/>
            <w:hideMark/>
          </w:tcPr>
          <w:p w:rsidR="001A4168" w:rsidRPr="00EE6AF7" w:rsidRDefault="001A4168" w:rsidP="0056150B">
            <w:pPr>
              <w:spacing w:before="100" w:beforeAutospacing="1" w:after="100" w:afterAutospacing="1"/>
              <w:jc w:val="right"/>
              <w:rPr>
                <w:rFonts w:eastAsia="Times New Roman" w:cs="Arial"/>
                <w:b/>
                <w:bCs/>
                <w:color w:val="FFFFFF"/>
                <w:lang w:eastAsia="es-MX"/>
              </w:rPr>
            </w:pPr>
            <w:r w:rsidRPr="00EE6AF7">
              <w:rPr>
                <w:rFonts w:eastAsia="Times New Roman" w:cs="Arial"/>
                <w:b/>
                <w:bCs/>
                <w:color w:val="FFFFFF"/>
                <w:lang w:eastAsia="es-MX"/>
              </w:rPr>
              <w:t>100%</w:t>
            </w:r>
          </w:p>
        </w:tc>
      </w:tr>
    </w:tbl>
    <w:p w:rsidR="001A4168" w:rsidRPr="004F4F24" w:rsidRDefault="001A4168" w:rsidP="001A4168">
      <w:pPr>
        <w:spacing w:before="100" w:beforeAutospacing="1" w:after="100" w:afterAutospacing="1"/>
        <w:jc w:val="center"/>
        <w:rPr>
          <w:rFonts w:eastAsia="Arial" w:cs="Arial"/>
        </w:rPr>
      </w:pPr>
      <w:r w:rsidRPr="004F4F24">
        <w:rPr>
          <w:rFonts w:eastAsia="Arial" w:cs="Arial"/>
        </w:rPr>
        <w:t>Fuente: Elaboración propia.</w:t>
      </w:r>
    </w:p>
    <w:p w:rsidR="001A4168" w:rsidRPr="004F4F24" w:rsidRDefault="001A4168" w:rsidP="001A4168">
      <w:pPr>
        <w:autoSpaceDE w:val="0"/>
        <w:autoSpaceDN w:val="0"/>
        <w:adjustRightInd w:val="0"/>
        <w:spacing w:before="100" w:beforeAutospacing="1" w:after="100" w:afterAutospacing="1"/>
        <w:rPr>
          <w:rFonts w:eastAsia="Arial" w:cs="Arial"/>
        </w:rPr>
      </w:pPr>
      <w:r>
        <w:rPr>
          <w:rFonts w:eastAsia="Arial" w:cs="Arial"/>
        </w:rPr>
        <w:t>Los programas presupuestarios que tienen recursos asignados para el tema transversal objeto de esta anexo</w:t>
      </w:r>
      <w:r w:rsidRPr="004F4F24">
        <w:rPr>
          <w:rFonts w:eastAsia="Arial" w:cs="Arial"/>
        </w:rPr>
        <w:t xml:space="preserve"> está</w:t>
      </w:r>
      <w:r>
        <w:rPr>
          <w:rFonts w:eastAsia="Arial" w:cs="Arial"/>
        </w:rPr>
        <w:t>n</w:t>
      </w:r>
      <w:r w:rsidRPr="004F4F24">
        <w:rPr>
          <w:rFonts w:eastAsia="Arial" w:cs="Arial"/>
        </w:rPr>
        <w:t xml:space="preserve"> asignad</w:t>
      </w:r>
      <w:r>
        <w:rPr>
          <w:rFonts w:eastAsia="Arial" w:cs="Arial"/>
        </w:rPr>
        <w:t>os</w:t>
      </w:r>
      <w:r w:rsidRPr="004F4F24">
        <w:rPr>
          <w:rFonts w:eastAsia="Arial" w:cs="Arial"/>
        </w:rPr>
        <w:t xml:space="preserve"> </w:t>
      </w:r>
      <w:r>
        <w:rPr>
          <w:rFonts w:eastAsia="Arial" w:cs="Arial"/>
        </w:rPr>
        <w:t>a</w:t>
      </w:r>
      <w:r w:rsidRPr="004F4F24">
        <w:rPr>
          <w:rFonts w:eastAsia="Arial" w:cs="Arial"/>
        </w:rPr>
        <w:t xml:space="preserve"> 44 </w:t>
      </w:r>
      <w:r>
        <w:rPr>
          <w:rFonts w:eastAsia="Arial" w:cs="Arial"/>
        </w:rPr>
        <w:t>p</w:t>
      </w:r>
      <w:r w:rsidRPr="004F4F24">
        <w:rPr>
          <w:rFonts w:eastAsia="Arial" w:cs="Arial"/>
        </w:rPr>
        <w:t>rogramas</w:t>
      </w:r>
      <w:r>
        <w:rPr>
          <w:rFonts w:eastAsia="Arial" w:cs="Arial"/>
        </w:rPr>
        <w:t xml:space="preserve"> p</w:t>
      </w:r>
      <w:r w:rsidRPr="004F4F24">
        <w:rPr>
          <w:rFonts w:eastAsia="Arial" w:cs="Arial"/>
        </w:rPr>
        <w:t xml:space="preserve">resupuestarios, </w:t>
      </w:r>
      <w:r>
        <w:rPr>
          <w:rFonts w:eastAsia="Arial" w:cs="Arial"/>
        </w:rPr>
        <w:t xml:space="preserve">que serán implementados </w:t>
      </w:r>
      <w:r w:rsidRPr="004F4F24">
        <w:rPr>
          <w:rFonts w:eastAsia="Arial" w:cs="Arial"/>
        </w:rPr>
        <w:t>por 29 instituciones de la Administración Pública Estatal (Tabla 4).</w:t>
      </w:r>
    </w:p>
    <w:p w:rsidR="001A4168" w:rsidRPr="004F4F24" w:rsidRDefault="001A4168" w:rsidP="001A4168">
      <w:pPr>
        <w:jc w:val="center"/>
        <w:rPr>
          <w:rFonts w:eastAsia="Arial" w:cs="Arial"/>
          <w:b/>
        </w:rPr>
      </w:pPr>
    </w:p>
    <w:p w:rsidR="001A4168" w:rsidRDefault="001A4168" w:rsidP="001A4168">
      <w:pPr>
        <w:jc w:val="center"/>
        <w:rPr>
          <w:rFonts w:eastAsia="Arial" w:cs="Arial"/>
          <w:b/>
        </w:rPr>
      </w:pPr>
      <w:r w:rsidRPr="004F4F24">
        <w:rPr>
          <w:rFonts w:eastAsia="Arial" w:cs="Arial"/>
          <w:b/>
        </w:rPr>
        <w:t>Tabla 4. Inversión por Programa Presupuestario</w:t>
      </w:r>
    </w:p>
    <w:p w:rsidR="001A4168" w:rsidRDefault="001A4168" w:rsidP="001A4168">
      <w:pPr>
        <w:jc w:val="center"/>
        <w:rPr>
          <w:rFonts w:eastAsia="Arial" w:cs="Arial"/>
          <w:b/>
        </w:rPr>
      </w:pPr>
    </w:p>
    <w:tbl>
      <w:tblPr>
        <w:tblW w:w="5000" w:type="pct"/>
        <w:tblCellMar>
          <w:left w:w="70" w:type="dxa"/>
          <w:right w:w="70" w:type="dxa"/>
        </w:tblCellMar>
        <w:tblLook w:val="04A0" w:firstRow="1" w:lastRow="0" w:firstColumn="1" w:lastColumn="0" w:noHBand="0" w:noVBand="1"/>
      </w:tblPr>
      <w:tblGrid>
        <w:gridCol w:w="5517"/>
        <w:gridCol w:w="1950"/>
        <w:gridCol w:w="2325"/>
        <w:gridCol w:w="1368"/>
      </w:tblGrid>
      <w:tr w:rsidR="001A4168" w:rsidRPr="00EE6AF7" w:rsidTr="003359BE">
        <w:trPr>
          <w:trHeight w:val="1005"/>
          <w:tblHeader/>
        </w:trPr>
        <w:tc>
          <w:tcPr>
            <w:tcW w:w="2496" w:type="pct"/>
            <w:tcBorders>
              <w:top w:val="single" w:sz="4" w:space="0" w:color="auto"/>
              <w:left w:val="single" w:sz="4" w:space="0" w:color="auto"/>
              <w:bottom w:val="single" w:sz="4" w:space="0" w:color="auto"/>
              <w:right w:val="single" w:sz="4" w:space="0" w:color="auto"/>
            </w:tcBorders>
            <w:shd w:val="clear" w:color="auto" w:fill="4B4B4B"/>
            <w:vAlign w:val="center"/>
            <w:hideMark/>
          </w:tcPr>
          <w:p w:rsidR="001A4168" w:rsidRPr="00EE6AF7" w:rsidRDefault="001A4168" w:rsidP="0056150B">
            <w:pPr>
              <w:jc w:val="center"/>
              <w:rPr>
                <w:rFonts w:eastAsia="Times New Roman" w:cs="Arial"/>
                <w:b/>
                <w:bCs/>
                <w:color w:val="FFFFFF"/>
                <w:lang w:eastAsia="es-MX"/>
              </w:rPr>
            </w:pPr>
            <w:r w:rsidRPr="00EE6AF7">
              <w:rPr>
                <w:rFonts w:eastAsia="Times New Roman" w:cs="Arial"/>
                <w:b/>
                <w:bCs/>
                <w:color w:val="FFFFFF"/>
                <w:lang w:eastAsia="es-MX"/>
              </w:rPr>
              <w:t xml:space="preserve">Nombre PP </w:t>
            </w:r>
          </w:p>
        </w:tc>
        <w:tc>
          <w:tcPr>
            <w:tcW w:w="898" w:type="pct"/>
            <w:tcBorders>
              <w:top w:val="single" w:sz="4" w:space="0" w:color="auto"/>
              <w:left w:val="nil"/>
              <w:bottom w:val="single" w:sz="4" w:space="0" w:color="auto"/>
              <w:right w:val="single" w:sz="4" w:space="0" w:color="auto"/>
            </w:tcBorders>
            <w:shd w:val="clear" w:color="auto" w:fill="4B4B4B"/>
            <w:vAlign w:val="center"/>
            <w:hideMark/>
          </w:tcPr>
          <w:p w:rsidR="001A4168" w:rsidRPr="00EE6AF7" w:rsidRDefault="001A4168" w:rsidP="0056150B">
            <w:pPr>
              <w:jc w:val="center"/>
              <w:rPr>
                <w:rFonts w:eastAsia="Times New Roman" w:cs="Arial"/>
                <w:b/>
                <w:bCs/>
                <w:color w:val="FFFFFF"/>
                <w:lang w:eastAsia="es-MX"/>
              </w:rPr>
            </w:pPr>
            <w:r w:rsidRPr="00EE6AF7">
              <w:rPr>
                <w:rFonts w:eastAsia="Times New Roman" w:cs="Arial"/>
                <w:b/>
                <w:bCs/>
                <w:color w:val="FFFFFF"/>
                <w:lang w:eastAsia="es-MX"/>
              </w:rPr>
              <w:t>Inversión Desarrollo rural sustentable (Pesos)</w:t>
            </w:r>
          </w:p>
        </w:tc>
        <w:tc>
          <w:tcPr>
            <w:tcW w:w="1066" w:type="pct"/>
            <w:tcBorders>
              <w:top w:val="single" w:sz="4" w:space="0" w:color="auto"/>
              <w:left w:val="nil"/>
              <w:bottom w:val="single" w:sz="4" w:space="0" w:color="auto"/>
              <w:right w:val="single" w:sz="4" w:space="0" w:color="auto"/>
            </w:tcBorders>
            <w:shd w:val="clear" w:color="auto" w:fill="4B4B4B"/>
            <w:vAlign w:val="center"/>
            <w:hideMark/>
          </w:tcPr>
          <w:p w:rsidR="001A4168" w:rsidRPr="00EE6AF7" w:rsidRDefault="001A4168" w:rsidP="0056150B">
            <w:pPr>
              <w:jc w:val="center"/>
              <w:rPr>
                <w:rFonts w:eastAsia="Times New Roman" w:cs="Arial"/>
                <w:b/>
                <w:bCs/>
                <w:color w:val="FFFFFF"/>
                <w:lang w:eastAsia="es-MX"/>
              </w:rPr>
            </w:pPr>
            <w:r w:rsidRPr="00EE6AF7">
              <w:rPr>
                <w:rFonts w:eastAsia="Times New Roman" w:cs="Arial"/>
                <w:b/>
                <w:bCs/>
                <w:color w:val="FFFFFF"/>
                <w:lang w:eastAsia="es-MX"/>
              </w:rPr>
              <w:t>Importe PP (Pesos)</w:t>
            </w:r>
          </w:p>
        </w:tc>
        <w:tc>
          <w:tcPr>
            <w:tcW w:w="540" w:type="pct"/>
            <w:tcBorders>
              <w:top w:val="single" w:sz="4" w:space="0" w:color="auto"/>
              <w:left w:val="nil"/>
              <w:bottom w:val="single" w:sz="4" w:space="0" w:color="auto"/>
              <w:right w:val="single" w:sz="4" w:space="0" w:color="auto"/>
            </w:tcBorders>
            <w:shd w:val="clear" w:color="auto" w:fill="4B4B4B"/>
            <w:vAlign w:val="center"/>
            <w:hideMark/>
          </w:tcPr>
          <w:p w:rsidR="001A4168" w:rsidRPr="00EE6AF7" w:rsidRDefault="001A4168"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Asistencia Jurídica al Sector Público y Social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8,747,084</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108,268,876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Desarrollo Institucional de los Municipios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3,233,134</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43,533,282</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Protección Civil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19,290,878</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81,867,029</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24%</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Ampliación de la Cobertura para Acceso a los Servicios Básicos de la Vivienda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157,315,400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172,829,836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91%</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Mitigación de Riesgos Sanitarios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2,831,228</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153,098,375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Prevención y Promoción de la Salud en la Comunidad</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9,741,751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12,726,868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77%</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Prevención y Control de Enfermedades Transmitidas por Vector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205,782,433</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205,782,433</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Prevención y Control de Enfermedades Zoonóticas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4,215,600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6,384,935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66%</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Vigilancia Epidemiológica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5,760,290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6,869,534</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84%</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Promoción, Prevención y Atención Integral de Enfermedades Relacionadas con la Nutrición</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1,273,804</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29,243,168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Integral a la Salud Reproductiva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53,043,243</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195,249,595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Prestación de Servicios de Salud a la Infancia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11,603,297</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84,450,927</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14%</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Gestión Eficiente de las Instituciones del Sector Social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124,073,476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2,681,570,223</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Cobertura con Equidad en Educación Básica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577,892,775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8,490,036,526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Educativa en Media Superior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22,477,056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719,497,884</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Acceso y Permanencia en Educación Media Superior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153,363,269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367,230,043</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42%</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del Rezago Educativo y Analfabetismo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37,621,629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192,710,864</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Integral en Alimentación a Personas Sujetas de Asistencia Social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257,867,765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285,799,508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Promoción de Calidad y Espacios en la Vivienda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106,220,839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282,390,241</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38%</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Reducción de las Brechas Sociales de los Pueblos Indígenas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170,801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12,962,205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Prestación de Servicios de Salud</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8,865,489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4,525,632,478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0</w:t>
            </w:r>
            <w:r>
              <w:rPr>
                <w:rFonts w:eastAsia="Times New Roman" w:cs="Arial"/>
                <w:color w:val="000000"/>
                <w:lang w:eastAsia="es-MX"/>
              </w:rPr>
              <w:t>.2</w:t>
            </w:r>
            <w:r w:rsidRPr="00E64B69">
              <w:rPr>
                <w:rFonts w:eastAsia="Times New Roman" w:cs="Arial"/>
                <w:color w:val="000000"/>
                <w:lang w:eastAsia="es-MX"/>
              </w:rPr>
              <w:t>%</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y Sensibilización hacia el Consumo Cultural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4,467,159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34,311,378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13%</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y Difusión de la Cultura Tradicional Yucateca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983,210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41,556,047</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a la Creación y Manifestación Artística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630,000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96,448,457</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Implementación de Políticas Contra el Cambio Climático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3,030,000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9,726,112</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31%</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Implementación de Políticas para la Sustentabilidad</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3,991,732</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19,559,420</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Gestión Eficiente de las Instituciones del Sector Verde y Sustentable</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10,543,575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130,967,428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Dotación de Agua Potable y Saneamiento de Aguas Residuales Domésticas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682,505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298,032,096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0</w:t>
            </w:r>
            <w:r>
              <w:rPr>
                <w:rFonts w:eastAsia="Times New Roman" w:cs="Arial"/>
                <w:color w:val="000000"/>
                <w:lang w:eastAsia="es-MX"/>
              </w:rPr>
              <w:t>.2</w:t>
            </w:r>
            <w:r w:rsidRPr="00E64B69">
              <w:rPr>
                <w:rFonts w:eastAsia="Times New Roman" w:cs="Arial"/>
                <w:color w:val="000000"/>
                <w:lang w:eastAsia="es-MX"/>
              </w:rPr>
              <w:t>%</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Preservación de la Calidad del Agua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32,074,481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113,875,849</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28%</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Integral a Personas con Discapacidad del Estado de Yucatán</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8,073,984</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41,992,975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y Desarrollo de las Organizaciones Sociales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2,720,000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33,364,966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Asistencia Social a Personas Vulnerables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29,827,366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146,195,132</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Fortalecimiento de las Instituciones de Educación Superior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73,641,839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172,066,226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43%</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Mejoramiento de la Calidad en Instituciones de Educación Superior Públicas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625,015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290,254,986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0</w:t>
            </w:r>
            <w:r>
              <w:rPr>
                <w:rFonts w:eastAsia="Times New Roman" w:cs="Arial"/>
                <w:color w:val="000000"/>
                <w:lang w:eastAsia="es-MX"/>
              </w:rPr>
              <w:t>.2</w:t>
            </w:r>
            <w:r w:rsidRPr="00E64B69">
              <w:rPr>
                <w:rFonts w:eastAsia="Times New Roman" w:cs="Arial"/>
                <w:color w:val="000000"/>
                <w:lang w:eastAsia="es-MX"/>
              </w:rPr>
              <w:t>%</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Eficiencia Terminal en Educación Superior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90,953,241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121,614,445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75%</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Gestión Eficiente de las Instituciones del Sector Innovación</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121,358,550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169,815,756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71%</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Otorgamiento del Sistema de Jubilaciones y Pensiones de los Servidores Públicos del Gobierno del Estado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803,870,620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2,154,778,766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37%</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Impulso a la Población Emprendedora y Empresarial con Enfoque de Inclusión</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2,700,000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36,633,194</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Gestión Eficiente de las Instituciones del Sector Económico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120,205,659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468,869,469</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26%</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del Sector Agropecuario y Agroindustrial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235,571,046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235,571,046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Mejoramiento Genético de la Producción Pecuaria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27,361,662</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27,361,662</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Impulso a los Atractivos Turísticos y Segmentos de Mercado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1,500,000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120,230,795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al Autoempleo para la Población en Situación de Vulnerabilidad</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4,015,876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4,015,876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100%</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Vinculación, Promoción y Gestión con el Sector Productivo y Social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5,123,391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6,644,016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4B4B4B"/>
            <w:noWrap/>
            <w:vAlign w:val="bottom"/>
            <w:hideMark/>
          </w:tcPr>
          <w:p w:rsidR="001A4168" w:rsidRPr="00E64B69" w:rsidRDefault="001A4168" w:rsidP="0056150B">
            <w:pPr>
              <w:rPr>
                <w:rFonts w:eastAsia="Times New Roman" w:cs="Arial"/>
                <w:b/>
                <w:bCs/>
                <w:color w:val="FFFFFF"/>
                <w:lang w:eastAsia="es-MX"/>
              </w:rPr>
            </w:pPr>
            <w:r w:rsidRPr="00E64B69">
              <w:rPr>
                <w:rFonts w:eastAsia="Times New Roman" w:cs="Arial"/>
                <w:b/>
                <w:bCs/>
                <w:color w:val="FFFFFF"/>
                <w:lang w:eastAsia="es-MX"/>
              </w:rPr>
              <w:t>Total</w:t>
            </w:r>
          </w:p>
        </w:tc>
        <w:tc>
          <w:tcPr>
            <w:tcW w:w="898" w:type="pct"/>
            <w:tcBorders>
              <w:top w:val="nil"/>
              <w:left w:val="nil"/>
              <w:bottom w:val="single" w:sz="4" w:space="0" w:color="auto"/>
              <w:right w:val="single" w:sz="4" w:space="0" w:color="auto"/>
            </w:tcBorders>
            <w:shd w:val="clear" w:color="auto" w:fill="4B4B4B"/>
            <w:noWrap/>
            <w:vAlign w:val="center"/>
            <w:hideMark/>
          </w:tcPr>
          <w:p w:rsidR="001A4168" w:rsidRPr="00E64B69" w:rsidRDefault="001A4168" w:rsidP="0056150B">
            <w:pPr>
              <w:jc w:val="right"/>
              <w:rPr>
                <w:rFonts w:eastAsia="Times New Roman" w:cs="Arial"/>
                <w:b/>
                <w:bCs/>
                <w:color w:val="FFFFFF"/>
                <w:lang w:eastAsia="es-MX"/>
              </w:rPr>
            </w:pPr>
            <w:r w:rsidRPr="00E64B69">
              <w:rPr>
                <w:rFonts w:eastAsia="Times New Roman" w:cs="Arial"/>
                <w:b/>
                <w:bCs/>
                <w:color w:val="FFFFFF"/>
                <w:lang w:eastAsia="es-MX"/>
              </w:rPr>
              <w:t>3,355,342,152</w:t>
            </w:r>
          </w:p>
        </w:tc>
        <w:tc>
          <w:tcPr>
            <w:tcW w:w="1066" w:type="pct"/>
            <w:tcBorders>
              <w:top w:val="nil"/>
              <w:left w:val="nil"/>
              <w:bottom w:val="single" w:sz="4" w:space="0" w:color="auto"/>
              <w:right w:val="single" w:sz="4" w:space="0" w:color="auto"/>
            </w:tcBorders>
            <w:shd w:val="clear" w:color="auto" w:fill="4B4B4B"/>
            <w:noWrap/>
            <w:vAlign w:val="center"/>
            <w:hideMark/>
          </w:tcPr>
          <w:p w:rsidR="001A4168" w:rsidRPr="00E64B69" w:rsidRDefault="001A4168" w:rsidP="0056150B">
            <w:pPr>
              <w:jc w:val="right"/>
              <w:rPr>
                <w:rFonts w:eastAsia="Times New Roman" w:cs="Arial"/>
                <w:b/>
                <w:bCs/>
                <w:color w:val="FFFFFF"/>
                <w:lang w:eastAsia="es-MX"/>
              </w:rPr>
            </w:pPr>
            <w:r w:rsidRPr="00E64B69">
              <w:rPr>
                <w:rFonts w:eastAsia="Times New Roman" w:cs="Arial"/>
                <w:b/>
                <w:bCs/>
                <w:color w:val="FFFFFF"/>
                <w:lang w:eastAsia="es-MX"/>
              </w:rPr>
              <w:t>23,432,020,927</w:t>
            </w:r>
          </w:p>
        </w:tc>
        <w:tc>
          <w:tcPr>
            <w:tcW w:w="540" w:type="pct"/>
            <w:tcBorders>
              <w:top w:val="nil"/>
              <w:left w:val="nil"/>
              <w:bottom w:val="single" w:sz="4" w:space="0" w:color="auto"/>
              <w:right w:val="single" w:sz="4" w:space="0" w:color="auto"/>
            </w:tcBorders>
            <w:shd w:val="clear" w:color="auto" w:fill="4B4B4B"/>
            <w:noWrap/>
            <w:vAlign w:val="center"/>
            <w:hideMark/>
          </w:tcPr>
          <w:p w:rsidR="001A4168" w:rsidRPr="00E64B69" w:rsidRDefault="001A4168" w:rsidP="0056150B">
            <w:pPr>
              <w:jc w:val="right"/>
              <w:rPr>
                <w:rFonts w:eastAsia="Times New Roman" w:cs="Arial"/>
                <w:b/>
                <w:bCs/>
                <w:color w:val="FFFFFF"/>
                <w:lang w:eastAsia="es-MX"/>
              </w:rPr>
            </w:pPr>
            <w:r w:rsidRPr="00E64B69">
              <w:rPr>
                <w:rFonts w:eastAsia="Times New Roman" w:cs="Arial"/>
                <w:b/>
                <w:bCs/>
                <w:color w:val="FFFFFF"/>
                <w:lang w:eastAsia="es-MX"/>
              </w:rPr>
              <w:t>14%</w:t>
            </w:r>
          </w:p>
        </w:tc>
      </w:tr>
    </w:tbl>
    <w:p w:rsidR="001A4168" w:rsidRPr="009752AF" w:rsidRDefault="001A4168" w:rsidP="001A4168">
      <w:pPr>
        <w:spacing w:after="100" w:afterAutospacing="1"/>
        <w:jc w:val="center"/>
        <w:rPr>
          <w:rFonts w:eastAsia="Arial" w:cs="Arial"/>
        </w:rPr>
      </w:pPr>
      <w:r w:rsidRPr="00B56E32">
        <w:rPr>
          <w:rFonts w:eastAsia="Arial" w:cs="Arial"/>
        </w:rPr>
        <w:t>Fuente: Elaboración propia.</w:t>
      </w:r>
    </w:p>
    <w:p w:rsidR="001A4168" w:rsidRPr="004F4F24" w:rsidRDefault="001A4168" w:rsidP="001A4168">
      <w:pPr>
        <w:autoSpaceDE w:val="0"/>
        <w:autoSpaceDN w:val="0"/>
        <w:adjustRightInd w:val="0"/>
        <w:spacing w:before="100" w:beforeAutospacing="1" w:after="100" w:afterAutospacing="1"/>
        <w:rPr>
          <w:rFonts w:eastAsia="Arial" w:cs="Arial"/>
        </w:rPr>
      </w:pPr>
      <w:r w:rsidRPr="004F4F24">
        <w:rPr>
          <w:rFonts w:eastAsia="Arial" w:cs="Arial"/>
        </w:rPr>
        <w:t xml:space="preserve">La atención de los Objetivos de Desarrollo Sostenible es una prioridad para la administración pública estatal. Los proyectos y programas que conforman el Anexo contribuyen al cumplimiento de 10 de los 17 Objetivos de Desarrollo Sostenible, y de los cuales los que cuentan con mayor presupuesto asignado son: en primer lugar el objetivo 4: Garantizar una educación inclusiva, equitativa y de calidad y promover oportunidades de aprendizaje durante toda la vida para todos, el cual representa el 26.16% de la inversión en Desarrollo Rural Sustentable; en segundo lugar el objetivo 5: Lograr la igualdad entre los géneros y empoderar a todas las mujeres y las niñas y en tercer lugar, el objetivo 3:Garantizar una vida sana y promover el bienestar para todos en todas las edades. </w:t>
      </w:r>
    </w:p>
    <w:p w:rsidR="001A4168" w:rsidRPr="004F4F24" w:rsidRDefault="001A4168" w:rsidP="001A4168">
      <w:pPr>
        <w:autoSpaceDE w:val="0"/>
        <w:autoSpaceDN w:val="0"/>
        <w:adjustRightInd w:val="0"/>
        <w:spacing w:before="100" w:beforeAutospacing="1" w:after="100" w:afterAutospacing="1"/>
        <w:rPr>
          <w:rFonts w:eastAsia="Arial" w:cs="Arial"/>
        </w:rPr>
      </w:pPr>
      <w:r w:rsidRPr="004F4F24">
        <w:rPr>
          <w:rFonts w:eastAsia="Arial" w:cs="Arial"/>
        </w:rPr>
        <w:t>A continuación se muestra la inversión para cada uno de los 10 Objetivos de Desarrollo Sostenible en la siguiente tabla.</w:t>
      </w:r>
    </w:p>
    <w:p w:rsidR="001A4168" w:rsidRPr="004F4F24" w:rsidRDefault="001A4168" w:rsidP="001A4168">
      <w:pPr>
        <w:spacing w:before="100" w:beforeAutospacing="1" w:after="100" w:afterAutospacing="1"/>
        <w:jc w:val="center"/>
        <w:rPr>
          <w:rFonts w:eastAsia="Arial" w:cs="Arial"/>
          <w:b/>
        </w:rPr>
      </w:pPr>
      <w:r w:rsidRPr="004F4F24">
        <w:rPr>
          <w:rFonts w:eastAsia="Arial" w:cs="Arial"/>
          <w:b/>
        </w:rPr>
        <w:t>Tabla 5. Inversión por Objetivos de Desarrollo Sostenible  (ODS)</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40"/>
        <w:gridCol w:w="4020"/>
      </w:tblGrid>
      <w:tr w:rsidR="001A4168" w:rsidRPr="00EE6AF7" w:rsidTr="003359BE">
        <w:trPr>
          <w:trHeight w:val="315"/>
          <w:tblHeader/>
          <w:jc w:val="center"/>
        </w:trPr>
        <w:tc>
          <w:tcPr>
            <w:tcW w:w="7540" w:type="dxa"/>
            <w:shd w:val="clear" w:color="auto" w:fill="4B4B4B"/>
            <w:vAlign w:val="center"/>
            <w:hideMark/>
          </w:tcPr>
          <w:p w:rsidR="001A4168" w:rsidRPr="004F4F24" w:rsidRDefault="001A4168" w:rsidP="0056150B">
            <w:pPr>
              <w:jc w:val="center"/>
              <w:rPr>
                <w:rFonts w:eastAsia="Times New Roman" w:cs="Arial"/>
                <w:b/>
                <w:bCs/>
                <w:color w:val="FFFFFF"/>
                <w:lang w:eastAsia="es-MX"/>
              </w:rPr>
            </w:pPr>
            <w:r w:rsidRPr="004F4F24">
              <w:rPr>
                <w:rFonts w:eastAsia="Times New Roman" w:cs="Arial"/>
                <w:b/>
                <w:bCs/>
                <w:color w:val="FFFFFF"/>
                <w:lang w:eastAsia="es-MX"/>
              </w:rPr>
              <w:t xml:space="preserve">Objetivos de desarrollo sostenible </w:t>
            </w:r>
          </w:p>
        </w:tc>
        <w:tc>
          <w:tcPr>
            <w:tcW w:w="4020" w:type="dxa"/>
            <w:shd w:val="clear" w:color="auto" w:fill="4B4B4B"/>
            <w:vAlign w:val="center"/>
            <w:hideMark/>
          </w:tcPr>
          <w:p w:rsidR="001A4168" w:rsidRPr="004F4F24" w:rsidRDefault="001A4168" w:rsidP="0056150B">
            <w:pPr>
              <w:jc w:val="center"/>
              <w:rPr>
                <w:rFonts w:eastAsia="Times New Roman" w:cs="Arial"/>
                <w:b/>
                <w:bCs/>
                <w:color w:val="FFFFFF"/>
                <w:lang w:eastAsia="es-MX"/>
              </w:rPr>
            </w:pPr>
            <w:r w:rsidRPr="004F4F24">
              <w:rPr>
                <w:rFonts w:eastAsia="Times New Roman" w:cs="Arial"/>
                <w:b/>
                <w:bCs/>
                <w:color w:val="FFFFFF"/>
                <w:lang w:eastAsia="es-MX"/>
              </w:rPr>
              <w:t>Inversión (Pesos)</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 Poner fin a la pobreza en todas sus formas en todo el mundo</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269,380,205</w:t>
            </w:r>
          </w:p>
        </w:tc>
      </w:tr>
      <w:tr w:rsidR="001A4168" w:rsidRPr="00EE6AF7" w:rsidTr="0056150B">
        <w:trPr>
          <w:trHeight w:val="3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10. Reducir la desigualdad en y entre los países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25,381,862</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11. Lograr que las ciudades y los asentamientos humanos sean inclusivos, seguros, resilientes y sostenibles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13,963</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12. Garantizar modalidades de consumo y producción sostenibles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13,293,509</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13. Adoptar medidas urgentes para combatir el cambio climático y sus efectos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22,320,878</w:t>
            </w:r>
          </w:p>
        </w:tc>
      </w:tr>
      <w:tr w:rsidR="001A4168" w:rsidRPr="00EE6AF7" w:rsidTr="0056150B">
        <w:trPr>
          <w:trHeight w:val="15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15. Proteger, restablecer y promover el uso sostenible de los ecosistemas terrestres, gestionar los bosques de forma sostenible de los bosques, luchar contra la desertificación, detener e invertir la degradación de las tierras y poner freno a la pérdida de la diversidad biológica</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3,991,732</w:t>
            </w:r>
          </w:p>
        </w:tc>
      </w:tr>
      <w:tr w:rsidR="001A4168" w:rsidRPr="00EE6AF7" w:rsidTr="0056150B">
        <w:trPr>
          <w:trHeight w:val="12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8,747,084</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2. Poner fin al hambre, lograr la seguridad alimentaria y la mejora de la nutrición y promover la agricultura sostenible</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293,105,901</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3. Garantizar una vida sana y promover el bienestar para todos en todas las edades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347,716,347</w:t>
            </w:r>
          </w:p>
        </w:tc>
      </w:tr>
      <w:tr w:rsidR="001A4168" w:rsidRPr="00EE6AF7" w:rsidTr="0056150B">
        <w:trPr>
          <w:trHeight w:val="9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4. Garantizar una educación inclusiva, equitativa y de calidad y promover oportunidades de aprendizaje durante toda la vida para todos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619,777,562</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5. Lograr la igualdad entre los géneros y empoderar a todas las mujeres y las niñas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553,535,027</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6. Garantizar la disponibilidad de agua y su gestión sostenible y el saneamiento para todos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90,007,820</w:t>
            </w:r>
          </w:p>
        </w:tc>
      </w:tr>
      <w:tr w:rsidR="001A4168" w:rsidRPr="00EE6AF7" w:rsidTr="0056150B">
        <w:trPr>
          <w:trHeight w:val="9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8. Promover el crecimiento económico sostenido, inclusivo y sostenible, el empleo pleno y productivo y el trabajo decente para todos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122,273,341</w:t>
            </w:r>
          </w:p>
        </w:tc>
      </w:tr>
      <w:tr w:rsidR="001A4168" w:rsidRPr="00EE6AF7" w:rsidTr="003359BE">
        <w:trPr>
          <w:trHeight w:val="315"/>
          <w:jc w:val="center"/>
        </w:trPr>
        <w:tc>
          <w:tcPr>
            <w:tcW w:w="7540" w:type="dxa"/>
            <w:shd w:val="clear" w:color="auto" w:fill="4B4B4B"/>
            <w:noWrap/>
            <w:vAlign w:val="bottom"/>
            <w:hideMark/>
          </w:tcPr>
          <w:p w:rsidR="001A4168" w:rsidRPr="004F4F24" w:rsidRDefault="001A4168" w:rsidP="0056150B">
            <w:pPr>
              <w:rPr>
                <w:rFonts w:eastAsia="Times New Roman" w:cs="Arial"/>
                <w:b/>
                <w:bCs/>
                <w:color w:val="FFFFFF"/>
                <w:lang w:eastAsia="es-MX"/>
              </w:rPr>
            </w:pPr>
            <w:r w:rsidRPr="004F4F24">
              <w:rPr>
                <w:rFonts w:eastAsia="Times New Roman" w:cs="Arial"/>
                <w:b/>
                <w:bCs/>
                <w:color w:val="FFFFFF"/>
                <w:lang w:eastAsia="es-MX"/>
              </w:rPr>
              <w:t>Total</w:t>
            </w:r>
          </w:p>
        </w:tc>
        <w:tc>
          <w:tcPr>
            <w:tcW w:w="4020" w:type="dxa"/>
            <w:shd w:val="clear" w:color="auto" w:fill="4B4B4B"/>
            <w:noWrap/>
            <w:vAlign w:val="bottom"/>
            <w:hideMark/>
          </w:tcPr>
          <w:p w:rsidR="001A4168" w:rsidRPr="004F4F24" w:rsidRDefault="001A4168" w:rsidP="0056150B">
            <w:pPr>
              <w:jc w:val="right"/>
              <w:rPr>
                <w:rFonts w:eastAsia="Times New Roman" w:cs="Arial"/>
                <w:b/>
                <w:bCs/>
                <w:color w:val="FFFFFF"/>
                <w:lang w:eastAsia="es-MX"/>
              </w:rPr>
            </w:pPr>
            <w:r w:rsidRPr="004F4F24">
              <w:rPr>
                <w:rFonts w:eastAsia="Times New Roman" w:cs="Arial"/>
                <w:b/>
                <w:bCs/>
                <w:color w:val="FFFFFF"/>
                <w:lang w:eastAsia="es-MX"/>
              </w:rPr>
              <w:t>2,369,545,231</w:t>
            </w:r>
          </w:p>
        </w:tc>
      </w:tr>
    </w:tbl>
    <w:p w:rsidR="001A4168" w:rsidRPr="00B56E32" w:rsidRDefault="001A4168" w:rsidP="001A4168">
      <w:pPr>
        <w:spacing w:before="100" w:beforeAutospacing="1" w:after="100" w:afterAutospacing="1"/>
        <w:jc w:val="center"/>
        <w:rPr>
          <w:rFonts w:eastAsia="Arial" w:cs="Arial"/>
        </w:rPr>
      </w:pPr>
      <w:r w:rsidRPr="004F4F24">
        <w:rPr>
          <w:rFonts w:eastAsia="Arial" w:cs="Arial"/>
        </w:rPr>
        <w:t>Fuente: Elaboración propia.</w:t>
      </w:r>
    </w:p>
    <w:p w:rsidR="00A30E00" w:rsidRPr="00EE6AF7" w:rsidRDefault="00A30E00">
      <w:pPr>
        <w:jc w:val="left"/>
        <w:rPr>
          <w:rFonts w:eastAsia="Times New Roman"/>
          <w:b/>
          <w:color w:val="000000"/>
        </w:rPr>
      </w:pPr>
      <w:r>
        <w:br w:type="page"/>
      </w:r>
    </w:p>
    <w:p w:rsidR="00A30E00" w:rsidRDefault="009C1791">
      <w:pPr>
        <w:pStyle w:val="Ttulo3"/>
      </w:pPr>
      <w:bookmarkStart w:id="87" w:name="X1c386db7d92c62cdb39b4cd51c93b7c17c0bf14"/>
      <w:bookmarkEnd w:id="86"/>
      <w:r>
        <w:t xml:space="preserve">ANEXO 18.8. </w:t>
      </w:r>
      <w:r w:rsidR="00E3515E" w:rsidRPr="00E3515E">
        <w:t>PRESUPUESTARIO TRANSVERSAL DE INVERSIÓN PARA LA ETNIA</w:t>
      </w:r>
    </w:p>
    <w:p w:rsidR="00096835" w:rsidRDefault="00096835">
      <w:pPr>
        <w:jc w:val="left"/>
      </w:pPr>
    </w:p>
    <w:p w:rsidR="00096835" w:rsidRPr="006F1AB4" w:rsidRDefault="00096835" w:rsidP="00096835">
      <w:pPr>
        <w:spacing w:after="100" w:afterAutospacing="1"/>
        <w:rPr>
          <w:rFonts w:cs="Arial"/>
        </w:rPr>
      </w:pPr>
      <w:r w:rsidRPr="006F1AB4">
        <w:rPr>
          <w:rFonts w:cs="Arial"/>
        </w:rPr>
        <w:t>Este Anexo es una herramienta que sirve para visibilizar los recursos presupuestarios que se destinan a la inversión para la Etnia y así mejorar la transparencia del presupuesto de egresos.</w:t>
      </w:r>
    </w:p>
    <w:p w:rsidR="00096835" w:rsidRPr="006F1AB4" w:rsidRDefault="00096835" w:rsidP="00096835">
      <w:pPr>
        <w:spacing w:after="100" w:afterAutospacing="1"/>
        <w:rPr>
          <w:rFonts w:cs="Arial"/>
          <w:b/>
        </w:rPr>
      </w:pPr>
      <w:r w:rsidRPr="006F1AB4">
        <w:rPr>
          <w:rFonts w:cs="Arial"/>
        </w:rPr>
        <w:t xml:space="preserve"> </w:t>
      </w:r>
      <w:r w:rsidRPr="006F1AB4">
        <w:rPr>
          <w:rFonts w:cs="Arial"/>
          <w:b/>
        </w:rPr>
        <w:t>Metodología</w:t>
      </w:r>
    </w:p>
    <w:p w:rsidR="00096835" w:rsidRPr="006F1AB4" w:rsidRDefault="00096835" w:rsidP="00096835">
      <w:pPr>
        <w:spacing w:after="100" w:afterAutospacing="1"/>
        <w:rPr>
          <w:rFonts w:cs="Arial"/>
          <w:b/>
          <w:i/>
        </w:rPr>
      </w:pPr>
      <w:r w:rsidRPr="006F1AB4">
        <w:rPr>
          <w:rFonts w:cs="Arial"/>
          <w:b/>
          <w:i/>
        </w:rPr>
        <w:t>1.- Análisis de los programas, actividades institucionales, obras y acciones 2022.</w:t>
      </w:r>
    </w:p>
    <w:p w:rsidR="00096835" w:rsidRPr="006F1AB4" w:rsidRDefault="00096835" w:rsidP="00096835">
      <w:pPr>
        <w:spacing w:after="100" w:afterAutospacing="1"/>
        <w:rPr>
          <w:rFonts w:cs="Arial"/>
        </w:rPr>
      </w:pPr>
      <w:r w:rsidRPr="006F1AB4">
        <w:rPr>
          <w:rFonts w:cs="Arial"/>
        </w:rPr>
        <w:t xml:space="preserve">Para la elaboración de este Anexo, el primer paso consiste en tomar como elemento de análisis de </w:t>
      </w:r>
      <w:r w:rsidRPr="006F1AB4">
        <w:rPr>
          <w:rFonts w:eastAsia="Arial" w:cs="Arial"/>
        </w:rPr>
        <w:t>los programas, actividades institucionales, obras y acciones</w:t>
      </w:r>
      <w:r w:rsidRPr="006F1AB4">
        <w:rPr>
          <w:rFonts w:cs="Arial"/>
        </w:rPr>
        <w:t xml:space="preserve">, en los que se establecen para el año fiscal los objetivos, los entregables con las metas y el presupuesto destinado para los servicios, subsidios, ayudas, actividades de apoyo o soporte o los servicios personales.  </w:t>
      </w:r>
    </w:p>
    <w:p w:rsidR="00096835" w:rsidRPr="006F1AB4" w:rsidRDefault="00096835" w:rsidP="00096835">
      <w:pPr>
        <w:spacing w:after="100" w:afterAutospacing="1"/>
        <w:rPr>
          <w:rFonts w:cs="Arial"/>
        </w:rPr>
      </w:pPr>
      <w:r w:rsidRPr="006F1AB4">
        <w:rPr>
          <w:rFonts w:cs="Arial"/>
        </w:rPr>
        <w:t>El análisis central radica en la selección de aquellas intervenciones destinadas a financiar programas que benefician en forma directa o indirecta a la Etnia en Yucatán al preservar las tradiciones e identidad cultural, así como reducir la pobreza y pobreza extrema en los pueblos indígenas del Estado.</w:t>
      </w:r>
    </w:p>
    <w:p w:rsidR="00096835" w:rsidRPr="006F1AB4" w:rsidRDefault="00096835" w:rsidP="00096835">
      <w:pPr>
        <w:spacing w:after="100" w:afterAutospacing="1"/>
        <w:rPr>
          <w:rFonts w:cs="Arial"/>
        </w:rPr>
      </w:pPr>
      <w:r w:rsidRPr="006F1AB4">
        <w:rPr>
          <w:rFonts w:cs="Arial"/>
        </w:rPr>
        <w:t>No se consideran las intervenciones que contemplan los gastos generales de las oficinas tales como suministro de servicios básicos, arrendamientos entre otros, ya que no tienen impacto en la atención de la Etnia.</w:t>
      </w:r>
    </w:p>
    <w:p w:rsidR="00096835" w:rsidRPr="006F1AB4" w:rsidRDefault="00096835" w:rsidP="00096835">
      <w:pPr>
        <w:autoSpaceDE w:val="0"/>
        <w:autoSpaceDN w:val="0"/>
        <w:adjustRightInd w:val="0"/>
        <w:spacing w:after="100" w:afterAutospacing="1" w:line="276" w:lineRule="auto"/>
        <w:rPr>
          <w:rFonts w:cs="Arial"/>
        </w:rPr>
      </w:pPr>
      <w:r w:rsidRPr="006F1AB4">
        <w:rPr>
          <w:rFonts w:cs="Arial"/>
          <w:b/>
          <w:i/>
        </w:rPr>
        <w:t>2.- Análisis basado en los derechos que reconoce la Declaración de las Naciones Unidas sobre los Derechos de los Pueblos Indígenas y la Ley para la Protección de los Derechos de la Comunidad Maya del Estado de Yucatán.</w:t>
      </w:r>
    </w:p>
    <w:p w:rsidR="00096835" w:rsidRPr="00422B15" w:rsidRDefault="00096835" w:rsidP="00422B15">
      <w:pPr>
        <w:autoSpaceDE w:val="0"/>
        <w:autoSpaceDN w:val="0"/>
        <w:adjustRightInd w:val="0"/>
        <w:spacing w:after="100" w:afterAutospacing="1" w:line="276" w:lineRule="auto"/>
        <w:rPr>
          <w:rFonts w:cs="Arial"/>
        </w:rPr>
      </w:pPr>
      <w:r w:rsidRPr="006F1AB4">
        <w:rPr>
          <w:rFonts w:cs="Arial"/>
        </w:rPr>
        <w:t>Una vez identificadas las intervenciones, éstas se clasificaron de acuerdo con los derechos del pueblo indígena estipulados por la Declaración de las Naciones Unidas sobre los Derechos de los Pueblos Indígenas.</w:t>
      </w:r>
      <w:r w:rsidRPr="006F1AB4">
        <w:rPr>
          <w:rStyle w:val="Refdenotaalpie"/>
          <w:rFonts w:cs="Arial"/>
        </w:rPr>
        <w:footnoteReference w:id="26"/>
      </w:r>
      <w:r w:rsidRPr="006F1AB4">
        <w:rPr>
          <w:rFonts w:cs="Arial"/>
        </w:rPr>
        <w:t xml:space="preserve"> y la Ley para la Protección de los Derechos de la Comunidad Maya del Estado de Yucatán</w:t>
      </w:r>
      <w:r w:rsidRPr="006F1AB4">
        <w:rPr>
          <w:rStyle w:val="Refdenotaalpie"/>
          <w:rFonts w:cs="Arial"/>
        </w:rPr>
        <w:footnoteReference w:id="27"/>
      </w:r>
      <w:r w:rsidRPr="006F1AB4">
        <w:rPr>
          <w:rFonts w:cs="Arial"/>
        </w:rPr>
        <w:t xml:space="preserve"> los cuales para su compresión y estudio se desglosan en temas específicos (Tabla1):</w:t>
      </w:r>
    </w:p>
    <w:p w:rsidR="00096835" w:rsidRPr="006F1AB4" w:rsidRDefault="00096835" w:rsidP="00096835">
      <w:pPr>
        <w:autoSpaceDE w:val="0"/>
        <w:autoSpaceDN w:val="0"/>
        <w:adjustRightInd w:val="0"/>
        <w:spacing w:after="120" w:line="276" w:lineRule="auto"/>
        <w:jc w:val="center"/>
        <w:rPr>
          <w:rFonts w:cs="Arial"/>
          <w:b/>
        </w:rPr>
      </w:pPr>
      <w:r w:rsidRPr="006F1AB4">
        <w:rPr>
          <w:rFonts w:cs="Arial"/>
          <w:b/>
        </w:rPr>
        <w:t>Tabla 1. Derechos de los Pueblos Indígenas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5468"/>
        <w:gridCol w:w="3673"/>
      </w:tblGrid>
      <w:tr w:rsidR="00D31C30" w:rsidRPr="00EE6AF7" w:rsidTr="00EE6AF7">
        <w:trPr>
          <w:tblHeader/>
        </w:trPr>
        <w:tc>
          <w:tcPr>
            <w:tcW w:w="2547" w:type="dxa"/>
            <w:shd w:val="clear" w:color="auto" w:fill="4B4B4B"/>
            <w:vAlign w:val="center"/>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Derecho</w:t>
            </w:r>
          </w:p>
        </w:tc>
        <w:tc>
          <w:tcPr>
            <w:tcW w:w="7513" w:type="dxa"/>
            <w:shd w:val="clear" w:color="auto" w:fill="4B4B4B"/>
            <w:vAlign w:val="center"/>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Conceptualización</w:t>
            </w:r>
          </w:p>
        </w:tc>
        <w:tc>
          <w:tcPr>
            <w:tcW w:w="4110" w:type="dxa"/>
            <w:shd w:val="clear" w:color="auto" w:fill="4B4B4B"/>
            <w:vAlign w:val="center"/>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Tema Específico</w:t>
            </w:r>
          </w:p>
        </w:tc>
      </w:tr>
      <w:tr w:rsidR="00096835" w:rsidRPr="00EE6AF7" w:rsidTr="00EE6AF7">
        <w:trPr>
          <w:trHeight w:val="1647"/>
        </w:trPr>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 la igualdad</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Como indígenas, tienen los mismos derechos y oportunidades que los demás miembros de la población, y deben gozar plenamente de los derechos humanos y las libertades fundamentales, sin obstáculos ni discriminación.</w:t>
            </w:r>
          </w:p>
        </w:tc>
        <w:tc>
          <w:tcPr>
            <w:tcW w:w="4110" w:type="dxa"/>
            <w:shd w:val="clear" w:color="auto" w:fill="auto"/>
            <w:vAlign w:val="center"/>
          </w:tcPr>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No discriminación</w:t>
            </w:r>
          </w:p>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Acceso</w:t>
            </w:r>
          </w:p>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Trato digno</w:t>
            </w:r>
          </w:p>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Inclusión</w:t>
            </w:r>
          </w:p>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Respeto</w:t>
            </w:r>
          </w:p>
        </w:tc>
      </w:tr>
      <w:tr w:rsidR="00096835" w:rsidRPr="00EE6AF7" w:rsidTr="00EE6AF7">
        <w:trPr>
          <w:trHeight w:val="1528"/>
        </w:trPr>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 la identidad social y cultural</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Se debe respetar la identidad social y cultural, costumbres, tradiciones e instituciones. Merecen el reconocimiento y protección de los valores y prácticas sociales culturales, religiosas y espirituales.</w:t>
            </w:r>
          </w:p>
        </w:tc>
        <w:tc>
          <w:tcPr>
            <w:tcW w:w="4110" w:type="dxa"/>
            <w:shd w:val="clear" w:color="auto" w:fill="auto"/>
            <w:vAlign w:val="center"/>
          </w:tcPr>
          <w:p w:rsidR="00096835" w:rsidRPr="00EE6AF7" w:rsidRDefault="00096835" w:rsidP="00EE6AF7">
            <w:pPr>
              <w:pStyle w:val="Prrafodelista"/>
              <w:numPr>
                <w:ilvl w:val="0"/>
                <w:numId w:val="44"/>
              </w:numPr>
              <w:autoSpaceDE w:val="0"/>
              <w:autoSpaceDN w:val="0"/>
              <w:adjustRightInd w:val="0"/>
              <w:spacing w:after="0"/>
              <w:jc w:val="left"/>
              <w:rPr>
                <w:rFonts w:ascii="Arial" w:hAnsi="Arial" w:cs="Arial"/>
                <w:szCs w:val="24"/>
              </w:rPr>
            </w:pPr>
            <w:r w:rsidRPr="00EE6AF7">
              <w:rPr>
                <w:rFonts w:ascii="Arial" w:hAnsi="Arial" w:cs="Arial"/>
                <w:szCs w:val="24"/>
              </w:rPr>
              <w:t>Reconocimiento</w:t>
            </w:r>
          </w:p>
          <w:p w:rsidR="00096835" w:rsidRPr="00EE6AF7" w:rsidRDefault="00096835" w:rsidP="00EE6AF7">
            <w:pPr>
              <w:pStyle w:val="Prrafodelista"/>
              <w:numPr>
                <w:ilvl w:val="0"/>
                <w:numId w:val="44"/>
              </w:numPr>
              <w:autoSpaceDE w:val="0"/>
              <w:autoSpaceDN w:val="0"/>
              <w:adjustRightInd w:val="0"/>
              <w:spacing w:after="0"/>
              <w:jc w:val="left"/>
              <w:rPr>
                <w:rFonts w:ascii="Arial" w:hAnsi="Arial" w:cs="Arial"/>
                <w:szCs w:val="24"/>
              </w:rPr>
            </w:pPr>
            <w:r w:rsidRPr="00EE6AF7">
              <w:rPr>
                <w:rFonts w:ascii="Arial" w:hAnsi="Arial" w:cs="Arial"/>
                <w:szCs w:val="24"/>
              </w:rPr>
              <w:t>Protección</w:t>
            </w:r>
          </w:p>
          <w:p w:rsidR="00096835" w:rsidRPr="00EE6AF7" w:rsidRDefault="00096835" w:rsidP="00EE6AF7">
            <w:pPr>
              <w:pStyle w:val="Prrafodelista"/>
              <w:numPr>
                <w:ilvl w:val="0"/>
                <w:numId w:val="44"/>
              </w:numPr>
              <w:autoSpaceDE w:val="0"/>
              <w:autoSpaceDN w:val="0"/>
              <w:adjustRightInd w:val="0"/>
              <w:spacing w:after="0"/>
              <w:jc w:val="left"/>
              <w:rPr>
                <w:rFonts w:ascii="Arial" w:hAnsi="Arial" w:cs="Arial"/>
                <w:szCs w:val="24"/>
              </w:rPr>
            </w:pPr>
            <w:r w:rsidRPr="00EE6AF7">
              <w:rPr>
                <w:rFonts w:ascii="Arial" w:hAnsi="Arial" w:cs="Arial"/>
                <w:szCs w:val="24"/>
              </w:rPr>
              <w:t>Promoción</w:t>
            </w:r>
          </w:p>
          <w:p w:rsidR="00096835" w:rsidRPr="00EE6AF7" w:rsidRDefault="00096835" w:rsidP="00EE6AF7">
            <w:pPr>
              <w:pStyle w:val="Prrafodelista"/>
              <w:numPr>
                <w:ilvl w:val="0"/>
                <w:numId w:val="44"/>
              </w:numPr>
              <w:autoSpaceDE w:val="0"/>
              <w:autoSpaceDN w:val="0"/>
              <w:adjustRightInd w:val="0"/>
              <w:spacing w:after="0"/>
              <w:jc w:val="left"/>
              <w:rPr>
                <w:rFonts w:ascii="Arial" w:hAnsi="Arial" w:cs="Arial"/>
                <w:szCs w:val="24"/>
              </w:rPr>
            </w:pPr>
            <w:r w:rsidRPr="00EE6AF7">
              <w:rPr>
                <w:rFonts w:ascii="Arial" w:hAnsi="Arial" w:cs="Arial"/>
                <w:szCs w:val="24"/>
              </w:rPr>
              <w:t>Preservación</w:t>
            </w:r>
          </w:p>
        </w:tc>
      </w:tr>
      <w:tr w:rsidR="00096835" w:rsidRPr="00EE6AF7" w:rsidTr="00EE6AF7">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al desarrollo</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Decidir sobre las prioridades respecto al desarrollo, en la medida en que eso afecte sus vidas, creencias, instituciones, bienestar espiritual y las tierras que ocupan o utilizan.</w:t>
            </w:r>
          </w:p>
        </w:tc>
        <w:tc>
          <w:tcPr>
            <w:tcW w:w="4110" w:type="dxa"/>
            <w:shd w:val="clear" w:color="auto" w:fill="auto"/>
            <w:vAlign w:val="center"/>
          </w:tcPr>
          <w:p w:rsidR="00096835" w:rsidRPr="00EE6AF7" w:rsidRDefault="00096835" w:rsidP="00EE6AF7">
            <w:pPr>
              <w:pStyle w:val="Prrafodelista"/>
              <w:numPr>
                <w:ilvl w:val="0"/>
                <w:numId w:val="41"/>
              </w:numPr>
              <w:autoSpaceDE w:val="0"/>
              <w:autoSpaceDN w:val="0"/>
              <w:adjustRightInd w:val="0"/>
              <w:spacing w:after="0"/>
              <w:jc w:val="left"/>
              <w:rPr>
                <w:rFonts w:ascii="Arial" w:hAnsi="Arial" w:cs="Arial"/>
                <w:szCs w:val="24"/>
              </w:rPr>
            </w:pPr>
            <w:r w:rsidRPr="00EE6AF7">
              <w:rPr>
                <w:rFonts w:ascii="Arial" w:hAnsi="Arial" w:cs="Arial"/>
                <w:szCs w:val="24"/>
              </w:rPr>
              <w:t>Acceso a servicios de salud</w:t>
            </w:r>
          </w:p>
          <w:p w:rsidR="00096835" w:rsidRPr="00EE6AF7" w:rsidRDefault="00096835" w:rsidP="00EE6AF7">
            <w:pPr>
              <w:pStyle w:val="Prrafodelista"/>
              <w:numPr>
                <w:ilvl w:val="0"/>
                <w:numId w:val="41"/>
              </w:numPr>
              <w:autoSpaceDE w:val="0"/>
              <w:autoSpaceDN w:val="0"/>
              <w:adjustRightInd w:val="0"/>
              <w:spacing w:after="0"/>
              <w:jc w:val="left"/>
              <w:rPr>
                <w:rFonts w:ascii="Arial" w:hAnsi="Arial" w:cs="Arial"/>
                <w:szCs w:val="24"/>
              </w:rPr>
            </w:pPr>
            <w:r w:rsidRPr="00EE6AF7">
              <w:rPr>
                <w:rFonts w:ascii="Arial" w:hAnsi="Arial" w:cs="Arial"/>
                <w:szCs w:val="24"/>
              </w:rPr>
              <w:t>Deportes, recreación y cultura</w:t>
            </w:r>
          </w:p>
          <w:p w:rsidR="00096835" w:rsidRPr="00EE6AF7" w:rsidRDefault="00096835" w:rsidP="00EE6AF7">
            <w:pPr>
              <w:pStyle w:val="Prrafodelista"/>
              <w:numPr>
                <w:ilvl w:val="0"/>
                <w:numId w:val="41"/>
              </w:numPr>
              <w:autoSpaceDE w:val="0"/>
              <w:autoSpaceDN w:val="0"/>
              <w:adjustRightInd w:val="0"/>
              <w:spacing w:after="0"/>
              <w:jc w:val="left"/>
              <w:rPr>
                <w:rFonts w:ascii="Arial" w:hAnsi="Arial" w:cs="Arial"/>
                <w:szCs w:val="24"/>
              </w:rPr>
            </w:pPr>
            <w:r w:rsidRPr="00EE6AF7">
              <w:rPr>
                <w:rFonts w:ascii="Arial" w:hAnsi="Arial" w:cs="Arial"/>
                <w:szCs w:val="24"/>
              </w:rPr>
              <w:t>Urbanización y desarrollo regional</w:t>
            </w:r>
          </w:p>
          <w:p w:rsidR="00096835" w:rsidRPr="00EE6AF7" w:rsidRDefault="00096835" w:rsidP="00EE6AF7">
            <w:pPr>
              <w:pStyle w:val="Prrafodelista"/>
              <w:numPr>
                <w:ilvl w:val="0"/>
                <w:numId w:val="41"/>
              </w:numPr>
              <w:autoSpaceDE w:val="0"/>
              <w:autoSpaceDN w:val="0"/>
              <w:adjustRightInd w:val="0"/>
              <w:spacing w:after="0"/>
              <w:jc w:val="left"/>
              <w:rPr>
                <w:rFonts w:ascii="Arial" w:hAnsi="Arial" w:cs="Arial"/>
                <w:szCs w:val="24"/>
              </w:rPr>
            </w:pPr>
            <w:r w:rsidRPr="00EE6AF7">
              <w:rPr>
                <w:rFonts w:ascii="Arial" w:hAnsi="Arial" w:cs="Arial"/>
                <w:szCs w:val="24"/>
              </w:rPr>
              <w:t>Autonomía</w:t>
            </w:r>
          </w:p>
        </w:tc>
      </w:tr>
      <w:tr w:rsidR="00096835" w:rsidRPr="00EE6AF7" w:rsidTr="00EE6AF7">
        <w:trPr>
          <w:trHeight w:val="940"/>
        </w:trPr>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 la tierra y a la utilización de recursos</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Reconocer por parte del gobierno la propiedad y posesión sobre las tierras. Tienen derecho al acceso a tierras en las que realizan las actividades tradicionales y de subsistencia. Pueden participar en el uso, administración y conservación de los recursos naturales de sus tierras.</w:t>
            </w:r>
          </w:p>
        </w:tc>
        <w:tc>
          <w:tcPr>
            <w:tcW w:w="4110" w:type="dxa"/>
            <w:shd w:val="clear" w:color="auto" w:fill="auto"/>
            <w:vAlign w:val="center"/>
          </w:tcPr>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 xml:space="preserve">Actividades </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Trabajo digno</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Zonas Arqueológicas</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Ceremonias</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Artesanías</w:t>
            </w:r>
          </w:p>
        </w:tc>
      </w:tr>
      <w:tr w:rsidR="00096835" w:rsidRPr="00EE6AF7" w:rsidTr="00EE6AF7">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 la educación</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Los pueblos indígenas tienen derecho al acceso a programas y servicios educativos.</w:t>
            </w:r>
          </w:p>
        </w:tc>
        <w:tc>
          <w:tcPr>
            <w:tcW w:w="4110" w:type="dxa"/>
            <w:shd w:val="clear" w:color="auto" w:fill="auto"/>
          </w:tcPr>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Acceso a servicios de educación.</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Permanencia</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Calidad</w:t>
            </w:r>
          </w:p>
        </w:tc>
      </w:tr>
    </w:tbl>
    <w:p w:rsidR="00096835" w:rsidRPr="006F1AB4" w:rsidRDefault="00096835" w:rsidP="00096835">
      <w:pPr>
        <w:autoSpaceDE w:val="0"/>
        <w:autoSpaceDN w:val="0"/>
        <w:adjustRightInd w:val="0"/>
        <w:spacing w:after="100" w:afterAutospacing="1" w:line="276" w:lineRule="auto"/>
        <w:rPr>
          <w:rFonts w:cs="Arial"/>
          <w:i/>
        </w:rPr>
      </w:pPr>
      <w:r w:rsidRPr="006F1AB4">
        <w:rPr>
          <w:rFonts w:cs="Arial"/>
          <w:i/>
        </w:rPr>
        <w:t>Fuente: Elaboración propia basada en la Declaración de las Naciones Unidas sobre los Derechos de los Pueblos Indígenas. (ONU 2008) y la Ley para la Protección de los Derechos de la Comunidad Maya del Estado de Yucatán. (CNDH 2011).</w:t>
      </w:r>
    </w:p>
    <w:p w:rsidR="00096835" w:rsidRPr="006F1AB4" w:rsidRDefault="00096835" w:rsidP="00096835">
      <w:pPr>
        <w:autoSpaceDE w:val="0"/>
        <w:autoSpaceDN w:val="0"/>
        <w:adjustRightInd w:val="0"/>
        <w:spacing w:after="100" w:afterAutospacing="1" w:line="276" w:lineRule="auto"/>
        <w:rPr>
          <w:rFonts w:cs="Arial"/>
        </w:rPr>
      </w:pPr>
      <w:r w:rsidRPr="006F1AB4">
        <w:rPr>
          <w:rFonts w:cs="Arial"/>
        </w:rPr>
        <w:t xml:space="preserve">En este sentido, vale la pena destacar que esta metodología se encuentra en desarrollo, por lo que será mejorada gradualmente, conforme se vaya probando técnicamente la utilidad de la información que proporciona. Posteriormente, se llevó a cabo el análisis de las intervenciones identificadas para el Anexo de la Etnia </w:t>
      </w:r>
      <w:r w:rsidR="00407A67" w:rsidRPr="006F1AB4">
        <w:rPr>
          <w:rFonts w:cs="Arial"/>
        </w:rPr>
        <w:t>de acuerdo con</w:t>
      </w:r>
      <w:r w:rsidRPr="006F1AB4">
        <w:rPr>
          <w:rFonts w:cs="Arial"/>
        </w:rPr>
        <w:t xml:space="preserve"> su alineación con los programas presupuestarios.</w:t>
      </w:r>
    </w:p>
    <w:p w:rsidR="00096835" w:rsidRPr="006F1AB4" w:rsidRDefault="00096835" w:rsidP="00096835">
      <w:pPr>
        <w:autoSpaceDE w:val="0"/>
        <w:autoSpaceDN w:val="0"/>
        <w:adjustRightInd w:val="0"/>
        <w:spacing w:after="100" w:afterAutospacing="1" w:line="276" w:lineRule="auto"/>
        <w:rPr>
          <w:rFonts w:cs="Arial"/>
        </w:rPr>
      </w:pPr>
      <w:r w:rsidRPr="006F1AB4">
        <w:rPr>
          <w:rFonts w:cs="Arial"/>
        </w:rPr>
        <w:t xml:space="preserve">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 </w:t>
      </w:r>
    </w:p>
    <w:p w:rsidR="00096835" w:rsidRDefault="00096835" w:rsidP="00096835">
      <w:pPr>
        <w:autoSpaceDE w:val="0"/>
        <w:autoSpaceDN w:val="0"/>
        <w:adjustRightInd w:val="0"/>
        <w:spacing w:after="100" w:afterAutospacing="1" w:line="276" w:lineRule="auto"/>
        <w:rPr>
          <w:rFonts w:cs="Arial"/>
        </w:rPr>
      </w:pPr>
      <w:r w:rsidRPr="006F1AB4">
        <w:rPr>
          <w:rFonts w:cs="Arial"/>
        </w:rPr>
        <w:t xml:space="preserve">Al formar parte de los compromisos internacionales adquiridos por México y estar incluidos en el Plan Estatal de Desarrollo 2018-2024, es relevante identificar las asignaciones presupuestarias de los programas y acciones de este Anexo que de manera directa contribuyen al cumplimiento de los ODS y sus respectivas metas. Para ello, se revisó cada una de las intervenciones identificadas en los pasos anteriores, y se procedió a revisar su información para clasificarlas de acuerdo al objetivo con el que se relacionan. </w:t>
      </w:r>
    </w:p>
    <w:p w:rsidR="00096835" w:rsidRPr="006F1AB4" w:rsidRDefault="00096835" w:rsidP="00096835">
      <w:pPr>
        <w:autoSpaceDE w:val="0"/>
        <w:autoSpaceDN w:val="0"/>
        <w:adjustRightInd w:val="0"/>
        <w:spacing w:after="100" w:afterAutospacing="1" w:line="276" w:lineRule="auto"/>
        <w:rPr>
          <w:rFonts w:cs="Arial"/>
        </w:rPr>
      </w:pPr>
      <w:r w:rsidRPr="00B60227">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w:t>
      </w:r>
      <w:r>
        <w:rPr>
          <w:rFonts w:cs="Arial"/>
        </w:rPr>
        <w:t>sión en infancia y adolescencia</w:t>
      </w:r>
      <w:r w:rsidRPr="00B60227">
        <w:rPr>
          <w:rFonts w:cs="Arial"/>
        </w:rPr>
        <w:t>. A fin de hacer un adecuado análisis de las asignaciones presupuestales para la Etnia, se establecieron las siguientes</w:t>
      </w:r>
      <w:r>
        <w:rPr>
          <w:rFonts w:cs="Arial"/>
        </w:rPr>
        <w:t>:</w:t>
      </w:r>
    </w:p>
    <w:p w:rsidR="00096835" w:rsidRPr="006F1AB4" w:rsidRDefault="00096835" w:rsidP="00096835">
      <w:pPr>
        <w:spacing w:after="100" w:afterAutospacing="1"/>
        <w:jc w:val="center"/>
        <w:rPr>
          <w:rFonts w:eastAsia="Arial" w:cs="Arial"/>
          <w:b/>
          <w:bCs/>
          <w:w w:val="103"/>
        </w:rPr>
      </w:pPr>
      <w:r w:rsidRPr="006F1AB4">
        <w:rPr>
          <w:rFonts w:eastAsia="Arial" w:cs="Arial"/>
          <w:b/>
          <w:bCs/>
          <w:w w:val="103"/>
        </w:rPr>
        <w:t xml:space="preserve">Tabla </w:t>
      </w:r>
      <w:r w:rsidR="00C95CA3" w:rsidRPr="006F1AB4">
        <w:rPr>
          <w:rFonts w:eastAsia="Arial" w:cs="Arial"/>
          <w:b/>
          <w:bCs/>
          <w:w w:val="103"/>
        </w:rPr>
        <w:fldChar w:fldCharType="begin"/>
      </w:r>
      <w:r w:rsidRPr="006F1AB4">
        <w:rPr>
          <w:rFonts w:eastAsia="Arial" w:cs="Arial"/>
          <w:b/>
          <w:bCs/>
          <w:w w:val="103"/>
        </w:rPr>
        <w:instrText xml:space="preserve"> SEQ Tabla \* ARABIC </w:instrText>
      </w:r>
      <w:r w:rsidR="00C95CA3" w:rsidRPr="006F1AB4">
        <w:rPr>
          <w:rFonts w:eastAsia="Arial" w:cs="Arial"/>
          <w:b/>
          <w:bCs/>
          <w:w w:val="103"/>
        </w:rPr>
        <w:fldChar w:fldCharType="separate"/>
      </w:r>
      <w:r w:rsidR="006B7B6C">
        <w:rPr>
          <w:rFonts w:eastAsia="Arial" w:cs="Arial"/>
          <w:b/>
          <w:bCs/>
          <w:noProof/>
          <w:w w:val="103"/>
        </w:rPr>
        <w:t>5</w:t>
      </w:r>
      <w:r w:rsidR="00C95CA3" w:rsidRPr="006F1AB4">
        <w:rPr>
          <w:rFonts w:eastAsia="Arial" w:cs="Arial"/>
          <w:b/>
          <w:bCs/>
          <w:w w:val="103"/>
        </w:rPr>
        <w:fldChar w:fldCharType="end"/>
      </w:r>
      <w:r w:rsidRPr="006F1AB4">
        <w:rPr>
          <w:rFonts w:eastAsia="Arial" w:cs="Arial"/>
          <w:b/>
          <w:bCs/>
          <w:w w:val="103"/>
        </w:rPr>
        <w:t>. Especificidad de la inversión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69"/>
        <w:gridCol w:w="9267"/>
      </w:tblGrid>
      <w:tr w:rsidR="00D31C30" w:rsidRPr="00EE6AF7" w:rsidTr="00EE6AF7">
        <w:tc>
          <w:tcPr>
            <w:tcW w:w="0" w:type="auto"/>
            <w:shd w:val="clear" w:color="auto" w:fill="4B4B4B"/>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Tipo de inversión</w:t>
            </w:r>
          </w:p>
        </w:tc>
        <w:tc>
          <w:tcPr>
            <w:tcW w:w="0" w:type="auto"/>
            <w:shd w:val="clear" w:color="auto" w:fill="4B4B4B"/>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Definición</w:t>
            </w:r>
          </w:p>
        </w:tc>
      </w:tr>
      <w:tr w:rsidR="00D31C30" w:rsidRPr="00EE6AF7" w:rsidTr="00EE6AF7">
        <w:tc>
          <w:tcPr>
            <w:tcW w:w="0" w:type="auto"/>
            <w:shd w:val="clear" w:color="auto" w:fill="FFFFFF"/>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Inversión específica</w:t>
            </w:r>
          </w:p>
        </w:tc>
        <w:tc>
          <w:tcPr>
            <w:tcW w:w="0" w:type="auto"/>
            <w:shd w:val="clear" w:color="auto" w:fill="FFFFFF"/>
          </w:tcPr>
          <w:p w:rsidR="00096835" w:rsidRPr="00EE6AF7" w:rsidRDefault="00096835" w:rsidP="00EE6AF7">
            <w:pPr>
              <w:autoSpaceDE w:val="0"/>
              <w:autoSpaceDN w:val="0"/>
              <w:adjustRightInd w:val="0"/>
              <w:spacing w:line="276" w:lineRule="auto"/>
              <w:rPr>
                <w:rFonts w:cs="Arial"/>
                <w:b/>
              </w:rPr>
            </w:pPr>
            <w:r w:rsidRPr="00EE6AF7">
              <w:rPr>
                <w:rFonts w:cs="Arial"/>
              </w:rPr>
              <w:t>Es la destinada a financiar las intervenciones que entregan beneficios directamente a la población indígena de Yucatán para asegurar el cumplimiento de sus derechos.</w:t>
            </w:r>
          </w:p>
        </w:tc>
      </w:tr>
      <w:tr w:rsidR="00D31C30" w:rsidRPr="00EE6AF7" w:rsidTr="00EE6AF7">
        <w:tc>
          <w:tcPr>
            <w:tcW w:w="0" w:type="auto"/>
            <w:shd w:val="clear" w:color="auto" w:fill="FFFFFF"/>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Inversión agéntica</w:t>
            </w:r>
          </w:p>
        </w:tc>
        <w:tc>
          <w:tcPr>
            <w:tcW w:w="0" w:type="auto"/>
            <w:shd w:val="clear" w:color="auto" w:fill="FFFFFF"/>
          </w:tcPr>
          <w:p w:rsidR="00096835" w:rsidRPr="00EE6AF7" w:rsidRDefault="00096835" w:rsidP="00EE6AF7">
            <w:pPr>
              <w:autoSpaceDE w:val="0"/>
              <w:autoSpaceDN w:val="0"/>
              <w:adjustRightInd w:val="0"/>
              <w:spacing w:line="276" w:lineRule="auto"/>
              <w:rPr>
                <w:rFonts w:cs="Arial"/>
              </w:rPr>
            </w:pPr>
            <w:r w:rsidRPr="00EE6AF7">
              <w:rPr>
                <w:rFonts w:cs="Arial"/>
              </w:rPr>
              <w:t>Aquella destinada a financiar las intervenciones que promuevan el fortalecimiento de los agentes que actúan a favor de la población indígena, es decir, profesionales enfocados de forma exclusiva a la atención de la población indígena, como agentes para su bienestar.</w:t>
            </w:r>
          </w:p>
        </w:tc>
      </w:tr>
      <w:tr w:rsidR="00D31C30" w:rsidRPr="00EE6AF7" w:rsidTr="00EE6AF7">
        <w:tc>
          <w:tcPr>
            <w:tcW w:w="0" w:type="auto"/>
            <w:shd w:val="clear" w:color="auto" w:fill="FFFFFF"/>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Inversión en bienes públicos</w:t>
            </w:r>
          </w:p>
        </w:tc>
        <w:tc>
          <w:tcPr>
            <w:tcW w:w="0" w:type="auto"/>
            <w:shd w:val="clear" w:color="auto" w:fill="FFFFFF"/>
          </w:tcPr>
          <w:p w:rsidR="00096835" w:rsidRPr="00EE6AF7" w:rsidRDefault="00096835" w:rsidP="00EE6AF7">
            <w:pPr>
              <w:autoSpaceDE w:val="0"/>
              <w:autoSpaceDN w:val="0"/>
              <w:adjustRightInd w:val="0"/>
              <w:spacing w:line="276" w:lineRule="auto"/>
              <w:rPr>
                <w:rFonts w:cs="Arial"/>
              </w:rPr>
            </w:pPr>
            <w:r w:rsidRPr="00EE6AF7">
              <w:rPr>
                <w:rFonts w:cs="Arial"/>
              </w:rPr>
              <w:t>Es aquella inversión destinada a financiar las intervenciones que proveen servicios prestados de forma abierta a la sociedad y que hayan estado al menos parcialmente diseñados para atender necesidades específicas de la población indígena.</w:t>
            </w:r>
          </w:p>
        </w:tc>
      </w:tr>
      <w:tr w:rsidR="00D31C30" w:rsidRPr="00EE6AF7" w:rsidTr="00EE6AF7">
        <w:tc>
          <w:tcPr>
            <w:tcW w:w="0" w:type="auto"/>
            <w:shd w:val="clear" w:color="auto" w:fill="FFFFFF"/>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Inversión ampliada</w:t>
            </w:r>
          </w:p>
        </w:tc>
        <w:tc>
          <w:tcPr>
            <w:tcW w:w="0" w:type="auto"/>
            <w:shd w:val="clear" w:color="auto" w:fill="FFFFFF"/>
          </w:tcPr>
          <w:p w:rsidR="00096835" w:rsidRPr="00EE6AF7" w:rsidRDefault="00096835" w:rsidP="00EE6AF7">
            <w:pPr>
              <w:autoSpaceDE w:val="0"/>
              <w:autoSpaceDN w:val="0"/>
              <w:adjustRightInd w:val="0"/>
              <w:spacing w:line="276" w:lineRule="auto"/>
              <w:rPr>
                <w:rFonts w:cs="Arial"/>
              </w:rPr>
            </w:pPr>
            <w:r w:rsidRPr="00EE6AF7">
              <w:rPr>
                <w:rFonts w:cs="Arial"/>
              </w:rPr>
              <w:t>Aquella destinada a financiar las intervenciones que atienden a grupos de la población vulnerable en la que la población indígena representan una fracción importante.</w:t>
            </w:r>
          </w:p>
        </w:tc>
      </w:tr>
    </w:tbl>
    <w:p w:rsidR="00096835" w:rsidRPr="00F0479B" w:rsidRDefault="00096835" w:rsidP="00F0479B">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p>
    <w:p w:rsidR="00096835" w:rsidRPr="006F1AB4" w:rsidRDefault="00096835" w:rsidP="00096835">
      <w:pPr>
        <w:autoSpaceDE w:val="0"/>
        <w:autoSpaceDN w:val="0"/>
        <w:adjustRightInd w:val="0"/>
        <w:spacing w:after="100" w:afterAutospacing="1" w:line="276" w:lineRule="auto"/>
        <w:rPr>
          <w:rFonts w:cs="Arial"/>
          <w:b/>
        </w:rPr>
      </w:pPr>
      <w:r w:rsidRPr="006F1AB4">
        <w:rPr>
          <w:rFonts w:cs="Arial"/>
          <w:b/>
        </w:rPr>
        <w:t>Análisis de Resultados</w:t>
      </w:r>
    </w:p>
    <w:p w:rsidR="00096835" w:rsidRPr="006F1AB4" w:rsidRDefault="00096835" w:rsidP="00096835">
      <w:pPr>
        <w:autoSpaceDE w:val="0"/>
        <w:autoSpaceDN w:val="0"/>
        <w:adjustRightInd w:val="0"/>
        <w:spacing w:before="120" w:after="100" w:afterAutospacing="1" w:line="276" w:lineRule="auto"/>
        <w:rPr>
          <w:rFonts w:cs="Arial"/>
        </w:rPr>
      </w:pPr>
      <w:r w:rsidRPr="006F1AB4">
        <w:rPr>
          <w:rFonts w:cs="Arial"/>
        </w:rPr>
        <w:t>En el Proyecto del Presupuesto de Egresos del 2022, se asignaron 8</w:t>
      </w:r>
      <w:r>
        <w:rPr>
          <w:rFonts w:cs="Arial"/>
        </w:rPr>
        <w:t xml:space="preserve"> mil </w:t>
      </w:r>
      <w:r w:rsidRPr="006F1AB4">
        <w:rPr>
          <w:rFonts w:cs="Arial"/>
        </w:rPr>
        <w:t>910 millones 492 mil 79 pesos a programas y acciones dirigidas al cumplimiento de los derechos del Pueblos Indígenas, lo que representa 19% del total del presupuesto estatal</w:t>
      </w:r>
      <w:r>
        <w:rPr>
          <w:rFonts w:cs="Arial"/>
        </w:rPr>
        <w:t xml:space="preserve"> (gráfica 1)</w:t>
      </w:r>
      <w:r w:rsidRPr="006F1AB4">
        <w:rPr>
          <w:rFonts w:cs="Arial"/>
        </w:rPr>
        <w:t xml:space="preserve"> y 22.07</w:t>
      </w:r>
      <w:r>
        <w:rPr>
          <w:rFonts w:cs="Arial"/>
        </w:rPr>
        <w:t>% del gasto programable.</w:t>
      </w:r>
    </w:p>
    <w:p w:rsidR="00096835" w:rsidRPr="006F1AB4" w:rsidRDefault="00096835" w:rsidP="00096835">
      <w:pPr>
        <w:autoSpaceDE w:val="0"/>
        <w:autoSpaceDN w:val="0"/>
        <w:adjustRightInd w:val="0"/>
        <w:spacing w:after="100" w:afterAutospacing="1" w:line="276" w:lineRule="auto"/>
        <w:jc w:val="center"/>
        <w:rPr>
          <w:rFonts w:cs="Arial"/>
          <w:b/>
        </w:rPr>
      </w:pPr>
      <w:r w:rsidRPr="006F1AB4">
        <w:rPr>
          <w:rFonts w:cs="Arial"/>
          <w:b/>
        </w:rPr>
        <w:t>Gráfica 1. Asignaciones pr</w:t>
      </w:r>
      <w:r>
        <w:rPr>
          <w:rFonts w:cs="Arial"/>
          <w:b/>
        </w:rPr>
        <w:t>esupuestales para la Etnia</w:t>
      </w:r>
    </w:p>
    <w:p w:rsidR="00096835" w:rsidRPr="006F1AB4" w:rsidRDefault="008A5EAC" w:rsidP="00096835">
      <w:pPr>
        <w:autoSpaceDE w:val="0"/>
        <w:autoSpaceDN w:val="0"/>
        <w:adjustRightInd w:val="0"/>
        <w:spacing w:line="276" w:lineRule="auto"/>
        <w:jc w:val="center"/>
        <w:rPr>
          <w:rFonts w:cs="Arial"/>
          <w:b/>
        </w:rPr>
      </w:pPr>
      <w:r w:rsidRPr="00EE6AF7">
        <w:rPr>
          <w:rFonts w:cs="Arial"/>
          <w:noProof/>
          <w:lang w:eastAsia="es-MX"/>
        </w:rPr>
        <w:drawing>
          <wp:inline distT="0" distB="0" distL="0" distR="0">
            <wp:extent cx="7019925" cy="2619375"/>
            <wp:effectExtent l="0" t="0" r="0" b="0"/>
            <wp:docPr id="17"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96835" w:rsidRPr="006F1AB4" w:rsidRDefault="00096835" w:rsidP="00096835">
      <w:pPr>
        <w:autoSpaceDE w:val="0"/>
        <w:autoSpaceDN w:val="0"/>
        <w:adjustRightInd w:val="0"/>
        <w:spacing w:after="100" w:afterAutospacing="1" w:line="276" w:lineRule="auto"/>
        <w:jc w:val="center"/>
        <w:rPr>
          <w:rFonts w:cs="Arial"/>
          <w:i/>
        </w:rPr>
      </w:pPr>
      <w:r w:rsidRPr="006F1AB4">
        <w:rPr>
          <w:rFonts w:cs="Arial"/>
          <w:i/>
        </w:rPr>
        <w:t>Fuente: Elaboración Propia</w:t>
      </w:r>
    </w:p>
    <w:p w:rsidR="00096835" w:rsidRPr="006F1AB4" w:rsidRDefault="00096835" w:rsidP="00096835">
      <w:pPr>
        <w:autoSpaceDE w:val="0"/>
        <w:autoSpaceDN w:val="0"/>
        <w:adjustRightInd w:val="0"/>
        <w:spacing w:after="100" w:afterAutospacing="1" w:line="276" w:lineRule="auto"/>
        <w:rPr>
          <w:rFonts w:cs="Arial"/>
        </w:rPr>
      </w:pPr>
      <w:r>
        <w:rPr>
          <w:rFonts w:cs="Arial"/>
        </w:rPr>
        <w:t xml:space="preserve">En lo que respecta a </w:t>
      </w:r>
      <w:r w:rsidRPr="006F1AB4">
        <w:rPr>
          <w:rFonts w:cs="Arial"/>
        </w:rPr>
        <w:t>los derechos del pueblo indígena, se encontró que el derecho al desarrollo representa</w:t>
      </w:r>
      <w:r>
        <w:rPr>
          <w:rFonts w:cs="Arial"/>
        </w:rPr>
        <w:t xml:space="preserve"> la mayor inversión</w:t>
      </w:r>
      <w:r w:rsidRPr="006F1AB4">
        <w:rPr>
          <w:rFonts w:cs="Arial"/>
        </w:rPr>
        <w:t xml:space="preserve"> con 75.97% del presupuesto; en segundo lugar, </w:t>
      </w:r>
      <w:r>
        <w:rPr>
          <w:rFonts w:cs="Arial"/>
        </w:rPr>
        <w:t>con</w:t>
      </w:r>
      <w:r w:rsidRPr="006F1AB4">
        <w:rPr>
          <w:rFonts w:cs="Arial"/>
        </w:rPr>
        <w:t xml:space="preserve"> </w:t>
      </w:r>
      <w:r>
        <w:rPr>
          <w:rFonts w:cs="Arial"/>
        </w:rPr>
        <w:t>1</w:t>
      </w:r>
      <w:r w:rsidRPr="006F1AB4">
        <w:rPr>
          <w:rFonts w:cs="Arial"/>
        </w:rPr>
        <w:t>3.46% se encuentra el derecho a educación</w:t>
      </w:r>
      <w:r>
        <w:rPr>
          <w:rFonts w:cs="Arial"/>
        </w:rPr>
        <w:t>,</w:t>
      </w:r>
      <w:r w:rsidRPr="006F1AB4">
        <w:rPr>
          <w:rFonts w:cs="Arial"/>
        </w:rPr>
        <w:t xml:space="preserve"> seguido del derecho a la igualdad con 7.80%, </w:t>
      </w:r>
      <w:r>
        <w:rPr>
          <w:rFonts w:cs="Arial"/>
        </w:rPr>
        <w:t>y</w:t>
      </w:r>
      <w:r w:rsidRPr="006F1AB4">
        <w:rPr>
          <w:rFonts w:cs="Arial"/>
        </w:rPr>
        <w:t xml:space="preserve"> </w:t>
      </w:r>
      <w:r>
        <w:rPr>
          <w:rFonts w:cs="Arial"/>
        </w:rPr>
        <w:t>d</w:t>
      </w:r>
      <w:r w:rsidRPr="006F1AB4">
        <w:rPr>
          <w:rFonts w:cs="Arial"/>
        </w:rPr>
        <w:t>el derecho a la tierra y a la utilización de recursos con 2.17%</w:t>
      </w:r>
      <w:r>
        <w:rPr>
          <w:rFonts w:cs="Arial"/>
        </w:rPr>
        <w:t>;</w:t>
      </w:r>
      <w:r w:rsidRPr="006F1AB4">
        <w:rPr>
          <w:rFonts w:cs="Arial"/>
        </w:rPr>
        <w:t xml:space="preserve"> por último, el derecho a la identidad social y cultural con el 0.59% (gráfica 2).</w:t>
      </w:r>
    </w:p>
    <w:p w:rsidR="00096835" w:rsidRPr="006F1AB4" w:rsidRDefault="00096835" w:rsidP="00096835">
      <w:pPr>
        <w:autoSpaceDE w:val="0"/>
        <w:autoSpaceDN w:val="0"/>
        <w:adjustRightInd w:val="0"/>
        <w:spacing w:after="100" w:afterAutospacing="1" w:line="276" w:lineRule="auto"/>
        <w:jc w:val="center"/>
        <w:rPr>
          <w:rFonts w:cs="Arial"/>
          <w:b/>
        </w:rPr>
      </w:pPr>
      <w:r w:rsidRPr="006F1AB4">
        <w:rPr>
          <w:rFonts w:cs="Arial"/>
          <w:b/>
        </w:rPr>
        <w:t xml:space="preserve">Gráfica 2. Distribución del presupuesto para la </w:t>
      </w:r>
      <w:r>
        <w:rPr>
          <w:rFonts w:cs="Arial"/>
          <w:b/>
        </w:rPr>
        <w:t>Etnia</w:t>
      </w:r>
      <w:r w:rsidRPr="006F1AB4">
        <w:rPr>
          <w:rFonts w:cs="Arial"/>
          <w:b/>
        </w:rPr>
        <w:t xml:space="preserve"> según el derecho de los pueblos indígenas</w:t>
      </w:r>
    </w:p>
    <w:p w:rsidR="00096835" w:rsidRPr="006F1AB4" w:rsidRDefault="008A5EAC" w:rsidP="00096835">
      <w:pPr>
        <w:autoSpaceDE w:val="0"/>
        <w:autoSpaceDN w:val="0"/>
        <w:adjustRightInd w:val="0"/>
        <w:spacing w:line="276" w:lineRule="auto"/>
        <w:jc w:val="center"/>
        <w:rPr>
          <w:rFonts w:cs="Arial"/>
          <w:b/>
        </w:rPr>
      </w:pPr>
      <w:r w:rsidRPr="00CF51C3">
        <w:rPr>
          <w:noProof/>
          <w:lang w:eastAsia="es-MX"/>
        </w:rPr>
        <w:drawing>
          <wp:inline distT="0" distB="0" distL="0" distR="0">
            <wp:extent cx="7334250" cy="3836670"/>
            <wp:effectExtent l="0" t="0" r="0" b="0"/>
            <wp:docPr id="18"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96835" w:rsidRPr="006F1AB4" w:rsidRDefault="00096835" w:rsidP="00096835">
      <w:pPr>
        <w:autoSpaceDE w:val="0"/>
        <w:autoSpaceDN w:val="0"/>
        <w:adjustRightInd w:val="0"/>
        <w:spacing w:after="100" w:afterAutospacing="1" w:line="276" w:lineRule="auto"/>
        <w:jc w:val="center"/>
        <w:rPr>
          <w:rFonts w:cs="Arial"/>
          <w:i/>
        </w:rPr>
      </w:pPr>
      <w:r w:rsidRPr="006F1AB4">
        <w:rPr>
          <w:rFonts w:cs="Arial"/>
          <w:i/>
        </w:rPr>
        <w:t>Fuente: Elaboración Propia</w:t>
      </w:r>
    </w:p>
    <w:p w:rsidR="00096835" w:rsidRPr="005534BB" w:rsidRDefault="00096835" w:rsidP="005534BB">
      <w:pPr>
        <w:autoSpaceDE w:val="0"/>
        <w:autoSpaceDN w:val="0"/>
        <w:adjustRightInd w:val="0"/>
        <w:spacing w:after="100" w:afterAutospacing="1" w:line="276" w:lineRule="auto"/>
        <w:rPr>
          <w:rFonts w:cs="Arial"/>
        </w:rPr>
      </w:pPr>
      <w:r>
        <w:rPr>
          <w:rFonts w:cs="Arial"/>
        </w:rPr>
        <w:t xml:space="preserve">A continuación, se presenta el detalle de las temáticas para cada derecho, en este sentido, se observa que, de acuerdo a la temática con mayor asignación de presupuesto, en primer lugar se ubica Acceso a servicios de salud con 64.04%, en segundo lugar acceso a servicios de educación con 9.46% y en tercer lugar Autonomía con un 6.79% de la inversión total </w:t>
      </w:r>
      <w:r w:rsidRPr="006F1AB4">
        <w:rPr>
          <w:rFonts w:cs="Arial"/>
        </w:rPr>
        <w:t>(tabla 3).</w:t>
      </w:r>
    </w:p>
    <w:p w:rsidR="00096835" w:rsidRPr="006F1AB4" w:rsidRDefault="00096835" w:rsidP="00096835">
      <w:pPr>
        <w:autoSpaceDE w:val="0"/>
        <w:autoSpaceDN w:val="0"/>
        <w:adjustRightInd w:val="0"/>
        <w:spacing w:after="100" w:afterAutospacing="1" w:line="276" w:lineRule="auto"/>
        <w:jc w:val="center"/>
        <w:rPr>
          <w:rFonts w:cs="Arial"/>
        </w:rPr>
      </w:pPr>
      <w:r w:rsidRPr="006F1AB4">
        <w:rPr>
          <w:rFonts w:cs="Arial"/>
          <w:b/>
        </w:rPr>
        <w:t>Tabla 3. Clasificación por derecho del pueblo indígena</w:t>
      </w:r>
    </w:p>
    <w:tbl>
      <w:tblPr>
        <w:tblW w:w="4698" w:type="pct"/>
        <w:jc w:val="center"/>
        <w:tblLayout w:type="fixed"/>
        <w:tblCellMar>
          <w:left w:w="70" w:type="dxa"/>
          <w:right w:w="70" w:type="dxa"/>
        </w:tblCellMar>
        <w:tblLook w:val="04A0" w:firstRow="1" w:lastRow="0" w:firstColumn="1" w:lastColumn="0" w:noHBand="0" w:noVBand="1"/>
      </w:tblPr>
      <w:tblGrid>
        <w:gridCol w:w="4370"/>
        <w:gridCol w:w="4247"/>
        <w:gridCol w:w="1869"/>
      </w:tblGrid>
      <w:tr w:rsidR="005534BB" w:rsidRPr="00EE6AF7" w:rsidTr="005534BB">
        <w:trPr>
          <w:trHeight w:val="315"/>
          <w:tblHeader/>
          <w:jc w:val="center"/>
        </w:trPr>
        <w:tc>
          <w:tcPr>
            <w:tcW w:w="2084" w:type="pct"/>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cs="Arial"/>
                <w:b/>
                <w:color w:val="FFFFFF"/>
              </w:rPr>
              <w:t>Derechos de los Pueblos Indígenas</w:t>
            </w:r>
          </w:p>
        </w:tc>
        <w:tc>
          <w:tcPr>
            <w:tcW w:w="2024" w:type="pct"/>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Temática Específica</w:t>
            </w:r>
          </w:p>
        </w:tc>
        <w:tc>
          <w:tcPr>
            <w:tcW w:w="891" w:type="pct"/>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740753" w:rsidRPr="00EE6AF7" w:rsidTr="005534BB">
        <w:trPr>
          <w:trHeight w:val="315"/>
          <w:jc w:val="center"/>
        </w:trPr>
        <w:tc>
          <w:tcPr>
            <w:tcW w:w="2084" w:type="pct"/>
            <w:vMerge w:val="restart"/>
            <w:tcBorders>
              <w:top w:val="single" w:sz="4" w:space="0" w:color="auto"/>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 la igualdad</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27,216,494</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Trato digno</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312,359,464</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Inclusión</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355,248,803</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Respeto</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600,000</w:t>
            </w:r>
          </w:p>
        </w:tc>
      </w:tr>
      <w:tr w:rsidR="00740753" w:rsidRPr="00EE6AF7" w:rsidTr="005534BB">
        <w:trPr>
          <w:trHeight w:val="448"/>
          <w:jc w:val="center"/>
        </w:trPr>
        <w:tc>
          <w:tcPr>
            <w:tcW w:w="2084" w:type="pct"/>
            <w:vMerge w:val="restart"/>
            <w:tcBorders>
              <w:top w:val="single" w:sz="4" w:space="0" w:color="auto"/>
              <w:left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 la identidad social y cultural</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Protección</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13,001,004</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17,635,083</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Preservación</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22,118,655</w:t>
            </w:r>
          </w:p>
        </w:tc>
      </w:tr>
      <w:tr w:rsidR="00740753" w:rsidRPr="00EE6AF7" w:rsidTr="005534BB">
        <w:trPr>
          <w:trHeight w:val="315"/>
          <w:jc w:val="center"/>
        </w:trPr>
        <w:tc>
          <w:tcPr>
            <w:tcW w:w="2084" w:type="pct"/>
            <w:vMerge w:val="restart"/>
            <w:tcBorders>
              <w:top w:val="single" w:sz="4" w:space="0" w:color="auto"/>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al desarrollo</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 a servicios de salud</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5,706,693,492</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Deportes, recreación y cultura</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14,450,005</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Urbanización y desarrollo regional</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447,634,989</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Autonomía</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600,905,231</w:t>
            </w:r>
          </w:p>
        </w:tc>
      </w:tr>
      <w:tr w:rsidR="00740753" w:rsidRPr="00EE6AF7" w:rsidTr="005534BB">
        <w:trPr>
          <w:trHeight w:val="315"/>
          <w:jc w:val="center"/>
        </w:trPr>
        <w:tc>
          <w:tcPr>
            <w:tcW w:w="2084" w:type="pct"/>
            <w:vMerge w:val="restart"/>
            <w:tcBorders>
              <w:top w:val="single" w:sz="4" w:space="0" w:color="auto"/>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 la tierra y a la utilización de recursos</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Actividades</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29,291,640</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Trabajo digno</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158,000,000</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Artesanías</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6,015,204</w:t>
            </w:r>
          </w:p>
        </w:tc>
      </w:tr>
      <w:tr w:rsidR="00740753" w:rsidRPr="00EE6AF7" w:rsidTr="005534BB">
        <w:trPr>
          <w:trHeight w:val="315"/>
          <w:jc w:val="center"/>
        </w:trPr>
        <w:tc>
          <w:tcPr>
            <w:tcW w:w="2084" w:type="pct"/>
            <w:vMerge w:val="restart"/>
            <w:tcBorders>
              <w:top w:val="single" w:sz="4" w:space="0" w:color="auto"/>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 la educación</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 a servicios de educación</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843,106,227</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bottom"/>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Permanencia</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19,635,045</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bottom"/>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Calidad</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336,580,743</w:t>
            </w:r>
          </w:p>
        </w:tc>
      </w:tr>
      <w:tr w:rsidR="00740753" w:rsidRPr="00EE6AF7" w:rsidTr="005534BB">
        <w:trPr>
          <w:trHeight w:val="315"/>
          <w:jc w:val="center"/>
        </w:trPr>
        <w:tc>
          <w:tcPr>
            <w:tcW w:w="4109" w:type="pct"/>
            <w:gridSpan w:val="2"/>
            <w:tcBorders>
              <w:top w:val="single" w:sz="4" w:space="0" w:color="auto"/>
              <w:left w:val="single" w:sz="4" w:space="0" w:color="auto"/>
              <w:bottom w:val="single" w:sz="4" w:space="0" w:color="auto"/>
              <w:right w:val="single" w:sz="4" w:space="0" w:color="auto"/>
            </w:tcBorders>
            <w:shd w:val="clear" w:color="auto" w:fill="4B4B4B"/>
            <w:noWrap/>
            <w:vAlign w:val="bottom"/>
            <w:hideMark/>
          </w:tcPr>
          <w:p w:rsidR="00096835" w:rsidRPr="00EE6AF7" w:rsidRDefault="00096835" w:rsidP="0056150B">
            <w:pPr>
              <w:jc w:val="center"/>
              <w:rPr>
                <w:rFonts w:cs="Arial"/>
                <w:b/>
                <w:color w:val="FFFFFF"/>
              </w:rPr>
            </w:pPr>
            <w:r w:rsidRPr="00EE6AF7">
              <w:rPr>
                <w:rFonts w:cs="Arial"/>
                <w:b/>
                <w:color w:val="FFFFFF"/>
              </w:rPr>
              <w:t>Total general</w:t>
            </w:r>
          </w:p>
        </w:tc>
        <w:tc>
          <w:tcPr>
            <w:tcW w:w="891" w:type="pct"/>
            <w:tcBorders>
              <w:top w:val="single" w:sz="4" w:space="0" w:color="auto"/>
              <w:left w:val="single" w:sz="4" w:space="0" w:color="auto"/>
              <w:bottom w:val="single" w:sz="4" w:space="0" w:color="auto"/>
              <w:right w:val="single" w:sz="4" w:space="0" w:color="auto"/>
            </w:tcBorders>
            <w:shd w:val="clear" w:color="auto" w:fill="4B4B4B"/>
            <w:noWrap/>
            <w:vAlign w:val="bottom"/>
            <w:hideMark/>
          </w:tcPr>
          <w:p w:rsidR="00096835" w:rsidRPr="00EE6AF7" w:rsidRDefault="00096835" w:rsidP="0056150B">
            <w:pPr>
              <w:jc w:val="right"/>
              <w:rPr>
                <w:rFonts w:cs="Arial"/>
                <w:b/>
                <w:color w:val="FFFFFF"/>
              </w:rPr>
            </w:pPr>
            <w:r w:rsidRPr="00EE6AF7">
              <w:rPr>
                <w:rFonts w:cs="Arial"/>
                <w:b/>
                <w:color w:val="FFFFFF"/>
              </w:rPr>
              <w:t>8,910,492,079</w:t>
            </w:r>
          </w:p>
        </w:tc>
      </w:tr>
    </w:tbl>
    <w:p w:rsidR="00096835" w:rsidRPr="006F1AB4" w:rsidRDefault="00096835" w:rsidP="00096835">
      <w:pPr>
        <w:autoSpaceDE w:val="0"/>
        <w:autoSpaceDN w:val="0"/>
        <w:adjustRightInd w:val="0"/>
        <w:spacing w:before="120" w:after="100" w:afterAutospacing="1" w:line="276" w:lineRule="auto"/>
        <w:jc w:val="center"/>
        <w:rPr>
          <w:rFonts w:cs="Arial"/>
          <w:i/>
        </w:rPr>
      </w:pPr>
      <w:r w:rsidRPr="006F1AB4">
        <w:rPr>
          <w:rFonts w:cs="Arial"/>
          <w:i/>
        </w:rPr>
        <w:t>Fuente: Elaboración propia</w:t>
      </w:r>
    </w:p>
    <w:p w:rsidR="00096835" w:rsidRPr="006F1AB4" w:rsidRDefault="00096835" w:rsidP="00096835">
      <w:pPr>
        <w:autoSpaceDE w:val="0"/>
        <w:autoSpaceDN w:val="0"/>
        <w:adjustRightInd w:val="0"/>
        <w:spacing w:after="100" w:afterAutospacing="1" w:line="276" w:lineRule="auto"/>
        <w:rPr>
          <w:rFonts w:eastAsia="Arial" w:cs="Arial"/>
        </w:rPr>
      </w:pPr>
      <w:r>
        <w:rPr>
          <w:rFonts w:cs="Arial"/>
        </w:rPr>
        <w:t xml:space="preserve">En cuanto a </w:t>
      </w:r>
      <w:r w:rsidRPr="006F1AB4">
        <w:rPr>
          <w:rFonts w:cs="Arial"/>
        </w:rPr>
        <w:t xml:space="preserve">la clasificación por especificidad de la inversión, </w:t>
      </w:r>
      <w:r>
        <w:rPr>
          <w:rFonts w:cs="Arial"/>
        </w:rPr>
        <w:t xml:space="preserve">esta </w:t>
      </w:r>
      <w:r w:rsidRPr="006F1AB4">
        <w:rPr>
          <w:rFonts w:cs="Arial"/>
        </w:rPr>
        <w:t>permite conocer su orientación de acuerdo a la población objetivo a la que se diri</w:t>
      </w:r>
      <w:r>
        <w:rPr>
          <w:rFonts w:cs="Arial"/>
        </w:rPr>
        <w:t xml:space="preserve">gen las intervenciones públicas. </w:t>
      </w:r>
      <w:r w:rsidRPr="006F1AB4">
        <w:rPr>
          <w:rFonts w:eastAsia="Arial" w:cs="Arial"/>
        </w:rPr>
        <w:t xml:space="preserve">La mayor </w:t>
      </w:r>
      <w:r>
        <w:rPr>
          <w:rFonts w:eastAsia="Arial" w:cs="Arial"/>
        </w:rPr>
        <w:t xml:space="preserve">contribución </w:t>
      </w:r>
      <w:r w:rsidRPr="006F1AB4">
        <w:rPr>
          <w:rFonts w:eastAsia="Arial" w:cs="Arial"/>
        </w:rPr>
        <w:t xml:space="preserve">se refleja en la “inversión </w:t>
      </w:r>
      <w:r>
        <w:rPr>
          <w:rFonts w:eastAsia="Arial" w:cs="Arial"/>
        </w:rPr>
        <w:t>a</w:t>
      </w:r>
      <w:r w:rsidRPr="006F1AB4">
        <w:rPr>
          <w:rFonts w:eastAsia="Arial" w:cs="Arial"/>
        </w:rPr>
        <w:t xml:space="preserve">géntica o indirecta”, lo que representa 47.01% de las erogaciones para la </w:t>
      </w:r>
      <w:r>
        <w:rPr>
          <w:rFonts w:eastAsia="Arial" w:cs="Arial"/>
        </w:rPr>
        <w:t>E</w:t>
      </w:r>
      <w:r w:rsidRPr="006F1AB4">
        <w:rPr>
          <w:rFonts w:eastAsia="Arial" w:cs="Arial"/>
        </w:rPr>
        <w:t xml:space="preserve">tnia; por su parte, la inversión específica o directa representa 43.60% del total (gráfica 3). </w:t>
      </w:r>
    </w:p>
    <w:p w:rsidR="00096835" w:rsidRPr="006F1AB4" w:rsidRDefault="00096835" w:rsidP="00096835">
      <w:pPr>
        <w:autoSpaceDE w:val="0"/>
        <w:autoSpaceDN w:val="0"/>
        <w:adjustRightInd w:val="0"/>
        <w:spacing w:after="100" w:afterAutospacing="1" w:line="276" w:lineRule="auto"/>
        <w:jc w:val="center"/>
        <w:rPr>
          <w:rFonts w:cs="Arial"/>
          <w:b/>
        </w:rPr>
      </w:pPr>
      <w:r w:rsidRPr="006F1AB4">
        <w:rPr>
          <w:rFonts w:cs="Arial"/>
          <w:b/>
        </w:rPr>
        <w:t xml:space="preserve">Gráfica 3. Distribución </w:t>
      </w:r>
      <w:r w:rsidR="00120FB2" w:rsidRPr="006F1AB4">
        <w:rPr>
          <w:rFonts w:cs="Arial"/>
          <w:b/>
        </w:rPr>
        <w:t>de acuerdo con</w:t>
      </w:r>
      <w:r w:rsidRPr="006F1AB4">
        <w:rPr>
          <w:rFonts w:cs="Arial"/>
          <w:b/>
        </w:rPr>
        <w:t xml:space="preserve"> la especificidad de la inversión</w:t>
      </w:r>
    </w:p>
    <w:p w:rsidR="00096835" w:rsidRPr="006F1AB4" w:rsidRDefault="008A5EAC" w:rsidP="00096835">
      <w:pPr>
        <w:autoSpaceDE w:val="0"/>
        <w:autoSpaceDN w:val="0"/>
        <w:adjustRightInd w:val="0"/>
        <w:spacing w:line="276" w:lineRule="auto"/>
        <w:jc w:val="center"/>
        <w:rPr>
          <w:rFonts w:cs="Arial"/>
          <w:b/>
        </w:rPr>
      </w:pPr>
      <w:r w:rsidRPr="00CF51C3">
        <w:rPr>
          <w:noProof/>
          <w:lang w:eastAsia="es-MX"/>
        </w:rPr>
        <w:drawing>
          <wp:inline distT="0" distB="0" distL="0" distR="0">
            <wp:extent cx="7275195" cy="3026410"/>
            <wp:effectExtent l="0" t="0" r="0" b="0"/>
            <wp:docPr id="19"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96835" w:rsidRPr="006F1AB4" w:rsidRDefault="00096835" w:rsidP="00096835">
      <w:pPr>
        <w:autoSpaceDE w:val="0"/>
        <w:autoSpaceDN w:val="0"/>
        <w:adjustRightInd w:val="0"/>
        <w:spacing w:after="100" w:afterAutospacing="1" w:line="276" w:lineRule="auto"/>
        <w:jc w:val="center"/>
        <w:rPr>
          <w:rFonts w:cs="Arial"/>
          <w:i/>
        </w:rPr>
      </w:pPr>
      <w:r w:rsidRPr="006F1AB4">
        <w:rPr>
          <w:rFonts w:cs="Arial"/>
          <w:i/>
        </w:rPr>
        <w:t>Fuente: Elaboración Propia</w:t>
      </w:r>
    </w:p>
    <w:p w:rsidR="00096835" w:rsidRPr="00120FB2" w:rsidRDefault="00096835" w:rsidP="00120FB2">
      <w:pPr>
        <w:spacing w:before="100" w:beforeAutospacing="1" w:after="100" w:afterAutospacing="1" w:line="276" w:lineRule="auto"/>
        <w:rPr>
          <w:rFonts w:eastAsia="Arial" w:cs="Arial"/>
        </w:rPr>
      </w:pPr>
      <w:r>
        <w:rPr>
          <w:rFonts w:eastAsia="Arial" w:cs="Arial"/>
        </w:rPr>
        <w:t xml:space="preserve">Las </w:t>
      </w:r>
      <w:r w:rsidRPr="006F1AB4">
        <w:rPr>
          <w:rFonts w:eastAsia="Arial" w:cs="Arial"/>
        </w:rPr>
        <w:t xml:space="preserve">erogaciones presupuestales </w:t>
      </w:r>
      <w:r>
        <w:rPr>
          <w:rFonts w:eastAsia="Arial" w:cs="Arial"/>
        </w:rPr>
        <w:t xml:space="preserve">destinadas a la etnia </w:t>
      </w:r>
      <w:r w:rsidRPr="006F1AB4">
        <w:rPr>
          <w:rFonts w:eastAsia="Arial" w:cs="Arial"/>
        </w:rPr>
        <w:t>se distribuyen en 63 programas presupuestarios</w:t>
      </w:r>
      <w:r>
        <w:rPr>
          <w:rFonts w:eastAsia="Arial" w:cs="Arial"/>
        </w:rPr>
        <w:t xml:space="preserve"> que serán ejecutados por</w:t>
      </w:r>
      <w:r w:rsidRPr="006F1AB4">
        <w:rPr>
          <w:rFonts w:eastAsia="Arial" w:cs="Arial"/>
        </w:rPr>
        <w:t xml:space="preserve"> 38 dependencias y entidades </w:t>
      </w:r>
      <w:r>
        <w:rPr>
          <w:rFonts w:eastAsia="Arial" w:cs="Arial"/>
        </w:rPr>
        <w:t>de la administración pública estatal (tablas 4 y 5)</w:t>
      </w:r>
      <w:r w:rsidRPr="006F1AB4">
        <w:rPr>
          <w:rFonts w:eastAsia="Arial" w:cs="Arial"/>
        </w:rPr>
        <w:t>.</w:t>
      </w:r>
    </w:p>
    <w:p w:rsidR="00096835" w:rsidRPr="006F1AB4" w:rsidRDefault="00096835" w:rsidP="00096835">
      <w:pPr>
        <w:autoSpaceDE w:val="0"/>
        <w:autoSpaceDN w:val="0"/>
        <w:adjustRightInd w:val="0"/>
        <w:spacing w:after="100" w:afterAutospacing="1" w:line="276" w:lineRule="auto"/>
        <w:jc w:val="center"/>
        <w:rPr>
          <w:rFonts w:cs="Arial"/>
          <w:b/>
        </w:rPr>
      </w:pPr>
      <w:r w:rsidRPr="006F1AB4">
        <w:rPr>
          <w:rFonts w:cs="Arial"/>
          <w:b/>
        </w:rPr>
        <w:t>Tabla 4. Asignación presupuestal por programa</w:t>
      </w:r>
    </w:p>
    <w:tbl>
      <w:tblPr>
        <w:tblW w:w="10910" w:type="dxa"/>
        <w:tblCellMar>
          <w:left w:w="70" w:type="dxa"/>
          <w:right w:w="70" w:type="dxa"/>
        </w:tblCellMar>
        <w:tblLook w:val="04A0" w:firstRow="1" w:lastRow="0" w:firstColumn="1" w:lastColumn="0" w:noHBand="0" w:noVBand="1"/>
      </w:tblPr>
      <w:tblGrid>
        <w:gridCol w:w="1888"/>
        <w:gridCol w:w="4061"/>
        <w:gridCol w:w="1701"/>
        <w:gridCol w:w="1842"/>
        <w:gridCol w:w="1418"/>
      </w:tblGrid>
      <w:tr w:rsidR="00096835" w:rsidRPr="00EE6AF7" w:rsidTr="00120FB2">
        <w:trPr>
          <w:trHeight w:val="900"/>
          <w:tblHeader/>
        </w:trPr>
        <w:tc>
          <w:tcPr>
            <w:tcW w:w="1888"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Número de Programa Presupuestario</w:t>
            </w:r>
          </w:p>
        </w:tc>
        <w:tc>
          <w:tcPr>
            <w:tcW w:w="4061" w:type="dxa"/>
            <w:tcBorders>
              <w:top w:val="single" w:sz="4" w:space="0" w:color="auto"/>
              <w:left w:val="nil"/>
              <w:bottom w:val="single" w:sz="4" w:space="0" w:color="auto"/>
              <w:right w:val="single" w:sz="4" w:space="0" w:color="auto"/>
            </w:tcBorders>
            <w:shd w:val="clear" w:color="auto" w:fill="4B4B4B"/>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Nombre del Programa Presupuestario</w:t>
            </w:r>
          </w:p>
        </w:tc>
        <w:tc>
          <w:tcPr>
            <w:tcW w:w="1701" w:type="dxa"/>
            <w:tcBorders>
              <w:top w:val="single" w:sz="4" w:space="0" w:color="auto"/>
              <w:left w:val="nil"/>
              <w:bottom w:val="single" w:sz="4" w:space="0" w:color="auto"/>
              <w:right w:val="single" w:sz="4" w:space="0" w:color="auto"/>
            </w:tcBorders>
            <w:shd w:val="clear" w:color="auto" w:fill="4B4B4B"/>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Importe PP (pesos)</w:t>
            </w:r>
          </w:p>
        </w:tc>
        <w:tc>
          <w:tcPr>
            <w:tcW w:w="1842" w:type="dxa"/>
            <w:tcBorders>
              <w:top w:val="single" w:sz="4" w:space="0" w:color="auto"/>
              <w:left w:val="nil"/>
              <w:bottom w:val="single" w:sz="4" w:space="0" w:color="auto"/>
              <w:right w:val="single" w:sz="4" w:space="0" w:color="auto"/>
            </w:tcBorders>
            <w:shd w:val="clear" w:color="auto" w:fill="4B4B4B"/>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Importe Inversión Etnia</w:t>
            </w:r>
            <w:r w:rsidRPr="00EE6AF7">
              <w:rPr>
                <w:rFonts w:eastAsia="Times New Roman" w:cs="Arial"/>
                <w:b/>
                <w:bCs/>
                <w:color w:val="FFFFFF"/>
                <w:lang w:eastAsia="es-MX"/>
              </w:rPr>
              <w:br/>
              <w:t>(pesos)</w:t>
            </w:r>
          </w:p>
        </w:tc>
        <w:tc>
          <w:tcPr>
            <w:tcW w:w="1418" w:type="dxa"/>
            <w:tcBorders>
              <w:top w:val="single" w:sz="4" w:space="0" w:color="auto"/>
              <w:left w:val="nil"/>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403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a Víctimas de Violencia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16,393,761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892,985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5.45%</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404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Asistencia Jurídica al Sector Público y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108,268,876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16,185,749</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14.95%</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406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a Migrantes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116,654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116,654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412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Reinserción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260,926,579</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142,707,950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54.69%</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414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del Delito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35,962,023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1.67%</w:t>
            </w:r>
          </w:p>
        </w:tc>
      </w:tr>
      <w:tr w:rsidR="00096835" w:rsidRPr="00EE6AF7" w:rsidTr="00120FB2">
        <w:trPr>
          <w:trHeight w:val="446"/>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415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Certeza Jurídica de Identidad y Patrimonio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113,557,261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4,746,657</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4.18%</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427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Desarrollo Urbano y Ordenamiento Territorial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207,210,925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46,000,000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22.20%</w:t>
            </w:r>
          </w:p>
        </w:tc>
      </w:tr>
      <w:tr w:rsidR="00096835" w:rsidRPr="00EE6AF7" w:rsidTr="00120FB2">
        <w:trPr>
          <w:trHeight w:val="788"/>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429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Ampliación de la Cobertura para Acceso a los Servicios Básicos de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172,829,836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157,315,400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91.02%</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430</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del Embarazo en Adolescentes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6,214,591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5,074,964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81.66%</w:t>
            </w:r>
          </w:p>
        </w:tc>
      </w:tr>
      <w:tr w:rsidR="00096835" w:rsidRPr="00EE6AF7" w:rsidTr="00120FB2">
        <w:trPr>
          <w:trHeight w:val="665"/>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Control de VIH, SIDA e Infecciones de Transmisión Sexual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8,124,890</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8,124,890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89"/>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 Prevención y Atención Integral de la Salud Mental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19,869,688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19,869,688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416"/>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Mitigación de Riesgos Sanitarios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153,098,375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153,098,375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Promoción de la Salud en la Comunidad</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12,726,868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12,677,868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99.61%</w:t>
            </w:r>
          </w:p>
        </w:tc>
      </w:tr>
      <w:tr w:rsidR="00096835" w:rsidRPr="00EE6AF7" w:rsidTr="00120FB2">
        <w:trPr>
          <w:trHeight w:val="769"/>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Control de Enfermedades Transmitidas por Vector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205,782,433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205,782,433</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Control de Enfermedades Zoonóticas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6,384,935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6,384,935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Vigilancia Epidemiológica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6,869,534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6,869,534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438</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Mejora de la Calidad de los Servicios de Salud</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78,543,552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60,524,408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77.06%</w:t>
            </w:r>
          </w:p>
        </w:tc>
      </w:tr>
      <w:tr w:rsidR="00096835" w:rsidRPr="00EE6AF7" w:rsidTr="00120FB2">
        <w:trPr>
          <w:trHeight w:val="12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 Prevención y Atención Integral de Enfermedades Relacionadas con la Nutrición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29,243,168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26,114,360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89.30%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440</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Integral a la Salud Reproductiva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195,249,595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193,624,711</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99.17%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Prestación de Servicios de Salud a la Infancia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84,450,927</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70,220,498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83.15%</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Gestión Eficiente de las Instituciones del Sector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2,681,570,223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168,892,805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6.30%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Cobertura con Equidad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8,490,036,526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654,922,282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7.71%</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Gestión Escolar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15,550,634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15,550,634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 y Permanencia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179,511,626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36,684,672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20.44%</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Educativa en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719,497,884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250,790,351</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34.86%</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448</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 y Permanencia en Educación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367,230,043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19,247,870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5.24%</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del Rezago Educativo y Analfabetismo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192,710,864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1,990,656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1.03%</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450</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Desarrollo del Servicio Profesional Docente</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1,421,582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1,421,582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Integral en Alimentación a Personas Sujetas de Asistencia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285,799,508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270,314,141</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94.58%</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 de Calidad y Espacios en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282,390,241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251,753,589</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89.15%</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Reducción de las Brechas Sociales de los Pueblos Indígenas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12,962,205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12,962,205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1142"/>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Otorgamiento de Prestaciones para la Seguridad Social de los Trabajadores del Gobierno del Estado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749,993,164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620,139,973</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82.69%</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Prestación de Servicios de Salud</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4,525,632,478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4,525,147,856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99.99%</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Impulso al Deporte de Alto Rendimiento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53,784,930</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13,000,804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24.17%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458</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de la Cultura Física y Recreación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157,222,317</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7,243,962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4.61%</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y Difusión de la Cultura Tradicional Yucateca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41,556,047</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16,718,762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40.23%</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a la Creación y Manifestación Artística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96,448,457</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0.47%</w:t>
            </w:r>
          </w:p>
        </w:tc>
      </w:tr>
      <w:tr w:rsidR="00096835" w:rsidRPr="00EE6AF7" w:rsidTr="00120FB2">
        <w:trPr>
          <w:trHeight w:val="1059"/>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Preservación, Fomento y Difusión del Patrimonio Histórico, Artístico y Biocultural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233,697,926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0.02%</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Implementación de Políticas Contra el Cambio Climático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9,726,112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0.31%</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Restauración y Conservación de los Ecosistemas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23,925,511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3.50%</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Dotación de Agua Potable y Saneamiento de Aguas Residuales Domésticas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298,032,096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183,352,736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61.52%</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Preservación de la Calidad del Agua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102,875,849</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36,712,616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32.24%</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Integral a Personas con Discapacidad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41,992,975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8,224,984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19.59%</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Atención Integral del Cáncer en la Mujer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4,373,708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4,373,708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y Desarrollo de las Organizaciones Sociales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33,364,966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2,509,337</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7.52%</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Asistencia Social a Personas Vulnerables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146,195,132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36,281,799</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24.82%</w:t>
            </w:r>
          </w:p>
        </w:tc>
      </w:tr>
      <w:tr w:rsidR="00096835" w:rsidRPr="00EE6AF7" w:rsidTr="00120FB2">
        <w:trPr>
          <w:trHeight w:val="12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 y Restitución de Derechos de Niñas, Niños y Adolescentes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153,463,982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51,676,482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33.67%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Autonomía y Empoderamiento de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23,144,276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11,727,408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50.67%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Atención a las Violencias contra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142,796,779</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98,350,435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68.87%</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Fortalecimiento de las Instituciones de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172,066,226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43,733,423</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25.42%</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Mejoramiento de la Calidad en Instituciones de Educación Superior Públicas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290,254,986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11,614,140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Eficiencia Terminal en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121,614,445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77,875,046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64.03%</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Formación de Capital Humano en Áreas Estratégicas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450,000</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491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Mejoramiento de la Infraestructura Urbana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373,776,273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55,230,240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14.78%</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499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Empleo de Calidad, Incluyente y Formal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17,800,558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1,104,996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6.21%</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501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del Sector Agropecuario y Agroindustrial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235,571,046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158,000,000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67.07%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502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Mejoramiento Genético de la Producción Pecuaria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27,361,662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20,000,000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73.09%</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510</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al Autoempleo para la Población en Situación de Vulnerabilidad</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4,015,876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4,015,876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Fortalecimiento al Conocimiento Científico, Tecnológico e Innovación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30,006,071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7,583,835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25.27%</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Vinculación, Promoción y Gestión con el Sector Productivo y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6,644,016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1,814,391</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27.31%</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Construcción, Modernización y Conservación de las Vías de Comunicación Terrestre</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138,743,251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82,628,848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59.56%</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Fortalecimiento a la Movilidad Sustentable</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168,833,789</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7,692,572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4.56%</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Conectividad e Infraestructura para Servicios Gubernamentales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142,541,556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500,004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0.35%</w:t>
            </w:r>
          </w:p>
        </w:tc>
      </w:tr>
    </w:tbl>
    <w:p w:rsidR="00096835" w:rsidRPr="006F1AB4" w:rsidRDefault="00096835" w:rsidP="00096835">
      <w:pPr>
        <w:autoSpaceDE w:val="0"/>
        <w:autoSpaceDN w:val="0"/>
        <w:adjustRightInd w:val="0"/>
        <w:spacing w:before="120" w:after="100" w:afterAutospacing="1" w:line="276" w:lineRule="auto"/>
        <w:jc w:val="center"/>
        <w:rPr>
          <w:rFonts w:cs="Arial"/>
          <w:i/>
        </w:rPr>
      </w:pPr>
      <w:r w:rsidRPr="006F1AB4">
        <w:rPr>
          <w:rFonts w:cs="Arial"/>
          <w:i/>
        </w:rPr>
        <w:t>Fuente: Elaboración Propia</w:t>
      </w:r>
    </w:p>
    <w:p w:rsidR="00096835" w:rsidRPr="006F1AB4" w:rsidRDefault="00096835" w:rsidP="00096835">
      <w:pPr>
        <w:autoSpaceDE w:val="0"/>
        <w:autoSpaceDN w:val="0"/>
        <w:adjustRightInd w:val="0"/>
        <w:spacing w:after="100" w:afterAutospacing="1" w:line="276" w:lineRule="auto"/>
        <w:jc w:val="center"/>
        <w:rPr>
          <w:rFonts w:cs="Arial"/>
        </w:rPr>
      </w:pPr>
      <w:r w:rsidRPr="006F1AB4">
        <w:rPr>
          <w:rFonts w:eastAsia="Arial" w:cs="Arial"/>
          <w:b/>
          <w:bCs/>
          <w:w w:val="103"/>
        </w:rPr>
        <w:t xml:space="preserve">Tabla </w:t>
      </w:r>
      <w:r>
        <w:rPr>
          <w:rFonts w:eastAsia="Arial" w:cs="Arial"/>
          <w:b/>
          <w:bCs/>
          <w:w w:val="103"/>
        </w:rPr>
        <w:t>5</w:t>
      </w:r>
      <w:r w:rsidRPr="006F1AB4">
        <w:rPr>
          <w:rFonts w:eastAsia="Arial" w:cs="Arial"/>
          <w:b/>
          <w:bCs/>
          <w:w w:val="103"/>
        </w:rPr>
        <w:t>. Asignación presupuestal por institución</w:t>
      </w:r>
    </w:p>
    <w:tbl>
      <w:tblPr>
        <w:tblW w:w="4745" w:type="dxa"/>
        <w:jc w:val="center"/>
        <w:tblCellMar>
          <w:left w:w="70" w:type="dxa"/>
          <w:right w:w="70" w:type="dxa"/>
        </w:tblCellMar>
        <w:tblLook w:val="04A0" w:firstRow="1" w:lastRow="0" w:firstColumn="1" w:lastColumn="0" w:noHBand="0" w:noVBand="1"/>
      </w:tblPr>
      <w:tblGrid>
        <w:gridCol w:w="2405"/>
        <w:gridCol w:w="2340"/>
      </w:tblGrid>
      <w:tr w:rsidR="00096835" w:rsidRPr="00EE6AF7" w:rsidTr="00120FB2">
        <w:trPr>
          <w:trHeight w:val="315"/>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Institución</w:t>
            </w:r>
          </w:p>
        </w:tc>
        <w:tc>
          <w:tcPr>
            <w:tcW w:w="2340"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Inversión Etnia</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APBPY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352,732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CAEY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5,371,800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CECYTEY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97,976,156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COBAY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22,477,056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CONALEP</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130,337,139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DIF</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354,100,549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ESAY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45,000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HAM</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63,700,834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HCP</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39,338,243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HCT</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13,705,000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ICATEY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1,104,996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IDEY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20,244,766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IMDUT</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7,692,572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INCAY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137,859,088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INDEMAYA</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13,403,411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INSEJUPY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4,746,657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ISSTEY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620,139,973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ITSM</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12,181,754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ITSS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11,153,575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ITSV</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9,387,041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IVEY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399,465,589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JAPAY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275,478,852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SDS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800,000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SEDECULTA</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1,200,658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SEDER</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195,900,000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SEDESOL</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218,225,435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SEGEY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728,427,040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SEMUJERES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32,331,456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SGG</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159,131,926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SIIES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31,177,397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SSY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5,213,500,564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STY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7,668,031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UNO</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29,984,690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UPY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1,250,109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UTC</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9,469,039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UTM PETO</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7,184,941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UTP</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1,620,563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UTRS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32,357,447 </w:t>
            </w:r>
          </w:p>
        </w:tc>
      </w:tr>
      <w:tr w:rsidR="00096835" w:rsidRPr="00EE6AF7" w:rsidTr="00120FB2">
        <w:trPr>
          <w:trHeight w:val="455"/>
          <w:jc w:val="center"/>
        </w:trPr>
        <w:tc>
          <w:tcPr>
            <w:tcW w:w="2405"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rPr>
                <w:rFonts w:eastAsia="Times New Roman" w:cs="Arial"/>
                <w:b/>
                <w:bCs/>
                <w:color w:val="FFFFFF"/>
                <w:lang w:eastAsia="es-MX"/>
              </w:rPr>
            </w:pPr>
            <w:r w:rsidRPr="00EE6AF7">
              <w:rPr>
                <w:rFonts w:eastAsia="Times New Roman" w:cs="Arial"/>
                <w:b/>
                <w:bCs/>
                <w:color w:val="FFFFFF"/>
                <w:lang w:eastAsia="es-MX"/>
              </w:rPr>
              <w:t>Total general</w:t>
            </w:r>
          </w:p>
        </w:tc>
        <w:tc>
          <w:tcPr>
            <w:tcW w:w="2340"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right"/>
              <w:rPr>
                <w:rFonts w:eastAsia="Times New Roman" w:cs="Arial"/>
                <w:b/>
                <w:bCs/>
                <w:color w:val="FFFFFF"/>
                <w:lang w:eastAsia="es-MX"/>
              </w:rPr>
            </w:pPr>
            <w:r w:rsidRPr="00EE6AF7">
              <w:rPr>
                <w:rFonts w:eastAsia="Times New Roman" w:cs="Arial"/>
                <w:b/>
                <w:bCs/>
                <w:color w:val="FFFFFF"/>
                <w:lang w:eastAsia="es-MX"/>
              </w:rPr>
              <w:t xml:space="preserve">                   8,910,492,079 </w:t>
            </w:r>
          </w:p>
        </w:tc>
      </w:tr>
    </w:tbl>
    <w:p w:rsidR="00096835" w:rsidRPr="006F1AB4" w:rsidRDefault="00096835" w:rsidP="00096835">
      <w:pPr>
        <w:autoSpaceDE w:val="0"/>
        <w:autoSpaceDN w:val="0"/>
        <w:adjustRightInd w:val="0"/>
        <w:spacing w:before="100" w:beforeAutospacing="1" w:after="100" w:afterAutospacing="1" w:line="276" w:lineRule="auto"/>
        <w:jc w:val="center"/>
        <w:rPr>
          <w:rFonts w:cs="Arial"/>
          <w:b/>
          <w:i/>
        </w:rPr>
      </w:pPr>
      <w:r w:rsidRPr="006F1AB4">
        <w:rPr>
          <w:rFonts w:cs="Arial"/>
          <w:i/>
        </w:rPr>
        <w:t>Fuente: Elaboración Propia</w:t>
      </w:r>
    </w:p>
    <w:p w:rsidR="00120FB2" w:rsidRDefault="00096835" w:rsidP="00096835">
      <w:pPr>
        <w:autoSpaceDE w:val="0"/>
        <w:autoSpaceDN w:val="0"/>
        <w:adjustRightInd w:val="0"/>
        <w:spacing w:before="100" w:beforeAutospacing="1" w:after="100" w:afterAutospacing="1"/>
        <w:rPr>
          <w:rFonts w:cs="Arial"/>
        </w:rPr>
      </w:pPr>
      <w:r w:rsidRPr="006F1AB4">
        <w:rPr>
          <w:rFonts w:cs="Arial"/>
        </w:rPr>
        <w:t>En cuanto a los Objetivos de Desarrollo Sostenible, el 100% de la inversión destinada para la Etnia incluida en este Anexo contribuye a la atención de 13 de los 17 objetivos (tabla 5):</w:t>
      </w:r>
    </w:p>
    <w:p w:rsidR="00120FB2" w:rsidRDefault="00120FB2">
      <w:pPr>
        <w:jc w:val="left"/>
        <w:rPr>
          <w:rFonts w:cs="Arial"/>
        </w:rPr>
      </w:pPr>
      <w:r>
        <w:rPr>
          <w:rFonts w:cs="Arial"/>
        </w:rPr>
        <w:br w:type="page"/>
      </w:r>
    </w:p>
    <w:p w:rsidR="00096835" w:rsidRPr="006F1AB4" w:rsidRDefault="00096835" w:rsidP="00096835">
      <w:pPr>
        <w:autoSpaceDE w:val="0"/>
        <w:autoSpaceDN w:val="0"/>
        <w:adjustRightInd w:val="0"/>
        <w:spacing w:before="100" w:beforeAutospacing="1" w:after="100" w:afterAutospacing="1" w:line="276" w:lineRule="auto"/>
        <w:jc w:val="center"/>
        <w:rPr>
          <w:rFonts w:cs="Arial"/>
          <w:b/>
        </w:rPr>
      </w:pPr>
      <w:r w:rsidRPr="006F1AB4">
        <w:rPr>
          <w:rFonts w:cs="Arial"/>
          <w:b/>
        </w:rPr>
        <w:t xml:space="preserve">Tabla </w:t>
      </w:r>
      <w:r>
        <w:rPr>
          <w:rFonts w:cs="Arial"/>
          <w:b/>
        </w:rPr>
        <w:t>6</w:t>
      </w:r>
      <w:r w:rsidRPr="006F1AB4">
        <w:rPr>
          <w:rFonts w:cs="Arial"/>
          <w:b/>
        </w:rPr>
        <w:t xml:space="preserve">. Asignaciones presupuestales por Objetivo de Desarrollo </w:t>
      </w:r>
      <w:r>
        <w:rPr>
          <w:rFonts w:cs="Arial"/>
          <w:b/>
        </w:rPr>
        <w:t>Sostenible</w:t>
      </w:r>
    </w:p>
    <w:tbl>
      <w:tblPr>
        <w:tblW w:w="10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1860"/>
      </w:tblGrid>
      <w:tr w:rsidR="00096835" w:rsidRPr="00EE6AF7" w:rsidTr="00EE6AF7">
        <w:trPr>
          <w:trHeight w:val="383"/>
          <w:tblHeader/>
          <w:jc w:val="center"/>
        </w:trPr>
        <w:tc>
          <w:tcPr>
            <w:tcW w:w="8784" w:type="dxa"/>
            <w:shd w:val="clear" w:color="auto" w:fill="4B4B4B"/>
            <w:vAlign w:val="center"/>
          </w:tcPr>
          <w:p w:rsidR="00096835" w:rsidRPr="00EE6AF7" w:rsidRDefault="00096835" w:rsidP="00EE6AF7">
            <w:pPr>
              <w:jc w:val="center"/>
              <w:rPr>
                <w:rFonts w:eastAsia="Times New Roman" w:cs="Arial"/>
                <w:b/>
                <w:bCs/>
                <w:color w:val="FFFFFF"/>
                <w:lang w:eastAsia="es-MX"/>
              </w:rPr>
            </w:pPr>
            <w:r w:rsidRPr="00EE6AF7">
              <w:rPr>
                <w:rFonts w:eastAsia="Times New Roman" w:cs="Arial"/>
                <w:b/>
                <w:bCs/>
                <w:color w:val="FFFFFF"/>
                <w:lang w:eastAsia="es-MX"/>
              </w:rPr>
              <w:t>Objetivos de Desarrollo Sostenible</w:t>
            </w:r>
          </w:p>
        </w:tc>
        <w:tc>
          <w:tcPr>
            <w:tcW w:w="1860" w:type="dxa"/>
            <w:shd w:val="clear" w:color="auto" w:fill="4B4B4B"/>
            <w:vAlign w:val="center"/>
          </w:tcPr>
          <w:p w:rsidR="00096835" w:rsidRPr="00EE6AF7" w:rsidRDefault="00096835" w:rsidP="00EE6AF7">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096835" w:rsidRPr="00EE6AF7" w:rsidTr="00EE6AF7">
        <w:trPr>
          <w:trHeight w:val="306"/>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1. Poner fin a la pobreza en todas sus formas en todo el mundo</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557,158,517</w:t>
            </w:r>
          </w:p>
        </w:tc>
      </w:tr>
      <w:tr w:rsidR="00096835" w:rsidRPr="00EE6AF7" w:rsidTr="00EE6AF7">
        <w:trPr>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2. Poner fin al hambre, lograr la seguridad alimentaria y la mejora de la nutrición y promover la agricultura sostenible</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426,009,629</w:t>
            </w:r>
          </w:p>
        </w:tc>
      </w:tr>
      <w:tr w:rsidR="00096835" w:rsidRPr="00EE6AF7" w:rsidTr="00EE6AF7">
        <w:trPr>
          <w:trHeight w:val="404"/>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3. Garantizar una vida sana y promover el bienestar para todos en todas las edades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5,570,841,174</w:t>
            </w:r>
          </w:p>
        </w:tc>
      </w:tr>
      <w:tr w:rsidR="00096835" w:rsidRPr="00EE6AF7" w:rsidTr="00EE6AF7">
        <w:trPr>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4. Garantizar una educación inclusiva, equitativa y de calidad y promover oportunidades de aprendizaje durante toda la vida para todos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1,118,121,988</w:t>
            </w:r>
          </w:p>
        </w:tc>
      </w:tr>
      <w:tr w:rsidR="00096835" w:rsidRPr="00EE6AF7" w:rsidTr="00EE6AF7">
        <w:trPr>
          <w:trHeight w:val="432"/>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5. Lograr la igualdad entre los géneros y empoderar a todas las mujeres y las niñas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27,267,317</w:t>
            </w:r>
          </w:p>
        </w:tc>
      </w:tr>
      <w:tr w:rsidR="00096835" w:rsidRPr="00EE6AF7" w:rsidTr="00EE6AF7">
        <w:trPr>
          <w:trHeight w:val="410"/>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6. Garantizar la disponibilidad de agua y su gestión sostenible y el saneamiento para todos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208,852,927</w:t>
            </w:r>
          </w:p>
        </w:tc>
      </w:tr>
      <w:tr w:rsidR="00096835" w:rsidRPr="00EE6AF7" w:rsidTr="00EE6AF7">
        <w:trPr>
          <w:trHeight w:val="699"/>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8. Promover el crecimiento económico sostenido, inclusivo y sostenible, el empleo pleno y productivo y el trabajo decente para todos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199,882,425</w:t>
            </w:r>
          </w:p>
        </w:tc>
      </w:tr>
      <w:tr w:rsidR="00096835" w:rsidRPr="00EE6AF7" w:rsidTr="00EE6AF7">
        <w:trPr>
          <w:trHeight w:val="695"/>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9. Construir infraestructuras resilientes, promover la industrialización inclusiva y sostenible y fomentar la innovación</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116,015,982</w:t>
            </w:r>
          </w:p>
        </w:tc>
      </w:tr>
      <w:tr w:rsidR="00096835" w:rsidRPr="00EE6AF7" w:rsidTr="00EE6AF7">
        <w:trPr>
          <w:trHeight w:val="408"/>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10. Reducir la desigualdad en y entre los países</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107,980,778</w:t>
            </w:r>
          </w:p>
        </w:tc>
      </w:tr>
      <w:tr w:rsidR="00096835" w:rsidRPr="00EE6AF7" w:rsidTr="00EE6AF7">
        <w:trPr>
          <w:trHeight w:val="711"/>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11. Lograr que las ciudades y los asentamientos humanos sean inclusivos, seguros, resilientes y sostenibles</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541,144,198</w:t>
            </w:r>
          </w:p>
        </w:tc>
      </w:tr>
      <w:tr w:rsidR="00096835" w:rsidRPr="00EE6AF7" w:rsidTr="00EE6AF7">
        <w:trPr>
          <w:trHeight w:val="424"/>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13. Adoptar medidas urgentes para combatir el cambio climático y sus efectos</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30,000</w:t>
            </w:r>
          </w:p>
        </w:tc>
      </w:tr>
      <w:tr w:rsidR="00096835" w:rsidRPr="00EE6AF7" w:rsidTr="00EE6AF7">
        <w:trPr>
          <w:trHeight w:val="983"/>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15. Proteger, restablecer y promover el uso sostenible de los ecosistemas terrestres, gestionar los bosques de forma sostenible de los bosques, luchar contra la desertificación, detener e invertir la degradación de las tierras y poner freno a la pérdida de la diversidad biológica</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18,536,610</w:t>
            </w:r>
          </w:p>
        </w:tc>
      </w:tr>
      <w:tr w:rsidR="00096835" w:rsidRPr="00EE6AF7" w:rsidTr="00EE6AF7">
        <w:trPr>
          <w:trHeight w:val="685"/>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18,650,534</w:t>
            </w:r>
          </w:p>
        </w:tc>
      </w:tr>
    </w:tbl>
    <w:p w:rsidR="00096835" w:rsidRPr="00551522" w:rsidRDefault="00096835" w:rsidP="00096835">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r w:rsidRPr="00551522">
        <w:rPr>
          <w:rFonts w:cs="Arial"/>
          <w:i/>
        </w:rPr>
        <w:t xml:space="preserve"> </w:t>
      </w:r>
    </w:p>
    <w:p w:rsidR="00A30E00" w:rsidRPr="00EE6AF7" w:rsidRDefault="00A30E00">
      <w:pPr>
        <w:jc w:val="left"/>
        <w:rPr>
          <w:rFonts w:eastAsia="Times New Roman"/>
          <w:b/>
          <w:color w:val="000000"/>
        </w:rPr>
      </w:pPr>
      <w:r>
        <w:br w:type="page"/>
      </w:r>
    </w:p>
    <w:p w:rsidR="00A30E00" w:rsidRDefault="009C1791">
      <w:pPr>
        <w:pStyle w:val="Ttulo2"/>
      </w:pPr>
      <w:bookmarkStart w:id="88" w:name="anexo-19.-anexos-informativos"/>
      <w:bookmarkEnd w:id="78"/>
      <w:bookmarkEnd w:id="87"/>
      <w:r>
        <w:t>ANEXO 19. ANEXOS INFORMATIVOS</w:t>
      </w:r>
    </w:p>
    <w:p w:rsidR="00A30E00" w:rsidRPr="00EE6AF7" w:rsidRDefault="00A30E00">
      <w:pPr>
        <w:jc w:val="left"/>
        <w:rPr>
          <w:rFonts w:eastAsia="Times New Roman"/>
          <w:b/>
          <w:color w:val="000000"/>
          <w:szCs w:val="26"/>
        </w:rPr>
      </w:pPr>
    </w:p>
    <w:p w:rsidR="00FA49E9" w:rsidRDefault="009C1791">
      <w:pPr>
        <w:pStyle w:val="Ttulo3"/>
      </w:pPr>
      <w:bookmarkStart w:id="89" w:name="X5d865b0db9802a6c09d642795a0995850468a3c"/>
      <w:r>
        <w:t>ANEXO 19.1 METODOLOGÍA PARA LA PROYECCIÓN DE INGRESOS Y EGRESOS</w:t>
      </w:r>
    </w:p>
    <w:p w:rsidR="002D6055" w:rsidRDefault="002D6055" w:rsidP="002D6055">
      <w:pPr>
        <w:rPr>
          <w:rFonts w:cs="Arial"/>
          <w:b/>
          <w:bCs/>
          <w:lang w:val="es-ES"/>
        </w:rPr>
      </w:pPr>
    </w:p>
    <w:p w:rsidR="002D6055" w:rsidRDefault="002D6055" w:rsidP="002D6055">
      <w:pPr>
        <w:rPr>
          <w:rFonts w:cs="Arial"/>
          <w:b/>
          <w:bCs/>
          <w:lang w:val="es-ES"/>
        </w:rPr>
      </w:pPr>
      <w:r w:rsidRPr="0014673B">
        <w:rPr>
          <w:rFonts w:cs="Arial"/>
          <w:b/>
          <w:bCs/>
          <w:lang w:val="es-ES"/>
        </w:rPr>
        <w:t>Supuestos técnicos</w:t>
      </w:r>
    </w:p>
    <w:p w:rsidR="002D6055" w:rsidRPr="0014673B" w:rsidRDefault="002D6055" w:rsidP="002D6055">
      <w:pPr>
        <w:rPr>
          <w:rFonts w:cs="Arial"/>
          <w:lang w:val="es-ES"/>
        </w:rPr>
      </w:pPr>
    </w:p>
    <w:p w:rsidR="002D6055" w:rsidRPr="0014673B" w:rsidRDefault="002D6055" w:rsidP="002D6055">
      <w:pPr>
        <w:rPr>
          <w:rFonts w:cs="Arial"/>
          <w:lang w:val="es-ES"/>
        </w:rPr>
      </w:pPr>
      <w:r w:rsidRPr="0014673B">
        <w:rPr>
          <w:rFonts w:cs="Arial"/>
          <w:lang w:val="es-ES"/>
        </w:rPr>
        <w:t>La metodología de proyección de ingresos y egresos del estado de Yucatán se establece de conformidad con el Artículo 5 fracción II de la Ley de Disciplina Financiera de las Entidades Federativas y los Municipios (LDFEFM), con fundamento en los Criterios Generales de Política Económica 2022</w:t>
      </w:r>
      <w:r w:rsidRPr="0014673B">
        <w:rPr>
          <w:rStyle w:val="Refdenotaalpie"/>
          <w:rFonts w:cs="Arial"/>
          <w:lang w:val="es-ES"/>
        </w:rPr>
        <w:footnoteReference w:id="28"/>
      </w:r>
      <w:r w:rsidRPr="0014673B">
        <w:rPr>
          <w:rFonts w:cs="Arial"/>
          <w:lang w:val="es-ES"/>
        </w:rPr>
        <w:t xml:space="preserve"> (CGPE).</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 proyección de ingresos y egresos se realiza con base en los siguientes lineamientos generales:</w:t>
      </w:r>
    </w:p>
    <w:p w:rsidR="002D6055" w:rsidRPr="00EC654F" w:rsidRDefault="002D6055" w:rsidP="002D6055">
      <w:pPr>
        <w:rPr>
          <w:rFonts w:cs="Arial"/>
          <w:lang w:val="es-ES"/>
        </w:rPr>
      </w:pPr>
    </w:p>
    <w:p w:rsidR="002D6055" w:rsidRPr="00EC654F" w:rsidRDefault="002D6055" w:rsidP="002D6055">
      <w:pPr>
        <w:pStyle w:val="Prrafodelista"/>
        <w:numPr>
          <w:ilvl w:val="0"/>
          <w:numId w:val="37"/>
        </w:numPr>
        <w:spacing w:after="0" w:line="240" w:lineRule="auto"/>
        <w:rPr>
          <w:rFonts w:ascii="Arial" w:hAnsi="Arial" w:cs="Arial"/>
          <w:lang w:val="es-ES"/>
        </w:rPr>
      </w:pPr>
      <w:r w:rsidRPr="00EC654F">
        <w:rPr>
          <w:rFonts w:ascii="Arial" w:hAnsi="Arial" w:cs="Arial"/>
          <w:lang w:val="es-ES"/>
        </w:rPr>
        <w:t xml:space="preserve">Los ingresos locales aumentaron al ritmo del crecimiento nominal del PIB. </w:t>
      </w:r>
    </w:p>
    <w:p w:rsidR="002D6055" w:rsidRPr="00EC654F" w:rsidRDefault="002D6055" w:rsidP="002D6055">
      <w:pPr>
        <w:pStyle w:val="Prrafodelista"/>
        <w:numPr>
          <w:ilvl w:val="0"/>
          <w:numId w:val="37"/>
        </w:numPr>
        <w:spacing w:after="0" w:line="240" w:lineRule="auto"/>
        <w:rPr>
          <w:rFonts w:ascii="Arial" w:hAnsi="Arial" w:cs="Arial"/>
          <w:lang w:val="es-ES"/>
        </w:rPr>
      </w:pPr>
      <w:r w:rsidRPr="00EC654F">
        <w:rPr>
          <w:rFonts w:ascii="Arial" w:hAnsi="Arial" w:cs="Arial"/>
          <w:lang w:val="es-ES"/>
        </w:rPr>
        <w:t>Los ingresos por concepto de participaciones y aportaciones se proyectan de manera indirecta, según el porcentaje que representan del PIB nominal de acuerdo con los CGPE.</w:t>
      </w:r>
    </w:p>
    <w:p w:rsidR="002D6055" w:rsidRPr="00EC654F" w:rsidRDefault="002D6055" w:rsidP="002D6055">
      <w:pPr>
        <w:pStyle w:val="Prrafodelista"/>
        <w:numPr>
          <w:ilvl w:val="0"/>
          <w:numId w:val="37"/>
        </w:numPr>
        <w:spacing w:after="0" w:line="240" w:lineRule="auto"/>
        <w:rPr>
          <w:rFonts w:ascii="Arial" w:hAnsi="Arial" w:cs="Arial"/>
          <w:lang w:val="es-ES"/>
        </w:rPr>
      </w:pPr>
      <w:r w:rsidRPr="00EC654F">
        <w:rPr>
          <w:rFonts w:ascii="Arial" w:hAnsi="Arial" w:cs="Arial"/>
          <w:lang w:val="es-ES"/>
        </w:rPr>
        <w:t>El Gasto no etiquetado aumentó también al ritmo del crecimiento nominal del PIB.</w:t>
      </w:r>
    </w:p>
    <w:p w:rsidR="002D6055" w:rsidRPr="00EC654F" w:rsidRDefault="002D6055" w:rsidP="002D6055">
      <w:pPr>
        <w:pStyle w:val="Prrafodelista"/>
        <w:numPr>
          <w:ilvl w:val="0"/>
          <w:numId w:val="37"/>
        </w:numPr>
        <w:spacing w:after="0" w:line="240" w:lineRule="auto"/>
        <w:rPr>
          <w:rFonts w:ascii="Arial" w:hAnsi="Arial" w:cs="Arial"/>
          <w:lang w:val="es-ES"/>
        </w:rPr>
      </w:pPr>
      <w:r w:rsidRPr="00EC654F">
        <w:rPr>
          <w:rFonts w:ascii="Arial" w:hAnsi="Arial" w:cs="Arial"/>
          <w:lang w:val="es-ES"/>
        </w:rPr>
        <w:t>No se consideran gastos de inversión con los recursos de libre disposición mientras no haya suficiente ahorro interno.</w:t>
      </w:r>
    </w:p>
    <w:p w:rsidR="002D6055" w:rsidRPr="00EC654F" w:rsidRDefault="002D6055" w:rsidP="002D6055">
      <w:pPr>
        <w:rPr>
          <w:rFonts w:cs="Arial"/>
          <w:lang w:val="es-ES"/>
        </w:rPr>
      </w:pPr>
    </w:p>
    <w:p w:rsidR="002D6055" w:rsidRDefault="002D6055" w:rsidP="002D6055">
      <w:pPr>
        <w:rPr>
          <w:rFonts w:cs="Arial"/>
          <w:lang w:val="es-ES"/>
        </w:rPr>
      </w:pPr>
      <w:r w:rsidRPr="00EC654F">
        <w:rPr>
          <w:rFonts w:cs="Arial"/>
          <w:lang w:val="es-ES"/>
        </w:rPr>
        <w:t>Los lineamientos principales de la proyección provienen de los CGPE. Los supuestos adicionales a estos lineamientos generales se establecen en cada apartado de proyección y se sustentan con información del Proyecto de Presupuesto de Egresos de la Federación (PPEF), el Presupuesto de Egresos de la Federación (PEF) y el Proyecto de Presupuesto de Egresos del Estado de Yucatán (PPEEY).</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Tabla 1</w:t>
      </w:r>
      <w:r w:rsidRPr="00EC654F">
        <w:rPr>
          <w:rFonts w:cs="Arial"/>
          <w:lang w:val="es-ES"/>
        </w:rPr>
        <w:t>. Marco macroeconómico 2021 – 2027</w:t>
      </w:r>
    </w:p>
    <w:tbl>
      <w:tblPr>
        <w:tblW w:w="8679" w:type="dxa"/>
        <w:jc w:val="center"/>
        <w:tblCellMar>
          <w:left w:w="70" w:type="dxa"/>
          <w:right w:w="70" w:type="dxa"/>
        </w:tblCellMar>
        <w:tblLook w:val="04A0" w:firstRow="1" w:lastRow="0" w:firstColumn="1" w:lastColumn="0" w:noHBand="0" w:noVBand="1"/>
      </w:tblPr>
      <w:tblGrid>
        <w:gridCol w:w="2344"/>
        <w:gridCol w:w="905"/>
        <w:gridCol w:w="905"/>
        <w:gridCol w:w="905"/>
        <w:gridCol w:w="905"/>
        <w:gridCol w:w="905"/>
        <w:gridCol w:w="905"/>
        <w:gridCol w:w="905"/>
      </w:tblGrid>
      <w:tr w:rsidR="00D31C30" w:rsidRPr="00EE6AF7" w:rsidTr="00EE6AF7">
        <w:trPr>
          <w:trHeight w:val="265"/>
          <w:tblHeader/>
          <w:jc w:val="center"/>
        </w:trPr>
        <w:tc>
          <w:tcPr>
            <w:tcW w:w="2344" w:type="dxa"/>
            <w:tcBorders>
              <w:top w:val="single" w:sz="4" w:space="0" w:color="auto"/>
              <w:left w:val="single" w:sz="4" w:space="0" w:color="auto"/>
              <w:bottom w:val="single" w:sz="4" w:space="0" w:color="auto"/>
              <w:right w:val="nil"/>
            </w:tcBorders>
            <w:shd w:val="clear" w:color="auto" w:fill="D9D9D9"/>
            <w:noWrap/>
            <w:vAlign w:val="bottom"/>
          </w:tcPr>
          <w:p w:rsidR="002D6055" w:rsidRPr="00EC654F" w:rsidRDefault="002D6055" w:rsidP="00895E26">
            <w:pPr>
              <w:jc w:val="left"/>
              <w:rPr>
                <w:rFonts w:eastAsia="Times New Roman" w:cs="Arial"/>
                <w:b/>
                <w:bCs/>
                <w:sz w:val="16"/>
                <w:szCs w:val="16"/>
                <w:lang w:eastAsia="es-MX"/>
              </w:rPr>
            </w:pPr>
            <w:r w:rsidRPr="00EE6AF7">
              <w:rPr>
                <w:rFonts w:cs="Arial"/>
                <w:b/>
                <w:bCs/>
                <w:sz w:val="16"/>
                <w:szCs w:val="16"/>
              </w:rPr>
              <w:t> </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2021</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2022</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2023</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2024</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2025</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2026</w:t>
            </w:r>
          </w:p>
        </w:tc>
        <w:tc>
          <w:tcPr>
            <w:tcW w:w="905" w:type="dxa"/>
            <w:tcBorders>
              <w:top w:val="single" w:sz="4" w:space="0" w:color="auto"/>
              <w:left w:val="nil"/>
              <w:bottom w:val="single" w:sz="4" w:space="0" w:color="auto"/>
              <w:right w:val="single" w:sz="4" w:space="0" w:color="auto"/>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2027</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jc w:val="left"/>
              <w:rPr>
                <w:rFonts w:eastAsia="Times New Roman" w:cs="Arial"/>
                <w:b/>
                <w:bCs/>
                <w:color w:val="000000"/>
                <w:sz w:val="16"/>
                <w:szCs w:val="16"/>
                <w:lang w:eastAsia="es-MX"/>
              </w:rPr>
            </w:pPr>
            <w:r w:rsidRPr="00EE6AF7">
              <w:rPr>
                <w:rFonts w:cs="Arial"/>
                <w:b/>
                <w:bCs/>
                <w:color w:val="000000"/>
                <w:sz w:val="16"/>
                <w:szCs w:val="16"/>
              </w:rPr>
              <w:t>Producto Interno Bruto</w:t>
            </w:r>
          </w:p>
        </w:tc>
        <w:tc>
          <w:tcPr>
            <w:tcW w:w="905" w:type="dxa"/>
            <w:tcBorders>
              <w:top w:val="nil"/>
              <w:left w:val="nil"/>
              <w:bottom w:val="nil"/>
              <w:right w:val="nil"/>
            </w:tcBorders>
            <w:shd w:val="clear" w:color="auto" w:fill="auto"/>
            <w:noWrap/>
            <w:vAlign w:val="bottom"/>
          </w:tcPr>
          <w:p w:rsidR="002D6055" w:rsidRPr="00EC654F" w:rsidRDefault="002D6055" w:rsidP="00895E26">
            <w:pPr>
              <w:jc w:val="left"/>
              <w:rPr>
                <w:rFonts w:eastAsia="Times New Roman" w:cs="Arial"/>
                <w:b/>
                <w:bCs/>
                <w:color w:val="000000"/>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Crecimiento % real  (Puntual)</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6.3</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4.1</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3.4</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2.8</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2.5</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2.5</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2.5</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Crecimiento % real (Rango)</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[5.8, 6.8]</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 4.6]</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 3.9]</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[2.3, 3.3]</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[2.0, 3.0]</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[2.0, 3.0]</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[2.0, 3.0]</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Nominal (mmdp)*</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26,055.30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28,129.30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30,115.40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32,016.00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33,974.50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36,046.50 </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38,242.00 </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Deflactor del PIB</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6.2</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3.7</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jc w:val="left"/>
              <w:rPr>
                <w:rFonts w:eastAsia="Times New Roman" w:cs="Arial"/>
                <w:b/>
                <w:bCs/>
                <w:color w:val="000000"/>
                <w:sz w:val="16"/>
                <w:szCs w:val="16"/>
                <w:lang w:eastAsia="es-MX"/>
              </w:rPr>
            </w:pPr>
            <w:r w:rsidRPr="00EE6AF7">
              <w:rPr>
                <w:rFonts w:cs="Arial"/>
                <w:b/>
                <w:bCs/>
                <w:color w:val="000000"/>
                <w:sz w:val="16"/>
                <w:szCs w:val="16"/>
              </w:rPr>
              <w:t>Inflación</w:t>
            </w:r>
          </w:p>
        </w:tc>
        <w:tc>
          <w:tcPr>
            <w:tcW w:w="905" w:type="dxa"/>
            <w:tcBorders>
              <w:top w:val="nil"/>
              <w:left w:val="nil"/>
              <w:bottom w:val="nil"/>
              <w:right w:val="nil"/>
            </w:tcBorders>
            <w:shd w:val="clear" w:color="auto" w:fill="auto"/>
            <w:noWrap/>
            <w:vAlign w:val="bottom"/>
          </w:tcPr>
          <w:p w:rsidR="002D6055" w:rsidRPr="00EC654F" w:rsidRDefault="002D6055" w:rsidP="00895E26">
            <w:pPr>
              <w:jc w:val="left"/>
              <w:rPr>
                <w:rFonts w:eastAsia="Times New Roman" w:cs="Arial"/>
                <w:b/>
                <w:bCs/>
                <w:color w:val="000000"/>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Dic/Dic</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5.7</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3.4</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r>
      <w:tr w:rsidR="002D6055" w:rsidRPr="00EE6AF7" w:rsidTr="002D6055">
        <w:trPr>
          <w:trHeight w:val="265"/>
          <w:jc w:val="center"/>
        </w:trPr>
        <w:tc>
          <w:tcPr>
            <w:tcW w:w="2344" w:type="dxa"/>
            <w:tcBorders>
              <w:top w:val="nil"/>
              <w:left w:val="single" w:sz="4" w:space="0" w:color="auto"/>
              <w:bottom w:val="single" w:sz="4" w:space="0" w:color="auto"/>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Promedio</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5.3</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4.1</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3.2</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single" w:sz="4" w:space="0" w:color="auto"/>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r>
    </w:tbl>
    <w:p w:rsidR="002D6055" w:rsidRPr="00EC654F" w:rsidRDefault="002D6055" w:rsidP="002D6055">
      <w:pPr>
        <w:jc w:val="center"/>
        <w:rPr>
          <w:rFonts w:cs="Arial"/>
          <w:sz w:val="14"/>
          <w:szCs w:val="14"/>
          <w:lang w:val="es-ES"/>
        </w:rPr>
      </w:pPr>
      <w:r w:rsidRPr="00EC654F">
        <w:rPr>
          <w:rFonts w:cs="Arial"/>
          <w:sz w:val="14"/>
          <w:szCs w:val="14"/>
          <w:lang w:val="es-ES"/>
        </w:rPr>
        <w:t>*Corresponde al escenario de crecimiento puntual planteado para las estimaciones de finanzas públicas</w:t>
      </w:r>
    </w:p>
    <w:p w:rsidR="002D6055" w:rsidRPr="00EC654F" w:rsidRDefault="002D6055" w:rsidP="002D6055">
      <w:pPr>
        <w:jc w:val="center"/>
        <w:rPr>
          <w:rFonts w:cs="Arial"/>
          <w:lang w:val="es-ES"/>
        </w:rPr>
      </w:pPr>
      <w:r w:rsidRPr="00EC654F">
        <w:rPr>
          <w:rFonts w:cs="Arial"/>
          <w:lang w:val="es-ES"/>
        </w:rPr>
        <w:t>Fuente: Elaboración propia con base en los CGPE 2022 (SHCP, Pp.3)</w:t>
      </w:r>
    </w:p>
    <w:p w:rsidR="002D6055" w:rsidRPr="00EC654F" w:rsidRDefault="002D6055" w:rsidP="002D6055">
      <w:pPr>
        <w:rPr>
          <w:rFonts w:cs="Arial"/>
          <w:lang w:val="es-ES"/>
        </w:rPr>
      </w:pPr>
    </w:p>
    <w:p w:rsidR="002D6055" w:rsidRPr="0014673B" w:rsidRDefault="002D6055" w:rsidP="002D6055">
      <w:pPr>
        <w:rPr>
          <w:rFonts w:cs="Arial"/>
          <w:b/>
          <w:bCs/>
          <w:lang w:val="es-ES"/>
        </w:rPr>
      </w:pPr>
      <w:r w:rsidRPr="0014673B">
        <w:rPr>
          <w:rFonts w:cs="Arial"/>
          <w:b/>
          <w:bCs/>
          <w:lang w:val="es-ES"/>
        </w:rPr>
        <w:t>Proyección de Ingresos</w:t>
      </w:r>
    </w:p>
    <w:p w:rsidR="002D6055" w:rsidRPr="0014673B" w:rsidRDefault="002D6055" w:rsidP="002D6055">
      <w:pPr>
        <w:rPr>
          <w:rFonts w:cs="Arial"/>
          <w:lang w:val="es-ES"/>
        </w:rPr>
      </w:pPr>
    </w:p>
    <w:p w:rsidR="002D6055" w:rsidRPr="0014673B" w:rsidRDefault="002D6055" w:rsidP="002D6055">
      <w:pPr>
        <w:rPr>
          <w:rFonts w:cs="Arial"/>
          <w:lang w:val="es-ES"/>
        </w:rPr>
      </w:pPr>
      <w:r w:rsidRPr="0014673B">
        <w:rPr>
          <w:rFonts w:cs="Arial"/>
          <w:lang w:val="es-ES"/>
        </w:rPr>
        <w:t>Los ingresos locales del Poder Ejecutivo del Estado de Yucatán están relacionados con las acciones del Gobierno del Estado para incentivar la recaudación y con el desempeño económico de la entidad. Si bien la economía local está relacionada con la economía nacional, la dinámica económica de Yucatán es muy particular dada su dependencia del sector servicios (69.7% del PIBE), en comparación con otras entidades con mayor peso de la industria como Monterrey o el Estado de México.</w:t>
      </w:r>
    </w:p>
    <w:p w:rsidR="002D6055" w:rsidRPr="0014673B" w:rsidRDefault="002D6055" w:rsidP="002D6055">
      <w:pPr>
        <w:rPr>
          <w:rFonts w:cs="Arial"/>
          <w:lang w:val="es-ES"/>
        </w:rPr>
      </w:pPr>
    </w:p>
    <w:p w:rsidR="002D6055" w:rsidRPr="0014673B" w:rsidRDefault="002D6055" w:rsidP="002D6055">
      <w:pPr>
        <w:rPr>
          <w:rFonts w:cs="Arial"/>
          <w:lang w:val="es-ES"/>
        </w:rPr>
      </w:pPr>
      <w:r w:rsidRPr="0014673B">
        <w:rPr>
          <w:rFonts w:cs="Arial"/>
          <w:lang w:val="es-ES"/>
        </w:rPr>
        <w:t>La proyección de los ingresos de libre disposición, con excepción de las Participaciones, se realiza a través del cálculo de factores anuales de crecimiento para cada uno de los conceptos de ingresos. Se calcula cada año el porcentaje de variación en los ingresos; si este fuese negativo, se considera un crecimiento igual a cero. Con base en un horizonte de seis años, desde 2017 hasta 2022, se calcula la tasa anual de crecimiento compuesto para cada partida.</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Tabla 2</w:t>
      </w:r>
      <w:r w:rsidRPr="00EC654F">
        <w:rPr>
          <w:rFonts w:cs="Arial"/>
          <w:lang w:val="es-ES"/>
        </w:rPr>
        <w:t>. Factores de crecimiento anual de los ingresos de libre disposición</w:t>
      </w:r>
    </w:p>
    <w:tbl>
      <w:tblPr>
        <w:tblW w:w="8608" w:type="dxa"/>
        <w:jc w:val="center"/>
        <w:tblCellMar>
          <w:left w:w="70" w:type="dxa"/>
          <w:right w:w="70" w:type="dxa"/>
        </w:tblCellMar>
        <w:tblLook w:val="04A0" w:firstRow="1" w:lastRow="0" w:firstColumn="1" w:lastColumn="0" w:noHBand="0" w:noVBand="1"/>
      </w:tblPr>
      <w:tblGrid>
        <w:gridCol w:w="4747"/>
        <w:gridCol w:w="550"/>
        <w:gridCol w:w="550"/>
        <w:gridCol w:w="542"/>
        <w:gridCol w:w="542"/>
        <w:gridCol w:w="542"/>
        <w:gridCol w:w="550"/>
        <w:gridCol w:w="585"/>
      </w:tblGrid>
      <w:tr w:rsidR="002D6055" w:rsidRPr="00EE6AF7" w:rsidTr="00C1172B">
        <w:trPr>
          <w:trHeight w:val="113"/>
          <w:tblHeader/>
          <w:jc w:val="center"/>
        </w:trPr>
        <w:tc>
          <w:tcPr>
            <w:tcW w:w="4814" w:type="dxa"/>
            <w:tcBorders>
              <w:top w:val="single" w:sz="4" w:space="0" w:color="auto"/>
              <w:left w:val="single" w:sz="4" w:space="0" w:color="auto"/>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Concepto</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2017</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2018</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2019</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2020</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2021</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2022</w:t>
            </w:r>
          </w:p>
        </w:tc>
        <w:tc>
          <w:tcPr>
            <w:tcW w:w="542" w:type="dxa"/>
            <w:tcBorders>
              <w:top w:val="single" w:sz="4" w:space="0" w:color="auto"/>
              <w:left w:val="nil"/>
              <w:bottom w:val="nil"/>
              <w:right w:val="single" w:sz="4" w:space="0" w:color="auto"/>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TACC</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b/>
                <w:bCs/>
                <w:color w:val="000000"/>
                <w:sz w:val="16"/>
                <w:szCs w:val="16"/>
                <w:lang w:eastAsia="es-MX"/>
              </w:rPr>
            </w:pPr>
            <w:r w:rsidRPr="00EC654F">
              <w:rPr>
                <w:rFonts w:eastAsia="Times New Roman" w:cs="Arial"/>
                <w:b/>
                <w:bCs/>
                <w:color w:val="000000"/>
                <w:sz w:val="16"/>
                <w:szCs w:val="16"/>
                <w:lang w:eastAsia="es-MX"/>
              </w:rPr>
              <w:t xml:space="preserve">1. Ingresos de Libre Disposición (1=A+B+C+D+E+F+G+H+I+J+K+L) </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14%</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11%</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17%</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8%</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A. Impuestos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7%</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12%</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19%</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27%</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11%</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B. Cuotas y Aportaciones de Seguridad Social</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C. Contribuciones de Mejoras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D. Derechos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49%</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33%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38%</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47%</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26%</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E. Productos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122%</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116%</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45%</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138%</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60%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F. Aprovechamientos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81%</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6%</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135%</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29%</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G. Ingresos por Venta de Bienes y Prestación de Servicios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H. Participaciones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5%</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12%</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7%</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I. Incentivos Derivados de la Colaboración Fiscal</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25%</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5%</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14%</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J. Transferencias y Asignaciones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K. Convenios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single" w:sz="4" w:space="0" w:color="auto"/>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L. Otros Ingresos de Libre Disposición</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bl>
    <w:p w:rsidR="002D6055" w:rsidRPr="00EC654F" w:rsidRDefault="002D6055" w:rsidP="002D6055">
      <w:pPr>
        <w:jc w:val="center"/>
        <w:rPr>
          <w:rFonts w:cs="Arial"/>
          <w:lang w:val="es-ES"/>
        </w:rPr>
      </w:pPr>
      <w:r w:rsidRPr="00EC654F">
        <w:rPr>
          <w:rFonts w:cs="Arial"/>
          <w:lang w:val="es-ES"/>
        </w:rPr>
        <w:t>Fuente: Elaboración propia</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 proyección de ingresos se realiza con base en la Tasa Anual de Crecimiento Compuesta (TACC) estimada en la Tabla 2. Se establece como límite de incremento en la proyección el crecimiento nominal estimado en el PIB nacional. El límite de crecimiento en el monto nominal de los capítulos para cada uno de los cinco años de proyección se calcula como:</w:t>
      </w:r>
    </w:p>
    <w:p w:rsidR="002D6055" w:rsidRPr="00EC654F" w:rsidRDefault="002D6055" w:rsidP="002D6055">
      <w:pPr>
        <w:rPr>
          <w:rFonts w:cs="Arial"/>
          <w:lang w:val="es-ES"/>
        </w:rPr>
      </w:pPr>
    </w:p>
    <w:p w:rsidR="002D6055" w:rsidRPr="008A5EAC" w:rsidRDefault="008A5EAC" w:rsidP="42C2ADB6">
      <w:pPr>
        <w:jc w:val="center"/>
        <w:rPr>
          <w:rFonts w:eastAsia="Times New Roman" w:cs="Arial"/>
          <w:sz w:val="22"/>
          <w:szCs w:val="22"/>
          <w:lang w:val="es-ES"/>
        </w:rPr>
      </w:pPr>
      <m:oMathPara>
        <m:oMath>
          <m:r>
            <w:rPr>
              <w:rFonts w:ascii="Cambria Math" w:hAnsi="Cambria Math" w:cs="Arial"/>
              <w:sz w:val="22"/>
              <w:szCs w:val="22"/>
              <w:lang w:val="es-ES"/>
            </w:rPr>
            <m:t>% Crecimiento nominal=</m:t>
          </m:r>
          <m:d>
            <m:dPr>
              <m:ctrlPr>
                <w:rPr>
                  <w:rFonts w:ascii="Cambria Math" w:hAnsi="Cambria Math" w:cs="Arial"/>
                  <w:i/>
                  <w:sz w:val="22"/>
                  <w:szCs w:val="22"/>
                  <w:lang w:val="es-ES"/>
                </w:rPr>
              </m:ctrlPr>
            </m:dPr>
            <m:e>
              <m:r>
                <w:rPr>
                  <w:rFonts w:ascii="Cambria Math" w:hAnsi="Cambria Math" w:cs="Arial"/>
                  <w:sz w:val="22"/>
                  <w:szCs w:val="22"/>
                  <w:lang w:val="es-ES"/>
                </w:rPr>
                <m:t>1</m:t>
              </m:r>
              <m:r>
                <w:rPr>
                  <w:rFonts w:ascii="Cambria Math" w:eastAsia="Times New Roman" w:hAnsi="Cambria Math" w:cs="Arial"/>
                  <w:sz w:val="22"/>
                  <w:szCs w:val="22"/>
                  <w:lang w:val="es-ES"/>
                </w:rPr>
                <m:t>+</m:t>
              </m:r>
              <m:f>
                <m:fPr>
                  <m:ctrlPr>
                    <w:rPr>
                      <w:rFonts w:ascii="Cambria Math" w:eastAsia="Times New Roman" w:hAnsi="Cambria Math" w:cs="Arial"/>
                      <w:i/>
                      <w:sz w:val="22"/>
                      <w:szCs w:val="22"/>
                      <w:lang w:val="es-ES"/>
                    </w:rPr>
                  </m:ctrlPr>
                </m:fPr>
                <m:num>
                  <m:r>
                    <w:rPr>
                      <w:rFonts w:ascii="Cambria Math" w:eastAsia="Times New Roman" w:hAnsi="Cambria Math" w:cs="Arial"/>
                      <w:sz w:val="22"/>
                      <w:szCs w:val="22"/>
                      <w:lang w:val="es-ES"/>
                    </w:rPr>
                    <m:t>% Creciminento real</m:t>
                  </m:r>
                </m:num>
                <m:den>
                  <m:r>
                    <w:rPr>
                      <w:rFonts w:ascii="Cambria Math" w:eastAsia="Times New Roman" w:hAnsi="Cambria Math" w:cs="Arial"/>
                      <w:sz w:val="22"/>
                      <w:szCs w:val="22"/>
                      <w:lang w:val="es-ES"/>
                    </w:rPr>
                    <m:t>100</m:t>
                  </m:r>
                </m:den>
              </m:f>
              <m:ctrlPr>
                <w:rPr>
                  <w:rFonts w:ascii="Cambria Math" w:eastAsia="Times New Roman" w:hAnsi="Cambria Math" w:cs="Arial"/>
                  <w:i/>
                  <w:sz w:val="22"/>
                  <w:szCs w:val="22"/>
                  <w:lang w:val="es-ES"/>
                </w:rPr>
              </m:ctrlPr>
            </m:e>
          </m:d>
          <m:d>
            <m:dPr>
              <m:ctrlPr>
                <w:rPr>
                  <w:rFonts w:ascii="Cambria Math" w:eastAsia="Times New Roman" w:hAnsi="Cambria Math" w:cs="Arial"/>
                  <w:i/>
                  <w:sz w:val="22"/>
                  <w:szCs w:val="22"/>
                  <w:lang w:val="es-ES"/>
                </w:rPr>
              </m:ctrlPr>
            </m:dPr>
            <m:e>
              <m:r>
                <w:rPr>
                  <w:rFonts w:ascii="Cambria Math" w:eastAsia="Times New Roman" w:hAnsi="Cambria Math" w:cs="Arial"/>
                  <w:sz w:val="22"/>
                  <w:szCs w:val="22"/>
                  <w:lang w:val="es-ES"/>
                </w:rPr>
                <m:t>1+</m:t>
              </m:r>
              <m:f>
                <m:fPr>
                  <m:ctrlPr>
                    <w:rPr>
                      <w:rFonts w:ascii="Cambria Math" w:eastAsia="Times New Roman" w:hAnsi="Cambria Math" w:cs="Arial"/>
                      <w:i/>
                      <w:sz w:val="22"/>
                      <w:szCs w:val="22"/>
                      <w:lang w:val="es-ES"/>
                    </w:rPr>
                  </m:ctrlPr>
                </m:fPr>
                <m:num>
                  <m:r>
                    <w:rPr>
                      <w:rFonts w:ascii="Cambria Math" w:eastAsia="Times New Roman" w:hAnsi="Cambria Math" w:cs="Arial"/>
                      <w:sz w:val="22"/>
                      <w:szCs w:val="22"/>
                      <w:lang w:val="es-ES"/>
                    </w:rPr>
                    <m:t>% Deflactor del PIB</m:t>
                  </m:r>
                </m:num>
                <m:den>
                  <m:r>
                    <w:rPr>
                      <w:rFonts w:ascii="Cambria Math" w:eastAsia="Times New Roman" w:hAnsi="Cambria Math" w:cs="Arial"/>
                      <w:sz w:val="22"/>
                      <w:szCs w:val="22"/>
                      <w:lang w:val="es-ES"/>
                    </w:rPr>
                    <m:t>100</m:t>
                  </m:r>
                </m:den>
              </m:f>
              <m:r>
                <w:rPr>
                  <w:rFonts w:ascii="Cambria Math" w:eastAsia="Times New Roman" w:hAnsi="Cambria Math" w:cs="Arial"/>
                  <w:sz w:val="22"/>
                  <w:szCs w:val="22"/>
                  <w:lang w:val="es-ES"/>
                </w:rPr>
                <m:t xml:space="preserve"> </m:t>
              </m:r>
            </m:e>
          </m:d>
          <m:r>
            <w:rPr>
              <w:rFonts w:ascii="Cambria Math" w:eastAsia="Times New Roman" w:hAnsi="Cambria Math" w:cs="Arial"/>
              <w:sz w:val="22"/>
              <w:szCs w:val="22"/>
              <w:lang w:val="es-ES"/>
            </w:rPr>
            <m:t>-1</m:t>
          </m:r>
        </m:oMath>
      </m:oMathPara>
    </w:p>
    <w:p w:rsidR="002D6055" w:rsidRPr="00EE6AF7" w:rsidRDefault="002D6055" w:rsidP="002D6055">
      <w:pPr>
        <w:rPr>
          <w:rFonts w:eastAsia="Times New Roman" w:cs="Arial"/>
          <w:lang w:val="es-ES"/>
        </w:rPr>
      </w:pPr>
    </w:p>
    <w:p w:rsidR="002D6055" w:rsidRPr="00EE6AF7" w:rsidRDefault="002D6055" w:rsidP="002D6055">
      <w:pPr>
        <w:rPr>
          <w:rFonts w:eastAsia="Times New Roman" w:cs="Arial"/>
          <w:lang w:val="es-ES"/>
        </w:rPr>
      </w:pPr>
      <w:r w:rsidRPr="00EE6AF7">
        <w:rPr>
          <w:rFonts w:eastAsia="Times New Roman" w:cs="Arial"/>
          <w:lang w:val="es-ES"/>
        </w:rPr>
        <w:t xml:space="preserve">Donde </w:t>
      </w:r>
    </w:p>
    <w:p w:rsidR="002D6055" w:rsidRPr="00EE6AF7" w:rsidRDefault="002D6055" w:rsidP="002D6055">
      <w:pPr>
        <w:rPr>
          <w:rFonts w:eastAsia="Times New Roman" w:cs="Arial"/>
          <w:lang w:val="es-ES"/>
        </w:rPr>
      </w:pPr>
    </w:p>
    <w:p w:rsidR="002D6055" w:rsidRPr="00EE6AF7" w:rsidRDefault="002D6055" w:rsidP="002D6055">
      <w:pPr>
        <w:rPr>
          <w:rFonts w:eastAsia="Times New Roman" w:cs="Arial"/>
          <w:lang w:val="es-ES"/>
        </w:rPr>
      </w:pPr>
      <w:r w:rsidRPr="00EE6AF7">
        <w:rPr>
          <w:rFonts w:eastAsia="Times New Roman" w:cs="Arial"/>
          <w:b/>
          <w:bCs/>
          <w:lang w:val="es-ES"/>
        </w:rPr>
        <w:t xml:space="preserve">% Crecimiento nominal: </w:t>
      </w:r>
      <w:r w:rsidRPr="00EE6AF7">
        <w:rPr>
          <w:rFonts w:eastAsia="Times New Roman" w:cs="Arial"/>
          <w:lang w:val="es-ES"/>
        </w:rPr>
        <w:t>Porcentaje de crecimiento nominal del PIB.</w:t>
      </w:r>
    </w:p>
    <w:p w:rsidR="002D6055" w:rsidRPr="00EE6AF7" w:rsidRDefault="002D6055" w:rsidP="002D6055">
      <w:pPr>
        <w:rPr>
          <w:rFonts w:eastAsia="Times New Roman" w:cs="Arial"/>
          <w:lang w:val="es-ES"/>
        </w:rPr>
      </w:pPr>
      <w:r w:rsidRPr="00EE6AF7">
        <w:rPr>
          <w:rFonts w:eastAsia="Times New Roman" w:cs="Arial"/>
          <w:b/>
          <w:bCs/>
          <w:lang w:val="es-ES"/>
        </w:rPr>
        <w:t xml:space="preserve">% Crecimiento real: </w:t>
      </w:r>
      <w:r w:rsidRPr="00EE6AF7">
        <w:rPr>
          <w:rFonts w:eastAsia="Times New Roman" w:cs="Arial"/>
          <w:lang w:val="es-ES"/>
        </w:rPr>
        <w:t xml:space="preserve">Porcentaje de crecimiento real del PIB con base en los CGPE. </w:t>
      </w:r>
    </w:p>
    <w:p w:rsidR="002D6055" w:rsidRPr="00EC654F" w:rsidRDefault="002D6055" w:rsidP="002D6055">
      <w:pPr>
        <w:rPr>
          <w:rFonts w:cs="Arial"/>
          <w:lang w:val="es-ES"/>
        </w:rPr>
      </w:pPr>
      <w:r w:rsidRPr="00EE6AF7">
        <w:rPr>
          <w:rFonts w:eastAsia="Times New Roman" w:cs="Arial"/>
          <w:b/>
          <w:bCs/>
          <w:lang w:val="es-ES"/>
        </w:rPr>
        <w:t xml:space="preserve">% Deflactor del PIB: </w:t>
      </w:r>
      <w:r w:rsidRPr="00EE6AF7">
        <w:rPr>
          <w:rFonts w:eastAsia="Times New Roman" w:cs="Arial"/>
          <w:lang w:val="es-ES"/>
        </w:rPr>
        <w:t>Deflactor del PIB con base en los CGPE.</w:t>
      </w:r>
    </w:p>
    <w:p w:rsidR="002D6055" w:rsidRPr="00EC654F" w:rsidRDefault="002D6055" w:rsidP="002D6055">
      <w:pPr>
        <w:rPr>
          <w:rFonts w:cs="Arial"/>
          <w:lang w:val="es-ES"/>
        </w:rPr>
      </w:pP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 xml:space="preserve">Tabla 3. </w:t>
      </w:r>
      <w:r w:rsidRPr="00EC654F">
        <w:rPr>
          <w:rFonts w:cs="Arial"/>
          <w:lang w:val="es-ES"/>
        </w:rPr>
        <w:t xml:space="preserve">Límite de crecimiento nominal en los ingresos </w:t>
      </w:r>
    </w:p>
    <w:tbl>
      <w:tblPr>
        <w:tblW w:w="8724" w:type="dxa"/>
        <w:jc w:val="center"/>
        <w:tblCellMar>
          <w:left w:w="70" w:type="dxa"/>
          <w:right w:w="70" w:type="dxa"/>
        </w:tblCellMar>
        <w:tblLook w:val="04A0" w:firstRow="1" w:lastRow="0" w:firstColumn="1" w:lastColumn="0" w:noHBand="0" w:noVBand="1"/>
      </w:tblPr>
      <w:tblGrid>
        <w:gridCol w:w="2628"/>
        <w:gridCol w:w="1016"/>
        <w:gridCol w:w="1016"/>
        <w:gridCol w:w="1016"/>
        <w:gridCol w:w="1016"/>
        <w:gridCol w:w="1016"/>
        <w:gridCol w:w="1016"/>
      </w:tblGrid>
      <w:tr w:rsidR="002D6055" w:rsidRPr="00EE6AF7" w:rsidTr="00895E26">
        <w:trPr>
          <w:trHeight w:val="106"/>
          <w:jc w:val="center"/>
        </w:trPr>
        <w:tc>
          <w:tcPr>
            <w:tcW w:w="2628" w:type="dxa"/>
            <w:tcBorders>
              <w:top w:val="single" w:sz="4" w:space="0" w:color="auto"/>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b/>
                <w:bCs/>
                <w:sz w:val="18"/>
                <w:szCs w:val="18"/>
                <w:lang w:eastAsia="es-MX"/>
              </w:rPr>
            </w:pPr>
            <w:r w:rsidRPr="00EC654F">
              <w:rPr>
                <w:rFonts w:eastAsia="Times New Roman" w:cs="Arial"/>
                <w:b/>
                <w:bCs/>
                <w:sz w:val="18"/>
                <w:szCs w:val="18"/>
                <w:lang w:eastAsia="es-MX"/>
              </w:rPr>
              <w:t> </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2022</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2023</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2024</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2025</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2027</w:t>
            </w:r>
          </w:p>
        </w:tc>
      </w:tr>
      <w:tr w:rsidR="002D6055" w:rsidRPr="00EE6AF7" w:rsidTr="00895E26">
        <w:trPr>
          <w:trHeight w:val="106"/>
          <w:jc w:val="center"/>
        </w:trPr>
        <w:tc>
          <w:tcPr>
            <w:tcW w:w="2628" w:type="dxa"/>
            <w:tcBorders>
              <w:top w:val="nil"/>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Límites de crecimiento nominal</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6.8%</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6.6%</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6.4%</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6.1%</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6.1%</w:t>
            </w:r>
          </w:p>
        </w:tc>
        <w:tc>
          <w:tcPr>
            <w:tcW w:w="1016" w:type="dxa"/>
            <w:tcBorders>
              <w:top w:val="nil"/>
              <w:left w:val="nil"/>
              <w:bottom w:val="single" w:sz="4" w:space="0" w:color="auto"/>
              <w:right w:val="single" w:sz="4" w:space="0" w:color="auto"/>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6.1%</w:t>
            </w:r>
          </w:p>
        </w:tc>
      </w:tr>
    </w:tbl>
    <w:p w:rsidR="002D6055" w:rsidRPr="00EC654F" w:rsidRDefault="002D6055" w:rsidP="002D6055">
      <w:pPr>
        <w:jc w:val="center"/>
        <w:rPr>
          <w:rFonts w:cs="Arial"/>
          <w:lang w:val="es-ES"/>
        </w:rPr>
      </w:pPr>
      <w:r w:rsidRPr="00EC654F">
        <w:rPr>
          <w:rFonts w:cs="Arial"/>
          <w:lang w:val="es-ES"/>
        </w:rPr>
        <w:t>Fuente: Elaboración propia</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Las participaciones del ramo 28 son parte del Gasto Programable del Gobierno Federal, por lo que los CGPE presentan una proyección del total de Participaciones como porcentaje del PIB nacional. Con los datos de la estimación de cierre del ejercicio del Presupuesto de Egresos 2021 y los datos del Proyecto de Presupuesto de Egresos 2022 del Estado de Yucatán, se calcula el porcentaje del monto total de participaciones asignado a la entidad. A partir del 2022, este porcentaje se estima como el promedio simple del porcentaje de dos años anteriores.</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Tabla 4</w:t>
      </w:r>
      <w:r w:rsidRPr="00EC654F">
        <w:rPr>
          <w:rFonts w:cs="Arial"/>
          <w:lang w:val="es-ES"/>
        </w:rPr>
        <w:t>. Proyección de Participaciones del Ramo 28</w:t>
      </w:r>
    </w:p>
    <w:tbl>
      <w:tblPr>
        <w:tblW w:w="8812" w:type="dxa"/>
        <w:jc w:val="center"/>
        <w:tblCellMar>
          <w:left w:w="70" w:type="dxa"/>
          <w:right w:w="70" w:type="dxa"/>
        </w:tblCellMar>
        <w:tblLook w:val="04A0" w:firstRow="1" w:lastRow="0" w:firstColumn="1" w:lastColumn="0" w:noHBand="0" w:noVBand="1"/>
      </w:tblPr>
      <w:tblGrid>
        <w:gridCol w:w="2757"/>
        <w:gridCol w:w="865"/>
        <w:gridCol w:w="865"/>
        <w:gridCol w:w="865"/>
        <w:gridCol w:w="865"/>
        <w:gridCol w:w="865"/>
        <w:gridCol w:w="865"/>
        <w:gridCol w:w="865"/>
      </w:tblGrid>
      <w:tr w:rsidR="002D6055" w:rsidRPr="00EE6AF7" w:rsidTr="00C1172B">
        <w:trPr>
          <w:trHeight w:val="113"/>
          <w:jc w:val="center"/>
        </w:trPr>
        <w:tc>
          <w:tcPr>
            <w:tcW w:w="2757" w:type="dxa"/>
            <w:tcBorders>
              <w:top w:val="single" w:sz="4" w:space="0" w:color="auto"/>
              <w:left w:val="single" w:sz="4" w:space="0" w:color="auto"/>
              <w:bottom w:val="single" w:sz="4" w:space="0" w:color="auto"/>
              <w:right w:val="nil"/>
            </w:tcBorders>
            <w:shd w:val="clear" w:color="auto" w:fill="auto"/>
            <w:noWrap/>
            <w:hideMark/>
          </w:tcPr>
          <w:p w:rsidR="002D6055" w:rsidRPr="00EC654F" w:rsidRDefault="002D6055" w:rsidP="00895E26">
            <w:pPr>
              <w:jc w:val="left"/>
              <w:rPr>
                <w:rFonts w:eastAsia="Times New Roman" w:cs="Arial"/>
                <w:b/>
                <w:bCs/>
                <w:sz w:val="18"/>
                <w:szCs w:val="18"/>
                <w:lang w:eastAsia="es-MX"/>
              </w:rPr>
            </w:pPr>
            <w:r w:rsidRPr="00EC654F">
              <w:rPr>
                <w:rFonts w:eastAsia="Times New Roman" w:cs="Arial"/>
                <w:b/>
                <w:bCs/>
                <w:sz w:val="18"/>
                <w:szCs w:val="18"/>
                <w:lang w:eastAsia="es-MX"/>
              </w:rPr>
              <w:t> </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2021</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2022</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2023</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2024</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2025</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2026</w:t>
            </w:r>
          </w:p>
        </w:tc>
        <w:tc>
          <w:tcPr>
            <w:tcW w:w="865" w:type="dxa"/>
            <w:tcBorders>
              <w:top w:val="single" w:sz="4" w:space="0" w:color="auto"/>
              <w:left w:val="nil"/>
              <w:bottom w:val="single" w:sz="4" w:space="0" w:color="auto"/>
              <w:right w:val="single" w:sz="4" w:space="0" w:color="auto"/>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2027</w:t>
            </w:r>
          </w:p>
        </w:tc>
      </w:tr>
      <w:tr w:rsidR="002D6055" w:rsidRPr="00EE6AF7" w:rsidTr="00C1172B">
        <w:trPr>
          <w:trHeight w:val="113"/>
          <w:jc w:val="center"/>
        </w:trPr>
        <w:tc>
          <w:tcPr>
            <w:tcW w:w="2757" w:type="dxa"/>
            <w:tcBorders>
              <w:top w:val="nil"/>
              <w:left w:val="single" w:sz="4" w:space="0" w:color="auto"/>
              <w:bottom w:val="nil"/>
              <w:right w:val="nil"/>
            </w:tcBorders>
            <w:shd w:val="clear" w:color="auto" w:fill="auto"/>
            <w:noWrap/>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PIB nominal (mmdp)</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26,055</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28,129</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30,115</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32,016</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33,975</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36,047</w:t>
            </w:r>
          </w:p>
        </w:tc>
        <w:tc>
          <w:tcPr>
            <w:tcW w:w="86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38,242</w:t>
            </w:r>
          </w:p>
        </w:tc>
      </w:tr>
      <w:tr w:rsidR="002D6055" w:rsidRPr="00EE6AF7" w:rsidTr="00C1172B">
        <w:trPr>
          <w:trHeight w:val="113"/>
          <w:jc w:val="center"/>
        </w:trPr>
        <w:tc>
          <w:tcPr>
            <w:tcW w:w="2757" w:type="dxa"/>
            <w:tcBorders>
              <w:top w:val="nil"/>
              <w:left w:val="single" w:sz="4" w:space="0" w:color="auto"/>
              <w:bottom w:val="nil"/>
              <w:right w:val="nil"/>
            </w:tcBorders>
            <w:shd w:val="clear" w:color="auto" w:fill="auto"/>
            <w:noWrap/>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Participaciones (% PIB)</w:t>
            </w:r>
          </w:p>
        </w:tc>
        <w:tc>
          <w:tcPr>
            <w:tcW w:w="865" w:type="dxa"/>
            <w:tcBorders>
              <w:top w:val="nil"/>
              <w:left w:val="nil"/>
              <w:bottom w:val="nil"/>
              <w:right w:val="nil"/>
            </w:tcBorders>
            <w:shd w:val="clear" w:color="000000" w:fill="E7E6E6"/>
            <w:noWrap/>
            <w:vAlign w:val="center"/>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3.60%</w:t>
            </w:r>
          </w:p>
        </w:tc>
        <w:tc>
          <w:tcPr>
            <w:tcW w:w="865" w:type="dxa"/>
            <w:tcBorders>
              <w:top w:val="nil"/>
              <w:left w:val="nil"/>
              <w:bottom w:val="nil"/>
              <w:right w:val="nil"/>
            </w:tcBorders>
            <w:shd w:val="clear" w:color="000000" w:fill="E7E6E6"/>
            <w:noWrap/>
            <w:vAlign w:val="center"/>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3.60%</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w:t>
            </w:r>
          </w:p>
        </w:tc>
        <w:tc>
          <w:tcPr>
            <w:tcW w:w="86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3.70%</w:t>
            </w:r>
          </w:p>
        </w:tc>
      </w:tr>
      <w:tr w:rsidR="002D6055" w:rsidRPr="00EE6AF7" w:rsidTr="00C1172B">
        <w:trPr>
          <w:trHeight w:val="113"/>
          <w:jc w:val="center"/>
        </w:trPr>
        <w:tc>
          <w:tcPr>
            <w:tcW w:w="2757"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Nacional</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938.0</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1,012.7</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1,084.2</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1,152.6</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1,223.1</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1,297.7</w:t>
            </w:r>
          </w:p>
        </w:tc>
        <w:tc>
          <w:tcPr>
            <w:tcW w:w="86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1,415.0</w:t>
            </w:r>
          </w:p>
        </w:tc>
      </w:tr>
      <w:tr w:rsidR="002D6055" w:rsidRPr="00EE6AF7" w:rsidTr="00C1172B">
        <w:trPr>
          <w:trHeight w:val="113"/>
          <w:jc w:val="center"/>
        </w:trPr>
        <w:tc>
          <w:tcPr>
            <w:tcW w:w="2757" w:type="dxa"/>
            <w:tcBorders>
              <w:top w:val="nil"/>
              <w:left w:val="single" w:sz="4" w:space="0" w:color="auto"/>
              <w:bottom w:val="nil"/>
              <w:right w:val="nil"/>
            </w:tcBorders>
            <w:shd w:val="clear" w:color="auto" w:fill="auto"/>
            <w:noWrap/>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Yucatán (% de Participaciones)</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1.59%</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1.65%</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1.62%</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1.64%</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1.63%</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1.63%</w:t>
            </w:r>
          </w:p>
        </w:tc>
        <w:tc>
          <w:tcPr>
            <w:tcW w:w="86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1.63%</w:t>
            </w:r>
          </w:p>
        </w:tc>
      </w:tr>
      <w:tr w:rsidR="002D6055" w:rsidRPr="00EE6AF7" w:rsidTr="00C1172B">
        <w:trPr>
          <w:trHeight w:val="113"/>
          <w:jc w:val="center"/>
        </w:trPr>
        <w:tc>
          <w:tcPr>
            <w:tcW w:w="2757" w:type="dxa"/>
            <w:tcBorders>
              <w:top w:val="nil"/>
              <w:left w:val="single" w:sz="4" w:space="0" w:color="auto"/>
              <w:bottom w:val="single" w:sz="4" w:space="0" w:color="auto"/>
              <w:right w:val="nil"/>
            </w:tcBorders>
            <w:shd w:val="clear" w:color="auto" w:fill="auto"/>
            <w:noWrap/>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Yucatán</w:t>
            </w:r>
          </w:p>
        </w:tc>
        <w:tc>
          <w:tcPr>
            <w:tcW w:w="865" w:type="dxa"/>
            <w:tcBorders>
              <w:top w:val="nil"/>
              <w:left w:val="nil"/>
              <w:bottom w:val="single" w:sz="4" w:space="0" w:color="auto"/>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14.9</w:t>
            </w:r>
          </w:p>
        </w:tc>
        <w:tc>
          <w:tcPr>
            <w:tcW w:w="865" w:type="dxa"/>
            <w:tcBorders>
              <w:top w:val="nil"/>
              <w:left w:val="nil"/>
              <w:bottom w:val="single" w:sz="4" w:space="0" w:color="auto"/>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16.7</w:t>
            </w:r>
          </w:p>
        </w:tc>
        <w:tc>
          <w:tcPr>
            <w:tcW w:w="86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17.6</w:t>
            </w:r>
          </w:p>
        </w:tc>
        <w:tc>
          <w:tcPr>
            <w:tcW w:w="86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18.8</w:t>
            </w:r>
          </w:p>
        </w:tc>
        <w:tc>
          <w:tcPr>
            <w:tcW w:w="86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19.9</w:t>
            </w:r>
          </w:p>
        </w:tc>
        <w:tc>
          <w:tcPr>
            <w:tcW w:w="86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21.2</w:t>
            </w:r>
          </w:p>
        </w:tc>
        <w:tc>
          <w:tcPr>
            <w:tcW w:w="865" w:type="dxa"/>
            <w:tcBorders>
              <w:top w:val="nil"/>
              <w:left w:val="nil"/>
              <w:bottom w:val="single" w:sz="4" w:space="0" w:color="auto"/>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23.1</w:t>
            </w:r>
          </w:p>
        </w:tc>
      </w:tr>
    </w:tbl>
    <w:p w:rsidR="002D6055" w:rsidRPr="00EC654F" w:rsidRDefault="002D6055" w:rsidP="002D6055">
      <w:pPr>
        <w:jc w:val="center"/>
        <w:rPr>
          <w:rFonts w:cs="Arial"/>
          <w:sz w:val="18"/>
          <w:szCs w:val="18"/>
          <w:lang w:val="es-ES"/>
        </w:rPr>
      </w:pPr>
      <w:r w:rsidRPr="00EC654F">
        <w:rPr>
          <w:rFonts w:cs="Arial"/>
          <w:sz w:val="18"/>
          <w:szCs w:val="18"/>
          <w:lang w:val="es-ES"/>
        </w:rPr>
        <w:t>Fuente: Elaboración propia con base en los PEF 2021 y 2022</w:t>
      </w:r>
    </w:p>
    <w:p w:rsidR="002D6055" w:rsidRPr="00EC654F" w:rsidRDefault="002D6055" w:rsidP="002D6055">
      <w:pPr>
        <w:rPr>
          <w:rFonts w:cs="Arial"/>
          <w:sz w:val="18"/>
          <w:szCs w:val="18"/>
          <w:lang w:val="es-ES"/>
        </w:rPr>
      </w:pPr>
    </w:p>
    <w:p w:rsidR="002D6055" w:rsidRPr="00EC654F" w:rsidRDefault="002D6055" w:rsidP="002D6055">
      <w:pPr>
        <w:rPr>
          <w:rFonts w:cs="Arial"/>
          <w:lang w:val="es-ES"/>
        </w:rPr>
      </w:pPr>
      <w:r w:rsidRPr="00EC654F">
        <w:rPr>
          <w:rFonts w:cs="Arial"/>
          <w:lang w:val="es-ES"/>
        </w:rPr>
        <w:t>Los CGPE no contienen información para proyectar las aportaciones del ramo 33. La proyección toma como base el PEF para el ejercicio 2021, PPEF para el 2022 y el PPEEY 2022 así como los ingresos por concepto de Aportaciones de la estimación de cierre del año 2021.  Para estos dos ejercicios se calcula el porcentaje del PIB nacional que representan las Aportaciones del Ramo 33 y para los años subsecuentes a partir del 2023 este porcentaje se calcula como el promedio simple de este indicador en los dos períodos inmediatos anteriores.</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Tabla 5</w:t>
      </w:r>
      <w:r w:rsidRPr="00EC654F">
        <w:rPr>
          <w:rFonts w:cs="Arial"/>
          <w:lang w:val="es-ES"/>
        </w:rPr>
        <w:t>. Proyección de Aportaciones del Ramo 33</w:t>
      </w:r>
    </w:p>
    <w:tbl>
      <w:tblPr>
        <w:tblW w:w="0" w:type="auto"/>
        <w:jc w:val="center"/>
        <w:tblCellMar>
          <w:left w:w="70" w:type="dxa"/>
          <w:right w:w="70" w:type="dxa"/>
        </w:tblCellMar>
        <w:tblLook w:val="04A0" w:firstRow="1" w:lastRow="0" w:firstColumn="1" w:lastColumn="0" w:noHBand="0" w:noVBand="1"/>
      </w:tblPr>
      <w:tblGrid>
        <w:gridCol w:w="2742"/>
        <w:gridCol w:w="851"/>
        <w:gridCol w:w="851"/>
        <w:gridCol w:w="851"/>
        <w:gridCol w:w="851"/>
        <w:gridCol w:w="851"/>
        <w:gridCol w:w="851"/>
        <w:gridCol w:w="851"/>
      </w:tblGrid>
      <w:tr w:rsidR="002D6055" w:rsidRPr="00EE6AF7" w:rsidTr="00895E26">
        <w:trPr>
          <w:trHeight w:val="170"/>
          <w:jc w:val="center"/>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b/>
                <w:bCs/>
                <w:sz w:val="20"/>
                <w:szCs w:val="20"/>
                <w:lang w:eastAsia="es-MX"/>
              </w:rPr>
            </w:pPr>
            <w:r w:rsidRPr="00EC654F">
              <w:rPr>
                <w:rFonts w:eastAsia="Times New Roman" w:cs="Arial"/>
                <w:b/>
                <w:bCs/>
                <w:sz w:val="20"/>
                <w:szCs w:val="20"/>
                <w:lang w:eastAsia="es-MX"/>
              </w:rPr>
              <w:t> </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2021</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2022</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2023</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2024</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2025</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2027</w:t>
            </w:r>
          </w:p>
        </w:tc>
      </w:tr>
      <w:tr w:rsidR="002D6055" w:rsidRPr="00EE6AF7" w:rsidTr="00895E26">
        <w:trPr>
          <w:trHeight w:val="170"/>
          <w:jc w:val="center"/>
        </w:trPr>
        <w:tc>
          <w:tcPr>
            <w:tcW w:w="0" w:type="auto"/>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PIB nominal (mmdp)</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26,055</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28,129</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30,115</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32,016</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33,975</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36,047</w:t>
            </w:r>
          </w:p>
        </w:tc>
        <w:tc>
          <w:tcPr>
            <w:tcW w:w="851"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38,242</w:t>
            </w:r>
          </w:p>
        </w:tc>
      </w:tr>
      <w:tr w:rsidR="002D6055" w:rsidRPr="00EE6AF7" w:rsidTr="00895E26">
        <w:trPr>
          <w:trHeight w:val="170"/>
          <w:jc w:val="center"/>
        </w:trPr>
        <w:tc>
          <w:tcPr>
            <w:tcW w:w="0" w:type="auto"/>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Aportaciones (% PIB)</w:t>
            </w:r>
          </w:p>
        </w:tc>
        <w:tc>
          <w:tcPr>
            <w:tcW w:w="851" w:type="dxa"/>
            <w:tcBorders>
              <w:top w:val="nil"/>
              <w:left w:val="nil"/>
              <w:bottom w:val="nil"/>
              <w:right w:val="nil"/>
            </w:tcBorders>
            <w:shd w:val="clear" w:color="000000" w:fill="E7E6E6"/>
            <w:noWrap/>
            <w:vAlign w:val="center"/>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2.99%</w:t>
            </w:r>
          </w:p>
        </w:tc>
        <w:tc>
          <w:tcPr>
            <w:tcW w:w="851" w:type="dxa"/>
            <w:tcBorders>
              <w:top w:val="nil"/>
              <w:left w:val="nil"/>
              <w:bottom w:val="nil"/>
              <w:right w:val="nil"/>
            </w:tcBorders>
            <w:shd w:val="clear" w:color="000000" w:fill="E7E6E6"/>
            <w:noWrap/>
            <w:vAlign w:val="center"/>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2.95%</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2.97%</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2.96%</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2.96%</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2.96%</w:t>
            </w:r>
          </w:p>
        </w:tc>
        <w:tc>
          <w:tcPr>
            <w:tcW w:w="851"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2.96%</w:t>
            </w:r>
          </w:p>
        </w:tc>
      </w:tr>
      <w:tr w:rsidR="002D6055" w:rsidRPr="00EE6AF7" w:rsidTr="00895E26">
        <w:trPr>
          <w:trHeight w:val="17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Nacional</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777.8</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830.3</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894.0</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947.7</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1,007.1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1,067.8</w:t>
            </w:r>
          </w:p>
        </w:tc>
        <w:tc>
          <w:tcPr>
            <w:tcW w:w="851"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1,133.2</w:t>
            </w:r>
          </w:p>
        </w:tc>
      </w:tr>
      <w:tr w:rsidR="002D6055" w:rsidRPr="00EE6AF7" w:rsidTr="00895E26">
        <w:trPr>
          <w:trHeight w:val="170"/>
          <w:jc w:val="center"/>
        </w:trPr>
        <w:tc>
          <w:tcPr>
            <w:tcW w:w="0" w:type="auto"/>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Yucatán (% de Aportaciones)</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1.80%</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1.81%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c>
          <w:tcPr>
            <w:tcW w:w="851"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r>
      <w:tr w:rsidR="002D6055" w:rsidRPr="00EE6AF7" w:rsidTr="00895E26">
        <w:trPr>
          <w:trHeight w:val="170"/>
          <w:jc w:val="center"/>
        </w:trPr>
        <w:tc>
          <w:tcPr>
            <w:tcW w:w="0" w:type="auto"/>
            <w:tcBorders>
              <w:top w:val="nil"/>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Yucatán</w:t>
            </w:r>
          </w:p>
        </w:tc>
        <w:tc>
          <w:tcPr>
            <w:tcW w:w="851" w:type="dxa"/>
            <w:tcBorders>
              <w:top w:val="nil"/>
              <w:left w:val="nil"/>
              <w:bottom w:val="single" w:sz="4" w:space="0" w:color="auto"/>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14.0</w:t>
            </w:r>
          </w:p>
        </w:tc>
        <w:tc>
          <w:tcPr>
            <w:tcW w:w="851" w:type="dxa"/>
            <w:tcBorders>
              <w:top w:val="nil"/>
              <w:left w:val="nil"/>
              <w:bottom w:val="single" w:sz="4" w:space="0" w:color="auto"/>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15.1</w:t>
            </w:r>
          </w:p>
        </w:tc>
        <w:tc>
          <w:tcPr>
            <w:tcW w:w="851"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16.2</w:t>
            </w:r>
          </w:p>
        </w:tc>
        <w:tc>
          <w:tcPr>
            <w:tcW w:w="851"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17.2</w:t>
            </w:r>
          </w:p>
        </w:tc>
        <w:tc>
          <w:tcPr>
            <w:tcW w:w="851"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18.2</w:t>
            </w:r>
          </w:p>
        </w:tc>
        <w:tc>
          <w:tcPr>
            <w:tcW w:w="851"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19.3</w:t>
            </w:r>
          </w:p>
        </w:tc>
        <w:tc>
          <w:tcPr>
            <w:tcW w:w="851" w:type="dxa"/>
            <w:tcBorders>
              <w:top w:val="nil"/>
              <w:left w:val="nil"/>
              <w:bottom w:val="single" w:sz="4" w:space="0" w:color="auto"/>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20.5</w:t>
            </w:r>
          </w:p>
        </w:tc>
      </w:tr>
    </w:tbl>
    <w:p w:rsidR="002D6055" w:rsidRPr="00EC654F" w:rsidRDefault="002D6055" w:rsidP="002D6055">
      <w:pPr>
        <w:jc w:val="center"/>
        <w:rPr>
          <w:rFonts w:cs="Arial"/>
          <w:lang w:val="es-ES"/>
        </w:rPr>
      </w:pPr>
      <w:r w:rsidRPr="00EC654F">
        <w:rPr>
          <w:rFonts w:cs="Arial"/>
          <w:lang w:val="es-ES"/>
        </w:rPr>
        <w:t>Fuente: Elaboración propia con base en los PEF 2021, PPEF 2022, PPEEY 2022</w:t>
      </w:r>
    </w:p>
    <w:p w:rsidR="002D6055" w:rsidRPr="00EC654F" w:rsidRDefault="002D6055" w:rsidP="002D6055">
      <w:pPr>
        <w:jc w:val="center"/>
        <w:rPr>
          <w:rFonts w:cs="Arial"/>
          <w:lang w:val="es-ES"/>
        </w:rPr>
      </w:pPr>
    </w:p>
    <w:p w:rsidR="002D6055" w:rsidRPr="00EC654F" w:rsidRDefault="002D6055" w:rsidP="002D6055">
      <w:pPr>
        <w:rPr>
          <w:rFonts w:cs="Arial"/>
          <w:lang w:val="es-ES"/>
        </w:rPr>
      </w:pPr>
      <w:r w:rsidRPr="00EC654F">
        <w:rPr>
          <w:rFonts w:cs="Arial"/>
          <w:lang w:val="es-ES"/>
        </w:rPr>
        <w:t>Las transferencias federales etiquetadas, con excepción de las Aportaciones del Ramo 33, se proyectan de manera similar a los ingresos locales. Se calcula la tasa anual de crecimiento compuesto de la partida de ingresos. Dado el contexto de recuperación económica derivado de la COVID-19 y desde un ángulo conservador, se asume la ausencia de Ingresos derivados de Financiamientos.</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Cuando se consolidan todas las proyecciones de ingresos, se obtiene un incremento del 11</w:t>
      </w:r>
      <w:r>
        <w:rPr>
          <w:rFonts w:cs="Arial"/>
          <w:lang w:val="es-ES"/>
        </w:rPr>
        <w:t>.41</w:t>
      </w:r>
      <w:r w:rsidRPr="00EC654F">
        <w:rPr>
          <w:rFonts w:cs="Arial"/>
          <w:lang w:val="es-ES"/>
        </w:rPr>
        <w:t>% de ingresos en 2022 con respecto a 2021, lo cual es consistente con un escenario de normalización de la recaudación como consecuencia de la reactivación paulatina de la economía. A partir de 2022 los ingresos aumentan entre el 5.</w:t>
      </w:r>
      <w:r>
        <w:rPr>
          <w:rFonts w:cs="Arial"/>
          <w:lang w:val="es-ES"/>
        </w:rPr>
        <w:t>05</w:t>
      </w:r>
      <w:r w:rsidRPr="00EC654F">
        <w:rPr>
          <w:rFonts w:cs="Arial"/>
          <w:lang w:val="es-ES"/>
        </w:rPr>
        <w:t xml:space="preserve"> y 6.</w:t>
      </w:r>
      <w:r>
        <w:rPr>
          <w:rFonts w:cs="Arial"/>
          <w:lang w:val="es-ES"/>
        </w:rPr>
        <w:t>89</w:t>
      </w:r>
      <w:r w:rsidRPr="00EC654F">
        <w:rPr>
          <w:rFonts w:cs="Arial"/>
          <w:lang w:val="es-ES"/>
        </w:rPr>
        <w:t>%; durante el período de proyección los ingresos aumentan a una TACC del 5.</w:t>
      </w:r>
      <w:r>
        <w:rPr>
          <w:rFonts w:cs="Arial"/>
          <w:lang w:val="es-ES"/>
        </w:rPr>
        <w:t>93</w:t>
      </w:r>
      <w:r w:rsidRPr="00EC654F">
        <w:rPr>
          <w:rFonts w:cs="Arial"/>
          <w:lang w:val="es-ES"/>
        </w:rPr>
        <w:t>%.</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 xml:space="preserve">Tabla 6. </w:t>
      </w:r>
      <w:r w:rsidRPr="00EC654F">
        <w:rPr>
          <w:rFonts w:cs="Arial"/>
          <w:lang w:val="es-ES"/>
        </w:rPr>
        <w:t>Proyección de ingresos 2022 – 2027 (pesos)</w:t>
      </w:r>
    </w:p>
    <w:tbl>
      <w:tblPr>
        <w:tblW w:w="0" w:type="auto"/>
        <w:jc w:val="center"/>
        <w:tblCellMar>
          <w:left w:w="70" w:type="dxa"/>
          <w:right w:w="70" w:type="dxa"/>
        </w:tblCellMar>
        <w:tblLook w:val="04A0" w:firstRow="1" w:lastRow="0" w:firstColumn="1" w:lastColumn="0" w:noHBand="0" w:noVBand="1"/>
      </w:tblPr>
      <w:tblGrid>
        <w:gridCol w:w="5425"/>
        <w:gridCol w:w="968"/>
        <w:gridCol w:w="948"/>
        <w:gridCol w:w="956"/>
        <w:gridCol w:w="969"/>
        <w:gridCol w:w="929"/>
        <w:gridCol w:w="965"/>
      </w:tblGrid>
      <w:tr w:rsidR="00D31C30" w:rsidRPr="00EE6AF7" w:rsidTr="00EE6AF7">
        <w:trPr>
          <w:trHeight w:val="20"/>
          <w:jc w:val="center"/>
        </w:trPr>
        <w:tc>
          <w:tcPr>
            <w:tcW w:w="0" w:type="auto"/>
            <w:tcBorders>
              <w:top w:val="single" w:sz="4" w:space="0" w:color="auto"/>
              <w:left w:val="single" w:sz="4" w:space="0" w:color="auto"/>
              <w:bottom w:val="single" w:sz="4" w:space="0" w:color="auto"/>
              <w:right w:val="nil"/>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Concepto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2022</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2023</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2024</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2025</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2026</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2027</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 xml:space="preserve">1. Ingresos de Libre Disposición (1=A+B+C+D+E+F+G+H+I+J+K+L) </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22,398,355,804.00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23,279,978,710.70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24,924,852,141.22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26,357,190,710.50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28,011,962,474.60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30,315,968,827.20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A. Impuestos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2,785,616,196.00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2,969,606,145.75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3,159,601,546.95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3,351,942,291.12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3,555,991,778.09</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3,772,462,777.58</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B. Cuotas y Aportaciones de Seguridad Social</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C. Contribuciones de Mejoras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D. Derechos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1,722,038,175.00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1,482,957,634.78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1,577,837,264.26</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1,673,888,107.72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1,775,786,046.28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1,883,887,021.84</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E. Productos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323,996,640.00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345,396,618.07</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367,495,093.70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389,866,357.53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413,599,472.04</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438,777,339.90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F. Aprovechamientos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279,105,662.00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297,540,590.98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316,577,237.99</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335,848,877.35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356,293,677.76</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377,983,055.39</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G. Ingresos por Venta de Bienes y Prestación de Servicios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16,718,685,276.00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17,577,987,106.00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18,858,047,113.65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19,921,068,926.88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21,184,041,777.40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23,072,398,457.56</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I. Incentivos Derivados de la Colaboración Fiscal</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568,913,855.00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606,490,615.12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645,293,884.68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684,576,149.91</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726,249,723.03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770,460,174.92</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J. Transferencias y Asignaciones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K. Convenios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L. Otros Ingresos de Libre Disposición</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2. Transferencias Federales Etiquetadas (2=A+B+C+D+E)</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20,237,380,255.00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21,507,215,655.54</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22,667,717,889.13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23,901,064,143.03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25,181,355,363.70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26,543,820,603.88</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A. Aportaciones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15,061,319,925.00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16,171,544,876.79</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17,167,329,174.26</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18,230,680,696.02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19,335,525,288.65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20,516,910,910.40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B. Convenios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3,001,965,784.00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3,079,233,451.37</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3,158,489,913.03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3,239,786,358.61</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3,323,175,295.29</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3,408,710,581.77</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C. Fondos Distintos de Aportaciones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Subvenciones, y Pensiones y Jubilaciones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2,174,094,546.00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2,256,437,327.38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2,341,898,801.85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2,430,597,088.41</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2,522,654,779.75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2,618,199,111.71</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E. Otras Transferencias Federales Etiquetadas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3. Ingresos Derivados de Financiamientos (3=A)</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A. Ingresos Derivados de Financiamientos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4. Total de Ingresos Proyectados (4=1+2+3)</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42,635,736,059.00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44,787,194,366.24</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47,592,570,030.35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50,258,254,853.54</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53,193,317,838.30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56,859,789,431.09</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Datos Informativos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1. Ingresos Derivados de Financiamientos con Fuente de Pago de Recursos de Libre Disposición</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2. Ingresos Derivados de Financiamientos con Fuente de Pago de Transferencias Federales Etiquetadas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single" w:sz="4" w:space="0" w:color="auto"/>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3. Ingresos Derivados de Financiamiento (3 = 1 + 2)</w:t>
            </w:r>
          </w:p>
        </w:tc>
        <w:tc>
          <w:tcPr>
            <w:tcW w:w="0" w:type="auto"/>
            <w:tcBorders>
              <w:top w:val="nil"/>
              <w:left w:val="single" w:sz="4" w:space="0" w:color="auto"/>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r>
    </w:tbl>
    <w:p w:rsidR="002D6055" w:rsidRPr="00EC654F" w:rsidRDefault="002D6055" w:rsidP="002D6055">
      <w:pPr>
        <w:jc w:val="center"/>
        <w:rPr>
          <w:rFonts w:cs="Arial"/>
          <w:lang w:val="es-ES"/>
        </w:rPr>
      </w:pPr>
      <w:r w:rsidRPr="00EC654F">
        <w:rPr>
          <w:rFonts w:cs="Arial"/>
          <w:lang w:val="es-ES"/>
        </w:rPr>
        <w:t>Fuente: Elaboración propia</w:t>
      </w:r>
    </w:p>
    <w:p w:rsidR="002D6055" w:rsidRPr="00EC654F" w:rsidRDefault="002D6055" w:rsidP="002D6055">
      <w:pPr>
        <w:jc w:val="center"/>
        <w:rPr>
          <w:rFonts w:cs="Arial"/>
          <w:lang w:val="es-ES"/>
        </w:rPr>
      </w:pPr>
    </w:p>
    <w:p w:rsidR="002D6055" w:rsidRPr="0014673B" w:rsidRDefault="002D6055" w:rsidP="002D6055">
      <w:pPr>
        <w:rPr>
          <w:rFonts w:cs="Arial"/>
          <w:b/>
          <w:bCs/>
          <w:lang w:val="es-ES"/>
        </w:rPr>
      </w:pPr>
      <w:r w:rsidRPr="0014673B">
        <w:rPr>
          <w:rFonts w:cs="Arial"/>
          <w:b/>
          <w:bCs/>
          <w:lang w:val="es-ES"/>
        </w:rPr>
        <w:t>Proyección de Egresos</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 proyección de egresos se realiza de forma similar a la proyección de los ingresos locales. Se calcula, por cada concepto de egresos con excepción de la deuda y de la inversión pública y para cada año entre 2017 y 2022, la Tasa Anual de Crecimiento Presupuestal (TACP) y posteriormente la TACC del período. Si la tasa de crecimiento entre un año y otro es negativa para algún período, se asume un crecimiento de cero. Todos los capítulos, salvo el de deuda pública, se proyectan con base en estos factores de crecimiento y con los límites superiores previamente calculados en la Tabla 3.</w:t>
      </w:r>
    </w:p>
    <w:p w:rsidR="002D6055" w:rsidRPr="00EC654F" w:rsidRDefault="002D6055" w:rsidP="002D6055">
      <w:pPr>
        <w:rPr>
          <w:rFonts w:cs="Arial"/>
          <w:lang w:val="es-ES"/>
        </w:rPr>
      </w:pPr>
    </w:p>
    <w:p w:rsidR="002D6055" w:rsidRPr="00EC654F" w:rsidRDefault="002D6055" w:rsidP="002D6055">
      <w:pPr>
        <w:rPr>
          <w:rFonts w:cs="Arial"/>
          <w:i/>
          <w:iCs/>
          <w:lang w:val="es-ES"/>
        </w:rPr>
      </w:pPr>
      <w:r w:rsidRPr="00EC654F">
        <w:rPr>
          <w:rFonts w:cs="Arial"/>
          <w:lang w:val="es-ES"/>
        </w:rPr>
        <w:t xml:space="preserve">El gasto operativo incluye los egresos por Servicios Personales, Materiales y Suministros, Servicios Generales y Transferencias. El límite de crecimiento sobre los Servicios Personales según el Artículo 10 en la fracción I de la LDFEFM, es </w:t>
      </w:r>
      <w:r w:rsidRPr="00EC654F">
        <w:rPr>
          <w:rFonts w:cs="Arial"/>
          <w:i/>
          <w:iCs/>
          <w:lang w:val="es-ES"/>
        </w:rPr>
        <w:t xml:space="preserve">el valor que resulte menor entre el 3 por ciento de crecimiento real y el crecimiento real del PIB señalado en los CGPE para el ejercicio presupuestado. Si el crecimiento real del PIB en el ejercicio presupuestal es negativo, deberá considerarse un crecimiento real igual a cero. </w:t>
      </w:r>
    </w:p>
    <w:p w:rsidR="002D6055" w:rsidRPr="00EC654F" w:rsidRDefault="002D6055" w:rsidP="002D6055">
      <w:pPr>
        <w:rPr>
          <w:rFonts w:cs="Arial"/>
          <w:lang w:val="es-ES"/>
        </w:rPr>
      </w:pPr>
    </w:p>
    <w:p w:rsidR="002D6055" w:rsidRPr="00EC654F" w:rsidRDefault="002D6055" w:rsidP="002D6055">
      <w:pPr>
        <w:rPr>
          <w:rFonts w:cs="Arial"/>
          <w:b/>
        </w:rPr>
      </w:pPr>
      <w:r w:rsidRPr="00EC654F">
        <w:rPr>
          <w:rFonts w:cs="Arial"/>
          <w:b/>
        </w:rPr>
        <w:t>Deuda pública de largo plazo</w:t>
      </w:r>
    </w:p>
    <w:p w:rsidR="002D6055" w:rsidRPr="00EC654F" w:rsidRDefault="002D6055" w:rsidP="002D6055">
      <w:pPr>
        <w:rPr>
          <w:rFonts w:cs="Arial"/>
          <w:b/>
        </w:rPr>
      </w:pPr>
    </w:p>
    <w:p w:rsidR="002D6055" w:rsidRPr="00EC654F" w:rsidRDefault="002D6055" w:rsidP="002D6055">
      <w:pPr>
        <w:spacing w:after="240"/>
        <w:rPr>
          <w:rFonts w:cs="Arial"/>
        </w:rPr>
      </w:pPr>
      <w:r w:rsidRPr="00EC654F">
        <w:rPr>
          <w:rFonts w:cs="Arial"/>
        </w:rPr>
        <w:t>La Deuda pública de largo plazo del Gobierno del Estado está integrada por 5 financiamientos contratados con dos diferentes instituciones financieras, la integración de la deuda de largo plazo y el saldo estimado al cierre del ejercicio 2021, se desglosa en la siguiente tabla.</w:t>
      </w:r>
    </w:p>
    <w:p w:rsidR="002D6055" w:rsidRPr="00EC654F" w:rsidRDefault="002D6055" w:rsidP="002D6055">
      <w:pPr>
        <w:jc w:val="center"/>
        <w:rPr>
          <w:rFonts w:cs="Arial"/>
        </w:rPr>
      </w:pPr>
      <w:r w:rsidRPr="00EC654F">
        <w:rPr>
          <w:rFonts w:cs="Arial"/>
          <w:b/>
          <w:bCs/>
        </w:rPr>
        <w:t>Tabla 7.</w:t>
      </w:r>
      <w:r w:rsidRPr="00EC654F">
        <w:rPr>
          <w:rFonts w:cs="Arial"/>
        </w:rPr>
        <w:t xml:space="preserve"> Integración de la Deuda de Largo Plazo</w:t>
      </w:r>
    </w:p>
    <w:tbl>
      <w:tblPr>
        <w:tblW w:w="0" w:type="auto"/>
        <w:jc w:val="center"/>
        <w:tblCellMar>
          <w:left w:w="70" w:type="dxa"/>
          <w:right w:w="70" w:type="dxa"/>
        </w:tblCellMar>
        <w:tblLook w:val="04A0" w:firstRow="1" w:lastRow="0" w:firstColumn="1" w:lastColumn="0" w:noHBand="0" w:noVBand="1"/>
      </w:tblPr>
      <w:tblGrid>
        <w:gridCol w:w="2097"/>
        <w:gridCol w:w="5787"/>
        <w:gridCol w:w="1164"/>
      </w:tblGrid>
      <w:tr w:rsidR="002D6055" w:rsidRPr="00EE6AF7" w:rsidTr="00895E26">
        <w:trPr>
          <w:trHeight w:val="395"/>
          <w:jc w:val="center"/>
        </w:trPr>
        <w:tc>
          <w:tcPr>
            <w:tcW w:w="0" w:type="auto"/>
            <w:tcBorders>
              <w:top w:val="nil"/>
              <w:left w:val="single" w:sz="4" w:space="0" w:color="auto"/>
              <w:bottom w:val="single" w:sz="4" w:space="0" w:color="auto"/>
              <w:right w:val="single" w:sz="4" w:space="0" w:color="auto"/>
            </w:tcBorders>
            <w:shd w:val="clear" w:color="000000" w:fill="000000"/>
            <w:vAlign w:val="center"/>
            <w:hideMark/>
          </w:tcPr>
          <w:p w:rsidR="002D6055" w:rsidRPr="00EC654F" w:rsidRDefault="002D6055" w:rsidP="00895E26">
            <w:pPr>
              <w:rPr>
                <w:rFonts w:eastAsia="Times New Roman" w:cs="Arial"/>
                <w:b/>
                <w:bCs/>
                <w:color w:val="FFFFFF"/>
                <w:sz w:val="16"/>
                <w:szCs w:val="16"/>
                <w:lang w:eastAsia="es-MX"/>
              </w:rPr>
            </w:pPr>
            <w:r w:rsidRPr="00EC654F">
              <w:rPr>
                <w:rFonts w:eastAsia="Times New Roman" w:cs="Arial"/>
                <w:b/>
                <w:bCs/>
                <w:color w:val="FFFFFF"/>
                <w:sz w:val="16"/>
                <w:szCs w:val="16"/>
                <w:lang w:eastAsia="es-MX"/>
              </w:rPr>
              <w:t>Clasificación deuda</w:t>
            </w:r>
          </w:p>
        </w:tc>
        <w:tc>
          <w:tcPr>
            <w:tcW w:w="0" w:type="auto"/>
            <w:tcBorders>
              <w:top w:val="nil"/>
              <w:left w:val="nil"/>
              <w:bottom w:val="single" w:sz="4" w:space="0" w:color="auto"/>
              <w:right w:val="single" w:sz="4" w:space="0" w:color="auto"/>
            </w:tcBorders>
            <w:shd w:val="clear" w:color="000000" w:fill="000000"/>
            <w:vAlign w:val="center"/>
            <w:hideMark/>
          </w:tcPr>
          <w:p w:rsidR="002D6055" w:rsidRPr="00EC654F" w:rsidRDefault="002D6055" w:rsidP="00895E26">
            <w:pPr>
              <w:jc w:val="center"/>
              <w:rPr>
                <w:rFonts w:eastAsia="Times New Roman" w:cs="Arial"/>
                <w:b/>
                <w:bCs/>
                <w:color w:val="FFFFFF"/>
                <w:sz w:val="16"/>
                <w:szCs w:val="16"/>
                <w:lang w:eastAsia="es-MX"/>
              </w:rPr>
            </w:pPr>
            <w:r w:rsidRPr="00EC654F">
              <w:rPr>
                <w:rFonts w:eastAsia="Times New Roman" w:cs="Arial"/>
                <w:b/>
                <w:bCs/>
                <w:color w:val="FFFFFF"/>
                <w:sz w:val="16"/>
                <w:szCs w:val="16"/>
                <w:lang w:eastAsia="es-MX"/>
              </w:rPr>
              <w:t>Institución Financiera/Monto de Contratación</w:t>
            </w:r>
          </w:p>
        </w:tc>
        <w:tc>
          <w:tcPr>
            <w:tcW w:w="0" w:type="auto"/>
            <w:tcBorders>
              <w:top w:val="nil"/>
              <w:left w:val="nil"/>
              <w:bottom w:val="single" w:sz="4" w:space="0" w:color="auto"/>
              <w:right w:val="single" w:sz="4" w:space="0" w:color="auto"/>
            </w:tcBorders>
            <w:shd w:val="clear" w:color="000000" w:fill="000000"/>
            <w:vAlign w:val="center"/>
            <w:hideMark/>
          </w:tcPr>
          <w:p w:rsidR="002D6055" w:rsidRPr="00EC654F" w:rsidRDefault="002D6055" w:rsidP="00895E26">
            <w:pPr>
              <w:jc w:val="center"/>
              <w:rPr>
                <w:rFonts w:eastAsia="Times New Roman" w:cs="Arial"/>
                <w:b/>
                <w:bCs/>
                <w:color w:val="FFFFFF"/>
                <w:sz w:val="16"/>
                <w:szCs w:val="16"/>
                <w:lang w:eastAsia="es-MX"/>
              </w:rPr>
            </w:pPr>
            <w:r w:rsidRPr="00EC654F">
              <w:rPr>
                <w:rFonts w:eastAsia="Times New Roman" w:cs="Arial"/>
                <w:b/>
                <w:bCs/>
                <w:color w:val="FFFFFF"/>
                <w:sz w:val="16"/>
                <w:szCs w:val="16"/>
                <w:lang w:eastAsia="es-MX"/>
              </w:rPr>
              <w:t xml:space="preserve">Saldo al </w:t>
            </w:r>
            <w:r w:rsidRPr="00EC654F">
              <w:rPr>
                <w:rFonts w:eastAsia="Times New Roman" w:cs="Arial"/>
                <w:b/>
                <w:bCs/>
                <w:color w:val="FFFFFF"/>
                <w:sz w:val="16"/>
                <w:szCs w:val="16"/>
                <w:lang w:eastAsia="es-MX"/>
              </w:rPr>
              <w:br/>
              <w:t>31/dic/2021</w:t>
            </w:r>
          </w:p>
        </w:tc>
      </w:tr>
      <w:tr w:rsidR="002D6055" w:rsidRPr="00EE6AF7" w:rsidTr="00895E26">
        <w:trPr>
          <w:trHeight w:val="1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Deuda pública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Banco Nacional de México, S.A. por 2,620 mdp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2,591,228,832</w:t>
            </w:r>
          </w:p>
        </w:tc>
      </w:tr>
      <w:tr w:rsidR="002D6055" w:rsidRPr="00EE6AF7" w:rsidTr="00895E26">
        <w:trPr>
          <w:trHeight w:val="34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Banco Nacional de Obras y Servicios Públicos, S.N.C. por 800 mdp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791,778,824</w:t>
            </w:r>
          </w:p>
        </w:tc>
      </w:tr>
      <w:tr w:rsidR="002D6055" w:rsidRPr="00EE6AF7" w:rsidTr="00895E26">
        <w:trPr>
          <w:trHeight w:val="34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Banco Nacional de Obras y Servicios Públicos, S.N.C. por 1,200 mdp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1,188,008,002</w:t>
            </w:r>
          </w:p>
        </w:tc>
      </w:tr>
      <w:tr w:rsidR="002D6055" w:rsidRPr="00EE6AF7" w:rsidTr="00895E26">
        <w:trPr>
          <w:trHeight w:val="34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Banco Nacional de Obras y Servicios Públicos, S.N.C. por 1,420mdp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1,366,487,676</w:t>
            </w:r>
          </w:p>
        </w:tc>
      </w:tr>
      <w:tr w:rsidR="002D6055" w:rsidRPr="00EE6AF7" w:rsidTr="00895E26">
        <w:trPr>
          <w:trHeight w:val="1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b/>
                <w:color w:val="000000"/>
                <w:sz w:val="16"/>
                <w:szCs w:val="16"/>
                <w:lang w:eastAsia="es-MX"/>
              </w:rPr>
            </w:pPr>
            <w:r w:rsidRPr="00EC654F">
              <w:rPr>
                <w:rFonts w:eastAsia="Times New Roman" w:cs="Arial"/>
                <w:b/>
                <w:color w:val="000000"/>
                <w:sz w:val="16"/>
                <w:szCs w:val="16"/>
                <w:lang w:eastAsia="es-MX"/>
              </w:rPr>
              <w:t>Total deuda pública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b/>
                <w:color w:val="000000"/>
                <w:sz w:val="16"/>
                <w:szCs w:val="16"/>
                <w:lang w:eastAsia="es-MX"/>
              </w:rPr>
            </w:pPr>
            <w:r w:rsidRPr="00EC654F">
              <w:rPr>
                <w:rFonts w:eastAsia="Times New Roman" w:cs="Arial"/>
                <w:b/>
                <w:color w:val="000000"/>
                <w:sz w:val="16"/>
                <w:szCs w:val="16"/>
                <w:lang w:eastAsia="es-MX"/>
              </w:rPr>
              <w:t>5,937,503,333</w:t>
            </w:r>
          </w:p>
        </w:tc>
      </w:tr>
      <w:tr w:rsidR="002D6055" w:rsidRPr="00EE6AF7" w:rsidTr="00895E26">
        <w:trPr>
          <w:trHeight w:val="3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Deuda pública con garantía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Banco Nacional de Obras y Servicios Públicos, S.N.C. (PROFISE) por 317 mdp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306,931,762</w:t>
            </w:r>
          </w:p>
        </w:tc>
      </w:tr>
      <w:tr w:rsidR="002D6055" w:rsidRPr="00EE6AF7" w:rsidTr="00895E26">
        <w:trPr>
          <w:trHeight w:val="1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b/>
                <w:color w:val="000000"/>
                <w:sz w:val="16"/>
                <w:szCs w:val="16"/>
                <w:lang w:eastAsia="es-MX"/>
              </w:rPr>
            </w:pPr>
            <w:r w:rsidRPr="00EC654F">
              <w:rPr>
                <w:rFonts w:eastAsia="Times New Roman" w:cs="Arial"/>
                <w:b/>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2D6055" w:rsidRPr="00EC654F" w:rsidRDefault="002D6055" w:rsidP="00895E26">
            <w:pPr>
              <w:rPr>
                <w:rFonts w:eastAsia="Times New Roman" w:cs="Arial"/>
                <w:b/>
                <w:color w:val="000000"/>
                <w:sz w:val="16"/>
                <w:szCs w:val="16"/>
                <w:lang w:eastAsia="es-MX"/>
              </w:rPr>
            </w:pPr>
            <w:r w:rsidRPr="00EC654F">
              <w:rPr>
                <w:rFonts w:eastAsia="Times New Roman" w:cs="Arial"/>
                <w:b/>
                <w:color w:val="000000"/>
                <w:sz w:val="16"/>
                <w:szCs w:val="16"/>
                <w:lang w:eastAsia="es-MX"/>
              </w:rPr>
              <w:t>Total deuda pública con garantía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b/>
                <w:color w:val="000000"/>
                <w:sz w:val="16"/>
                <w:szCs w:val="16"/>
                <w:lang w:eastAsia="es-MX"/>
              </w:rPr>
            </w:pPr>
            <w:r w:rsidRPr="00EC654F">
              <w:rPr>
                <w:rFonts w:eastAsia="Times New Roman" w:cs="Arial"/>
                <w:b/>
                <w:color w:val="000000"/>
                <w:sz w:val="16"/>
                <w:szCs w:val="16"/>
                <w:lang w:eastAsia="es-MX"/>
              </w:rPr>
              <w:t>306,931,762</w:t>
            </w:r>
          </w:p>
        </w:tc>
      </w:tr>
      <w:tr w:rsidR="002D6055" w:rsidRPr="00EE6AF7" w:rsidTr="00895E26">
        <w:trPr>
          <w:trHeight w:val="1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b/>
                <w:bCs/>
                <w:color w:val="000000"/>
                <w:sz w:val="16"/>
                <w:szCs w:val="16"/>
                <w:lang w:eastAsia="es-MX"/>
              </w:rPr>
            </w:pPr>
            <w:r w:rsidRPr="00EC654F">
              <w:rPr>
                <w:rFonts w:eastAsia="Times New Roman" w:cs="Arial"/>
                <w:b/>
                <w:bCs/>
                <w:color w:val="000000"/>
                <w:sz w:val="16"/>
                <w:szCs w:val="16"/>
                <w:lang w:eastAsia="es-MX"/>
              </w:rPr>
              <w:t>Total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b/>
                <w:color w:val="000000"/>
                <w:sz w:val="16"/>
                <w:szCs w:val="16"/>
                <w:lang w:eastAsia="es-MX"/>
              </w:rPr>
            </w:pPr>
            <w:r w:rsidRPr="00EC654F">
              <w:rPr>
                <w:rFonts w:eastAsia="Times New Roman" w:cs="Arial"/>
                <w:b/>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b/>
                <w:color w:val="000000"/>
                <w:sz w:val="16"/>
                <w:szCs w:val="16"/>
                <w:lang w:eastAsia="es-MX"/>
              </w:rPr>
            </w:pPr>
            <w:r w:rsidRPr="00EC654F">
              <w:rPr>
                <w:rFonts w:eastAsia="Times New Roman" w:cs="Arial"/>
                <w:b/>
                <w:color w:val="000000"/>
                <w:sz w:val="16"/>
                <w:szCs w:val="16"/>
                <w:lang w:eastAsia="es-MX"/>
              </w:rPr>
              <w:t>6,244,435,095</w:t>
            </w:r>
          </w:p>
        </w:tc>
      </w:tr>
    </w:tbl>
    <w:p w:rsidR="002D6055" w:rsidRPr="00EC654F" w:rsidRDefault="002D6055" w:rsidP="002D6055">
      <w:pPr>
        <w:rPr>
          <w:rFonts w:cs="Arial"/>
        </w:rPr>
      </w:pPr>
    </w:p>
    <w:p w:rsidR="002D6055" w:rsidRPr="00EC654F" w:rsidRDefault="002D6055" w:rsidP="002D6055">
      <w:pPr>
        <w:rPr>
          <w:rFonts w:cs="Arial"/>
        </w:rPr>
      </w:pPr>
      <w:r w:rsidRPr="00EC654F">
        <w:rPr>
          <w:rFonts w:cs="Arial"/>
        </w:rPr>
        <w:t xml:space="preserve">De acuerdo a la evaluación publicada el 30 de junio de 2021 por el Sistema de Alertas el nivel de endeudamiento del Gobierno del Estado de Yucatán es: Sostenible. Por lo que el techo de financiamiento al que podrá acceder durante el ejercicio 2022 será del 15% de los Ingresos de Libre Disposición, de conformidad con los artículos 46 de la Ley de Disciplina Financiera de las Entidades Federativas y Municipios y 14 del Reglamento del Sistema de Alertas. </w:t>
      </w:r>
    </w:p>
    <w:p w:rsidR="002D6055" w:rsidRPr="00EC654F" w:rsidRDefault="002D6055" w:rsidP="002D6055">
      <w:pPr>
        <w:rPr>
          <w:rFonts w:cs="Arial"/>
        </w:rPr>
      </w:pPr>
    </w:p>
    <w:p w:rsidR="002D6055" w:rsidRDefault="002D6055" w:rsidP="002D6055">
      <w:pPr>
        <w:rPr>
          <w:rFonts w:cs="Arial"/>
          <w:b/>
        </w:rPr>
      </w:pPr>
      <w:r w:rsidRPr="00EC654F">
        <w:rPr>
          <w:rFonts w:cs="Arial"/>
          <w:b/>
        </w:rPr>
        <w:t>Proyecciones de la deuda de largo plazo</w:t>
      </w:r>
    </w:p>
    <w:p w:rsidR="002D6055" w:rsidRPr="00EC654F" w:rsidRDefault="002D6055" w:rsidP="002D6055">
      <w:pPr>
        <w:rPr>
          <w:rFonts w:cs="Arial"/>
          <w:b/>
        </w:rPr>
      </w:pPr>
    </w:p>
    <w:p w:rsidR="002D6055" w:rsidRDefault="002D6055" w:rsidP="002D6055">
      <w:pPr>
        <w:rPr>
          <w:rFonts w:cs="Arial"/>
        </w:rPr>
      </w:pPr>
      <w:r w:rsidRPr="00EC654F">
        <w:rPr>
          <w:rFonts w:cs="Arial"/>
        </w:rPr>
        <w:t>Para realizar las proyecciones del servicio de la deuda de largo plazo, se considera el perfil de amortización pactado en cada una de las disposiciones realizadas, el mecanismo para el cálculo de los intereses establecido en los contratos de crédito, así como los gastos que deriven de dar cumplimiento a las “Obligaciones de Hacer” establecidas en los contratos, tales como honorarios de administración fiduciaria, calificación de la estructura del crédito o calificación quirografaria y la contratación de coberturas sobre variaciones en la TIIE.</w:t>
      </w:r>
    </w:p>
    <w:p w:rsidR="002D6055" w:rsidRPr="00EC654F" w:rsidRDefault="002D6055" w:rsidP="002D6055">
      <w:pPr>
        <w:rPr>
          <w:rFonts w:cs="Arial"/>
        </w:rPr>
      </w:pPr>
    </w:p>
    <w:p w:rsidR="002D6055" w:rsidRDefault="002D6055" w:rsidP="002D6055">
      <w:pPr>
        <w:rPr>
          <w:rFonts w:cs="Arial"/>
        </w:rPr>
      </w:pPr>
      <w:r w:rsidRPr="00EC654F">
        <w:rPr>
          <w:rFonts w:cs="Arial"/>
        </w:rPr>
        <w:t>A la fecha, todos los créditos que integran la deuda de largo plazo han concluido con su período de disposición, por lo que no se consideran disposiciones adicionales.</w:t>
      </w:r>
    </w:p>
    <w:p w:rsidR="002D6055" w:rsidRPr="00EC654F" w:rsidRDefault="002D6055" w:rsidP="002D6055">
      <w:pPr>
        <w:rPr>
          <w:rFonts w:cs="Arial"/>
        </w:rPr>
      </w:pPr>
    </w:p>
    <w:p w:rsidR="002D6055" w:rsidRDefault="002D6055" w:rsidP="002D6055">
      <w:pPr>
        <w:rPr>
          <w:rFonts w:cs="Arial"/>
        </w:rPr>
      </w:pPr>
      <w:r w:rsidRPr="00EC654F">
        <w:rPr>
          <w:rFonts w:cs="Arial"/>
        </w:rPr>
        <w:t>Actualmente los créditos bancarios que integran la deuda pública de largo plazo cuentan con la calificación crediticia AAA en la escala local, esta calificación significa que la estructura cuenta con la más alta calidad crediticia, ofreciendo gran seguridad para el pago oportuno de sus obligaciones de deuda y manteniendo un mínimo riesgo crediticio ante escenarios económicos y financieros adversos, lo que permite el acceso a las mejores tasas de interés pactadas.</w:t>
      </w:r>
    </w:p>
    <w:p w:rsidR="002D6055" w:rsidRPr="00EC654F" w:rsidRDefault="002D6055" w:rsidP="002D6055">
      <w:pPr>
        <w:rPr>
          <w:rFonts w:cs="Arial"/>
        </w:rPr>
      </w:pPr>
    </w:p>
    <w:p w:rsidR="002D6055" w:rsidRDefault="002D6055" w:rsidP="002D6055">
      <w:pPr>
        <w:rPr>
          <w:rFonts w:cs="Arial"/>
        </w:rPr>
      </w:pPr>
      <w:r w:rsidRPr="00EC654F">
        <w:rPr>
          <w:rFonts w:cs="Arial"/>
        </w:rPr>
        <w:t>Con base en la autorización otorgada mediante el Decreto 98/2019 publicado en el Diario Oficial del Gobierno del Estado de Yucatán el 31 de julio de 2019, se celebró el financiamiento con Banco Nacional de México, S.A., Integrante del Grupo Financiero Banamex, destinado a Inversión Pública Productiva que comprende la Implementación del Sistema Integral de Seguridad Electrónica denominado “Fortalecimiento Tecnológico de Seguridad y Monitoreo, Yucatán Seguro”, este financiamiento se contrató bajo las mejores condiciones de mercado, con una de las tasas más bajas en el momento de su contratación.</w:t>
      </w:r>
    </w:p>
    <w:p w:rsidR="002D6055" w:rsidRPr="00EC654F" w:rsidRDefault="002D6055" w:rsidP="002D6055">
      <w:pPr>
        <w:rPr>
          <w:rFonts w:cs="Arial"/>
        </w:rPr>
      </w:pPr>
    </w:p>
    <w:tbl>
      <w:tblPr>
        <w:tblW w:w="0" w:type="auto"/>
        <w:jc w:val="center"/>
        <w:tblCellMar>
          <w:left w:w="70" w:type="dxa"/>
          <w:right w:w="70" w:type="dxa"/>
        </w:tblCellMar>
        <w:tblLook w:val="04A0" w:firstRow="1" w:lastRow="0" w:firstColumn="1" w:lastColumn="0" w:noHBand="0" w:noVBand="1"/>
      </w:tblPr>
      <w:tblGrid>
        <w:gridCol w:w="1102"/>
        <w:gridCol w:w="975"/>
        <w:gridCol w:w="896"/>
        <w:gridCol w:w="1086"/>
        <w:gridCol w:w="1086"/>
        <w:gridCol w:w="1086"/>
        <w:gridCol w:w="1086"/>
        <w:gridCol w:w="1086"/>
        <w:gridCol w:w="1086"/>
      </w:tblGrid>
      <w:tr w:rsidR="002D6055" w:rsidRPr="00EE6AF7" w:rsidTr="00C1172B">
        <w:trPr>
          <w:trHeight w:val="255"/>
          <w:tblHeader/>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Financiamiento Banamex 2,620 mdp</w:t>
            </w:r>
          </w:p>
        </w:tc>
        <w:tc>
          <w:tcPr>
            <w:tcW w:w="6848" w:type="dxa"/>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Proyección 2022-2027</w:t>
            </w:r>
          </w:p>
        </w:tc>
      </w:tr>
      <w:tr w:rsidR="002D6055" w:rsidRPr="00EE6AF7" w:rsidTr="00C1172B">
        <w:trPr>
          <w:trHeight w:val="255"/>
          <w:tblHeader/>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Perfil</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2027</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Monto contratado</w:t>
            </w:r>
          </w:p>
        </w:tc>
        <w:tc>
          <w:tcPr>
            <w:tcW w:w="975"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2,620,000,000</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Monto dispuesto</w:t>
            </w:r>
          </w:p>
        </w:tc>
        <w:tc>
          <w:tcPr>
            <w:tcW w:w="975"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2,620,000,000</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Tasa variable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Fuente de pago</w:t>
            </w:r>
          </w:p>
        </w:tc>
        <w:tc>
          <w:tcPr>
            <w:tcW w:w="975" w:type="dxa"/>
            <w:tcBorders>
              <w:top w:val="nil"/>
              <w:left w:val="nil"/>
              <w:bottom w:val="single" w:sz="4" w:space="0" w:color="auto"/>
              <w:right w:val="single" w:sz="4" w:space="0" w:color="auto"/>
            </w:tcBorders>
            <w:shd w:val="clear" w:color="auto" w:fill="auto"/>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13.5% del FGP</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Plazo contratado</w:t>
            </w:r>
          </w:p>
        </w:tc>
        <w:tc>
          <w:tcPr>
            <w:tcW w:w="975"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240 meses</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2,563,023,733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2,527,524,150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2,486,317,849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2,438,487,448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2,382,968,094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2,318,523,754 </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Perfil de amortización</w:t>
            </w:r>
          </w:p>
        </w:tc>
        <w:tc>
          <w:tcPr>
            <w:tcW w:w="975"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Creciente al 1.25%</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30,965,491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35,943,328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41,721,380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48,428,281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56,213,346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65,249,895 </w:t>
            </w:r>
          </w:p>
        </w:tc>
      </w:tr>
      <w:tr w:rsidR="002D6055" w:rsidRPr="00EE6AF7" w:rsidTr="00C1172B">
        <w:trPr>
          <w:trHeight w:val="102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Intereses</w:t>
            </w:r>
          </w:p>
        </w:tc>
        <w:tc>
          <w:tcPr>
            <w:tcW w:w="975" w:type="dxa"/>
            <w:tcBorders>
              <w:top w:val="nil"/>
              <w:left w:val="nil"/>
              <w:bottom w:val="single" w:sz="4" w:space="0" w:color="auto"/>
              <w:right w:val="single" w:sz="4" w:space="0" w:color="auto"/>
            </w:tcBorders>
            <w:shd w:val="clear" w:color="000000" w:fill="FFFFFF"/>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Sobre saldos insolutos a una tasa que resulta de sumar la tasa de referencia más la sobretasa que corresponda, con base en la calificación de la estructura del crédito.</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2,532,058,242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2,491,580,822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2,444,596,468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2,390,059,167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2,326,754,749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2,253,273,859 </w:t>
            </w:r>
          </w:p>
        </w:tc>
      </w:tr>
      <w:tr w:rsidR="002D6055" w:rsidRPr="00EE6AF7" w:rsidTr="00C1172B">
        <w:trPr>
          <w:trHeight w:val="76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Gastos y costos</w:t>
            </w:r>
          </w:p>
        </w:tc>
        <w:tc>
          <w:tcPr>
            <w:tcW w:w="975" w:type="dxa"/>
            <w:tcBorders>
              <w:top w:val="nil"/>
              <w:left w:val="nil"/>
              <w:bottom w:val="single" w:sz="4" w:space="0" w:color="auto"/>
              <w:right w:val="single" w:sz="4" w:space="0" w:color="auto"/>
            </w:tcBorders>
            <w:shd w:val="clear" w:color="auto" w:fill="auto"/>
            <w:vAlign w:val="bottom"/>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1. Calificación de la estructura del crédito.</w:t>
            </w:r>
            <w:r w:rsidRPr="00783E66">
              <w:rPr>
                <w:rFonts w:eastAsia="Times New Roman" w:cs="Arial"/>
                <w:color w:val="000000"/>
                <w:sz w:val="10"/>
                <w:szCs w:val="10"/>
                <w:lang w:eastAsia="es-MX"/>
              </w:rPr>
              <w:br/>
              <w:t>2. Honorarios de administración Fiduciaria.</w:t>
            </w:r>
            <w:r w:rsidRPr="00783E66">
              <w:rPr>
                <w:rFonts w:eastAsia="Times New Roman" w:cs="Arial"/>
                <w:color w:val="000000"/>
                <w:sz w:val="10"/>
                <w:szCs w:val="10"/>
                <w:lang w:eastAsia="es-MX"/>
              </w:rPr>
              <w:br/>
              <w:t>3. Contratación de coberturas de tasa</w:t>
            </w:r>
          </w:p>
        </w:tc>
        <w:tc>
          <w:tcPr>
            <w:tcW w:w="896" w:type="dxa"/>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171,059,904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178,634,760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188,367,909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182,785,819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183,816,773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185,777,372 </w:t>
            </w:r>
          </w:p>
        </w:tc>
      </w:tr>
    </w:tbl>
    <w:p w:rsidR="002D6055" w:rsidRPr="00EC654F" w:rsidRDefault="002D6055" w:rsidP="002D6055">
      <w:pPr>
        <w:rPr>
          <w:rFonts w:cs="Arial"/>
        </w:rPr>
      </w:pPr>
    </w:p>
    <w:p w:rsidR="002D6055" w:rsidRPr="00EC654F" w:rsidRDefault="002D6055" w:rsidP="002D6055">
      <w:pPr>
        <w:rPr>
          <w:rFonts w:cs="Arial"/>
        </w:rPr>
      </w:pPr>
    </w:p>
    <w:p w:rsidR="002D6055" w:rsidRPr="00EC654F" w:rsidRDefault="002D6055" w:rsidP="002D6055">
      <w:pPr>
        <w:rPr>
          <w:rFonts w:cs="Arial"/>
        </w:rPr>
      </w:pPr>
    </w:p>
    <w:p w:rsidR="002D6055" w:rsidRDefault="002D6055" w:rsidP="002D6055">
      <w:pPr>
        <w:rPr>
          <w:rFonts w:cs="Arial"/>
        </w:rPr>
      </w:pPr>
      <w:r w:rsidRPr="00EC654F">
        <w:rPr>
          <w:rFonts w:cs="Arial"/>
        </w:rPr>
        <w:t>Con base en la autorización legislativa contenida en el art. 5° de la Ley de Ingresos del Estado de Yucatán para el ejercicio fiscal 2020, expedida por el Decreto No. 156/2019, publicado en el Diario Oficial del Gobierno del Estado de Yucatán el 31 de diciembre de 2019, en el ejercicio 2020, se realizó el refinanciamiento de la deuda pública contratada por administraciones anteriores, esta operación se adjudicó a Banobras y se formalizó mediante tres contratos de crédito con las siguientes características:</w:t>
      </w:r>
    </w:p>
    <w:p w:rsidR="002D6055" w:rsidRPr="00EC654F" w:rsidRDefault="002D6055" w:rsidP="002D6055">
      <w:pPr>
        <w:rPr>
          <w:rFonts w:cs="Arial"/>
        </w:rPr>
      </w:pPr>
    </w:p>
    <w:tbl>
      <w:tblPr>
        <w:tblW w:w="0" w:type="auto"/>
        <w:tblCellMar>
          <w:left w:w="70" w:type="dxa"/>
          <w:right w:w="70" w:type="dxa"/>
        </w:tblCellMar>
        <w:tblLook w:val="04A0" w:firstRow="1" w:lastRow="0" w:firstColumn="1" w:lastColumn="0" w:noHBand="0" w:noVBand="1"/>
      </w:tblPr>
      <w:tblGrid>
        <w:gridCol w:w="1102"/>
        <w:gridCol w:w="2815"/>
        <w:gridCol w:w="1063"/>
        <w:gridCol w:w="1030"/>
        <w:gridCol w:w="1030"/>
        <w:gridCol w:w="1030"/>
        <w:gridCol w:w="1030"/>
        <w:gridCol w:w="1030"/>
        <w:gridCol w:w="1030"/>
      </w:tblGrid>
      <w:tr w:rsidR="002D6055" w:rsidRPr="00EE6AF7" w:rsidTr="00C1172B">
        <w:trPr>
          <w:trHeight w:val="255"/>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Financiamiento Banobras 800 mdp</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Proyección 2022-2027</w:t>
            </w:r>
          </w:p>
        </w:tc>
      </w:tr>
      <w:tr w:rsidR="002D6055" w:rsidRPr="00EE6AF7" w:rsidTr="00C1172B">
        <w:trPr>
          <w:trHeight w:val="255"/>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2027</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800,000,000</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dispuesto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800,000,000</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Tasa variable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Fuente de pago</w:t>
            </w:r>
          </w:p>
        </w:tc>
        <w:tc>
          <w:tcPr>
            <w:tcW w:w="0" w:type="auto"/>
            <w:tcBorders>
              <w:top w:val="nil"/>
              <w:left w:val="nil"/>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3.899% del FGP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240 meses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791,778,824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783,499,834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773,889,958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762,735,251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749,787,375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734,758,070 </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Creciente al 1.25%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8,278,994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9,609,876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11,154,707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12,947,876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15,029,306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17,445,334 </w:t>
            </w:r>
          </w:p>
        </w:tc>
      </w:tr>
      <w:tr w:rsidR="002D6055" w:rsidRPr="00EE6AF7" w:rsidTr="00895E26">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 saldos insolutos a una tasa que resulta de sumar la tasa de referencia más la sobretasa que corresponda, con base en la calificación de la estructura del crédito.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783,499,830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773,889,958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762,735,251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749,787,375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734,758,070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717,312,735 </w:t>
            </w:r>
          </w:p>
        </w:tc>
      </w:tr>
      <w:tr w:rsidR="002D6055" w:rsidRPr="00EE6AF7" w:rsidTr="00895E26">
        <w:trPr>
          <w:trHeight w:val="7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Gastos y costos</w:t>
            </w:r>
          </w:p>
        </w:tc>
        <w:tc>
          <w:tcPr>
            <w:tcW w:w="0" w:type="auto"/>
            <w:tcBorders>
              <w:top w:val="nil"/>
              <w:left w:val="nil"/>
              <w:bottom w:val="single" w:sz="4" w:space="0" w:color="auto"/>
              <w:right w:val="single" w:sz="4" w:space="0" w:color="auto"/>
            </w:tcBorders>
            <w:shd w:val="clear" w:color="auto" w:fill="auto"/>
            <w:vAlign w:val="bottom"/>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 Calificación de la estructura del crédito.</w:t>
            </w:r>
            <w:r w:rsidRPr="00DA03B3">
              <w:rPr>
                <w:rFonts w:eastAsia="Times New Roman" w:cs="Arial"/>
                <w:color w:val="000000"/>
                <w:sz w:val="10"/>
                <w:szCs w:val="10"/>
                <w:lang w:eastAsia="es-MX"/>
              </w:rPr>
              <w:br/>
              <w:t>2. Honorarios de administración Fiduciaria.</w:t>
            </w:r>
            <w:r w:rsidRPr="00DA03B3">
              <w:rPr>
                <w:rFonts w:eastAsia="Times New Roman" w:cs="Arial"/>
                <w:color w:val="000000"/>
                <w:sz w:val="10"/>
                <w:szCs w:val="10"/>
                <w:lang w:eastAsia="es-MX"/>
              </w:rPr>
              <w:br/>
              <w:t>3. Contratación de coberturas de tasa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49,671,018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61,625,899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65,261,369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63,578,627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62,446,975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61,294,188 </w:t>
            </w:r>
          </w:p>
        </w:tc>
      </w:tr>
    </w:tbl>
    <w:p w:rsidR="002D6055" w:rsidRPr="00EC654F" w:rsidRDefault="002D6055" w:rsidP="002D6055">
      <w:pPr>
        <w:spacing w:after="60"/>
        <w:rPr>
          <w:rFonts w:cs="Arial"/>
          <w:b/>
        </w:rPr>
      </w:pPr>
    </w:p>
    <w:tbl>
      <w:tblPr>
        <w:tblW w:w="0" w:type="auto"/>
        <w:tblCellMar>
          <w:left w:w="70" w:type="dxa"/>
          <w:right w:w="70" w:type="dxa"/>
        </w:tblCellMar>
        <w:tblLook w:val="04A0" w:firstRow="1" w:lastRow="0" w:firstColumn="1" w:lastColumn="0" w:noHBand="0" w:noVBand="1"/>
      </w:tblPr>
      <w:tblGrid>
        <w:gridCol w:w="1102"/>
        <w:gridCol w:w="2815"/>
        <w:gridCol w:w="1063"/>
        <w:gridCol w:w="1030"/>
        <w:gridCol w:w="1030"/>
        <w:gridCol w:w="1030"/>
        <w:gridCol w:w="1030"/>
        <w:gridCol w:w="1030"/>
        <w:gridCol w:w="1030"/>
      </w:tblGrid>
      <w:tr w:rsidR="002D6055" w:rsidRPr="00EE6AF7" w:rsidTr="00895E26">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Financiamiento Banobras 1,200 mdp</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Proyección 2022-2027</w:t>
            </w:r>
          </w:p>
        </w:tc>
      </w:tr>
      <w:tr w:rsidR="002D6055" w:rsidRPr="00EE6AF7" w:rsidTr="00895E26">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2027</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1,200,000,000</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dispuesto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1,199,523,699</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Tasa variable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Fuente de pago</w:t>
            </w:r>
          </w:p>
        </w:tc>
        <w:tc>
          <w:tcPr>
            <w:tcW w:w="0" w:type="auto"/>
            <w:tcBorders>
              <w:top w:val="nil"/>
              <w:left w:val="nil"/>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5.849% del FGP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240 meses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1,188,008,002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1,175,594,446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1,161,185,354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1,144,459,934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1,125,045,829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1,102,510,819 </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Creciente al 1.25%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12,413,561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14,409,093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16,725,420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19,414,105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22,535,010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26,157,615 </w:t>
            </w:r>
          </w:p>
        </w:tc>
      </w:tr>
      <w:tr w:rsidR="002D6055" w:rsidRPr="00EE6AF7" w:rsidTr="00895E26">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 saldos insolutos a una tasa que resulta de sumar la tasa de referencia más la sobretasa que corresponda, con base en la calificación de la estructura del crédito.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1,175,594,441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1,161,185,354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1,144,459,934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1,125,045,829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1,102,510,819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1,076,353,204 </w:t>
            </w:r>
          </w:p>
        </w:tc>
      </w:tr>
      <w:tr w:rsidR="002D6055" w:rsidRPr="00EE6AF7" w:rsidTr="00895E26">
        <w:trPr>
          <w:trHeight w:val="7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Gastos y costos</w:t>
            </w:r>
          </w:p>
        </w:tc>
        <w:tc>
          <w:tcPr>
            <w:tcW w:w="0" w:type="auto"/>
            <w:tcBorders>
              <w:top w:val="nil"/>
              <w:left w:val="nil"/>
              <w:bottom w:val="single" w:sz="4" w:space="0" w:color="auto"/>
              <w:right w:val="single" w:sz="4" w:space="0" w:color="auto"/>
            </w:tcBorders>
            <w:shd w:val="clear" w:color="auto" w:fill="auto"/>
            <w:vAlign w:val="bottom"/>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 Calificación de la estructura del crédito.</w:t>
            </w:r>
            <w:r w:rsidRPr="00DA03B3">
              <w:rPr>
                <w:rFonts w:eastAsia="Times New Roman" w:cs="Arial"/>
                <w:color w:val="000000"/>
                <w:sz w:val="10"/>
                <w:szCs w:val="10"/>
                <w:lang w:eastAsia="es-MX"/>
              </w:rPr>
              <w:br/>
              <w:t>2. Honorarios de administración Fiduciaria.</w:t>
            </w:r>
            <w:r w:rsidRPr="00DA03B3">
              <w:rPr>
                <w:rFonts w:eastAsia="Times New Roman" w:cs="Arial"/>
                <w:color w:val="000000"/>
                <w:sz w:val="10"/>
                <w:szCs w:val="10"/>
                <w:lang w:eastAsia="es-MX"/>
              </w:rPr>
              <w:br/>
              <w:t>3. Contratación de coberturas de tasa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101,811,228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99,130,219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99,730,266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96,398,870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94,795,145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93,887,071 </w:t>
            </w:r>
          </w:p>
        </w:tc>
      </w:tr>
    </w:tbl>
    <w:p w:rsidR="002D6055" w:rsidRDefault="002D6055" w:rsidP="002D6055">
      <w:pPr>
        <w:spacing w:after="60"/>
        <w:rPr>
          <w:rFonts w:cs="Arial"/>
          <w:b/>
        </w:rPr>
      </w:pPr>
    </w:p>
    <w:tbl>
      <w:tblPr>
        <w:tblW w:w="0" w:type="auto"/>
        <w:tblCellMar>
          <w:left w:w="70" w:type="dxa"/>
          <w:right w:w="70" w:type="dxa"/>
        </w:tblCellMar>
        <w:tblLook w:val="04A0" w:firstRow="1" w:lastRow="0" w:firstColumn="1" w:lastColumn="0" w:noHBand="0" w:noVBand="1"/>
      </w:tblPr>
      <w:tblGrid>
        <w:gridCol w:w="1102"/>
        <w:gridCol w:w="2815"/>
        <w:gridCol w:w="1063"/>
        <w:gridCol w:w="1030"/>
        <w:gridCol w:w="1030"/>
        <w:gridCol w:w="1030"/>
        <w:gridCol w:w="1030"/>
        <w:gridCol w:w="1030"/>
        <w:gridCol w:w="1030"/>
      </w:tblGrid>
      <w:tr w:rsidR="002D6055" w:rsidRPr="00EE6AF7" w:rsidTr="00895E26">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Financiamiento Banobras 1,420 mdp</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Proyección 2022-2027</w:t>
            </w:r>
          </w:p>
        </w:tc>
      </w:tr>
      <w:tr w:rsidR="002D6055" w:rsidRPr="00EE6AF7" w:rsidTr="00895E26">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2027</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1,420,399,383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dispuesto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1,380,676,153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Tasa variable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Fuent</w:t>
            </w:r>
            <w:r>
              <w:rPr>
                <w:rFonts w:eastAsia="Times New Roman" w:cs="Arial"/>
                <w:color w:val="000000"/>
                <w:sz w:val="10"/>
                <w:szCs w:val="10"/>
                <w:lang w:eastAsia="es-MX"/>
              </w:rPr>
              <w:t>e</w:t>
            </w:r>
            <w:r w:rsidRPr="00DA03B3">
              <w:rPr>
                <w:rFonts w:eastAsia="Times New Roman" w:cs="Arial"/>
                <w:color w:val="000000"/>
                <w:sz w:val="10"/>
                <w:szCs w:val="10"/>
                <w:lang w:eastAsia="es-MX"/>
              </w:rPr>
              <w:t xml:space="preserve"> de pago</w:t>
            </w:r>
          </w:p>
        </w:tc>
        <w:tc>
          <w:tcPr>
            <w:tcW w:w="0" w:type="auto"/>
            <w:tcBorders>
              <w:top w:val="nil"/>
              <w:left w:val="nil"/>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6.923% del FGP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240 meses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1,366,487,676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1,352,199,421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1,335,614,263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1,316,362,965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1,294,016,936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1,268,078,681 </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Creciente al 1.25%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14,288,261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16,585,158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19,251,298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22,346,030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25,938,255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30,107,946 </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 saldos insolutos a una tasa que resulta de sumar la tasa de referencia más la sobretasa que corresponda, con base en la calificación de la estructura del crédito.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1,352,199,415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1,335,614,263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1,316,362,965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1,294,016,936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1,268,078,681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1,237,970,734 </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Gastos y costos</w:t>
            </w:r>
          </w:p>
        </w:tc>
        <w:tc>
          <w:tcPr>
            <w:tcW w:w="0" w:type="auto"/>
            <w:tcBorders>
              <w:top w:val="nil"/>
              <w:left w:val="nil"/>
              <w:bottom w:val="single" w:sz="4" w:space="0" w:color="auto"/>
              <w:right w:val="single" w:sz="4" w:space="0" w:color="auto"/>
            </w:tcBorders>
            <w:shd w:val="clear" w:color="auto" w:fill="auto"/>
            <w:vAlign w:val="bottom"/>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 Calificación de la estructura del crédito.</w:t>
            </w:r>
            <w:r w:rsidRPr="00DA03B3">
              <w:rPr>
                <w:rFonts w:eastAsia="Times New Roman" w:cs="Arial"/>
                <w:color w:val="000000"/>
                <w:sz w:val="10"/>
                <w:szCs w:val="10"/>
                <w:lang w:eastAsia="es-MX"/>
              </w:rPr>
              <w:br/>
              <w:t>2. Honorarios de administración Fiduciaria.</w:t>
            </w:r>
            <w:r w:rsidRPr="00DA03B3">
              <w:rPr>
                <w:rFonts w:eastAsia="Times New Roman" w:cs="Arial"/>
                <w:color w:val="000000"/>
                <w:sz w:val="10"/>
                <w:szCs w:val="10"/>
                <w:lang w:eastAsia="es-MX"/>
              </w:rPr>
              <w:br/>
              <w:t>3. Contratación de coberturas de tasa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106,343,985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108,737,749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114,984,050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111,994,039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109,977,589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107,923,133 </w:t>
            </w:r>
          </w:p>
        </w:tc>
      </w:tr>
    </w:tbl>
    <w:p w:rsidR="002D6055" w:rsidRPr="00EC654F" w:rsidRDefault="002D6055" w:rsidP="002D6055">
      <w:pPr>
        <w:spacing w:after="60"/>
        <w:rPr>
          <w:rFonts w:cs="Arial"/>
          <w:b/>
        </w:rPr>
      </w:pPr>
    </w:p>
    <w:p w:rsidR="002D6055" w:rsidRPr="00044F46" w:rsidRDefault="002D6055" w:rsidP="002D6055">
      <w:pPr>
        <w:spacing w:after="60"/>
        <w:rPr>
          <w:rFonts w:cs="Arial"/>
          <w:b/>
          <w:bCs/>
          <w:iCs/>
        </w:rPr>
      </w:pPr>
      <w:r w:rsidRPr="00044F46">
        <w:rPr>
          <w:rFonts w:cs="Arial"/>
          <w:b/>
          <w:bCs/>
          <w:iCs/>
        </w:rPr>
        <w:t>Deuda pública con garantía</w:t>
      </w:r>
    </w:p>
    <w:p w:rsidR="002D6055" w:rsidRPr="00EC654F" w:rsidRDefault="002D6055" w:rsidP="002D6055">
      <w:pPr>
        <w:spacing w:after="240"/>
        <w:rPr>
          <w:rFonts w:cs="Arial"/>
        </w:rPr>
      </w:pPr>
      <w:r w:rsidRPr="00EC654F">
        <w:rPr>
          <w:rFonts w:cs="Arial"/>
        </w:rPr>
        <w:t xml:space="preserve">Adicionalmente, a la deuda pública de largo plazo integra de un crédito bancario con Garantía del Fondo de Apoyo para Infraestructura y Seguridad, este financiamiento se contrató en abril de 2013 y se destinó a inversión asociada a proyectos en materia de infraestructura y seguridad pública. El saldo de este financiamiento se cubrirá a su término con los recursos del bono cupón cero adquirido con apoyo federal y que el Fideicomiso “Fondo de Apoyo para Infraestructura y Seguridad” transfiera a Banobras, en el marco del Programa de Financiamiento para Infraestructura y Seguridad en los Estados (PROFISE). </w:t>
      </w:r>
    </w:p>
    <w:tbl>
      <w:tblPr>
        <w:tblW w:w="0" w:type="auto"/>
        <w:tblCellMar>
          <w:left w:w="70" w:type="dxa"/>
          <w:right w:w="70" w:type="dxa"/>
        </w:tblCellMar>
        <w:tblLook w:val="04A0" w:firstRow="1" w:lastRow="0" w:firstColumn="1" w:lastColumn="0" w:noHBand="0" w:noVBand="1"/>
      </w:tblPr>
      <w:tblGrid>
        <w:gridCol w:w="1102"/>
        <w:gridCol w:w="2769"/>
        <w:gridCol w:w="1063"/>
        <w:gridCol w:w="1037"/>
        <w:gridCol w:w="1037"/>
        <w:gridCol w:w="1038"/>
        <w:gridCol w:w="1038"/>
        <w:gridCol w:w="1038"/>
        <w:gridCol w:w="1038"/>
      </w:tblGrid>
      <w:tr w:rsidR="002D6055" w:rsidRPr="00EE6AF7" w:rsidTr="00895E26">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Financiamiento Banobras (PROFISE) 317 mdp</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Proyección 2022-2027</w:t>
            </w:r>
          </w:p>
        </w:tc>
      </w:tr>
      <w:tr w:rsidR="002D6055" w:rsidRPr="00EE6AF7" w:rsidTr="00895E26">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2027</w:t>
            </w:r>
          </w:p>
        </w:tc>
      </w:tr>
      <w:tr w:rsidR="002D6055" w:rsidRPr="00EE6AF7" w:rsidTr="00895E26">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Monto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317,268,611</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AA-/A+(mex)/A1.mx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AA-/A+(mex)/A1.mx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AA-/A+(mex)/A1.mx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AA-/A+(mex)/A1.mx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AA-/A+(mex)/A1.mx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AA-/A+(mex)/A1.mx</w:t>
            </w:r>
          </w:p>
        </w:tc>
      </w:tr>
      <w:tr w:rsidR="002D6055" w:rsidRPr="00EE6AF7" w:rsidTr="00895E2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Monto dispuesto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306,931,762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Tasa Base</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Fuenta de pago</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1.5% del FGP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240 meses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Al vencimiento del plazo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r>
      <w:tr w:rsidR="002D6055" w:rsidRPr="00EE6AF7" w:rsidTr="00895E26">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Sobre saldos insolutos a una tasa que resulta de sumar la tasa base más la sobretasa que corresponda, con base en la calificación del acreditado o de la estructura del crédito.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r>
      <w:tr w:rsidR="002D6055" w:rsidRPr="00EE6AF7" w:rsidTr="00895E26">
        <w:trPr>
          <w:trHeight w:val="7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Gastos y costos</w:t>
            </w:r>
          </w:p>
        </w:tc>
        <w:tc>
          <w:tcPr>
            <w:tcW w:w="0" w:type="auto"/>
            <w:tcBorders>
              <w:top w:val="nil"/>
              <w:left w:val="nil"/>
              <w:bottom w:val="single" w:sz="4" w:space="0" w:color="auto"/>
              <w:right w:val="single" w:sz="4" w:space="0" w:color="auto"/>
            </w:tcBorders>
            <w:shd w:val="clear" w:color="auto" w:fill="auto"/>
            <w:vAlign w:val="bottom"/>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1. Calificación del acreditado o de la estructura del crédito.</w:t>
            </w:r>
            <w:r w:rsidRPr="00044F46">
              <w:rPr>
                <w:rFonts w:eastAsia="Times New Roman" w:cs="Arial"/>
                <w:color w:val="000000"/>
                <w:sz w:val="10"/>
                <w:szCs w:val="10"/>
                <w:lang w:eastAsia="es-MX"/>
              </w:rPr>
              <w:br/>
              <w:t>2. Honorarios de administración Fiduciaria.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26,715,037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26,765,970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26,888,700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26,874,099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27,070,928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26,921,400 </w:t>
            </w:r>
          </w:p>
        </w:tc>
      </w:tr>
    </w:tbl>
    <w:p w:rsidR="002D6055" w:rsidRPr="00EC654F" w:rsidRDefault="002D6055" w:rsidP="002D6055">
      <w:pPr>
        <w:rPr>
          <w:rFonts w:cs="Arial"/>
          <w:b/>
        </w:rPr>
      </w:pPr>
      <w:r w:rsidRPr="00EC654F">
        <w:rPr>
          <w:rFonts w:cs="Arial"/>
          <w:b/>
        </w:rPr>
        <w:t>Deuda a corto plazo</w:t>
      </w:r>
    </w:p>
    <w:p w:rsidR="002D6055" w:rsidRPr="00EC654F" w:rsidRDefault="002D6055" w:rsidP="002D6055">
      <w:pPr>
        <w:spacing w:after="240"/>
        <w:rPr>
          <w:rFonts w:cs="Arial"/>
        </w:rPr>
      </w:pPr>
      <w:r w:rsidRPr="00EC654F">
        <w:rPr>
          <w:rFonts w:cs="Arial"/>
        </w:rPr>
        <w:t>Se estima que la Deuda de corto plazo del Gobierno del Estado, al cierre del ejercicio 2021 presente un saldo de 1,500 mdp, la integración de las obligaciones contratadas a la fecha, se presenta en la siguiente tabla.</w:t>
      </w:r>
    </w:p>
    <w:p w:rsidR="002D6055" w:rsidRPr="00EC654F" w:rsidRDefault="002D6055" w:rsidP="002D6055">
      <w:pPr>
        <w:jc w:val="center"/>
        <w:rPr>
          <w:rFonts w:cs="Arial"/>
        </w:rPr>
      </w:pPr>
      <w:r w:rsidRPr="00044F46">
        <w:rPr>
          <w:rFonts w:cs="Arial"/>
          <w:b/>
          <w:bCs/>
        </w:rPr>
        <w:t>Tabla 8.</w:t>
      </w:r>
      <w:r w:rsidRPr="00EC654F">
        <w:rPr>
          <w:rFonts w:cs="Arial"/>
        </w:rPr>
        <w:t xml:space="preserve"> Integración de la Deuda a Corto Plazo</w:t>
      </w:r>
    </w:p>
    <w:tbl>
      <w:tblPr>
        <w:tblW w:w="8916" w:type="dxa"/>
        <w:jc w:val="center"/>
        <w:tblCellMar>
          <w:left w:w="70" w:type="dxa"/>
          <w:right w:w="70" w:type="dxa"/>
        </w:tblCellMar>
        <w:tblLook w:val="04A0" w:firstRow="1" w:lastRow="0" w:firstColumn="1" w:lastColumn="0" w:noHBand="0" w:noVBand="1"/>
      </w:tblPr>
      <w:tblGrid>
        <w:gridCol w:w="5301"/>
        <w:gridCol w:w="1440"/>
        <w:gridCol w:w="2175"/>
      </w:tblGrid>
      <w:tr w:rsidR="002D6055" w:rsidRPr="00EE6AF7" w:rsidTr="00EE6AF7">
        <w:trPr>
          <w:trHeight w:val="395"/>
          <w:tblHeader/>
          <w:jc w:val="center"/>
        </w:trPr>
        <w:tc>
          <w:tcPr>
            <w:tcW w:w="5301" w:type="dxa"/>
            <w:tcBorders>
              <w:top w:val="nil"/>
              <w:left w:val="single" w:sz="4" w:space="0" w:color="auto"/>
              <w:bottom w:val="single" w:sz="4" w:space="0" w:color="auto"/>
              <w:right w:val="single" w:sz="4" w:space="0" w:color="auto"/>
            </w:tcBorders>
            <w:shd w:val="clear" w:color="auto" w:fill="000000"/>
            <w:vAlign w:val="center"/>
            <w:hideMark/>
          </w:tcPr>
          <w:p w:rsidR="002D6055" w:rsidRPr="00EC654F" w:rsidRDefault="002D6055" w:rsidP="00895E26">
            <w:pPr>
              <w:jc w:val="center"/>
              <w:rPr>
                <w:rFonts w:eastAsia="Times New Roman" w:cs="Arial"/>
                <w:b/>
                <w:bCs/>
                <w:color w:val="FFFFFF"/>
                <w:lang w:eastAsia="es-MX"/>
              </w:rPr>
            </w:pPr>
            <w:r w:rsidRPr="00EC654F">
              <w:rPr>
                <w:rFonts w:eastAsia="Times New Roman" w:cs="Arial"/>
                <w:b/>
                <w:bCs/>
                <w:color w:val="FFFFFF"/>
                <w:lang w:eastAsia="es-MX"/>
              </w:rPr>
              <w:t>Institución Financiera/Monto de Contratación</w:t>
            </w:r>
          </w:p>
        </w:tc>
        <w:tc>
          <w:tcPr>
            <w:tcW w:w="1440" w:type="dxa"/>
            <w:tcBorders>
              <w:top w:val="nil"/>
              <w:left w:val="nil"/>
              <w:bottom w:val="single" w:sz="4" w:space="0" w:color="auto"/>
              <w:right w:val="single" w:sz="4" w:space="0" w:color="auto"/>
            </w:tcBorders>
            <w:shd w:val="clear" w:color="auto" w:fill="000000"/>
          </w:tcPr>
          <w:p w:rsidR="002D6055" w:rsidRPr="00EC654F" w:rsidRDefault="002D6055" w:rsidP="00895E26">
            <w:pPr>
              <w:spacing w:before="120"/>
              <w:jc w:val="center"/>
              <w:rPr>
                <w:rFonts w:eastAsia="Times New Roman" w:cs="Arial"/>
                <w:b/>
                <w:bCs/>
                <w:color w:val="FFFFFF"/>
                <w:lang w:eastAsia="es-MX"/>
              </w:rPr>
            </w:pPr>
            <w:r w:rsidRPr="00EC654F">
              <w:rPr>
                <w:rFonts w:eastAsia="Times New Roman" w:cs="Arial"/>
                <w:b/>
                <w:bCs/>
                <w:color w:val="FFFFFF"/>
                <w:lang w:eastAsia="es-MX"/>
              </w:rPr>
              <w:t>Sobretasa</w:t>
            </w:r>
          </w:p>
        </w:tc>
        <w:tc>
          <w:tcPr>
            <w:tcW w:w="2175" w:type="dxa"/>
            <w:tcBorders>
              <w:top w:val="nil"/>
              <w:left w:val="single" w:sz="4" w:space="0" w:color="auto"/>
              <w:bottom w:val="single" w:sz="4" w:space="0" w:color="auto"/>
              <w:right w:val="single" w:sz="4" w:space="0" w:color="auto"/>
            </w:tcBorders>
            <w:shd w:val="clear" w:color="auto" w:fill="000000"/>
            <w:vAlign w:val="center"/>
            <w:hideMark/>
          </w:tcPr>
          <w:p w:rsidR="002D6055" w:rsidRPr="00EC654F" w:rsidRDefault="002D6055" w:rsidP="00895E26">
            <w:pPr>
              <w:jc w:val="center"/>
              <w:rPr>
                <w:rFonts w:eastAsia="Times New Roman" w:cs="Arial"/>
                <w:b/>
                <w:bCs/>
                <w:color w:val="FFFFFF"/>
                <w:lang w:eastAsia="es-MX"/>
              </w:rPr>
            </w:pPr>
            <w:r w:rsidRPr="00EC654F">
              <w:rPr>
                <w:rFonts w:eastAsia="Times New Roman" w:cs="Arial"/>
                <w:b/>
                <w:bCs/>
                <w:color w:val="FFFFFF"/>
                <w:lang w:eastAsia="es-MX"/>
              </w:rPr>
              <w:t xml:space="preserve">Saldo al </w:t>
            </w:r>
            <w:r w:rsidRPr="00EC654F">
              <w:rPr>
                <w:rFonts w:eastAsia="Times New Roman" w:cs="Arial"/>
                <w:b/>
                <w:bCs/>
                <w:color w:val="FFFFFF"/>
                <w:lang w:eastAsia="es-MX"/>
              </w:rPr>
              <w:br/>
              <w:t>31/dic/2021</w:t>
            </w:r>
          </w:p>
        </w:tc>
      </w:tr>
      <w:tr w:rsidR="002D6055" w:rsidRPr="00EE6AF7" w:rsidTr="1B18814C">
        <w:trPr>
          <w:trHeight w:val="174"/>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lang w:val="en-US" w:eastAsia="es-MX"/>
              </w:rPr>
            </w:pPr>
            <w:r w:rsidRPr="00EC654F">
              <w:rPr>
                <w:rFonts w:eastAsia="Times New Roman" w:cs="Arial"/>
                <w:color w:val="000000"/>
                <w:lang w:val="en-US" w:eastAsia="es-MX"/>
              </w:rPr>
              <w:t>Scotiabank Inverlat, S.A. por 700 mdp</w:t>
            </w:r>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0.68</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700,000,000.00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HSBC México, S.A. por 200 mdp</w:t>
            </w:r>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0.90</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100,000,000.00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Banco Santander, S.A. por 100 mdp</w:t>
            </w:r>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0.62</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100,000,000.00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BBVA Bancomer, S.A. por 200 mdp</w:t>
            </w:r>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0.63</w:t>
            </w:r>
          </w:p>
        </w:tc>
        <w:tc>
          <w:tcPr>
            <w:tcW w:w="2175" w:type="dxa"/>
            <w:tcBorders>
              <w:top w:val="nil"/>
              <w:left w:val="single" w:sz="4" w:space="0" w:color="auto"/>
              <w:bottom w:val="single" w:sz="4" w:space="0" w:color="auto"/>
              <w:right w:val="single" w:sz="4" w:space="0" w:color="auto"/>
            </w:tcBorders>
            <w:shd w:val="clear" w:color="auto" w:fill="auto"/>
            <w:noWrap/>
            <w:vAlign w:val="center"/>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200,000,000.00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HSBC México, S.A. por 275 mdp</w:t>
            </w:r>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0.64</w:t>
            </w:r>
          </w:p>
        </w:tc>
        <w:tc>
          <w:tcPr>
            <w:tcW w:w="2175" w:type="dxa"/>
            <w:tcBorders>
              <w:top w:val="nil"/>
              <w:left w:val="single" w:sz="4" w:space="0" w:color="auto"/>
              <w:bottom w:val="single" w:sz="4" w:space="0" w:color="auto"/>
              <w:right w:val="single" w:sz="4" w:space="0" w:color="auto"/>
            </w:tcBorders>
            <w:shd w:val="clear" w:color="auto" w:fill="auto"/>
            <w:noWrap/>
            <w:vAlign w:val="center"/>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275,000,000.00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HSBC México, S.A. por 275 mdp</w:t>
            </w:r>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0.74</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125,000,000.00</w:t>
            </w:r>
          </w:p>
        </w:tc>
      </w:tr>
      <w:tr w:rsidR="002D6055" w:rsidRPr="00EE6AF7" w:rsidTr="1B18814C">
        <w:trPr>
          <w:trHeight w:val="184"/>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1B18814C">
            <w:pPr>
              <w:jc w:val="center"/>
              <w:rPr>
                <w:rFonts w:eastAsia="Times New Roman" w:cs="Arial"/>
                <w:b/>
                <w:color w:val="000000"/>
                <w:lang w:eastAsia="es-MX"/>
              </w:rPr>
            </w:pPr>
            <w:r w:rsidRPr="00EE6AF7">
              <w:rPr>
                <w:rFonts w:eastAsia="Times New Roman" w:cs="Arial"/>
                <w:b/>
                <w:color w:val="000000"/>
                <w:lang w:eastAsia="es-MX"/>
              </w:rPr>
              <w:t> Total</w:t>
            </w:r>
          </w:p>
        </w:tc>
        <w:tc>
          <w:tcPr>
            <w:tcW w:w="1440" w:type="dxa"/>
            <w:tcBorders>
              <w:top w:val="single" w:sz="4" w:space="0" w:color="auto"/>
              <w:left w:val="nil"/>
              <w:bottom w:val="single" w:sz="4" w:space="0" w:color="auto"/>
              <w:right w:val="single" w:sz="4" w:space="0" w:color="auto"/>
            </w:tcBorders>
            <w:vAlign w:val="center"/>
          </w:tcPr>
          <w:p w:rsidR="002D6055" w:rsidRPr="00EC654F" w:rsidRDefault="002D6055" w:rsidP="1B18814C">
            <w:pPr>
              <w:jc w:val="center"/>
              <w:rPr>
                <w:rFonts w:eastAsia="Times New Roman" w:cs="Arial"/>
                <w:b/>
                <w:color w:val="000000"/>
                <w:lang w:eastAsia="es-MX"/>
              </w:rPr>
            </w:pP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b/>
                <w:color w:val="000000"/>
                <w:lang w:eastAsia="es-MX"/>
              </w:rPr>
            </w:pPr>
            <w:r w:rsidRPr="00EE6AF7">
              <w:rPr>
                <w:rFonts w:eastAsia="Times New Roman" w:cs="Arial"/>
                <w:b/>
                <w:color w:val="000000"/>
                <w:lang w:eastAsia="es-MX"/>
              </w:rPr>
              <w:t>1,500,000,000.00</w:t>
            </w:r>
          </w:p>
        </w:tc>
      </w:tr>
    </w:tbl>
    <w:p w:rsidR="002D6055" w:rsidRPr="00EC654F" w:rsidRDefault="002D6055" w:rsidP="002D6055">
      <w:pPr>
        <w:rPr>
          <w:rFonts w:cs="Arial"/>
        </w:rPr>
      </w:pPr>
    </w:p>
    <w:p w:rsidR="002D6055" w:rsidRPr="00EC654F" w:rsidRDefault="002D6055" w:rsidP="002D6055">
      <w:pPr>
        <w:spacing w:after="240"/>
        <w:rPr>
          <w:rFonts w:cs="Arial"/>
        </w:rPr>
      </w:pPr>
      <w:r w:rsidRPr="00EC654F">
        <w:rPr>
          <w:rFonts w:cs="Arial"/>
        </w:rPr>
        <w:t>Las obligaciones a corto plazo fueron un mecanismo de financiamiento utilizado durante el ejercicio 2020, derivado del impacto de la pandemia en las finanzas estatales. El saldo observado al cierre del ejercicio 2020, se reducirá en los siguientes ejercicios y se liquidará totalmente previo al cierre de la actual administración.</w:t>
      </w:r>
    </w:p>
    <w:p w:rsidR="002D6055" w:rsidRDefault="002D6055" w:rsidP="002D6055">
      <w:pPr>
        <w:rPr>
          <w:rFonts w:cs="Arial"/>
          <w:b/>
        </w:rPr>
      </w:pPr>
      <w:r w:rsidRPr="00EC654F">
        <w:rPr>
          <w:rFonts w:cs="Arial"/>
          <w:b/>
        </w:rPr>
        <w:t>Proyecciones de la deuda a corto plazo</w:t>
      </w:r>
    </w:p>
    <w:p w:rsidR="002D6055" w:rsidRPr="00EC654F" w:rsidRDefault="002D6055" w:rsidP="002D6055">
      <w:pPr>
        <w:rPr>
          <w:rFonts w:cs="Arial"/>
          <w:b/>
          <w:color w:val="FF0000"/>
        </w:rPr>
      </w:pPr>
    </w:p>
    <w:tbl>
      <w:tblPr>
        <w:tblW w:w="0" w:type="auto"/>
        <w:jc w:val="center"/>
        <w:tblCellMar>
          <w:left w:w="70" w:type="dxa"/>
          <w:right w:w="70" w:type="dxa"/>
        </w:tblCellMar>
        <w:tblLook w:val="04A0" w:firstRow="1" w:lastRow="0" w:firstColumn="1" w:lastColumn="0" w:noHBand="0" w:noVBand="1"/>
      </w:tblPr>
      <w:tblGrid>
        <w:gridCol w:w="1294"/>
        <w:gridCol w:w="1469"/>
        <w:gridCol w:w="1248"/>
        <w:gridCol w:w="1208"/>
        <w:gridCol w:w="1208"/>
        <w:gridCol w:w="1208"/>
        <w:gridCol w:w="1175"/>
        <w:gridCol w:w="1175"/>
        <w:gridCol w:w="1175"/>
      </w:tblGrid>
      <w:tr w:rsidR="002D6055" w:rsidRPr="00EE6AF7" w:rsidTr="00895E2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Deuda de corto plazo</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Proyección 2022-2027</w:t>
            </w:r>
          </w:p>
        </w:tc>
      </w:tr>
      <w:tr w:rsidR="002D6055" w:rsidRPr="00EE6AF7" w:rsidTr="00895E2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2027</w:t>
            </w:r>
          </w:p>
        </w:tc>
      </w:tr>
      <w:tr w:rsidR="002D6055" w:rsidRPr="00EE6AF7" w:rsidTr="00895E26">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365 días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1,500,000,000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950,000,000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450,000,000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r>
      <w:tr w:rsidR="002D6055" w:rsidRPr="00EE6AF7" w:rsidTr="00895E26">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Al vencimiento del plazo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550,000,000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500,000,000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450,000,000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r>
      <w:tr w:rsidR="002D6055" w:rsidRPr="00EE6AF7" w:rsidTr="00895E26">
        <w:trPr>
          <w:trHeight w:val="525"/>
          <w:jc w:val="center"/>
        </w:trPr>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Intereses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Sobre saldos insolutos a una tasa que resulta de sumar la tasa de referencia más la sobretasa que corresponda.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950,000,000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450,000,000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r>
      <w:tr w:rsidR="002D6055" w:rsidRPr="00EE6AF7" w:rsidTr="00895E26">
        <w:trPr>
          <w:trHeight w:val="525"/>
          <w:jc w:val="center"/>
        </w:trPr>
        <w:tc>
          <w:tcPr>
            <w:tcW w:w="0" w:type="auto"/>
            <w:vMerge/>
            <w:tcBorders>
              <w:top w:val="nil"/>
              <w:left w:val="single" w:sz="4" w:space="0" w:color="auto"/>
              <w:bottom w:val="single" w:sz="4" w:space="0" w:color="auto"/>
              <w:right w:val="single" w:sz="4" w:space="0" w:color="auto"/>
            </w:tcBorders>
            <w:vAlign w:val="center"/>
            <w:hideMark/>
          </w:tcPr>
          <w:p w:rsidR="002D6055" w:rsidRPr="00BA182B" w:rsidRDefault="002D6055" w:rsidP="00895E26">
            <w:pPr>
              <w:jc w:val="left"/>
              <w:rPr>
                <w:rFonts w:eastAsia="Times New Roman" w:cs="Arial"/>
                <w:color w:val="000000"/>
                <w:sz w:val="12"/>
                <w:szCs w:val="12"/>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D6055" w:rsidRPr="00BA182B" w:rsidRDefault="002D6055" w:rsidP="00895E26">
            <w:pPr>
              <w:jc w:val="left"/>
              <w:rPr>
                <w:rFonts w:eastAsia="Times New Roman" w:cs="Arial"/>
                <w:color w:val="000000"/>
                <w:sz w:val="12"/>
                <w:szCs w:val="12"/>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124,714,731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73,213,195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36,495,240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16,499,123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16,834,266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13,029,732 </w:t>
            </w:r>
          </w:p>
        </w:tc>
      </w:tr>
    </w:tbl>
    <w:p w:rsidR="002D6055" w:rsidRPr="00EC654F" w:rsidRDefault="002D6055" w:rsidP="002D6055">
      <w:pPr>
        <w:rPr>
          <w:rFonts w:cs="Arial"/>
        </w:rPr>
      </w:pPr>
    </w:p>
    <w:p w:rsidR="002D6055" w:rsidRPr="00EC654F" w:rsidRDefault="002D6055" w:rsidP="002D6055">
      <w:pPr>
        <w:spacing w:after="240"/>
        <w:rPr>
          <w:rFonts w:cs="Arial"/>
        </w:rPr>
      </w:pPr>
      <w:r w:rsidRPr="00EC654F">
        <w:rPr>
          <w:rFonts w:cs="Arial"/>
        </w:rPr>
        <w:t>Para los ejercicios siguientes a 2024, se estima la contratación de deuda a corto plazo por montos similares a los que se habían dispuesto previo a la pandemia, en el entendido de que dichas obligaciones a corto plazo se destinarán a cubrir insuficiencias de liquidez de carácter temporal, la liquidación de estas obligaciones requerirá disponibilidades presupuestales para el pago de intereses.</w:t>
      </w:r>
    </w:p>
    <w:p w:rsidR="002D6055" w:rsidRDefault="002D6055" w:rsidP="002D6055">
      <w:pPr>
        <w:rPr>
          <w:rFonts w:cs="Arial"/>
          <w:b/>
        </w:rPr>
      </w:pPr>
    </w:p>
    <w:p w:rsidR="002D6055" w:rsidRDefault="002D6055" w:rsidP="002D6055">
      <w:pPr>
        <w:rPr>
          <w:rFonts w:cs="Arial"/>
          <w:b/>
        </w:rPr>
      </w:pPr>
      <w:r w:rsidRPr="00EC654F">
        <w:rPr>
          <w:rFonts w:cs="Arial"/>
          <w:b/>
        </w:rPr>
        <w:t>Mecanismo para la potenciación del Fondo de Entidades Federativas FEIEF</w:t>
      </w:r>
    </w:p>
    <w:p w:rsidR="002D6055" w:rsidRPr="00EC654F" w:rsidRDefault="002D6055" w:rsidP="002D6055">
      <w:pPr>
        <w:rPr>
          <w:rFonts w:cs="Arial"/>
        </w:rPr>
      </w:pPr>
      <w:r w:rsidRPr="00EC654F">
        <w:rPr>
          <w:rFonts w:cs="Arial"/>
        </w:rPr>
        <w:t>Durante el ejercicio 2020, derivado de los bajos precios del petróleo, así como por la disminución en la actividad económica nacional a consecuencia de la emergencia de salud pública causada por el virus SARS-CoV2 (COVID-19), la Secretaría de Hacienda y Crédito Público (SHCP) en su Informe sobre la Situación Económica, las Finanzas Públicas y la Deuda Pública correspondiente al primer trimestre de 2020, previó una disminución de la Recaudación Federal Participable y, en consecuencia, una caída en las participaciones federales que corresponden al Estado de México y sus municipios con respecto a lo presupuestado en la Ley de Ingresos del Estado de México para el ejercicio fiscal del año 2020.</w:t>
      </w:r>
    </w:p>
    <w:p w:rsidR="002D6055" w:rsidRPr="00EC654F" w:rsidRDefault="002D6055" w:rsidP="002D6055">
      <w:pPr>
        <w:rPr>
          <w:rFonts w:cs="Arial"/>
        </w:rPr>
      </w:pPr>
      <w:r w:rsidRPr="00EC654F">
        <w:rPr>
          <w:rFonts w:cs="Arial"/>
        </w:rPr>
        <w:t>Por lo anterior, la Secretaría de Hacienda y Crédito Público (SHCP), de conformidad con los artículos 19 fracción IV y 21 fracción II, segundo párrafo de la Ley Federal de Presupuesto y Responsabilidad Hacendaria constituyó un fideicomiso público denominado Fondo de Estabilización de los Ingresos de las Entidades Federativas (FEIEF), con el objeto de compensar disminuciones en ingresos con respecto a lo estimado en la Ley de Ingresos de la Federación para el ejercicio fiscal de 2020, incluidas las disminuciones en el monto de la Recaudación Federal Participable.</w:t>
      </w:r>
    </w:p>
    <w:p w:rsidR="002D6055" w:rsidRPr="00EC654F" w:rsidRDefault="002D6055" w:rsidP="002D6055">
      <w:pPr>
        <w:rPr>
          <w:rFonts w:cs="Arial"/>
        </w:rPr>
      </w:pPr>
      <w:r w:rsidRPr="00EC654F">
        <w:rPr>
          <w:rFonts w:cs="Arial"/>
        </w:rPr>
        <w:t xml:space="preserve">Al respecto, el 5 de junio de 2020 el Gobierno del Estado de Yucatán y el Gobierno Federal, por conducto de la SHCP, celebraron el Convenio de Colaboración para la entrega irrevocable de recursos por el que se estableció un mecanismo de compensación, de conformidad con lo previsto en el tercer párrafo del artículo 9 de la Ley de Coordinación Fiscal. </w:t>
      </w:r>
    </w:p>
    <w:p w:rsidR="002D6055" w:rsidRPr="00EC654F" w:rsidRDefault="002D6055" w:rsidP="002D6055">
      <w:pPr>
        <w:spacing w:after="240"/>
        <w:rPr>
          <w:rFonts w:cs="Arial"/>
        </w:rPr>
      </w:pPr>
      <w:r w:rsidRPr="00EC654F">
        <w:rPr>
          <w:rFonts w:cs="Arial"/>
        </w:rPr>
        <w:t>En caso de que los recursos otorgados al mecanismo de pago, resulten insuficientes para cumplir con las obligaciones de pago que se generen derivadas del mecanismo de potenciación, se autorizó a la SHCP a llevar a cabo la compensación mensual de las cantidades faltantes, por monto que sea equivalente hasta por el 4% del Fondo General de Participaciones que le corresponden al Estado.</w:t>
      </w:r>
    </w:p>
    <w:tbl>
      <w:tblPr>
        <w:tblW w:w="0" w:type="auto"/>
        <w:jc w:val="center"/>
        <w:tblCellMar>
          <w:left w:w="70" w:type="dxa"/>
          <w:right w:w="70" w:type="dxa"/>
        </w:tblCellMar>
        <w:tblLook w:val="04A0" w:firstRow="1" w:lastRow="0" w:firstColumn="1" w:lastColumn="0" w:noHBand="0" w:noVBand="1"/>
      </w:tblPr>
      <w:tblGrid>
        <w:gridCol w:w="634"/>
        <w:gridCol w:w="2457"/>
        <w:gridCol w:w="821"/>
        <w:gridCol w:w="1208"/>
        <w:gridCol w:w="1208"/>
        <w:gridCol w:w="1208"/>
        <w:gridCol w:w="1208"/>
        <w:gridCol w:w="1208"/>
        <w:gridCol w:w="1208"/>
      </w:tblGrid>
      <w:tr w:rsidR="002D6055" w:rsidRPr="00EE6AF7" w:rsidTr="00895E2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Aportación al mecanismo de potenciación FEIEF</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Proyección 2022-2027</w:t>
            </w:r>
          </w:p>
        </w:tc>
      </w:tr>
      <w:tr w:rsidR="002D6055" w:rsidRPr="00EE6AF7" w:rsidTr="00895E2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2027</w:t>
            </w:r>
          </w:p>
        </w:tc>
      </w:tr>
      <w:tr w:rsidR="002D6055" w:rsidRPr="00EE6AF7" w:rsidTr="00895E26">
        <w:trPr>
          <w:trHeight w:val="5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Monto que sea equivalente hasta por el 4% del Fondo General de Participaciones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Intereses</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174,029,168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190,822,458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203,412,992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215,004,083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228,197,407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248,322,626 </w:t>
            </w:r>
          </w:p>
        </w:tc>
      </w:tr>
    </w:tbl>
    <w:p w:rsidR="002D6055" w:rsidRPr="00EC654F" w:rsidRDefault="002D6055" w:rsidP="002D6055">
      <w:pPr>
        <w:rPr>
          <w:rFonts w:cs="Arial"/>
        </w:rPr>
      </w:pPr>
    </w:p>
    <w:p w:rsidR="002D6055" w:rsidRPr="00EC654F" w:rsidRDefault="002D6055" w:rsidP="002D6055">
      <w:pPr>
        <w:rPr>
          <w:rFonts w:cs="Arial"/>
          <w:lang w:val="es-ES"/>
        </w:rPr>
      </w:pPr>
      <w:r w:rsidRPr="00EC654F">
        <w:rPr>
          <w:rFonts w:cs="Arial"/>
          <w:lang w:val="es-ES"/>
        </w:rPr>
        <w:t>El resto de los recursos disponibles después de cumplir con las obligaciones de deuda se destina a la inversión. En principio, la proyección plantea que los Ingresos no Etiquetados se utilicen para financiar el Gasto No Etiquetado y que los Ingresos Etiquetados costeen el Gasto Etiquetado.</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Una vez se ha cubierto el servicio de deuda, los recursos restantes se destinan a los proyectos de inversión pública no etiquetada y etiquetada respectivamente. Estos excedentes deberán sustentarse con base en las necesidades de infraestructura y gasto social de la entidad. La razón por la que el superávit se asigna en principio a la inversión pública obedece a un escenario de recuperación económica sobre la contingencia sanitaria derivada de la COVID–19, pero sobre todo para continuar en línea con los Criterios de Política Económica del Estado</w:t>
      </w:r>
      <w:r w:rsidRPr="00EC654F">
        <w:rPr>
          <w:rStyle w:val="Refdenotaalpie"/>
          <w:rFonts w:cs="Arial"/>
          <w:lang w:val="es-ES"/>
        </w:rPr>
        <w:footnoteReference w:id="29"/>
      </w:r>
      <w:r w:rsidRPr="00EC654F">
        <w:rPr>
          <w:rFonts w:cs="Arial"/>
          <w:lang w:val="es-ES"/>
        </w:rPr>
        <w:t xml:space="preserve">, que esperaban una recuperación y aumento en la inversión pública y una sinergia con la inversión privada. </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El excedente de la recaudación pudo también tener otros destinos como el pago de deuda, pero se plantea la inversión para incrementar los activos y beneficios financieros para la entidad, incentivar la inversión privada y contrarrestar los efectos de los recortes en la Inversión Pública Federal.</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0F3828">
        <w:rPr>
          <w:rFonts w:cs="Arial"/>
          <w:b/>
          <w:bCs/>
          <w:lang w:val="es-ES"/>
        </w:rPr>
        <w:t>Tabla 8</w:t>
      </w:r>
      <w:r w:rsidRPr="00EC654F">
        <w:rPr>
          <w:rFonts w:cs="Arial"/>
          <w:lang w:val="es-ES"/>
        </w:rPr>
        <w:t>. Proyección preliminar de egresos del estado de Yucatán</w:t>
      </w:r>
    </w:p>
    <w:tbl>
      <w:tblPr>
        <w:tblW w:w="5277" w:type="pct"/>
        <w:jc w:val="center"/>
        <w:tblCellMar>
          <w:left w:w="70" w:type="dxa"/>
          <w:right w:w="70" w:type="dxa"/>
        </w:tblCellMar>
        <w:tblLook w:val="04A0" w:firstRow="1" w:lastRow="0" w:firstColumn="1" w:lastColumn="0" w:noHBand="0" w:noVBand="1"/>
      </w:tblPr>
      <w:tblGrid>
        <w:gridCol w:w="4488"/>
        <w:gridCol w:w="1218"/>
        <w:gridCol w:w="1225"/>
        <w:gridCol w:w="1215"/>
        <w:gridCol w:w="1218"/>
        <w:gridCol w:w="1180"/>
        <w:gridCol w:w="1234"/>
      </w:tblGrid>
      <w:tr w:rsidR="002D6055" w:rsidRPr="00EE6AF7" w:rsidTr="00895E26">
        <w:trPr>
          <w:trHeight w:val="142"/>
          <w:jc w:val="center"/>
        </w:trPr>
        <w:tc>
          <w:tcPr>
            <w:tcW w:w="19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2"/>
                <w:szCs w:val="12"/>
                <w:lang w:eastAsia="es-MX"/>
              </w:rPr>
            </w:pPr>
            <w:r w:rsidRPr="006234CF">
              <w:rPr>
                <w:rFonts w:eastAsia="Times New Roman" w:cs="Arial"/>
                <w:b/>
                <w:bCs/>
                <w:sz w:val="12"/>
                <w:szCs w:val="12"/>
                <w:lang w:eastAsia="es-MX"/>
              </w:rPr>
              <w:t>Concepto</w:t>
            </w:r>
          </w:p>
        </w:tc>
        <w:tc>
          <w:tcPr>
            <w:tcW w:w="517"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2022</w:t>
            </w:r>
          </w:p>
        </w:tc>
        <w:tc>
          <w:tcPr>
            <w:tcW w:w="520"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2023</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2024</w:t>
            </w:r>
          </w:p>
        </w:tc>
        <w:tc>
          <w:tcPr>
            <w:tcW w:w="517"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2025</w:t>
            </w:r>
          </w:p>
        </w:tc>
        <w:tc>
          <w:tcPr>
            <w:tcW w:w="501"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2026</w:t>
            </w:r>
          </w:p>
        </w:tc>
        <w:tc>
          <w:tcPr>
            <w:tcW w:w="524"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2027</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1. Gasto No Etiquetado (1=A+B+C+D+E+F+G+H+I)</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22,398,355,804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23,279,978,711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24,924,852,141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26,357,190,711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28,011,962,475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30,315,968,827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A. Servicios Personales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5,734,081,370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6,112,817,444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6,503,915,505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6,899,841,361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7,319,869,204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7,765,466,242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B. Materiales y Suministros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1,125,041,257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1,199,350,232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1,276,084,660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1,353,766,314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1,436,176,838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1,523,604,103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C. Servicios Generales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2,794,127,413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2,978,679,529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3,169,255,445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3,362,183,870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3,566,856,813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3,783,989,222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Otras Ayudas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8,076,675,454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8,610,139,868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9,161,016,616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9,718,693,503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10,310,318,970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10,937,959,637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E. Bienes Muebles, Inmuebles e Intangibles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116,767,025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124,479,487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132,443,685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140,506,194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149,059,508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158,133,506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F. Inversión Pública</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highlight w:val="yellow"/>
                <w:lang w:eastAsia="es-MX"/>
              </w:rPr>
            </w:pPr>
            <w:r w:rsidRPr="00EE6AF7">
              <w:rPr>
                <w:rFonts w:ascii="Calibri" w:hAnsi="Calibri" w:cs="Calibri"/>
                <w:color w:val="000000"/>
                <w:sz w:val="12"/>
                <w:szCs w:val="12"/>
              </w:rPr>
              <w:t xml:space="preserve">0 </w:t>
            </w:r>
          </w:p>
        </w:tc>
        <w:tc>
          <w:tcPr>
            <w:tcW w:w="520"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-509,906,386 </w:t>
            </w:r>
          </w:p>
        </w:tc>
        <w:tc>
          <w:tcPr>
            <w:tcW w:w="516"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-372,909,167 </w:t>
            </w:r>
          </w:p>
        </w:tc>
        <w:tc>
          <w:tcPr>
            <w:tcW w:w="517"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-458,426,518 </w:t>
            </w:r>
          </w:p>
        </w:tc>
        <w:tc>
          <w:tcPr>
            <w:tcW w:w="501"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-421,570,159 </w:t>
            </w:r>
          </w:p>
        </w:tc>
        <w:tc>
          <w:tcPr>
            <w:tcW w:w="524"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163,638,391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G. Inversiones Financieras y Otras Provisiones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21,300,100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22,706,972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24,159,764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25,630,489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27,190,745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28,845,982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 y Aportaciones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4,092,168,930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4,362,456,688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4,641,566,667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4,924,122,038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5,223,877,967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5,541,881,538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I. Deuda Pública</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438,194,255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379,254,877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389,318,967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390,873,460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400,182,588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412,450,207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2. Gasto Etiquetado (2=A+B+C+D+E+F+G+H+I)</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20,237,380,255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21,507,215,656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22,667,717,889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23,901,064,143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25,181,355,364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26,543,820,604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A. Servicios Personales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8,043,537,957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8,284,844,096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8,533,389,419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8,789,391,101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9,053,072,834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9,324,665,019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B. Materiales y Suministros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109,399,433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116,625,266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124,086,950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131,640,743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139,654,373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148,155,833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 xml:space="preserve">C. Servicios Generales </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351,985,792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375,234,454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399,241,954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423,545,808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449,329,159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476,682,071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Otras Ayudas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7,168,224,793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7,383,271,537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7,604,769,683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7,832,912,773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8,067,900,157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8,309,937,161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E. Bienes Muebles, Inmuebles e Intangibles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844,089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869,412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895,494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922,359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950,030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978,530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F. Inversión Pública</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111,846,456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734,377,136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1,233,338,064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2,345,590,734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2,961,903,543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3,632,077,277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G. Inversiones Financieras y Otras Provisiones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 y Aportaciones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3,494,159,343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3,598,984,123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3,706,953,647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3,818,162,256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3,932,707,124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4,050,688,338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I. Deuda Pública</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957,382,392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1,013,009,633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1,065,042,679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558,898,368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575,838,144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600,636,373 </w:t>
            </w:r>
          </w:p>
        </w:tc>
      </w:tr>
      <w:tr w:rsidR="002D6055" w:rsidRPr="00EE6AF7" w:rsidTr="00895E26">
        <w:trPr>
          <w:trHeight w:val="142"/>
          <w:jc w:val="center"/>
        </w:trPr>
        <w:tc>
          <w:tcPr>
            <w:tcW w:w="1905" w:type="pct"/>
            <w:tcBorders>
              <w:top w:val="nil"/>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3. Total del Resultado de Egresos (3=1+2)</w:t>
            </w:r>
          </w:p>
        </w:tc>
        <w:tc>
          <w:tcPr>
            <w:tcW w:w="517" w:type="pct"/>
            <w:tcBorders>
              <w:top w:val="nil"/>
              <w:left w:val="single" w:sz="4" w:space="0" w:color="auto"/>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42,635,736,059 </w:t>
            </w:r>
          </w:p>
        </w:tc>
        <w:tc>
          <w:tcPr>
            <w:tcW w:w="520"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44,787,194,366 </w:t>
            </w:r>
          </w:p>
        </w:tc>
        <w:tc>
          <w:tcPr>
            <w:tcW w:w="516"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47,592,570,030 </w:t>
            </w:r>
          </w:p>
        </w:tc>
        <w:tc>
          <w:tcPr>
            <w:tcW w:w="517"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50,258,254,854 </w:t>
            </w:r>
          </w:p>
        </w:tc>
        <w:tc>
          <w:tcPr>
            <w:tcW w:w="501"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53,193,317,838 </w:t>
            </w:r>
          </w:p>
        </w:tc>
        <w:tc>
          <w:tcPr>
            <w:tcW w:w="524"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56,859,789,431 </w:t>
            </w:r>
          </w:p>
        </w:tc>
      </w:tr>
    </w:tbl>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 Tabla 8 muestra las proyecciones del Proyecto de Presupuesto de Egresos 2023 – 2027 con base en los lineamientos previamente descritos. Bajo las hipótesis de crecimiento planteadas, hay un déficit que se refleja en proyecciones negativas para la inversión pública. Estas proyecciones reflejan que los ingresos no son suficientes para mantener el ritmo de crecimiento histórico de los gastos, por lo cual se hacen ajustes sobre el gasto operativo de acuerdo con los siguientes lineamientos:</w:t>
      </w:r>
    </w:p>
    <w:p w:rsidR="002D6055" w:rsidRPr="00EC654F" w:rsidRDefault="002D6055" w:rsidP="002D6055">
      <w:pPr>
        <w:rPr>
          <w:rFonts w:cs="Arial"/>
          <w:lang w:val="es-ES"/>
        </w:rPr>
      </w:pPr>
    </w:p>
    <w:p w:rsidR="002D6055" w:rsidRPr="00EC654F" w:rsidRDefault="002D6055" w:rsidP="002D6055">
      <w:pPr>
        <w:pStyle w:val="Prrafodelista"/>
        <w:numPr>
          <w:ilvl w:val="0"/>
          <w:numId w:val="39"/>
        </w:numPr>
        <w:spacing w:after="0" w:line="240" w:lineRule="auto"/>
        <w:rPr>
          <w:rFonts w:ascii="Arial" w:hAnsi="Arial" w:cs="Arial"/>
          <w:lang w:val="es-ES"/>
        </w:rPr>
      </w:pPr>
      <w:r w:rsidRPr="00EC654F">
        <w:rPr>
          <w:rFonts w:ascii="Arial" w:hAnsi="Arial" w:cs="Arial"/>
          <w:lang w:val="es-ES"/>
        </w:rPr>
        <w:t>Si en un período se identifica un déficit de ingresos, este déficit se distribuye sobre el gasto operativo no etiquetado de acuerdo con su peso relativo en esta proyección.</w:t>
      </w:r>
    </w:p>
    <w:p w:rsidR="002D6055" w:rsidRPr="00EC654F" w:rsidRDefault="002D6055" w:rsidP="002D6055">
      <w:pPr>
        <w:pStyle w:val="Prrafodelista"/>
        <w:numPr>
          <w:ilvl w:val="0"/>
          <w:numId w:val="39"/>
        </w:numPr>
        <w:spacing w:after="0" w:line="240" w:lineRule="auto"/>
        <w:rPr>
          <w:rFonts w:ascii="Arial" w:hAnsi="Arial" w:cs="Arial"/>
          <w:lang w:val="es-ES"/>
        </w:rPr>
      </w:pPr>
      <w:r w:rsidRPr="00EC654F">
        <w:rPr>
          <w:rFonts w:ascii="Arial" w:hAnsi="Arial" w:cs="Arial"/>
          <w:lang w:val="es-ES"/>
        </w:rPr>
        <w:t xml:space="preserve">El nuevo monto proyectado se usa como base para la proyección del siguiente año, de acuerdo con los límites de crecimiento previamente calculados en la Tabla 2. </w:t>
      </w:r>
    </w:p>
    <w:p w:rsidR="002D6055" w:rsidRPr="000003F0" w:rsidRDefault="002D6055" w:rsidP="002D6055">
      <w:pPr>
        <w:pStyle w:val="Prrafodelista"/>
        <w:numPr>
          <w:ilvl w:val="0"/>
          <w:numId w:val="39"/>
        </w:numPr>
        <w:spacing w:after="0" w:line="240" w:lineRule="auto"/>
        <w:rPr>
          <w:rFonts w:ascii="Arial" w:hAnsi="Arial" w:cs="Arial"/>
          <w:lang w:val="es-ES"/>
        </w:rPr>
      </w:pPr>
      <w:r w:rsidRPr="00EC654F">
        <w:rPr>
          <w:rFonts w:ascii="Arial" w:hAnsi="Arial" w:cs="Arial"/>
          <w:lang w:val="es-ES"/>
        </w:rPr>
        <w:t>Este ajuste se repite con todos los períodos en los que, a través de montos de inversión pública negativos, se identifique un déficit en los ingresos</w:t>
      </w:r>
      <w:r>
        <w:rPr>
          <w:rFonts w:ascii="Arial" w:hAnsi="Arial" w:cs="Arial"/>
          <w:lang w:val="es-ES"/>
        </w:rPr>
        <w:t>.</w:t>
      </w:r>
    </w:p>
    <w:p w:rsidR="002D6055" w:rsidRPr="00EC654F" w:rsidRDefault="002D6055" w:rsidP="002D6055">
      <w:pPr>
        <w:rPr>
          <w:rFonts w:cs="Arial"/>
          <w:lang w:val="es-ES"/>
        </w:rPr>
      </w:pPr>
      <w:r w:rsidRPr="00EC654F">
        <w:rPr>
          <w:rFonts w:cs="Arial"/>
          <w:lang w:val="es-ES"/>
        </w:rPr>
        <w:t>La Tabla 9 muestra los resultados de ajustar estas proyecciones.</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0F3828">
        <w:rPr>
          <w:rFonts w:cs="Arial"/>
          <w:b/>
          <w:bCs/>
          <w:lang w:val="es-ES"/>
        </w:rPr>
        <w:t>Tabla 9.</w:t>
      </w:r>
      <w:r w:rsidRPr="00EC654F">
        <w:rPr>
          <w:rFonts w:cs="Arial"/>
          <w:lang w:val="es-ES"/>
        </w:rPr>
        <w:t xml:space="preserve"> Proyección de egresos del estado de Yucatán</w:t>
      </w:r>
    </w:p>
    <w:tbl>
      <w:tblPr>
        <w:tblW w:w="5323" w:type="pct"/>
        <w:jc w:val="center"/>
        <w:tblCellMar>
          <w:left w:w="70" w:type="dxa"/>
          <w:right w:w="70" w:type="dxa"/>
        </w:tblCellMar>
        <w:tblLook w:val="04A0" w:firstRow="1" w:lastRow="0" w:firstColumn="1" w:lastColumn="0" w:noHBand="0" w:noVBand="1"/>
      </w:tblPr>
      <w:tblGrid>
        <w:gridCol w:w="4487"/>
        <w:gridCol w:w="1234"/>
        <w:gridCol w:w="1233"/>
        <w:gridCol w:w="1233"/>
        <w:gridCol w:w="1233"/>
        <w:gridCol w:w="1233"/>
        <w:gridCol w:w="1228"/>
      </w:tblGrid>
      <w:tr w:rsidR="002D6055" w:rsidRPr="00EE6AF7" w:rsidTr="00895E26">
        <w:trPr>
          <w:trHeight w:val="142"/>
          <w:jc w:val="center"/>
        </w:trPr>
        <w:tc>
          <w:tcPr>
            <w:tcW w:w="188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2"/>
                <w:szCs w:val="12"/>
                <w:lang w:eastAsia="es-MX"/>
              </w:rPr>
            </w:pPr>
            <w:r w:rsidRPr="006234CF">
              <w:rPr>
                <w:rFonts w:eastAsia="Times New Roman" w:cs="Arial"/>
                <w:b/>
                <w:bCs/>
                <w:sz w:val="12"/>
                <w:szCs w:val="12"/>
                <w:lang w:eastAsia="es-MX"/>
              </w:rPr>
              <w:t>Concepto</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2022</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2023</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2024</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2025</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2026</w:t>
            </w:r>
          </w:p>
        </w:tc>
        <w:tc>
          <w:tcPr>
            <w:tcW w:w="517"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2027</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1. Gasto No Etiquetado (1=A+B+C+D+E+F+G+H+I)</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 xml:space="preserve">22,398,355,804.00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23,279,978,710.70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24,924,852,141.22</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26,357,190,710.50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28,011,962,474.60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30,315,968,827.20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A. Servicios Personales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5,734,081,370.00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5,947,907,292.60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6,328,454,401.18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6,751,580,447.16</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7,183,528,101.10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7,620,825,374.26</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B. Materiales y Suministros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1,125,041,257.00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1,166,994,443.43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1,241,658,747.92</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1,324,677,147.55</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1,409,426,368.95</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1,495,225,199.16</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C. Servicios Generales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2,794,127,413.00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2,898,321,412.60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3,083,756,016.57</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3,289,938,665.18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3,500,419,944.22</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3,713,508,008.33</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Otras Ayudas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8,076,675,454.00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8,377,857,538.64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8,913,872,863.96</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9,509,862,269.93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10,118,277,252.02</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10,734,227,379.74</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E. Bienes Muebles, Inmuebles e Intangibles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116,767,025.00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124,479,487.00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132,443,684.58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140,506,193.88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149,059,508.43</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158,133,506.01</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F. Inversión Pública</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 xml:space="preserve">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169,621,029.64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0.00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610,871,633.00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G. Inversiones Financieras y Otras Provisiones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21,300,100.00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22,706,971.61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24,159,763.65</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25,630,489.26</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27,190,745.29</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28,845,981.91</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 y Aportaciones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4,092,168,930.00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4,362,456,687.83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4,641,566,666.71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4,924,122,037.55</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5,223,877,966.59</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5,541,881,537.80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I. Deuda Pública</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438,194,255.00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379,254,877.00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389,318,967.00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390,873,460.00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400,182,588.00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412,450,207.00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2. Gasto Etiquetado (2=A+B+C+D+E+F+G+H+I)</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 xml:space="preserve">20,237,380,255.00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21,507,215,655.54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22,667,717,889.13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23,901,064,143.03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25,181,355,363.70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26,543,820,603.88</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A. Servicios Personales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8,043,537,957.00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8,284,844,095.71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8,533,389,418.58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8,789,391,101.14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9,053,072,834.17</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9,324,665,019.20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B. Materiales y Suministros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109,399,433.00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116,625,265.55</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124,086,950.04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131,640,743.12</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139,654,373.36</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148,155,833.34</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 xml:space="preserve">C. Servicios Generales </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351,985,792.00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375,234,453.56</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399,241,953.90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423,545,807.84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449,329,158.90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476,682,071.44</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Otras Ayudas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7,168,224,793.00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7,383,271,536.79</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7,604,769,682.89</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7,832,912,773.38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8,067,900,156.58</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8,309,937,161.28</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E. Bienes Muebles, Inmuebles e Intangibles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844,089.00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869,411.67</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895,494.02</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922,358.84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950,029.61</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978,530.49</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F. Inversión Pública</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111,846,456.00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734,377,135.97</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1,233,338,063.71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2,345,590,734.31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2,961,903,542.99</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3,632,077,277.32</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G. Inversiones Financieras y Otras Provisiones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 y Aportaciones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3,494,159,343.00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3,598,984,123.29</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3,706,953,646.99</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3,818,162,256.40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3,932,707,124.09</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4,050,688,337.81</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I. Deuda Pública</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957,382,392.00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1,013,009,633.00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1,065,042,679.00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558,898,368.00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575,838,144.00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600,636,373.00</w:t>
            </w:r>
          </w:p>
        </w:tc>
      </w:tr>
      <w:tr w:rsidR="002D6055" w:rsidRPr="00EE6AF7" w:rsidTr="00895E26">
        <w:trPr>
          <w:trHeight w:val="142"/>
          <w:jc w:val="center"/>
        </w:trPr>
        <w:tc>
          <w:tcPr>
            <w:tcW w:w="1888" w:type="pct"/>
            <w:tcBorders>
              <w:top w:val="nil"/>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3. Total del Resultado de Egresos (3=1+2)</w:t>
            </w:r>
          </w:p>
        </w:tc>
        <w:tc>
          <w:tcPr>
            <w:tcW w:w="519" w:type="pct"/>
            <w:tcBorders>
              <w:top w:val="nil"/>
              <w:left w:val="single" w:sz="4" w:space="0" w:color="auto"/>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 xml:space="preserve">42,635,736,059.00 </w:t>
            </w:r>
          </w:p>
        </w:tc>
        <w:tc>
          <w:tcPr>
            <w:tcW w:w="519"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44,787,194,366.24</w:t>
            </w:r>
          </w:p>
        </w:tc>
        <w:tc>
          <w:tcPr>
            <w:tcW w:w="519"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47,592,570,030.35</w:t>
            </w:r>
          </w:p>
        </w:tc>
        <w:tc>
          <w:tcPr>
            <w:tcW w:w="519"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50,258,254,853.54</w:t>
            </w:r>
          </w:p>
        </w:tc>
        <w:tc>
          <w:tcPr>
            <w:tcW w:w="519"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53,193,317,838.30</w:t>
            </w:r>
          </w:p>
        </w:tc>
        <w:tc>
          <w:tcPr>
            <w:tcW w:w="517"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56,859,789,431.09</w:t>
            </w:r>
          </w:p>
        </w:tc>
      </w:tr>
    </w:tbl>
    <w:p w:rsidR="000E709A" w:rsidRDefault="000E709A" w:rsidP="000E709A"/>
    <w:p w:rsidR="00C1172B" w:rsidRDefault="00C1172B">
      <w:pPr>
        <w:jc w:val="left"/>
      </w:pPr>
      <w:r>
        <w:br w:type="page"/>
      </w:r>
    </w:p>
    <w:p w:rsidR="00FA49E9" w:rsidRDefault="009C1791">
      <w:pPr>
        <w:pStyle w:val="Ttulo3"/>
      </w:pPr>
      <w:bookmarkStart w:id="90" w:name="X7d6af8040be7dffea55ffb57a0021dae2e8c51e"/>
      <w:bookmarkEnd w:id="89"/>
      <w:r>
        <w:t>ANEXO 19.2 METODOLOGÍA PARA CALCULAR EL MONTO CORRESPONDIENTE AL FONDO DE DESASTRES NATURALES ESTATAL</w:t>
      </w:r>
    </w:p>
    <w:p w:rsidR="004E4563" w:rsidRPr="004E4563" w:rsidRDefault="004E4563" w:rsidP="004E4563"/>
    <w:p w:rsidR="004E4563" w:rsidRPr="001D6C15" w:rsidRDefault="004E4563" w:rsidP="004E4563">
      <w:pPr>
        <w:contextualSpacing/>
        <w:rPr>
          <w:rFonts w:cs="Arial"/>
        </w:rPr>
      </w:pPr>
      <w:r w:rsidRPr="001D6C15">
        <w:rPr>
          <w:rFonts w:cs="Arial"/>
        </w:rPr>
        <w:t>Con fundamento en el artículo 9 de la Ley de Disciplina Financiera de las Entidades Federativas y los Municipios, se escribe la metodología del cálculo de los montos y factores utilizados:</w:t>
      </w:r>
    </w:p>
    <w:p w:rsidR="004E4563" w:rsidRPr="001D6C15" w:rsidRDefault="004E4563" w:rsidP="004E4563">
      <w:pPr>
        <w:contextualSpacing/>
        <w:rPr>
          <w:rFonts w:cs="Arial"/>
        </w:rPr>
      </w:pPr>
    </w:p>
    <w:p w:rsidR="004E4563" w:rsidRPr="001D6C15" w:rsidRDefault="004E4563" w:rsidP="004E4563">
      <w:pPr>
        <w:rPr>
          <w:rFonts w:cs="Arial"/>
        </w:rPr>
      </w:pPr>
      <w:r w:rsidRPr="001D6C15">
        <w:rPr>
          <w:rFonts w:cs="Arial"/>
        </w:rPr>
        <w:t>La fórmula de acuerdo con la mencionada ley es la siguiente:</w:t>
      </w:r>
    </w:p>
    <w:p w:rsidR="004E4563" w:rsidRPr="001D6C15" w:rsidRDefault="004E4563" w:rsidP="004E4563">
      <w:pPr>
        <w:rPr>
          <w:rFonts w:cs="Arial"/>
        </w:rPr>
      </w:pPr>
    </w:p>
    <w:p w:rsidR="004E4563" w:rsidRPr="008A5EAC" w:rsidRDefault="008A5EAC" w:rsidP="004E4563">
      <w:pPr>
        <w:rPr>
          <w:rFonts w:cs="Arial"/>
        </w:rPr>
      </w:pPr>
      <m:oMathPara>
        <m:oMath>
          <m:r>
            <w:rPr>
              <w:rFonts w:ascii="Cambria Math" w:hAnsi="Cambria Math" w:cs="Arial"/>
            </w:rPr>
            <m:t>FAED=</m:t>
          </m:r>
          <m:d>
            <m:dPr>
              <m:begChr m:val="["/>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i=2017</m:t>
                  </m:r>
                </m:sub>
                <m:sup>
                  <m:r>
                    <w:rPr>
                      <w:rFonts w:ascii="Cambria Math" w:hAnsi="Cambria Math" w:cs="Arial"/>
                    </w:rPr>
                    <m:t>2021</m:t>
                  </m:r>
                </m:sup>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(1+</m:t>
                      </m:r>
                      <m:sSub>
                        <m:sSubPr>
                          <m:ctrlPr>
                            <w:rPr>
                              <w:rFonts w:ascii="Cambria Math" w:hAnsi="Cambria Math" w:cs="Arial"/>
                              <w:i/>
                            </w:rPr>
                          </m:ctrlPr>
                        </m:sSubPr>
                        <m:e>
                          <m:r>
                            <m:rPr>
                              <m:sty m:val="p"/>
                            </m:rPr>
                            <w:rPr>
                              <w:rFonts w:ascii="Cambria Math" w:hAnsi="Cambria Math" w:cs="Arial"/>
                            </w:rPr>
                            <m:t>Δ</m:t>
                          </m:r>
                        </m:e>
                        <m:sub>
                          <m:r>
                            <w:rPr>
                              <w:rFonts w:ascii="Cambria Math" w:hAnsi="Cambria Math" w:cs="Arial"/>
                            </w:rPr>
                            <m:t>i,2021</m:t>
                          </m:r>
                        </m:sub>
                      </m:sSub>
                      <m:r>
                        <w:rPr>
                          <w:rFonts w:ascii="Cambria Math" w:hAnsi="Cambria Math" w:cs="Arial"/>
                        </w:rPr>
                        <m:t>)</m:t>
                      </m:r>
                    </m:num>
                    <m:den>
                      <m:r>
                        <w:rPr>
                          <w:rFonts w:ascii="Cambria Math" w:hAnsi="Cambria Math" w:cs="Arial"/>
                        </w:rPr>
                        <m:t>5</m:t>
                      </m:r>
                    </m:den>
                  </m:f>
                </m:e>
              </m:nary>
            </m:e>
          </m:d>
          <m:r>
            <w:rPr>
              <w:rFonts w:ascii="Cambria Math" w:hAnsi="Cambria Math" w:cs="Arial"/>
            </w:rPr>
            <m:t>×0.10</m:t>
          </m:r>
        </m:oMath>
      </m:oMathPara>
    </w:p>
    <w:p w:rsidR="004E4563" w:rsidRPr="001D6C15" w:rsidRDefault="004E4563" w:rsidP="004E4563">
      <w:pPr>
        <w:rPr>
          <w:rFonts w:cs="Arial"/>
        </w:rPr>
      </w:pPr>
      <w:r w:rsidRPr="001D6C15">
        <w:rPr>
          <w:rFonts w:cs="Arial"/>
        </w:rPr>
        <w:t>Donde:</w:t>
      </w:r>
    </w:p>
    <w:p w:rsidR="004E4563" w:rsidRPr="001D6C15" w:rsidRDefault="004E4563" w:rsidP="004E4563">
      <w:pPr>
        <w:rPr>
          <w:rFonts w:cs="Arial"/>
        </w:rPr>
      </w:pPr>
    </w:p>
    <w:p w:rsidR="004E4563" w:rsidRPr="001D6C15" w:rsidRDefault="008A5EAC" w:rsidP="004E4563">
      <w:pPr>
        <w:rPr>
          <w:rFonts w:cs="Arial"/>
          <w:lang w:val="es-ES"/>
        </w:rPr>
      </w:pPr>
      <m:oMath>
        <m:r>
          <w:rPr>
            <w:rFonts w:ascii="Cambria Math" w:hAnsi="Cambria Math" w:cs="Arial"/>
          </w:rPr>
          <m:t>FAED</m:t>
        </m:r>
      </m:oMath>
      <w:r w:rsidR="004E4563" w:rsidRPr="001D6C15">
        <w:rPr>
          <w:rFonts w:cs="Arial"/>
          <w:lang w:val="es-ES"/>
        </w:rPr>
        <w:t xml:space="preserve"> monto estimado anual que se le destina al Fideicomiso del Fondo para la Atención de Emergencias y Desastres Naturales del Estado de Yucatán.</w:t>
      </w:r>
    </w:p>
    <w:p w:rsidR="004E4563" w:rsidRPr="001D6C15" w:rsidRDefault="004E4563" w:rsidP="004E4563">
      <w:pPr>
        <w:rPr>
          <w:rFonts w:cs="Arial"/>
        </w:rPr>
      </w:pPr>
    </w:p>
    <w:p w:rsidR="004E4563" w:rsidRPr="001D6C15" w:rsidRDefault="008A5EAC" w:rsidP="004E4563">
      <w:pPr>
        <w:rPr>
          <w:rFonts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oMath>
      <w:r w:rsidR="004E4563" w:rsidRPr="001D6C15">
        <w:rPr>
          <w:rFonts w:cs="Arial"/>
        </w:rPr>
        <w:t xml:space="preserve"> </w:t>
      </w:r>
      <w:r w:rsidR="004E4563" w:rsidRPr="001D6C15">
        <w:rPr>
          <w:rFonts w:cs="Arial"/>
          <w:lang w:val="es-ES"/>
        </w:rPr>
        <w:t xml:space="preserve">Recurso ejercido por la Entidad Federativa para la reconstrucción de la infraestructura de la entidad dañada que se registre durante el año </w:t>
      </w:r>
      <m:oMath>
        <m:r>
          <w:rPr>
            <w:rFonts w:ascii="Cambria Math" w:hAnsi="Cambria Math" w:cs="Arial"/>
            <w:lang w:val="es-ES"/>
          </w:rPr>
          <m:t>i</m:t>
        </m:r>
      </m:oMath>
      <w:r w:rsidR="004E4563" w:rsidRPr="001D6C15">
        <w:rPr>
          <w:rFonts w:cs="Arial"/>
          <w:lang w:val="es-ES"/>
        </w:rPr>
        <w:t>.</w:t>
      </w:r>
    </w:p>
    <w:p w:rsidR="004E4563" w:rsidRPr="001D6C15" w:rsidRDefault="004E4563" w:rsidP="004E4563">
      <w:pPr>
        <w:rPr>
          <w:rFonts w:cs="Arial"/>
        </w:rPr>
      </w:pPr>
    </w:p>
    <w:p w:rsidR="004E4563" w:rsidRPr="00EE6AF7" w:rsidRDefault="008A5EAC" w:rsidP="004E4563">
      <w:pPr>
        <w:rPr>
          <w:rFonts w:eastAsia="Times New Roman"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4E4563" w:rsidRPr="00EE6AF7">
        <w:rPr>
          <w:rFonts w:eastAsia="Times New Roman" w:cs="Arial"/>
          <w:lang w:val="es-ES"/>
        </w:rPr>
        <w:t xml:space="preserve"> Denota la </w:t>
      </w:r>
      <w:r w:rsidR="00C1639F" w:rsidRPr="00EE6AF7">
        <w:rPr>
          <w:rFonts w:eastAsia="Times New Roman" w:cs="Arial"/>
          <w:lang w:val="es-ES"/>
        </w:rPr>
        <w:t xml:space="preserve">variación </w:t>
      </w:r>
      <w:r w:rsidR="004E4563" w:rsidRPr="00EE6AF7">
        <w:rPr>
          <w:rFonts w:eastAsia="Times New Roman" w:cs="Arial"/>
          <w:lang w:val="es-ES"/>
        </w:rPr>
        <w:t>en el INPC variación del periodo actual (j) con respecto a un periodo anterior (i)</w:t>
      </w:r>
      <w:r w:rsidR="009D7DD9" w:rsidRPr="00EE6AF7">
        <w:rPr>
          <w:rFonts w:eastAsia="Times New Roman" w:cs="Arial"/>
          <w:lang w:val="es-ES"/>
        </w:rPr>
        <w:t>.</w:t>
      </w:r>
    </w:p>
    <w:p w:rsidR="004E4563" w:rsidRPr="001D6C15" w:rsidRDefault="004E4563" w:rsidP="004E4563">
      <w:pPr>
        <w:rPr>
          <w:rFonts w:cs="Arial"/>
          <w:b/>
          <w:bCs/>
          <w:lang w:val="es-ES"/>
        </w:rPr>
      </w:pPr>
    </w:p>
    <w:p w:rsidR="004E4563" w:rsidRPr="001D6C15" w:rsidRDefault="004E4563" w:rsidP="004E4563">
      <w:pPr>
        <w:jc w:val="left"/>
        <w:rPr>
          <w:rFonts w:cs="Arial"/>
          <w:lang w:val="es-ES"/>
        </w:rPr>
      </w:pPr>
      <w:r w:rsidRPr="001D6C15">
        <w:rPr>
          <w:rFonts w:cs="Arial"/>
          <w:lang w:val="es-ES"/>
        </w:rPr>
        <w:t>Cálculo del factor de actualización de precios</w:t>
      </w:r>
    </w:p>
    <w:p w:rsidR="004E4563" w:rsidRPr="001D6C15" w:rsidRDefault="004E4563" w:rsidP="004E4563">
      <w:pPr>
        <w:rPr>
          <w:rFonts w:cs="Arial"/>
          <w:lang w:val="es-ES"/>
        </w:rPr>
      </w:pPr>
    </w:p>
    <w:p w:rsidR="004E4563" w:rsidRPr="001D6C15" w:rsidRDefault="004E4563" w:rsidP="004E4563">
      <w:pPr>
        <w:rPr>
          <w:rFonts w:cs="Arial"/>
          <w:lang w:val="es-ES"/>
        </w:rPr>
      </w:pPr>
      <w:r w:rsidRPr="001D6C15">
        <w:rPr>
          <w:rFonts w:cs="Arial"/>
          <w:lang w:val="es-ES"/>
        </w:rPr>
        <w:t>Paso 1. Descarga de los datos.</w:t>
      </w:r>
    </w:p>
    <w:p w:rsidR="004E4563" w:rsidRPr="001D6C15" w:rsidRDefault="004E4563" w:rsidP="004E4563">
      <w:pPr>
        <w:rPr>
          <w:rFonts w:cs="Arial"/>
          <w:lang w:val="es-ES"/>
        </w:rPr>
      </w:pPr>
      <w:r w:rsidRPr="001D6C15">
        <w:rPr>
          <w:rFonts w:cs="Arial"/>
          <w:lang w:val="es-ES"/>
        </w:rPr>
        <w:t>De la página de INEGI se descarga los valores históricos del Índice Nacional de Precios al Consumidor y sus Componentes.</w:t>
      </w:r>
    </w:p>
    <w:p w:rsidR="004E4563" w:rsidRPr="001D6C15" w:rsidRDefault="004E4563" w:rsidP="004E4563">
      <w:pPr>
        <w:rPr>
          <w:rFonts w:cs="Arial"/>
          <w:lang w:val="es-ES"/>
        </w:rPr>
      </w:pPr>
    </w:p>
    <w:p w:rsidR="004E4563" w:rsidRDefault="004E4563" w:rsidP="004E4563">
      <w:pPr>
        <w:rPr>
          <w:rFonts w:cs="Arial"/>
          <w:lang w:val="es-ES"/>
        </w:rPr>
      </w:pPr>
      <w:r w:rsidRPr="001D6C15">
        <w:rPr>
          <w:rFonts w:cs="Arial"/>
          <w:lang w:val="es-ES"/>
        </w:rPr>
        <w:t>Paso 2. Se calcula el factor de actualización de diciembre a diciembre para cada uno de los años a partir del 2015 hasta el 2020.</w:t>
      </w:r>
    </w:p>
    <w:p w:rsidR="004E4563" w:rsidRPr="001D6C15" w:rsidRDefault="004E4563" w:rsidP="004E4563">
      <w:pPr>
        <w:rPr>
          <w:rFonts w:cs="Arial"/>
          <w:lang w:val="es-ES"/>
        </w:rPr>
      </w:pPr>
    </w:p>
    <w:p w:rsidR="004E4563" w:rsidRPr="008A5EAC" w:rsidRDefault="008A5EAC" w:rsidP="004E4563">
      <w:pPr>
        <w:rPr>
          <w:rFonts w:cs="Arial"/>
          <w:lang w:val="es-ES"/>
        </w:rPr>
      </w:pPr>
      <m:oMathPara>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r>
            <w:rPr>
              <w:rFonts w:ascii="Cambria Math" w:hAnsi="Cambria Math" w:cs="Arial"/>
              <w:lang w:val="es-ES"/>
            </w:rPr>
            <m:t>=</m:t>
          </m:r>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2QDic</m:t>
                  </m:r>
                </m:e>
                <m:sub>
                  <m:r>
                    <w:rPr>
                      <w:rFonts w:ascii="Cambria Math" w:hAnsi="Cambria Math" w:cs="Arial"/>
                      <w:lang w:val="es-ES"/>
                    </w:rPr>
                    <m:t>j</m:t>
                  </m:r>
                </m:sub>
              </m:sSub>
            </m:num>
            <m:den>
              <m:sSub>
                <m:sSubPr>
                  <m:ctrlPr>
                    <w:rPr>
                      <w:rFonts w:ascii="Cambria Math" w:hAnsi="Cambria Math" w:cs="Arial"/>
                      <w:i/>
                      <w:lang w:val="es-ES"/>
                    </w:rPr>
                  </m:ctrlPr>
                </m:sSubPr>
                <m:e>
                  <m:r>
                    <w:rPr>
                      <w:rFonts w:ascii="Cambria Math" w:hAnsi="Cambria Math" w:cs="Arial"/>
                      <w:lang w:val="es-ES"/>
                    </w:rPr>
                    <m:t>2QDic</m:t>
                  </m:r>
                </m:e>
                <m:sub>
                  <m:r>
                    <w:rPr>
                      <w:rFonts w:ascii="Cambria Math" w:hAnsi="Cambria Math" w:cs="Arial"/>
                      <w:lang w:val="es-ES"/>
                    </w:rPr>
                    <m:t>i</m:t>
                  </m:r>
                </m:sub>
              </m:sSub>
            </m:den>
          </m:f>
        </m:oMath>
      </m:oMathPara>
    </w:p>
    <w:p w:rsidR="004E4563" w:rsidRPr="001D6C15" w:rsidRDefault="004E4563" w:rsidP="004E4563">
      <w:pPr>
        <w:rPr>
          <w:rFonts w:cs="Arial"/>
          <w:lang w:val="es-ES"/>
        </w:rPr>
      </w:pPr>
      <w:r w:rsidRPr="001D6C15">
        <w:rPr>
          <w:rFonts w:cs="Arial"/>
          <w:lang w:val="es-ES"/>
        </w:rPr>
        <w:t>Donde:</w:t>
      </w:r>
    </w:p>
    <w:p w:rsidR="004E4563" w:rsidRPr="001D6C15" w:rsidRDefault="004E4563" w:rsidP="004E4563">
      <w:pPr>
        <w:rPr>
          <w:rFonts w:cs="Arial"/>
          <w:lang w:val="es-ES"/>
        </w:rPr>
      </w:pPr>
    </w:p>
    <w:p w:rsidR="004E4563" w:rsidRPr="00EE6AF7" w:rsidRDefault="008A5EAC" w:rsidP="004E4563">
      <w:pPr>
        <w:rPr>
          <w:rFonts w:eastAsia="Times New Roman"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4E4563" w:rsidRPr="00EE6AF7">
        <w:rPr>
          <w:rFonts w:eastAsia="Times New Roman" w:cs="Arial"/>
          <w:lang w:val="es-ES"/>
        </w:rPr>
        <w:t xml:space="preserve"> Denota la variación del periodo actual (j) con respecto a un periodo anterior (i).</w:t>
      </w:r>
    </w:p>
    <w:p w:rsidR="004E4563" w:rsidRPr="00EE6AF7" w:rsidRDefault="004E4563" w:rsidP="004E4563">
      <w:pPr>
        <w:rPr>
          <w:rFonts w:eastAsia="Times New Roman" w:cs="Arial"/>
          <w:lang w:val="es-ES"/>
        </w:rPr>
      </w:pPr>
    </w:p>
    <w:p w:rsidR="004E4563" w:rsidRPr="00EE6AF7" w:rsidRDefault="008A5EAC" w:rsidP="004E4563">
      <w:pPr>
        <w:rPr>
          <w:rFonts w:eastAsia="Times New Roman" w:cs="Arial"/>
          <w:lang w:val="es-ES"/>
        </w:rPr>
      </w:pPr>
      <m:oMath>
        <m:sSub>
          <m:sSubPr>
            <m:ctrlPr>
              <w:rPr>
                <w:rFonts w:ascii="Cambria Math" w:hAnsi="Cambria Math" w:cs="Arial"/>
                <w:i/>
                <w:lang w:val="es-ES"/>
              </w:rPr>
            </m:ctrlPr>
          </m:sSubPr>
          <m:e>
            <m:r>
              <w:rPr>
                <w:rFonts w:ascii="Cambria Math" w:hAnsi="Cambria Math" w:cs="Arial"/>
                <w:lang w:val="es-ES"/>
              </w:rPr>
              <m:t>2QDic</m:t>
            </m:r>
          </m:e>
          <m:sub>
            <m:r>
              <w:rPr>
                <w:rFonts w:ascii="Cambria Math" w:hAnsi="Cambria Math" w:cs="Arial"/>
                <w:lang w:val="es-ES"/>
              </w:rPr>
              <m:t>j</m:t>
            </m:r>
          </m:sub>
        </m:sSub>
      </m:oMath>
      <w:r w:rsidR="004E4563" w:rsidRPr="00EE6AF7">
        <w:rPr>
          <w:rFonts w:eastAsia="Times New Roman" w:cs="Arial"/>
          <w:lang w:val="es-ES"/>
        </w:rPr>
        <w:t xml:space="preserve"> Denota el valor del índice nacional de precios al consumidor. Base segunda quincena de Julio 2018 (quincenal), Resumen, Subíndices subyacente y complementarios, Precios al Consumidor (INPC) del periodo actual (j).</w:t>
      </w:r>
    </w:p>
    <w:p w:rsidR="004E4563" w:rsidRPr="00EE6AF7" w:rsidRDefault="004E4563" w:rsidP="004E4563">
      <w:pPr>
        <w:rPr>
          <w:rFonts w:eastAsia="Times New Roman" w:cs="Arial"/>
          <w:lang w:val="es-ES"/>
        </w:rPr>
      </w:pPr>
    </w:p>
    <w:p w:rsidR="004E4563" w:rsidRPr="00EE6AF7" w:rsidRDefault="008A5EAC" w:rsidP="004E4563">
      <w:pPr>
        <w:rPr>
          <w:rFonts w:eastAsia="Times New Roman" w:cs="Arial"/>
          <w:lang w:val="es-ES"/>
        </w:rPr>
      </w:pPr>
      <m:oMath>
        <m:sSub>
          <m:sSubPr>
            <m:ctrlPr>
              <w:rPr>
                <w:rFonts w:ascii="Cambria Math" w:hAnsi="Cambria Math" w:cs="Arial"/>
                <w:i/>
                <w:lang w:val="es-ES"/>
              </w:rPr>
            </m:ctrlPr>
          </m:sSubPr>
          <m:e>
            <m:r>
              <w:rPr>
                <w:rFonts w:ascii="Cambria Math" w:hAnsi="Cambria Math" w:cs="Arial"/>
                <w:lang w:val="es-ES"/>
              </w:rPr>
              <m:t>2QDic</m:t>
            </m:r>
          </m:e>
          <m:sub>
            <m:r>
              <w:rPr>
                <w:rFonts w:ascii="Cambria Math" w:hAnsi="Cambria Math" w:cs="Arial"/>
                <w:lang w:val="es-ES"/>
              </w:rPr>
              <m:t>i</m:t>
            </m:r>
          </m:sub>
        </m:sSub>
      </m:oMath>
      <w:r w:rsidR="004E4563" w:rsidRPr="00EE6AF7">
        <w:rPr>
          <w:rFonts w:eastAsia="Times New Roman" w:cs="Arial"/>
          <w:lang w:val="es-ES"/>
        </w:rPr>
        <w:t xml:space="preserve"> Denota el valor del índice nacional de precios al consumidor. Base segunda quincena de Julio 2018 (quincenal), Resumen, Subíndices subyacente y complementarios, Precios al Consumidor (INPC) del periodo anterior (i).</w:t>
      </w:r>
    </w:p>
    <w:p w:rsidR="004E4563" w:rsidRPr="00EE6AF7" w:rsidRDefault="004E4563" w:rsidP="004E4563">
      <w:pPr>
        <w:rPr>
          <w:rFonts w:eastAsia="Times New Roman" w:cs="Arial"/>
          <w:lang w:val="es-ES"/>
        </w:rPr>
      </w:pPr>
    </w:p>
    <w:p w:rsidR="004E4563" w:rsidRPr="00EE6AF7" w:rsidRDefault="004E4563" w:rsidP="004E4563">
      <w:pPr>
        <w:rPr>
          <w:rFonts w:eastAsia="Times New Roman" w:cs="Arial"/>
          <w:lang w:val="es-ES"/>
        </w:rPr>
      </w:pPr>
      <w:r w:rsidRPr="00EE6AF7">
        <w:rPr>
          <w:rFonts w:eastAsia="Times New Roman" w:cs="Arial"/>
          <w:lang w:val="es-ES"/>
        </w:rPr>
        <w:t xml:space="preserve">Paso 3. Se obtiene la variación de la inflación de Diciembre de 2020 a Diciembre de 2021, es decir, </w:t>
      </w: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2020,2021</m:t>
            </m:r>
          </m:sub>
        </m:sSub>
      </m:oMath>
      <w:r w:rsidRPr="00EE6AF7">
        <w:rPr>
          <w:rFonts w:eastAsia="Times New Roman" w:cs="Arial"/>
          <w:lang w:val="es-ES"/>
        </w:rPr>
        <w:t xml:space="preserve">.Este valor se obtiene de los criterios generales de política económica para la iniciativa de la ley de ingresos y el proyecto de presupuesto de egresos de la federación correspondientes al ejercicio fiscal 2022. </w:t>
      </w:r>
    </w:p>
    <w:p w:rsidR="004E4563" w:rsidRPr="00EE6AF7" w:rsidRDefault="004E4563" w:rsidP="004E4563">
      <w:pPr>
        <w:rPr>
          <w:rFonts w:eastAsia="Times New Roman" w:cs="Arial"/>
          <w:lang w:val="es-ES"/>
        </w:rPr>
      </w:pPr>
    </w:p>
    <w:p w:rsidR="004E4563" w:rsidRPr="00EE6AF7" w:rsidRDefault="004E4563" w:rsidP="004E4563">
      <w:pPr>
        <w:rPr>
          <w:rFonts w:eastAsia="Times New Roman" w:cs="Arial"/>
          <w:lang w:val="es-ES"/>
        </w:rPr>
      </w:pPr>
      <w:r w:rsidRPr="00EE6AF7">
        <w:rPr>
          <w:rFonts w:eastAsia="Times New Roman" w:cs="Arial"/>
          <w:lang w:val="es-ES"/>
        </w:rPr>
        <w:t xml:space="preserve">Paso 4. Los cálculos para cada uno de los años del 2015 al 2020 se actualizan a precios del 2021 usando la variación determinada en el paso anterior, de modo que </w:t>
      </w:r>
    </w:p>
    <w:p w:rsidR="004E4563" w:rsidRPr="00EE6AF7" w:rsidRDefault="004E4563" w:rsidP="004E4563">
      <w:pPr>
        <w:rPr>
          <w:rFonts w:eastAsia="Times New Roman" w:cs="Arial"/>
          <w:lang w:val="es-ES"/>
        </w:rPr>
      </w:pPr>
    </w:p>
    <w:p w:rsidR="004E4563" w:rsidRPr="008A5EAC" w:rsidRDefault="008A5EAC" w:rsidP="004E4563">
      <w:pPr>
        <w:ind w:firstLine="708"/>
        <w:rPr>
          <w:rFonts w:eastAsia="Times New Roman" w:cs="Arial"/>
          <w:lang w:val="es-ES"/>
        </w:rPr>
      </w:pPr>
      <m:oMathPara>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i,2021</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i,2020</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2020,2021</m:t>
              </m:r>
            </m:sub>
          </m:sSub>
          <m:r>
            <w:rPr>
              <w:rFonts w:ascii="Cambria Math" w:hAnsi="Cambria Math" w:cs="Arial"/>
              <w:lang w:val="es-ES"/>
            </w:rPr>
            <m:t>)</m:t>
          </m:r>
        </m:oMath>
      </m:oMathPara>
    </w:p>
    <w:p w:rsidR="004E4563" w:rsidRPr="00EE6AF7" w:rsidRDefault="004E4563" w:rsidP="004E4563">
      <w:pPr>
        <w:rPr>
          <w:rFonts w:eastAsia="Times New Roman" w:cs="Arial"/>
          <w:lang w:val="es-ES"/>
        </w:rPr>
      </w:pPr>
    </w:p>
    <w:p w:rsidR="004E4563" w:rsidRPr="00EE6AF7" w:rsidRDefault="004E4563" w:rsidP="004E4563">
      <w:pPr>
        <w:rPr>
          <w:rFonts w:eastAsia="Times New Roman" w:cs="Arial"/>
          <w:lang w:val="es-ES"/>
        </w:rPr>
      </w:pPr>
      <w:r w:rsidRPr="00EE6AF7">
        <w:rPr>
          <w:rFonts w:eastAsia="Times New Roman" w:cs="Arial"/>
          <w:lang w:val="es-ES"/>
        </w:rPr>
        <w:t>Resultados:</w:t>
      </w:r>
    </w:p>
    <w:p w:rsidR="004E4563" w:rsidRPr="00EE6AF7" w:rsidRDefault="004E4563" w:rsidP="004E4563">
      <w:pPr>
        <w:rPr>
          <w:rFonts w:eastAsia="Times New Roman" w:cs="Arial"/>
          <w:b/>
          <w:bCs/>
          <w:lang w:val="es-ES"/>
        </w:rPr>
      </w:pPr>
    </w:p>
    <w:tbl>
      <w:tblPr>
        <w:tblW w:w="7860" w:type="dxa"/>
        <w:jc w:val="center"/>
        <w:tblCellMar>
          <w:left w:w="70" w:type="dxa"/>
          <w:right w:w="70" w:type="dxa"/>
        </w:tblCellMar>
        <w:tblLook w:val="04A0" w:firstRow="1" w:lastRow="0" w:firstColumn="1" w:lastColumn="0" w:noHBand="0" w:noVBand="1"/>
      </w:tblPr>
      <w:tblGrid>
        <w:gridCol w:w="2620"/>
        <w:gridCol w:w="2620"/>
        <w:gridCol w:w="2620"/>
      </w:tblGrid>
      <w:tr w:rsidR="004E4563" w:rsidRPr="00EE6AF7" w:rsidTr="00EE6AF7">
        <w:trPr>
          <w:trHeight w:val="300"/>
          <w:tblHeader/>
          <w:jc w:val="center"/>
        </w:trPr>
        <w:tc>
          <w:tcPr>
            <w:tcW w:w="262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E4563" w:rsidRPr="001D6C15" w:rsidRDefault="004E4563" w:rsidP="0025266D">
            <w:pPr>
              <w:jc w:val="center"/>
              <w:rPr>
                <w:rFonts w:eastAsia="Times New Roman" w:cs="Arial"/>
                <w:b/>
                <w:bCs/>
                <w:lang w:eastAsia="es-MX"/>
              </w:rPr>
            </w:pPr>
            <w:r w:rsidRPr="001D6C15">
              <w:rPr>
                <w:rFonts w:eastAsia="Times New Roman" w:cs="Arial"/>
                <w:b/>
                <w:bCs/>
                <w:lang w:eastAsia="es-MX"/>
              </w:rPr>
              <w:t>Periodo</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rsidR="004E4563" w:rsidRPr="001D6C15" w:rsidRDefault="004E4563" w:rsidP="0025266D">
            <w:pPr>
              <w:jc w:val="center"/>
              <w:rPr>
                <w:rFonts w:eastAsia="Times New Roman" w:cs="Arial"/>
                <w:b/>
                <w:bCs/>
                <w:lang w:eastAsia="es-MX"/>
              </w:rPr>
            </w:pPr>
            <w:r w:rsidRPr="001D6C15">
              <w:rPr>
                <w:rFonts w:eastAsia="Times New Roman" w:cs="Arial"/>
                <w:b/>
                <w:bCs/>
                <w:lang w:eastAsia="es-MX"/>
              </w:rPr>
              <w:t>A diciembre 2020</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rsidR="004E4563" w:rsidRPr="001D6C15" w:rsidRDefault="004E4563" w:rsidP="0025266D">
            <w:pPr>
              <w:jc w:val="center"/>
              <w:rPr>
                <w:rFonts w:eastAsia="Times New Roman" w:cs="Arial"/>
                <w:b/>
                <w:bCs/>
                <w:lang w:eastAsia="es-MX"/>
              </w:rPr>
            </w:pPr>
            <w:r w:rsidRPr="001D6C15">
              <w:rPr>
                <w:rFonts w:eastAsia="Times New Roman" w:cs="Arial"/>
                <w:b/>
                <w:bCs/>
                <w:lang w:eastAsia="es-MX"/>
              </w:rPr>
              <w:t>A diciembre 2021</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2015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1.226</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1.296</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2016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1.188</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1.255</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2017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1.111</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1.175</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2018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1.062</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1.122</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2019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1.031</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1.090</w:t>
            </w:r>
          </w:p>
        </w:tc>
      </w:tr>
      <w:tr w:rsidR="004E4563" w:rsidRPr="00EE6AF7" w:rsidTr="00EE6AF7">
        <w:trPr>
          <w:trHeight w:val="300"/>
          <w:jc w:val="center"/>
        </w:trPr>
        <w:tc>
          <w:tcPr>
            <w:tcW w:w="2620" w:type="dxa"/>
            <w:tcBorders>
              <w:top w:val="nil"/>
              <w:left w:val="single" w:sz="4" w:space="0" w:color="auto"/>
              <w:bottom w:val="single" w:sz="4" w:space="0" w:color="auto"/>
              <w:right w:val="single" w:sz="4" w:space="0" w:color="auto"/>
            </w:tcBorders>
            <w:shd w:val="clear" w:color="auto" w:fill="F2F2F2"/>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2020 a Dic 2021</w:t>
            </w:r>
          </w:p>
        </w:tc>
        <w:tc>
          <w:tcPr>
            <w:tcW w:w="2620" w:type="dxa"/>
            <w:tcBorders>
              <w:top w:val="nil"/>
              <w:left w:val="nil"/>
              <w:bottom w:val="single" w:sz="4" w:space="0" w:color="auto"/>
              <w:right w:val="single" w:sz="4" w:space="0" w:color="auto"/>
            </w:tcBorders>
            <w:shd w:val="clear" w:color="auto" w:fill="F2F2F2"/>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N/A</w:t>
            </w:r>
          </w:p>
        </w:tc>
        <w:tc>
          <w:tcPr>
            <w:tcW w:w="2620" w:type="dxa"/>
            <w:tcBorders>
              <w:top w:val="nil"/>
              <w:left w:val="nil"/>
              <w:bottom w:val="single" w:sz="4" w:space="0" w:color="auto"/>
              <w:right w:val="single" w:sz="4" w:space="0" w:color="auto"/>
            </w:tcBorders>
            <w:shd w:val="clear" w:color="auto" w:fill="F2F2F2"/>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1.057*</w:t>
            </w:r>
          </w:p>
        </w:tc>
      </w:tr>
    </w:tbl>
    <w:p w:rsidR="004E4563" w:rsidRPr="001D6C15" w:rsidRDefault="004E4563" w:rsidP="004E4563">
      <w:pPr>
        <w:jc w:val="center"/>
        <w:rPr>
          <w:rFonts w:cs="Arial"/>
        </w:rPr>
      </w:pPr>
    </w:p>
    <w:tbl>
      <w:tblPr>
        <w:tblW w:w="8902" w:type="dxa"/>
        <w:jc w:val="center"/>
        <w:tblCellMar>
          <w:left w:w="70" w:type="dxa"/>
          <w:right w:w="70" w:type="dxa"/>
        </w:tblCellMar>
        <w:tblLook w:val="04A0" w:firstRow="1" w:lastRow="0" w:firstColumn="1" w:lastColumn="0" w:noHBand="0" w:noVBand="1"/>
      </w:tblPr>
      <w:tblGrid>
        <w:gridCol w:w="3681"/>
        <w:gridCol w:w="1765"/>
        <w:gridCol w:w="630"/>
        <w:gridCol w:w="630"/>
        <w:gridCol w:w="1566"/>
        <w:gridCol w:w="630"/>
      </w:tblGrid>
      <w:tr w:rsidR="004E4563" w:rsidRPr="00EE6AF7" w:rsidTr="001633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E4563" w:rsidRPr="006D7AF2" w:rsidRDefault="004E4563" w:rsidP="0025266D">
            <w:pPr>
              <w:rPr>
                <w:rFonts w:eastAsia="Times New Roman" w:cs="Arial"/>
                <w:b/>
                <w:bCs/>
                <w:color w:val="000000"/>
                <w:sz w:val="18"/>
                <w:szCs w:val="18"/>
                <w:lang w:eastAsia="es-MX"/>
              </w:rPr>
            </w:pPr>
            <w:r w:rsidRPr="006D7AF2">
              <w:rPr>
                <w:rFonts w:eastAsia="Times New Roman" w:cs="Arial"/>
                <w:b/>
                <w:bCs/>
                <w:color w:val="000000"/>
                <w:sz w:val="18"/>
                <w:szCs w:val="18"/>
                <w:lang w:eastAsia="es-MX"/>
              </w:rPr>
              <w:t>Concepto</w:t>
            </w:r>
          </w:p>
        </w:tc>
        <w:tc>
          <w:tcPr>
            <w:tcW w:w="1765"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2017 </w:t>
            </w:r>
          </w:p>
        </w:tc>
        <w:tc>
          <w:tcPr>
            <w:tcW w:w="630"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2018 </w:t>
            </w:r>
          </w:p>
        </w:tc>
        <w:tc>
          <w:tcPr>
            <w:tcW w:w="630"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2019 </w:t>
            </w:r>
          </w:p>
        </w:tc>
        <w:tc>
          <w:tcPr>
            <w:tcW w:w="1566"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2020 </w:t>
            </w:r>
          </w:p>
        </w:tc>
        <w:tc>
          <w:tcPr>
            <w:tcW w:w="630"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2021 </w:t>
            </w:r>
          </w:p>
        </w:tc>
      </w:tr>
      <w:tr w:rsidR="004E4563" w:rsidRPr="00EE6AF7" w:rsidTr="001633CD">
        <w:trPr>
          <w:trHeight w:val="300"/>
          <w:jc w:val="center"/>
        </w:trPr>
        <w:tc>
          <w:tcPr>
            <w:tcW w:w="3681" w:type="dxa"/>
            <w:tcBorders>
              <w:top w:val="nil"/>
              <w:left w:val="single" w:sz="4" w:space="0" w:color="auto"/>
              <w:bottom w:val="nil"/>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Monto ejercido</w:t>
            </w:r>
            <w:r>
              <w:rPr>
                <w:rFonts w:eastAsia="Times New Roman" w:cs="Arial"/>
                <w:color w:val="000000"/>
                <w:sz w:val="18"/>
                <w:szCs w:val="18"/>
                <w:lang w:eastAsia="es-MX"/>
              </w:rPr>
              <w:t xml:space="preserve"> </w:t>
            </w:r>
            <w:r w:rsidRPr="001D6C15">
              <w:rPr>
                <w:rFonts w:eastAsia="Times New Roman" w:cs="Arial"/>
                <w:color w:val="000000"/>
                <w:sz w:val="20"/>
                <w:szCs w:val="20"/>
                <w:lang w:eastAsia="es-MX"/>
              </w:rPr>
              <w:t>(</w:t>
            </w:r>
            <m:oMath>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i</m:t>
                  </m:r>
                </m:sub>
              </m:sSub>
              <m:r>
                <w:rPr>
                  <w:rFonts w:ascii="Cambria Math" w:hAnsi="Cambria Math" w:cs="Arial"/>
                  <w:sz w:val="20"/>
                  <w:szCs w:val="20"/>
                </w:rPr>
                <m:t>)</m:t>
              </m:r>
            </m:oMath>
          </w:p>
        </w:tc>
        <w:tc>
          <w:tcPr>
            <w:tcW w:w="1765"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1566"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$21,168,278.05</w:t>
            </w:r>
          </w:p>
        </w:tc>
        <w:tc>
          <w:tcPr>
            <w:tcW w:w="630"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r>
      <w:tr w:rsidR="004E4563" w:rsidRPr="00EE6AF7" w:rsidTr="001633CD">
        <w:trPr>
          <w:trHeight w:val="300"/>
          <w:jc w:val="center"/>
        </w:trPr>
        <w:tc>
          <w:tcPr>
            <w:tcW w:w="3681" w:type="dxa"/>
            <w:tcBorders>
              <w:top w:val="single" w:sz="4" w:space="0" w:color="auto"/>
              <w:left w:val="single" w:sz="4" w:space="0" w:color="auto"/>
              <w:bottom w:val="nil"/>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Aportación de la Entidad Federativa para la reconstrucción de la infraestructura de la Entidad Federativa dañada</w:t>
            </w:r>
          </w:p>
        </w:tc>
        <w:tc>
          <w:tcPr>
            <w:tcW w:w="1765"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1566"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$133,594,738.33</w:t>
            </w:r>
          </w:p>
        </w:tc>
        <w:tc>
          <w:tcPr>
            <w:tcW w:w="630"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r>
      <w:tr w:rsidR="004E4563" w:rsidRPr="00EE6AF7" w:rsidTr="001633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Factor de actualización</w:t>
            </w:r>
            <w:r>
              <w:rPr>
                <w:rFonts w:eastAsia="Times New Roman" w:cs="Arial"/>
                <w:color w:val="000000"/>
                <w:sz w:val="18"/>
                <w:szCs w:val="18"/>
                <w:lang w:eastAsia="es-MX"/>
              </w:rPr>
              <w:t xml:space="preserve"> </w:t>
            </w:r>
            <w:r w:rsidRPr="001D6C15">
              <w:rPr>
                <w:rFonts w:eastAsia="Times New Roman" w:cs="Arial"/>
                <w:color w:val="000000"/>
                <w:sz w:val="20"/>
                <w:szCs w:val="20"/>
                <w:lang w:eastAsia="es-MX"/>
              </w:rPr>
              <w:t>(</w:t>
            </w:r>
            <m:oMath>
              <m:r>
                <w:rPr>
                  <w:rFonts w:ascii="Cambria Math" w:hAnsi="Cambria Math" w:cs="Arial"/>
                  <w:sz w:val="20"/>
                  <w:szCs w:val="20"/>
                  <w:lang w:val="es-ES"/>
                </w:rPr>
                <m:t>1+</m:t>
              </m:r>
              <m:sSub>
                <m:sSubPr>
                  <m:ctrlPr>
                    <w:rPr>
                      <w:rFonts w:ascii="Cambria Math" w:hAnsi="Cambria Math" w:cs="Arial"/>
                      <w:i/>
                      <w:sz w:val="20"/>
                      <w:szCs w:val="20"/>
                      <w:lang w:val="es-ES"/>
                    </w:rPr>
                  </m:ctrlPr>
                </m:sSubPr>
                <m:e>
                  <m:r>
                    <w:rPr>
                      <w:rFonts w:ascii="Cambria Math" w:hAnsi="Cambria Math" w:cs="Arial"/>
                      <w:sz w:val="20"/>
                      <w:szCs w:val="20"/>
                      <w:lang w:val="es-ES"/>
                    </w:rPr>
                    <m:t>∆</m:t>
                  </m:r>
                </m:e>
                <m:sub>
                  <m:r>
                    <w:rPr>
                      <w:rFonts w:ascii="Cambria Math" w:hAnsi="Cambria Math" w:cs="Arial"/>
                      <w:sz w:val="20"/>
                      <w:szCs w:val="20"/>
                      <w:lang w:val="es-ES"/>
                    </w:rPr>
                    <m:t>i,2021</m:t>
                  </m:r>
                </m:sub>
              </m:sSub>
              <m:r>
                <w:rPr>
                  <w:rFonts w:ascii="Cambria Math" w:hAnsi="Cambria Math" w:cs="Arial"/>
                  <w:sz w:val="20"/>
                  <w:szCs w:val="20"/>
                  <w:lang w:val="es-ES"/>
                </w:rPr>
                <m:t>)</m:t>
              </m:r>
            </m:oMath>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1.255</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1.175</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1.122</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1.090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sz w:val="18"/>
                <w:szCs w:val="18"/>
                <w:lang w:eastAsia="es-MX"/>
              </w:rPr>
            </w:pPr>
            <w:r w:rsidRPr="006D7AF2">
              <w:rPr>
                <w:rFonts w:eastAsia="Times New Roman" w:cs="Arial"/>
                <w:sz w:val="18"/>
                <w:szCs w:val="18"/>
                <w:lang w:eastAsia="es-MX"/>
              </w:rPr>
              <w:t>1.057</w:t>
            </w:r>
          </w:p>
        </w:tc>
      </w:tr>
      <w:tr w:rsidR="004E4563" w:rsidRPr="00EE6AF7" w:rsidTr="001633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Monto ejercido actualizado por el INPC</w:t>
            </w:r>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$145,560,180.88</w:t>
            </w:r>
          </w:p>
        </w:tc>
        <w:tc>
          <w:tcPr>
            <w:tcW w:w="630" w:type="dxa"/>
            <w:tcBorders>
              <w:top w:val="nil"/>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r>
      <w:tr w:rsidR="004E4563" w:rsidRPr="00EE6AF7" w:rsidTr="001633CD">
        <w:trPr>
          <w:trHeight w:val="300"/>
          <w:jc w:val="center"/>
        </w:trPr>
        <w:tc>
          <w:tcPr>
            <w:tcW w:w="3681" w:type="dxa"/>
            <w:tcBorders>
              <w:top w:val="single" w:sz="4" w:space="0" w:color="auto"/>
              <w:bottom w:val="single" w:sz="4" w:space="0" w:color="auto"/>
            </w:tcBorders>
            <w:shd w:val="clear" w:color="auto" w:fill="auto"/>
            <w:noWrap/>
            <w:vAlign w:val="bottom"/>
          </w:tcPr>
          <w:p w:rsidR="004E4563" w:rsidRPr="006D7AF2" w:rsidRDefault="004E4563" w:rsidP="0025266D">
            <w:pPr>
              <w:rPr>
                <w:rFonts w:eastAsia="Times New Roman" w:cs="Arial"/>
                <w:color w:val="000000"/>
                <w:sz w:val="18"/>
                <w:szCs w:val="18"/>
                <w:lang w:eastAsia="es-MX"/>
              </w:rPr>
            </w:pPr>
          </w:p>
        </w:tc>
        <w:tc>
          <w:tcPr>
            <w:tcW w:w="1765" w:type="dxa"/>
            <w:tcBorders>
              <w:top w:val="single" w:sz="4" w:space="0" w:color="auto"/>
              <w:bottom w:val="single" w:sz="4" w:space="0" w:color="auto"/>
            </w:tcBorders>
            <w:shd w:val="clear" w:color="auto" w:fill="auto"/>
            <w:noWrap/>
            <w:vAlign w:val="bottom"/>
          </w:tcPr>
          <w:p w:rsidR="004E4563" w:rsidRPr="006D7AF2" w:rsidRDefault="004E4563" w:rsidP="0025266D">
            <w:pPr>
              <w:jc w:val="center"/>
              <w:rPr>
                <w:rFonts w:eastAsia="Times New Roman" w:cs="Arial"/>
                <w:color w:val="000000"/>
                <w:sz w:val="18"/>
                <w:szCs w:val="18"/>
                <w:lang w:eastAsia="es-MX"/>
              </w:rPr>
            </w:pPr>
          </w:p>
        </w:tc>
        <w:tc>
          <w:tcPr>
            <w:tcW w:w="630" w:type="dxa"/>
            <w:tcBorders>
              <w:top w:val="single" w:sz="4" w:space="0" w:color="auto"/>
            </w:tcBorders>
            <w:shd w:val="clear" w:color="auto" w:fill="auto"/>
            <w:noWrap/>
            <w:vAlign w:val="bottom"/>
          </w:tcPr>
          <w:p w:rsidR="004E4563" w:rsidRPr="006D7AF2" w:rsidRDefault="004E4563" w:rsidP="0025266D">
            <w:pPr>
              <w:jc w:val="center"/>
              <w:rPr>
                <w:rFonts w:eastAsia="Times New Roman" w:cs="Arial"/>
                <w:color w:val="000000"/>
                <w:sz w:val="18"/>
                <w:szCs w:val="18"/>
                <w:lang w:eastAsia="es-MX"/>
              </w:rPr>
            </w:pPr>
          </w:p>
        </w:tc>
        <w:tc>
          <w:tcPr>
            <w:tcW w:w="630" w:type="dxa"/>
            <w:tcBorders>
              <w:top w:val="single" w:sz="4" w:space="0" w:color="auto"/>
            </w:tcBorders>
            <w:shd w:val="clear" w:color="auto" w:fill="auto"/>
            <w:noWrap/>
            <w:vAlign w:val="bottom"/>
          </w:tcPr>
          <w:p w:rsidR="004E4563" w:rsidRPr="006D7AF2" w:rsidRDefault="004E4563" w:rsidP="0025266D">
            <w:pPr>
              <w:jc w:val="center"/>
              <w:rPr>
                <w:rFonts w:eastAsia="Times New Roman" w:cs="Arial"/>
                <w:sz w:val="18"/>
                <w:szCs w:val="18"/>
                <w:lang w:eastAsia="es-MX"/>
              </w:rPr>
            </w:pPr>
          </w:p>
        </w:tc>
        <w:tc>
          <w:tcPr>
            <w:tcW w:w="1566" w:type="dxa"/>
            <w:tcBorders>
              <w:top w:val="single" w:sz="4" w:space="0" w:color="auto"/>
              <w:right w:val="nil"/>
            </w:tcBorders>
            <w:shd w:val="clear" w:color="auto" w:fill="auto"/>
            <w:noWrap/>
            <w:vAlign w:val="bottom"/>
          </w:tcPr>
          <w:p w:rsidR="004E4563" w:rsidRPr="006D7AF2" w:rsidRDefault="004E4563" w:rsidP="0025266D">
            <w:pPr>
              <w:jc w:val="center"/>
              <w:rPr>
                <w:rFonts w:eastAsia="Times New Roman" w:cs="Arial"/>
                <w:sz w:val="18"/>
                <w:szCs w:val="18"/>
                <w:lang w:eastAsia="es-MX"/>
              </w:rPr>
            </w:pPr>
          </w:p>
        </w:tc>
        <w:tc>
          <w:tcPr>
            <w:tcW w:w="630" w:type="dxa"/>
            <w:tcBorders>
              <w:top w:val="nil"/>
              <w:left w:val="nil"/>
              <w:bottom w:val="nil"/>
              <w:right w:val="nil"/>
            </w:tcBorders>
            <w:shd w:val="clear" w:color="auto" w:fill="auto"/>
            <w:noWrap/>
            <w:vAlign w:val="bottom"/>
          </w:tcPr>
          <w:p w:rsidR="004E4563" w:rsidRPr="006D7AF2" w:rsidRDefault="004E4563" w:rsidP="0025266D">
            <w:pPr>
              <w:jc w:val="center"/>
              <w:rPr>
                <w:rFonts w:eastAsia="Times New Roman" w:cs="Arial"/>
                <w:sz w:val="18"/>
                <w:szCs w:val="18"/>
                <w:lang w:eastAsia="es-MX"/>
              </w:rPr>
            </w:pPr>
          </w:p>
        </w:tc>
      </w:tr>
      <w:tr w:rsidR="004E4563" w:rsidRPr="00EE6AF7" w:rsidTr="001633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Promedio</w:t>
            </w:r>
            <w:r>
              <w:rPr>
                <w:rFonts w:eastAsia="Times New Roman" w:cs="Arial"/>
                <w:color w:val="000000"/>
                <w:sz w:val="18"/>
                <w:szCs w:val="18"/>
                <w:lang w:eastAsia="es-MX"/>
              </w:rPr>
              <w:t xml:space="preserve"> </w:t>
            </w:r>
            <w:r w:rsidRPr="001D6C15">
              <w:rPr>
                <w:rFonts w:eastAsia="Times New Roman" w:cs="Arial"/>
                <w:color w:val="000000"/>
                <w:sz w:val="20"/>
                <w:szCs w:val="20"/>
                <w:lang w:eastAsia="es-MX"/>
              </w:rPr>
              <w:t>últimos 5 años</w:t>
            </w:r>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$29,112,036.18</w:t>
            </w:r>
          </w:p>
        </w:tc>
        <w:tc>
          <w:tcPr>
            <w:tcW w:w="630" w:type="dxa"/>
            <w:tcBorders>
              <w:left w:val="nil"/>
              <w:bottom w:val="nil"/>
              <w:right w:val="nil"/>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p>
        </w:tc>
        <w:tc>
          <w:tcPr>
            <w:tcW w:w="630" w:type="dxa"/>
            <w:tcBorders>
              <w:left w:val="nil"/>
              <w:bottom w:val="nil"/>
              <w:right w:val="nil"/>
            </w:tcBorders>
            <w:shd w:val="clear" w:color="auto" w:fill="auto"/>
            <w:noWrap/>
            <w:vAlign w:val="bottom"/>
            <w:hideMark/>
          </w:tcPr>
          <w:p w:rsidR="004E4563" w:rsidRPr="006D7AF2" w:rsidRDefault="004E4563" w:rsidP="0025266D">
            <w:pPr>
              <w:jc w:val="center"/>
              <w:rPr>
                <w:rFonts w:eastAsia="Times New Roman" w:cs="Arial"/>
                <w:sz w:val="18"/>
                <w:szCs w:val="18"/>
                <w:lang w:eastAsia="es-MX"/>
              </w:rPr>
            </w:pPr>
          </w:p>
        </w:tc>
        <w:tc>
          <w:tcPr>
            <w:tcW w:w="1566" w:type="dxa"/>
            <w:tcBorders>
              <w:left w:val="nil"/>
              <w:bottom w:val="nil"/>
              <w:right w:val="nil"/>
            </w:tcBorders>
            <w:shd w:val="clear" w:color="auto" w:fill="auto"/>
            <w:noWrap/>
            <w:vAlign w:val="bottom"/>
            <w:hideMark/>
          </w:tcPr>
          <w:p w:rsidR="004E4563" w:rsidRPr="006D7AF2" w:rsidRDefault="004E4563" w:rsidP="0025266D">
            <w:pPr>
              <w:jc w:val="center"/>
              <w:rPr>
                <w:rFonts w:eastAsia="Times New Roman" w:cs="Arial"/>
                <w:sz w:val="18"/>
                <w:szCs w:val="18"/>
                <w:lang w:eastAsia="es-MX"/>
              </w:rPr>
            </w:pPr>
          </w:p>
        </w:tc>
        <w:tc>
          <w:tcPr>
            <w:tcW w:w="630" w:type="dxa"/>
            <w:tcBorders>
              <w:top w:val="nil"/>
              <w:left w:val="nil"/>
              <w:bottom w:val="nil"/>
              <w:right w:val="nil"/>
            </w:tcBorders>
            <w:shd w:val="clear" w:color="auto" w:fill="auto"/>
            <w:noWrap/>
            <w:vAlign w:val="bottom"/>
            <w:hideMark/>
          </w:tcPr>
          <w:p w:rsidR="004E4563" w:rsidRPr="006D7AF2" w:rsidRDefault="004E4563" w:rsidP="0025266D">
            <w:pPr>
              <w:jc w:val="center"/>
              <w:rPr>
                <w:rFonts w:eastAsia="Times New Roman" w:cs="Arial"/>
                <w:sz w:val="18"/>
                <w:szCs w:val="18"/>
                <w:lang w:eastAsia="es-MX"/>
              </w:rPr>
            </w:pPr>
          </w:p>
        </w:tc>
      </w:tr>
      <w:tr w:rsidR="004E4563" w:rsidRPr="00EE6AF7" w:rsidTr="001633CD">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 xml:space="preserve"> 10% del promedio </w:t>
            </w:r>
          </w:p>
        </w:tc>
        <w:tc>
          <w:tcPr>
            <w:tcW w:w="1765" w:type="dxa"/>
            <w:tcBorders>
              <w:top w:val="nil"/>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$2,911,203.62</w:t>
            </w:r>
          </w:p>
        </w:tc>
        <w:tc>
          <w:tcPr>
            <w:tcW w:w="630" w:type="dxa"/>
            <w:tcBorders>
              <w:top w:val="nil"/>
              <w:left w:val="nil"/>
              <w:bottom w:val="nil"/>
              <w:right w:val="nil"/>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p>
        </w:tc>
        <w:tc>
          <w:tcPr>
            <w:tcW w:w="630" w:type="dxa"/>
            <w:tcBorders>
              <w:top w:val="nil"/>
              <w:left w:val="nil"/>
              <w:bottom w:val="nil"/>
              <w:right w:val="nil"/>
            </w:tcBorders>
            <w:shd w:val="clear" w:color="auto" w:fill="auto"/>
            <w:noWrap/>
            <w:vAlign w:val="bottom"/>
            <w:hideMark/>
          </w:tcPr>
          <w:p w:rsidR="004E4563" w:rsidRPr="006D7AF2" w:rsidRDefault="004E4563" w:rsidP="0025266D">
            <w:pPr>
              <w:rPr>
                <w:rFonts w:eastAsia="Times New Roman" w:cs="Arial"/>
                <w:sz w:val="18"/>
                <w:szCs w:val="18"/>
                <w:lang w:eastAsia="es-MX"/>
              </w:rPr>
            </w:pPr>
          </w:p>
        </w:tc>
        <w:tc>
          <w:tcPr>
            <w:tcW w:w="1566" w:type="dxa"/>
            <w:tcBorders>
              <w:top w:val="nil"/>
              <w:left w:val="nil"/>
              <w:bottom w:val="nil"/>
              <w:right w:val="nil"/>
            </w:tcBorders>
            <w:shd w:val="clear" w:color="auto" w:fill="auto"/>
            <w:noWrap/>
            <w:vAlign w:val="bottom"/>
            <w:hideMark/>
          </w:tcPr>
          <w:p w:rsidR="004E4563" w:rsidRPr="006D7AF2" w:rsidRDefault="004E4563" w:rsidP="0025266D">
            <w:pPr>
              <w:rPr>
                <w:rFonts w:eastAsia="Times New Roman" w:cs="Arial"/>
                <w:sz w:val="18"/>
                <w:szCs w:val="18"/>
                <w:lang w:eastAsia="es-MX"/>
              </w:rPr>
            </w:pPr>
          </w:p>
        </w:tc>
        <w:tc>
          <w:tcPr>
            <w:tcW w:w="630" w:type="dxa"/>
            <w:tcBorders>
              <w:top w:val="nil"/>
              <w:left w:val="nil"/>
              <w:bottom w:val="nil"/>
              <w:right w:val="nil"/>
            </w:tcBorders>
            <w:shd w:val="clear" w:color="auto" w:fill="auto"/>
            <w:noWrap/>
            <w:vAlign w:val="bottom"/>
            <w:hideMark/>
          </w:tcPr>
          <w:p w:rsidR="004E4563" w:rsidRPr="006D7AF2" w:rsidRDefault="004E4563" w:rsidP="0025266D">
            <w:pPr>
              <w:rPr>
                <w:rFonts w:eastAsia="Times New Roman" w:cs="Arial"/>
                <w:sz w:val="18"/>
                <w:szCs w:val="18"/>
                <w:lang w:eastAsia="es-MX"/>
              </w:rPr>
            </w:pPr>
          </w:p>
        </w:tc>
      </w:tr>
    </w:tbl>
    <w:p w:rsidR="004E4563" w:rsidRPr="001D6C15" w:rsidRDefault="004E4563" w:rsidP="004E4563">
      <w:pPr>
        <w:jc w:val="center"/>
        <w:rPr>
          <w:rFonts w:cs="Arial"/>
        </w:rPr>
      </w:pPr>
    </w:p>
    <w:p w:rsidR="004E4563" w:rsidRPr="001D6C15" w:rsidRDefault="004E4563" w:rsidP="004E4563">
      <w:pPr>
        <w:spacing w:before="100" w:beforeAutospacing="1" w:after="100" w:afterAutospacing="1"/>
        <w:rPr>
          <w:rFonts w:cs="Arial"/>
        </w:rPr>
      </w:pPr>
      <w:r w:rsidRPr="001D6C15">
        <w:rPr>
          <w:rFonts w:cs="Arial"/>
        </w:rPr>
        <w:t xml:space="preserve">Resultado: </w:t>
      </w:r>
    </w:p>
    <w:p w:rsidR="004E4563" w:rsidRPr="001D6C15" w:rsidRDefault="004E4563" w:rsidP="004E4563">
      <w:pPr>
        <w:spacing w:before="100" w:beforeAutospacing="1" w:after="100" w:afterAutospacing="1"/>
        <w:rPr>
          <w:rFonts w:cs="Arial"/>
          <w:b/>
        </w:rPr>
      </w:pPr>
      <w:r w:rsidRPr="001D6C15">
        <w:rPr>
          <w:rFonts w:cs="Arial"/>
        </w:rPr>
        <w:t xml:space="preserve">La fórmula aplicada, establecida en el artículo 9 de la Ley de Disciplina Financiera de las Entidades Federativas y los Municipios, siendo exclusivo el cálculo respecto a reconstrucción de obras de infraestructura, para el año </w:t>
      </w:r>
      <w:r w:rsidRPr="001D6C15">
        <w:rPr>
          <w:rFonts w:cs="Arial"/>
          <w:b/>
        </w:rPr>
        <w:t xml:space="preserve">2022 </w:t>
      </w:r>
      <w:r w:rsidRPr="001D6C15">
        <w:rPr>
          <w:rFonts w:cs="Arial"/>
        </w:rPr>
        <w:t xml:space="preserve">se tiene un estimado de </w:t>
      </w:r>
      <w:r w:rsidRPr="001D6C15">
        <w:rPr>
          <w:rFonts w:cs="Arial"/>
          <w:b/>
        </w:rPr>
        <w:t>$</w:t>
      </w:r>
      <w:r>
        <w:rPr>
          <w:rFonts w:cs="Arial"/>
          <w:b/>
        </w:rPr>
        <w:t xml:space="preserve"> 2,911,203.62</w:t>
      </w:r>
      <w:r w:rsidRPr="001D6C15">
        <w:rPr>
          <w:rFonts w:cs="Arial"/>
          <w:b/>
        </w:rPr>
        <w:t>.</w:t>
      </w:r>
    </w:p>
    <w:p w:rsidR="004E4563" w:rsidRPr="001D6C15" w:rsidRDefault="004E4563" w:rsidP="004E4563">
      <w:pPr>
        <w:contextualSpacing/>
        <w:rPr>
          <w:rFonts w:cs="Arial"/>
        </w:rPr>
      </w:pPr>
      <w:r w:rsidRPr="001D6C15">
        <w:rPr>
          <w:rFonts w:cs="Arial"/>
        </w:rPr>
        <w:t xml:space="preserve">Ahora bien, siendo la citada ley omisa en considerar otro factor de gasto, tales como, gasto en bienes muebles y servicios destinados para la habilitación de refugios temporales para los municipios afectados por un desastre natural; renta de vehículos y maquinaria para transporte de población y personal de protección civil, entre otros, y que la inversión para reconstrucción de obras de infraestructura de la entidad dañada por parte del FAED solo se ha ejercido en el 2020 un monto de $ </w:t>
      </w:r>
      <w:r w:rsidRPr="001D2DE7">
        <w:rPr>
          <w:rFonts w:cs="Arial"/>
        </w:rPr>
        <w:t xml:space="preserve">$133,594,738.33 </w:t>
      </w:r>
      <w:r w:rsidRPr="001D6C15">
        <w:rPr>
          <w:rFonts w:cs="Arial"/>
        </w:rPr>
        <w:t>el resultado que nos arroja la fórmula de la Ley de Disciplina Financiera de las Entidades Federativas y los Municipios es citado en el párrafo anterior.</w:t>
      </w:r>
    </w:p>
    <w:p w:rsidR="004E4563" w:rsidRPr="001D6C15" w:rsidRDefault="004E4563" w:rsidP="004E4563">
      <w:pPr>
        <w:contextualSpacing/>
        <w:rPr>
          <w:rFonts w:cs="Arial"/>
        </w:rPr>
      </w:pPr>
    </w:p>
    <w:p w:rsidR="004E4563" w:rsidRPr="001D6C15" w:rsidRDefault="004E4563" w:rsidP="004E4563">
      <w:pPr>
        <w:contextualSpacing/>
        <w:rPr>
          <w:rFonts w:cs="Arial"/>
        </w:rPr>
      </w:pPr>
      <w:r w:rsidRPr="001D6C15">
        <w:rPr>
          <w:rFonts w:cs="Arial"/>
        </w:rPr>
        <w:t xml:space="preserve">De acuerdo al artículo 83 de la </w:t>
      </w:r>
      <w:r w:rsidRPr="001D6C15">
        <w:rPr>
          <w:rFonts w:cs="Arial"/>
          <w:bCs/>
        </w:rPr>
        <w:t xml:space="preserve">Ley de Protección Civil del Estado de Yucatán que indica que entre el objeto del FAED se encuentra proporcionar suministros de auxilio y asistencia ante situaciones de emergencia y de desastre, para responder de manera inmediata y oportuna a las necesidades urgentes de la población, así como en </w:t>
      </w:r>
      <w:r w:rsidRPr="001D6C15">
        <w:rPr>
          <w:rFonts w:cs="Arial"/>
        </w:rPr>
        <w:t>Las Reglas de Operación del Fondo para la Atención de Emergencias y Desastres del Estado de Yucatán, en específico en su articulado 9, que contempla como mecanismo de pago un fondo  revolvente, que tiene por objeto de manera textual lo siguiente:</w:t>
      </w:r>
    </w:p>
    <w:p w:rsidR="004E4563" w:rsidRPr="001D6C15" w:rsidRDefault="004E4563" w:rsidP="004E4563">
      <w:pPr>
        <w:contextualSpacing/>
        <w:rPr>
          <w:rFonts w:cs="Arial"/>
        </w:rPr>
      </w:pPr>
    </w:p>
    <w:p w:rsidR="004E4563" w:rsidRPr="001D6C15" w:rsidRDefault="004E4563" w:rsidP="004E4563">
      <w:pPr>
        <w:contextualSpacing/>
        <w:rPr>
          <w:rFonts w:cs="Arial"/>
        </w:rPr>
      </w:pPr>
      <w:r w:rsidRPr="001D6C15">
        <w:rPr>
          <w:rFonts w:cs="Arial"/>
        </w:rPr>
        <w:t>“</w:t>
      </w:r>
      <w:r w:rsidRPr="001D6C15">
        <w:rPr>
          <w:rFonts w:cs="Arial"/>
          <w:i/>
        </w:rPr>
        <w:t>proporcionar suministros de  auxilio y asistencia ante situaciones de emergencia y de desastre, para responder de manera inmediata y oportuna a las necesidades urgentes para la protección de la vida y la salud de la población, así como el rescate y movimiento transitorio de personas y bienes de las zonas de riesgo.</w:t>
      </w:r>
      <w:r w:rsidRPr="001D6C15">
        <w:rPr>
          <w:rFonts w:cs="Arial"/>
        </w:rPr>
        <w:t>”, las autorizaciones que ha realizado el FAED en distintos ejercicios fiscales, han sido utilizadas en bienes muebles y servicios para el apoyo a los municipios afectados por algún tipo de emergencia o desastres natural.</w:t>
      </w:r>
    </w:p>
    <w:p w:rsidR="004E4563" w:rsidRPr="001D6C15" w:rsidRDefault="004E4563" w:rsidP="004E4563">
      <w:pPr>
        <w:contextualSpacing/>
        <w:rPr>
          <w:rFonts w:cs="Arial"/>
        </w:rPr>
      </w:pPr>
    </w:p>
    <w:p w:rsidR="004E4563" w:rsidRPr="001D6C15" w:rsidRDefault="004E4563" w:rsidP="004E4563">
      <w:pPr>
        <w:contextualSpacing/>
        <w:rPr>
          <w:rFonts w:cs="Arial"/>
        </w:rPr>
      </w:pPr>
      <w:r w:rsidRPr="001D6C15">
        <w:rPr>
          <w:rFonts w:cs="Arial"/>
          <w:lang w:val="es-ES"/>
        </w:rPr>
        <w:t xml:space="preserve">Por lo tanto, </w:t>
      </w:r>
      <w:r w:rsidRPr="001D6C15">
        <w:rPr>
          <w:rFonts w:cs="Arial"/>
        </w:rPr>
        <w:t>se requiere un instrumento financiero que tenga por objeto ejecutar acciones para mitigar los efectos que produzca un fenómeno natural perturbador y realizar acciones de preparación para la atención de contingencias  en auxilio de  la población .Ya que el Estado de Yucatán se encuentra ubicado en una zona de vulnerabilidad por la llegada de fenómenos hidrometeorológico con efectos destructivos sobre los bienes y entorno de la población, por lo que es necesario la inmediata intervención de las autoridades correspondiente.</w:t>
      </w:r>
    </w:p>
    <w:p w:rsidR="004E4563" w:rsidRPr="001D6C15" w:rsidRDefault="004E4563" w:rsidP="004E4563">
      <w:pPr>
        <w:contextualSpacing/>
        <w:rPr>
          <w:rFonts w:cs="Arial"/>
        </w:rPr>
      </w:pPr>
    </w:p>
    <w:p w:rsidR="004E4563" w:rsidRPr="001D6C15" w:rsidRDefault="004E4563" w:rsidP="004E4563">
      <w:pPr>
        <w:contextualSpacing/>
        <w:rPr>
          <w:rFonts w:cs="Arial"/>
        </w:rPr>
      </w:pPr>
      <w:r w:rsidRPr="001D6C15">
        <w:rPr>
          <w:rFonts w:cs="Arial"/>
        </w:rPr>
        <w:t xml:space="preserve">Por lo anteriormente expuesto y fundado, es la razón por la cual no se puede solicitar un recurso derivado de un cálculo y fórmula de la multicitada ley federal, la cual su resultado no va de acuerdo con las necesidad y urgencias generadas por un desastre natural, las cuales sí se encuentran contempladas en la </w:t>
      </w:r>
      <w:r w:rsidRPr="001D6C15">
        <w:rPr>
          <w:rFonts w:cs="Arial"/>
          <w:bCs/>
        </w:rPr>
        <w:t xml:space="preserve">Ley de Protección Civil del Estado de Yucatán y </w:t>
      </w:r>
      <w:r w:rsidRPr="001D6C15">
        <w:rPr>
          <w:rFonts w:cs="Arial"/>
        </w:rPr>
        <w:t xml:space="preserve">Reglas de Operación del Fondo para la Atención de Emergencias y Desastres del Estado de Yucatán. Es por ello por lo que esta Dirección, tiene bien considerar en el Proyecto de Presupuesto de Egresos para el Ejercicios Fiscal 2020 de la SGG, la cantidad de </w:t>
      </w:r>
      <w:r w:rsidRPr="001D6C15">
        <w:rPr>
          <w:rFonts w:cs="Arial"/>
          <w:b/>
        </w:rPr>
        <w:t>$3,000,000.00</w:t>
      </w:r>
      <w:r w:rsidRPr="001D6C15">
        <w:rPr>
          <w:rFonts w:cs="Arial"/>
        </w:rPr>
        <w:t xml:space="preserve"> para el FAED</w:t>
      </w:r>
    </w:p>
    <w:p w:rsidR="004E4563" w:rsidRPr="004E4563" w:rsidRDefault="004E4563" w:rsidP="004E4563"/>
    <w:p w:rsidR="00FA49E9" w:rsidRDefault="00FA49E9"/>
    <w:p w:rsidR="00FA49E9" w:rsidRDefault="009C1791">
      <w:pPr>
        <w:pStyle w:val="Ttulo3"/>
      </w:pPr>
      <w:bookmarkStart w:id="91" w:name="Xa8c5c17423a45918de12697ec11b7dc55d8955d"/>
      <w:bookmarkEnd w:id="90"/>
      <w:r>
        <w:t>ANEXO 19.3 METODOLOGÍA APLICADA PARA CALCULAR LAS TRANSFERENCIAS A PARTIDOS POLÍTICOS</w:t>
      </w:r>
    </w:p>
    <w:bookmarkEnd w:id="0"/>
    <w:bookmarkEnd w:id="88"/>
    <w:bookmarkEnd w:id="91"/>
    <w:p w:rsidR="00974249" w:rsidRDefault="00974249" w:rsidP="00974249"/>
    <w:tbl>
      <w:tblPr>
        <w:tblW w:w="0" w:type="auto"/>
        <w:jc w:val="center"/>
        <w:tblCellMar>
          <w:left w:w="70" w:type="dxa"/>
          <w:right w:w="70" w:type="dxa"/>
        </w:tblCellMar>
        <w:tblLook w:val="04A0" w:firstRow="1" w:lastRow="0" w:firstColumn="1" w:lastColumn="0" w:noHBand="0" w:noVBand="1"/>
      </w:tblPr>
      <w:tblGrid>
        <w:gridCol w:w="420"/>
        <w:gridCol w:w="499"/>
        <w:gridCol w:w="499"/>
        <w:gridCol w:w="499"/>
        <w:gridCol w:w="7951"/>
        <w:gridCol w:w="1292"/>
      </w:tblGrid>
      <w:tr w:rsidR="00974249" w:rsidRPr="00EE6AF7" w:rsidTr="00974249">
        <w:trPr>
          <w:trHeight w:val="345"/>
          <w:jc w:val="center"/>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single" w:sz="4" w:space="0" w:color="auto"/>
              <w:left w:val="nil"/>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single" w:sz="4" w:space="0" w:color="auto"/>
              <w:left w:val="nil"/>
              <w:bottom w:val="nil"/>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EE6AF7">
              <w:rPr>
                <w:rFonts w:eastAsia="Times New Roman" w:cs="Arial"/>
                <w:color w:val="000000"/>
                <w:sz w:val="18"/>
                <w:szCs w:val="18"/>
                <w:lang w:eastAsia="es-MX"/>
              </w:rPr>
              <w:t xml:space="preserve"> UMA (2021) WWW.INEGI.ORG.MX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$89.62</w:t>
            </w:r>
          </w:p>
        </w:tc>
      </w:tr>
      <w:tr w:rsidR="00974249" w:rsidRPr="00EE6AF7" w:rsidTr="00EE6AF7">
        <w:trPr>
          <w:trHeight w:val="97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974249" w:rsidRPr="00974249" w:rsidRDefault="00974249" w:rsidP="00974249">
            <w:pPr>
              <w:ind w:firstLineChars="100" w:firstLine="180"/>
              <w:jc w:val="right"/>
              <w:rPr>
                <w:rFonts w:eastAsia="Times New Roman" w:cs="Arial"/>
                <w:color w:val="000000"/>
                <w:sz w:val="18"/>
                <w:szCs w:val="18"/>
                <w:lang w:eastAsia="es-MX"/>
              </w:rPr>
            </w:pPr>
            <w:r w:rsidRPr="00974249">
              <w:rPr>
                <w:rFonts w:eastAsia="Times New Roman" w:cs="Arial"/>
                <w:color w:val="000000"/>
                <w:sz w:val="18"/>
                <w:szCs w:val="18"/>
                <w:lang w:eastAsia="es-MX"/>
              </w:rPr>
              <w:t xml:space="preserve"> ART. 41  BASE II, INCISO A) DE LA C.P.E.U.M.; ART. 51 NUMERAL 1, INCISO A), FRACCIÓN I DE LA LGPP, Y ART. 52 DE LA LPPEY.</w:t>
            </w:r>
            <w:r w:rsidRPr="00974249">
              <w:rPr>
                <w:rFonts w:eastAsia="Times New Roman" w:cs="Arial"/>
                <w:color w:val="000000"/>
                <w:sz w:val="18"/>
                <w:szCs w:val="18"/>
                <w:lang w:eastAsia="es-MX"/>
              </w:rPr>
              <w:br/>
              <w:t xml:space="preserve"> MULTIPLICAR 65% DE LA UMA POR EL PADRÓN ELECTORAL AL CORTE 31 JULIO 2021 </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$58.2530</w:t>
            </w:r>
          </w:p>
        </w:tc>
      </w:tr>
      <w:tr w:rsidR="00974249" w:rsidRPr="00EE6AF7" w:rsidTr="00EE6AF7">
        <w:trPr>
          <w:trHeight w:val="255"/>
          <w:jc w:val="center"/>
        </w:trPr>
        <w:tc>
          <w:tcPr>
            <w:tcW w:w="0" w:type="auto"/>
            <w:tcBorders>
              <w:top w:val="nil"/>
              <w:left w:val="single" w:sz="8" w:space="0" w:color="auto"/>
              <w:bottom w:val="single" w:sz="4"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gridSpan w:val="4"/>
            <w:tcBorders>
              <w:top w:val="nil"/>
              <w:left w:val="single" w:sz="8" w:space="0" w:color="auto"/>
              <w:bottom w:val="single" w:sz="8" w:space="0" w:color="auto"/>
              <w:right w:val="single" w:sz="8" w:space="0" w:color="000000"/>
            </w:tcBorders>
            <w:shd w:val="clear" w:color="auto" w:fill="auto"/>
            <w:noWrap/>
            <w:vAlign w:val="bottom"/>
            <w:hideMark/>
          </w:tcPr>
          <w:p w:rsidR="00974249" w:rsidRPr="00974249" w:rsidRDefault="00974249" w:rsidP="00974249">
            <w:pPr>
              <w:jc w:val="center"/>
              <w:rPr>
                <w:rFonts w:eastAsia="Times New Roman" w:cs="Arial"/>
                <w:sz w:val="18"/>
                <w:szCs w:val="18"/>
                <w:lang w:eastAsia="es-MX"/>
              </w:rPr>
            </w:pPr>
            <w:r w:rsidRPr="00974249">
              <w:rPr>
                <w:rFonts w:eastAsia="Times New Roman" w:cs="Arial"/>
                <w:sz w:val="18"/>
                <w:szCs w:val="18"/>
                <w:lang w:eastAsia="es-MX"/>
              </w:rPr>
              <w:t xml:space="preserve"> TOTAL PADRÓN ELECTORAL DEL ESTADO AL 31 julio 21 - Oficio INE/JLE/VE/501/2021  </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b/>
                <w:bCs/>
                <w:color w:val="000000"/>
                <w:sz w:val="18"/>
                <w:szCs w:val="18"/>
                <w:lang w:eastAsia="es-MX"/>
              </w:rPr>
            </w:pPr>
            <w:r w:rsidRPr="00974249">
              <w:rPr>
                <w:rFonts w:eastAsia="Times New Roman" w:cs="Arial"/>
                <w:b/>
                <w:bCs/>
                <w:color w:val="000000"/>
                <w:sz w:val="18"/>
                <w:szCs w:val="18"/>
                <w:lang w:eastAsia="es-MX"/>
              </w:rPr>
              <w:t>1,678,065</w:t>
            </w:r>
          </w:p>
        </w:tc>
      </w:tr>
      <w:tr w:rsidR="00974249" w:rsidRPr="00EE6AF7" w:rsidTr="00974249">
        <w:trPr>
          <w:trHeight w:val="255"/>
          <w:jc w:val="center"/>
        </w:trPr>
        <w:tc>
          <w:tcPr>
            <w:tcW w:w="0" w:type="auto"/>
            <w:tcBorders>
              <w:top w:val="nil"/>
              <w:left w:val="single" w:sz="8" w:space="0" w:color="auto"/>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single" w:sz="4" w:space="0" w:color="auto"/>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nil"/>
              <w:right w:val="nil"/>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97,752,320.45</w:t>
            </w:r>
          </w:p>
        </w:tc>
      </w:tr>
      <w:tr w:rsidR="00974249" w:rsidRPr="00EE6AF7" w:rsidTr="00EE6AF7">
        <w:trPr>
          <w:trHeight w:val="25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974249" w:rsidRPr="00974249" w:rsidRDefault="00974249" w:rsidP="00974249">
            <w:pPr>
              <w:jc w:val="right"/>
              <w:rPr>
                <w:rFonts w:eastAsia="Times New Roman" w:cs="Arial"/>
                <w:b/>
                <w:bCs/>
                <w:color w:val="000000"/>
                <w:sz w:val="18"/>
                <w:szCs w:val="18"/>
                <w:lang w:eastAsia="es-MX"/>
              </w:rPr>
            </w:pPr>
            <w:r w:rsidRPr="00974249">
              <w:rPr>
                <w:rFonts w:eastAsia="Times New Roman" w:cs="Arial"/>
                <w:b/>
                <w:bCs/>
                <w:color w:val="000000"/>
                <w:sz w:val="18"/>
                <w:szCs w:val="18"/>
                <w:lang w:eastAsia="es-MX"/>
              </w:rPr>
              <w:t>FINANCIAMIENTO PÚBLICO ANUAL DE LOS PARTIDOS POLÍTICOS POR SUS ACTIVIDADES ORDINARIAS PERMANENTES</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b/>
                <w:bCs/>
                <w:color w:val="000000"/>
                <w:sz w:val="18"/>
                <w:szCs w:val="18"/>
                <w:lang w:eastAsia="es-MX"/>
              </w:rPr>
            </w:pPr>
            <w:r w:rsidRPr="00974249">
              <w:rPr>
                <w:rFonts w:eastAsia="Times New Roman" w:cs="Arial"/>
                <w:b/>
                <w:bCs/>
                <w:color w:val="000000"/>
                <w:sz w:val="18"/>
                <w:szCs w:val="18"/>
                <w:lang w:eastAsia="es-MX"/>
              </w:rPr>
              <w:t>97,752,320.45</w:t>
            </w:r>
          </w:p>
        </w:tc>
      </w:tr>
      <w:tr w:rsidR="00974249" w:rsidRPr="00EE6AF7" w:rsidTr="00974249">
        <w:trPr>
          <w:trHeight w:val="255"/>
          <w:jc w:val="center"/>
        </w:trPr>
        <w:tc>
          <w:tcPr>
            <w:tcW w:w="0" w:type="auto"/>
            <w:tcBorders>
              <w:top w:val="nil"/>
              <w:left w:val="single" w:sz="8" w:space="0" w:color="auto"/>
              <w:bottom w:val="nil"/>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nil"/>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p>
        </w:tc>
        <w:tc>
          <w:tcPr>
            <w:tcW w:w="0" w:type="auto"/>
            <w:tcBorders>
              <w:top w:val="nil"/>
              <w:left w:val="nil"/>
              <w:bottom w:val="nil"/>
              <w:right w:val="nil"/>
            </w:tcBorders>
            <w:shd w:val="clear" w:color="auto" w:fill="auto"/>
            <w:noWrap/>
            <w:vAlign w:val="bottom"/>
            <w:hideMark/>
          </w:tcPr>
          <w:p w:rsidR="00974249" w:rsidRPr="00974249" w:rsidRDefault="00974249" w:rsidP="00974249">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974249" w:rsidRPr="00974249" w:rsidRDefault="00974249" w:rsidP="00974249">
            <w:pPr>
              <w:jc w:val="left"/>
              <w:rPr>
                <w:rFonts w:ascii="Times New Roman" w:eastAsia="Times New Roman" w:hAnsi="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70%</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68,426,624.31</w:t>
            </w:r>
          </w:p>
        </w:tc>
      </w:tr>
      <w:tr w:rsidR="00974249" w:rsidRPr="00EE6AF7" w:rsidTr="00974249">
        <w:trPr>
          <w:trHeight w:val="255"/>
          <w:jc w:val="center"/>
        </w:trPr>
        <w:tc>
          <w:tcPr>
            <w:tcW w:w="0" w:type="auto"/>
            <w:tcBorders>
              <w:top w:val="nil"/>
              <w:left w:val="single" w:sz="8" w:space="0" w:color="auto"/>
              <w:bottom w:val="single" w:sz="8"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single" w:sz="8"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single" w:sz="8"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single" w:sz="8"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30%</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29,325,696.13</w:t>
            </w:r>
          </w:p>
        </w:tc>
      </w:tr>
    </w:tbl>
    <w:p w:rsidR="00974249" w:rsidRPr="00974249" w:rsidRDefault="00974249" w:rsidP="00974249"/>
    <w:tbl>
      <w:tblPr>
        <w:tblW w:w="0" w:type="auto"/>
        <w:jc w:val="center"/>
        <w:tblCellMar>
          <w:left w:w="70" w:type="dxa"/>
          <w:right w:w="70" w:type="dxa"/>
        </w:tblCellMar>
        <w:tblLook w:val="04A0" w:firstRow="1" w:lastRow="0" w:firstColumn="1" w:lastColumn="0" w:noHBand="0" w:noVBand="1"/>
      </w:tblPr>
      <w:tblGrid>
        <w:gridCol w:w="953"/>
        <w:gridCol w:w="2030"/>
        <w:gridCol w:w="1605"/>
        <w:gridCol w:w="1284"/>
        <w:gridCol w:w="2219"/>
        <w:gridCol w:w="3069"/>
      </w:tblGrid>
      <w:tr w:rsidR="001977F3" w:rsidRPr="00EE6AF7" w:rsidTr="00AA475F">
        <w:trPr>
          <w:trHeight w:val="240"/>
          <w:tblHeader/>
          <w:jc w:val="center"/>
        </w:trPr>
        <w:tc>
          <w:tcPr>
            <w:tcW w:w="0" w:type="auto"/>
            <w:gridSpan w:val="6"/>
            <w:tcBorders>
              <w:top w:val="nil"/>
              <w:left w:val="nil"/>
              <w:bottom w:val="nil"/>
              <w:right w:val="nil"/>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FINANCIAMIENTO ORDINARIO 2022 </w:t>
            </w:r>
          </w:p>
        </w:tc>
      </w:tr>
      <w:tr w:rsidR="001977F3" w:rsidRPr="00EE6AF7" w:rsidTr="00AA475F">
        <w:trPr>
          <w:trHeight w:val="12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977F3" w:rsidRPr="001977F3" w:rsidRDefault="001977F3" w:rsidP="001977F3">
            <w:pPr>
              <w:jc w:val="center"/>
              <w:rPr>
                <w:rFonts w:eastAsia="Times New Roman" w:cs="Arial"/>
                <w:color w:val="000000"/>
                <w:sz w:val="18"/>
                <w:szCs w:val="18"/>
                <w:lang w:eastAsia="es-MX"/>
              </w:rPr>
            </w:pPr>
            <w:r w:rsidRPr="001977F3">
              <w:rPr>
                <w:rFonts w:eastAsia="Times New Roman" w:cs="Arial"/>
                <w:color w:val="000000"/>
                <w:sz w:val="18"/>
                <w:szCs w:val="18"/>
                <w:lang w:eastAsia="es-MX"/>
              </w:rPr>
              <w:t xml:space="preserve"> DISTRIBUCIÓN IGUALITARIA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977F3" w:rsidRPr="001977F3" w:rsidRDefault="001977F3" w:rsidP="001977F3">
            <w:pPr>
              <w:jc w:val="center"/>
              <w:rPr>
                <w:rFonts w:eastAsia="Times New Roman" w:cs="Arial"/>
                <w:color w:val="000000"/>
                <w:sz w:val="18"/>
                <w:szCs w:val="18"/>
                <w:lang w:eastAsia="es-MX"/>
              </w:rPr>
            </w:pPr>
            <w:r w:rsidRPr="001977F3">
              <w:rPr>
                <w:rFonts w:eastAsia="Times New Roman" w:cs="Arial"/>
                <w:color w:val="000000"/>
                <w:sz w:val="18"/>
                <w:szCs w:val="18"/>
                <w:lang w:eastAsia="es-MX"/>
              </w:rPr>
              <w:t xml:space="preserve"> VOTOS OBTENIDOS EN LA ELECCIÓN DE DIPUTADOS 2021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977F3" w:rsidRPr="001977F3" w:rsidRDefault="001977F3" w:rsidP="001977F3">
            <w:pPr>
              <w:jc w:val="center"/>
              <w:rPr>
                <w:rFonts w:eastAsia="Times New Roman" w:cs="Arial"/>
                <w:color w:val="000000"/>
                <w:sz w:val="18"/>
                <w:szCs w:val="18"/>
                <w:lang w:eastAsia="es-MX"/>
              </w:rPr>
            </w:pPr>
            <w:r w:rsidRPr="001977F3">
              <w:rPr>
                <w:rFonts w:eastAsia="Times New Roman" w:cs="Arial"/>
                <w:color w:val="000000"/>
                <w:sz w:val="18"/>
                <w:szCs w:val="18"/>
                <w:lang w:eastAsia="es-MX"/>
              </w:rPr>
              <w:t xml:space="preserve"> PORCENTAJE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977F3" w:rsidRPr="001977F3" w:rsidRDefault="001977F3" w:rsidP="001977F3">
            <w:pPr>
              <w:jc w:val="center"/>
              <w:rPr>
                <w:rFonts w:eastAsia="Times New Roman" w:cs="Arial"/>
                <w:color w:val="000000"/>
                <w:sz w:val="18"/>
                <w:szCs w:val="18"/>
                <w:lang w:eastAsia="es-MX"/>
              </w:rPr>
            </w:pPr>
            <w:r w:rsidRPr="001977F3">
              <w:rPr>
                <w:rFonts w:eastAsia="Times New Roman" w:cs="Arial"/>
                <w:color w:val="000000"/>
                <w:sz w:val="18"/>
                <w:szCs w:val="18"/>
                <w:lang w:eastAsia="es-MX"/>
              </w:rPr>
              <w:t>DISTRIBUCIÓN DE ACUERDO % VOTOS OBTENIDOS DE LA ELECCIÓN DE DIPUTADOS 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w:t>
            </w:r>
          </w:p>
        </w:tc>
      </w:tr>
      <w:tr w:rsidR="001977F3" w:rsidRPr="00EE6AF7" w:rsidTr="00AA475F">
        <w:trPr>
          <w:trHeight w:val="720"/>
          <w:jc w:val="center"/>
        </w:trPr>
        <w:tc>
          <w:tcPr>
            <w:tcW w:w="0" w:type="auto"/>
            <w:tcBorders>
              <w:top w:val="nil"/>
              <w:left w:val="single" w:sz="4" w:space="0" w:color="auto"/>
              <w:bottom w:val="single" w:sz="4" w:space="0" w:color="auto"/>
              <w:right w:val="single" w:sz="4" w:space="0" w:color="auto"/>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PARTIDO </w:t>
            </w:r>
          </w:p>
        </w:tc>
        <w:tc>
          <w:tcPr>
            <w:tcW w:w="0" w:type="auto"/>
            <w:tcBorders>
              <w:top w:val="nil"/>
              <w:left w:val="nil"/>
              <w:bottom w:val="single" w:sz="4" w:space="0" w:color="auto"/>
              <w:right w:val="single" w:sz="4" w:space="0" w:color="auto"/>
            </w:tcBorders>
            <w:shd w:val="clear" w:color="000000" w:fill="A5A5A5"/>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30% DEL TOTAL DEL FINANCIAMIENTO PÚBLICO ORDINARIO</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NUM. VOTOS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70%</w:t>
            </w:r>
          </w:p>
        </w:tc>
        <w:tc>
          <w:tcPr>
            <w:tcW w:w="0" w:type="auto"/>
            <w:tcBorders>
              <w:top w:val="nil"/>
              <w:left w:val="nil"/>
              <w:bottom w:val="single" w:sz="4" w:space="0" w:color="auto"/>
              <w:right w:val="single" w:sz="4" w:space="0" w:color="auto"/>
            </w:tcBorders>
            <w:shd w:val="clear" w:color="000000" w:fill="A5A5A5"/>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TOTAL FINANCIAMIENTO PÚBLICO ACTIVIDADES ORDINARIAS PERMANENTES</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PAN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center"/>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365,738</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37.50%</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25,657,967.19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29,847,352.35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PRI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232,873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23.88%</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16,336,961.96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20,526,347.12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PRD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29,440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3.02%</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2,065,332.43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6,254,717.60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PVEM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000000" w:fill="FFFFFF"/>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31,887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3.27%</w:t>
            </w:r>
          </w:p>
        </w:tc>
        <w:tc>
          <w:tcPr>
            <w:tcW w:w="0" w:type="auto"/>
            <w:tcBorders>
              <w:top w:val="nil"/>
              <w:left w:val="nil"/>
              <w:bottom w:val="single" w:sz="4" w:space="0" w:color="auto"/>
              <w:right w:val="single" w:sz="4" w:space="0" w:color="auto"/>
            </w:tcBorders>
            <w:shd w:val="clear" w:color="000000" w:fill="FFFFFF"/>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2,236,999.16 </w:t>
            </w:r>
          </w:p>
        </w:tc>
        <w:tc>
          <w:tcPr>
            <w:tcW w:w="0" w:type="auto"/>
            <w:tcBorders>
              <w:top w:val="nil"/>
              <w:left w:val="nil"/>
              <w:bottom w:val="single" w:sz="4" w:space="0" w:color="auto"/>
              <w:right w:val="single" w:sz="4" w:space="0" w:color="auto"/>
            </w:tcBorders>
            <w:shd w:val="clear" w:color="000000" w:fill="FFFFFF"/>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6,426,384.32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000000" w:fill="A5A5A5"/>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PT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 xml:space="preserve"> NO TIENE DERECHO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 xml:space="preserve"> NO TIENE DERECHO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MC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34,974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3.59%</w:t>
            </w:r>
          </w:p>
        </w:tc>
        <w:tc>
          <w:tcPr>
            <w:tcW w:w="0" w:type="auto"/>
            <w:tcBorders>
              <w:top w:val="nil"/>
              <w:left w:val="nil"/>
              <w:bottom w:val="single" w:sz="4" w:space="0" w:color="auto"/>
              <w:right w:val="nil"/>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2,453,564.42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6,642,949.58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MORENA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258,183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26.47%</w:t>
            </w:r>
          </w:p>
        </w:tc>
        <w:tc>
          <w:tcPr>
            <w:tcW w:w="0" w:type="auto"/>
            <w:tcBorders>
              <w:top w:val="nil"/>
              <w:left w:val="nil"/>
              <w:bottom w:val="single" w:sz="4" w:space="0" w:color="auto"/>
              <w:right w:val="nil"/>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18,112,558.56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22,301,943.72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NAY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22,283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2.28%</w:t>
            </w:r>
          </w:p>
        </w:tc>
        <w:tc>
          <w:tcPr>
            <w:tcW w:w="0" w:type="auto"/>
            <w:tcBorders>
              <w:top w:val="nil"/>
              <w:left w:val="nil"/>
              <w:bottom w:val="single" w:sz="4" w:space="0" w:color="auto"/>
              <w:right w:val="nil"/>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1,563,240.58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5,752,625.74 </w:t>
            </w:r>
          </w:p>
        </w:tc>
      </w:tr>
      <w:tr w:rsidR="001977F3" w:rsidRPr="00EE6AF7" w:rsidTr="0040638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TOTAL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29,325,696.13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975,378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b/>
                <w:bCs/>
                <w:color w:val="000000"/>
                <w:sz w:val="18"/>
                <w:szCs w:val="18"/>
                <w:lang w:eastAsia="es-MX"/>
              </w:rPr>
            </w:pPr>
            <w:r w:rsidRPr="001977F3">
              <w:rPr>
                <w:rFonts w:eastAsia="Times New Roman" w:cs="Arial"/>
                <w:b/>
                <w:bCs/>
                <w:color w:val="000000"/>
                <w:sz w:val="18"/>
                <w:szCs w:val="18"/>
                <w:lang w:eastAsia="es-MX"/>
              </w:rPr>
              <w:t>100.00%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68,426,624.31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97,752,320.45 </w:t>
            </w:r>
          </w:p>
        </w:tc>
      </w:tr>
    </w:tbl>
    <w:p w:rsidR="00FA49E9" w:rsidRDefault="00FA49E9"/>
    <w:p w:rsidR="00AA475F" w:rsidRDefault="00AA475F"/>
    <w:tbl>
      <w:tblPr>
        <w:tblW w:w="0" w:type="auto"/>
        <w:tblCellMar>
          <w:left w:w="70" w:type="dxa"/>
          <w:right w:w="70" w:type="dxa"/>
        </w:tblCellMar>
        <w:tblLook w:val="04A0" w:firstRow="1" w:lastRow="0" w:firstColumn="1" w:lastColumn="0" w:noHBand="0" w:noVBand="1"/>
      </w:tblPr>
      <w:tblGrid>
        <w:gridCol w:w="658"/>
        <w:gridCol w:w="1376"/>
        <w:gridCol w:w="1074"/>
        <w:gridCol w:w="4518"/>
        <w:gridCol w:w="1496"/>
        <w:gridCol w:w="2038"/>
      </w:tblGrid>
      <w:tr w:rsidR="009D49C3" w:rsidRPr="00EE6AF7" w:rsidTr="009D49C3">
        <w:trPr>
          <w:trHeight w:val="285"/>
          <w:tblHeader/>
        </w:trPr>
        <w:tc>
          <w:tcPr>
            <w:tcW w:w="0" w:type="auto"/>
            <w:gridSpan w:val="6"/>
            <w:tcBorders>
              <w:top w:val="nil"/>
              <w:left w:val="single" w:sz="8" w:space="0" w:color="auto"/>
              <w:bottom w:val="nil"/>
              <w:right w:val="single" w:sz="8" w:space="0" w:color="000000"/>
            </w:tcBorders>
            <w:shd w:val="clear" w:color="000000" w:fill="A5A5A5"/>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FINANCIAMIENTO PARA ACTIVIDADES ESPECÍFICAS 2022 </w:t>
            </w:r>
          </w:p>
        </w:tc>
      </w:tr>
      <w:tr w:rsidR="009D49C3" w:rsidRPr="00EE6AF7" w:rsidTr="009D49C3">
        <w:trPr>
          <w:trHeight w:val="645"/>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ART. 41 BASE II, INCISO C) DE LA C.P.E.U.M.; ART. 51 NUMERAL 1, INCISO A), FRACCIÓN I DE LA LGPP Y ART. 52 FRACC. III, INCISO A) DE LA LPPEY.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7% DEL TOTAL DEL FINANCIAMIENTO PÚBLICO PARA ACTIVIDADES ORDINARIAS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w:t>
            </w:r>
          </w:p>
        </w:tc>
      </w:tr>
      <w:tr w:rsidR="009D49C3" w:rsidRPr="00EE6AF7" w:rsidTr="009D49C3">
        <w:trPr>
          <w:trHeight w:val="255"/>
        </w:trPr>
        <w:tc>
          <w:tcPr>
            <w:tcW w:w="0" w:type="auto"/>
            <w:tcBorders>
              <w:top w:val="nil"/>
              <w:left w:val="single" w:sz="8" w:space="0" w:color="auto"/>
              <w:bottom w:val="single" w:sz="8" w:space="0" w:color="auto"/>
              <w:right w:val="nil"/>
            </w:tcBorders>
            <w:shd w:val="clear" w:color="auto" w:fill="auto"/>
            <w:noWrap/>
            <w:vAlign w:val="bottom"/>
            <w:hideMark/>
          </w:tcPr>
          <w:p w:rsidR="009D49C3" w:rsidRPr="009D49C3" w:rsidRDefault="009D49C3" w:rsidP="009D49C3">
            <w:pPr>
              <w:jc w:val="right"/>
              <w:rPr>
                <w:rFonts w:eastAsia="Times New Roman" w:cs="Arial"/>
                <w:b/>
                <w:bCs/>
                <w:color w:val="000000"/>
                <w:sz w:val="16"/>
                <w:szCs w:val="16"/>
                <w:lang w:eastAsia="es-MX"/>
              </w:rPr>
            </w:pPr>
            <w:r w:rsidRPr="009D49C3">
              <w:rPr>
                <w:rFonts w:eastAsia="Times New Roman" w:cs="Arial"/>
                <w:b/>
                <w:bCs/>
                <w:color w:val="000000"/>
                <w:sz w:val="16"/>
                <w:szCs w:val="16"/>
                <w:lang w:eastAsia="es-MX"/>
              </w:rPr>
              <w:t>30%</w:t>
            </w:r>
          </w:p>
        </w:tc>
        <w:tc>
          <w:tcPr>
            <w:tcW w:w="0" w:type="auto"/>
            <w:tcBorders>
              <w:top w:val="nil"/>
              <w:left w:val="nil"/>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2,052,798.73 </w:t>
            </w:r>
          </w:p>
        </w:tc>
        <w:tc>
          <w:tcPr>
            <w:tcW w:w="0" w:type="auto"/>
            <w:tcBorders>
              <w:top w:val="nil"/>
              <w:left w:val="nil"/>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w:t>
            </w:r>
          </w:p>
        </w:tc>
        <w:tc>
          <w:tcPr>
            <w:tcW w:w="0" w:type="auto"/>
            <w:tcBorders>
              <w:top w:val="nil"/>
              <w:left w:val="nil"/>
              <w:bottom w:val="single" w:sz="8" w:space="0" w:color="auto"/>
              <w:right w:val="nil"/>
            </w:tcBorders>
            <w:shd w:val="clear" w:color="000000" w:fill="BFBFBF"/>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6,842,662.43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4,789,863.70 </w:t>
            </w:r>
          </w:p>
        </w:tc>
        <w:tc>
          <w:tcPr>
            <w:tcW w:w="0" w:type="auto"/>
            <w:tcBorders>
              <w:top w:val="nil"/>
              <w:left w:val="nil"/>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70%</w:t>
            </w:r>
          </w:p>
        </w:tc>
      </w:tr>
      <w:tr w:rsidR="009D49C3" w:rsidRPr="00EE6AF7" w:rsidTr="009D49C3">
        <w:trPr>
          <w:trHeight w:val="165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DISTRIBUCIÓN IGUALITARIA </w:t>
            </w:r>
          </w:p>
        </w:tc>
        <w:tc>
          <w:tcPr>
            <w:tcW w:w="0" w:type="auto"/>
            <w:tcBorders>
              <w:top w:val="nil"/>
              <w:left w:val="nil"/>
              <w:bottom w:val="single" w:sz="8" w:space="0" w:color="auto"/>
              <w:right w:val="single" w:sz="8" w:space="0" w:color="auto"/>
            </w:tcBorders>
            <w:shd w:val="clear" w:color="auto" w:fill="auto"/>
            <w:vAlign w:val="center"/>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VOTOS OBTENIDOS EN LA ELECCIÓN DE DIPUTADOS 2021 </w:t>
            </w:r>
          </w:p>
        </w:tc>
        <w:tc>
          <w:tcPr>
            <w:tcW w:w="0" w:type="auto"/>
            <w:tcBorders>
              <w:top w:val="nil"/>
              <w:left w:val="nil"/>
              <w:bottom w:val="single" w:sz="8" w:space="0" w:color="auto"/>
              <w:right w:val="single" w:sz="8" w:space="0" w:color="auto"/>
            </w:tcBorders>
            <w:shd w:val="clear" w:color="auto" w:fill="auto"/>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PORCENTAJE </w:t>
            </w:r>
          </w:p>
        </w:tc>
        <w:tc>
          <w:tcPr>
            <w:tcW w:w="0" w:type="auto"/>
            <w:tcBorders>
              <w:top w:val="nil"/>
              <w:left w:val="nil"/>
              <w:bottom w:val="single" w:sz="8" w:space="0" w:color="auto"/>
              <w:right w:val="single" w:sz="8" w:space="0" w:color="auto"/>
            </w:tcBorders>
            <w:shd w:val="clear" w:color="auto" w:fill="auto"/>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DISTRIBUCIÓN DE ACUERDO % VOTOS OBTENIDOS DE LA ELECCIÓN DE DIPUTADOS 2021</w:t>
            </w:r>
          </w:p>
        </w:tc>
        <w:tc>
          <w:tcPr>
            <w:tcW w:w="0" w:type="auto"/>
            <w:tcBorders>
              <w:top w:val="nil"/>
              <w:left w:val="nil"/>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w:t>
            </w:r>
          </w:p>
        </w:tc>
      </w:tr>
      <w:tr w:rsidR="009D49C3" w:rsidRPr="00EE6AF7" w:rsidTr="009D49C3">
        <w:trPr>
          <w:trHeight w:val="960"/>
        </w:trPr>
        <w:tc>
          <w:tcPr>
            <w:tcW w:w="0" w:type="auto"/>
            <w:tcBorders>
              <w:top w:val="nil"/>
              <w:left w:val="single" w:sz="4" w:space="0" w:color="auto"/>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PARTIDO </w:t>
            </w:r>
          </w:p>
        </w:tc>
        <w:tc>
          <w:tcPr>
            <w:tcW w:w="0" w:type="auto"/>
            <w:tcBorders>
              <w:top w:val="nil"/>
              <w:left w:val="nil"/>
              <w:bottom w:val="single" w:sz="4" w:space="0" w:color="auto"/>
              <w:right w:val="single" w:sz="4" w:space="0" w:color="auto"/>
            </w:tcBorders>
            <w:shd w:val="clear" w:color="000000" w:fill="A5A5A5"/>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30% DEL TOTAL DEL FINANCIAMIENTO PARA ACTIVIDADES ESPECÍFICAS</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NUM. VOTOS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70%</w:t>
            </w:r>
          </w:p>
        </w:tc>
        <w:tc>
          <w:tcPr>
            <w:tcW w:w="0" w:type="auto"/>
            <w:tcBorders>
              <w:top w:val="nil"/>
              <w:left w:val="nil"/>
              <w:bottom w:val="single" w:sz="4" w:space="0" w:color="auto"/>
              <w:right w:val="single" w:sz="4" w:space="0" w:color="auto"/>
            </w:tcBorders>
            <w:shd w:val="clear" w:color="000000" w:fill="A5A5A5"/>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TOTAL FINANCIAMIENTO PÚBLICO PARA ACTIVIDADES ESPECÍFICAS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PAN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center"/>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365,738</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37.50%</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1,796,057.70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2,089,314.66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PRI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232,873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23.88%</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1,143,587.34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1,436,844.30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PRD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29,440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3.02%</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144,573.27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437,830.23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PVEM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31,887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3.27%</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156,589.94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449,846.90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PT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NO TIENE DERECHO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NO TIENE DERECHO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MC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34,974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3.59%</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171,749.51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465,006.47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MORENA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258,183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26.47%</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1,267,879.10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1,561,136.06 </w:t>
            </w:r>
          </w:p>
        </w:tc>
      </w:tr>
      <w:tr w:rsidR="009D49C3" w:rsidRPr="00EE6AF7" w:rsidTr="009D49C3">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NAY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22,283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2.28%</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109,426.84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402,683.80 </w:t>
            </w:r>
          </w:p>
        </w:tc>
      </w:tr>
      <w:tr w:rsidR="009D49C3" w:rsidRPr="00EE6AF7" w:rsidTr="0040638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TOTAL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2,052,798.73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975,378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b/>
                <w:color w:val="000000"/>
                <w:sz w:val="14"/>
                <w:szCs w:val="14"/>
                <w:lang w:eastAsia="es-MX"/>
              </w:rPr>
            </w:pPr>
            <w:r w:rsidRPr="009D49C3">
              <w:rPr>
                <w:rFonts w:eastAsia="Times New Roman" w:cs="Arial"/>
                <w:b/>
                <w:color w:val="000000"/>
                <w:sz w:val="14"/>
                <w:szCs w:val="14"/>
                <w:lang w:eastAsia="es-MX"/>
              </w:rPr>
              <w:t>100.00%</w:t>
            </w:r>
          </w:p>
        </w:tc>
        <w:tc>
          <w:tcPr>
            <w:tcW w:w="0" w:type="auto"/>
            <w:tcBorders>
              <w:top w:val="nil"/>
              <w:left w:val="nil"/>
              <w:bottom w:val="single" w:sz="4" w:space="0" w:color="auto"/>
              <w:right w:val="nil"/>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4,789,863.70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6,842,662.43 </w:t>
            </w:r>
          </w:p>
        </w:tc>
      </w:tr>
    </w:tbl>
    <w:p w:rsidR="00AA475F" w:rsidRDefault="00AA475F"/>
    <w:p w:rsidR="0061118F" w:rsidRDefault="0061118F"/>
    <w:tbl>
      <w:tblPr>
        <w:tblW w:w="8375" w:type="dxa"/>
        <w:jc w:val="center"/>
        <w:tblCellMar>
          <w:left w:w="70" w:type="dxa"/>
          <w:right w:w="70" w:type="dxa"/>
        </w:tblCellMar>
        <w:tblLook w:val="04A0" w:firstRow="1" w:lastRow="0" w:firstColumn="1" w:lastColumn="0" w:noHBand="0" w:noVBand="1"/>
      </w:tblPr>
      <w:tblGrid>
        <w:gridCol w:w="1661"/>
        <w:gridCol w:w="2082"/>
        <w:gridCol w:w="4632"/>
      </w:tblGrid>
      <w:tr w:rsidR="0061118F" w:rsidRPr="00EE6AF7" w:rsidTr="0040638D">
        <w:trPr>
          <w:trHeight w:val="1275"/>
          <w:tblHeader/>
          <w:jc w:val="center"/>
        </w:trPr>
        <w:tc>
          <w:tcPr>
            <w:tcW w:w="83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CON BASE EN EL ARTÍCULO 52 FRACCIÓN III, INCISO B) DE LA LEY DE PARTIDOS POLÍTICOS DEL ESTADO DE YUCATÁN, CADA PARTIDO POLÍTICO CON DERECHO A FINANCIAMIENTO PÚBLICO, DEBERÁ GARANTIZAR QUE AL MENOS UN 25 % DEL MONTO DE LAS ACTIVIDADES ESPECÍFICAS, SEA DESTINADO A LA CAPACITACIÓN, PROMOCIÓN Y EL DESARROLLO DEL LIDERAZGO POLÍTICO DE LAS MUJERES.</w:t>
            </w:r>
          </w:p>
        </w:tc>
      </w:tr>
      <w:tr w:rsidR="0061118F" w:rsidRPr="00EE6AF7" w:rsidTr="0061118F">
        <w:trPr>
          <w:trHeight w:val="1200"/>
          <w:tblHeader/>
          <w:jc w:val="center"/>
        </w:trPr>
        <w:tc>
          <w:tcPr>
            <w:tcW w:w="1661" w:type="dxa"/>
            <w:tcBorders>
              <w:top w:val="nil"/>
              <w:left w:val="single" w:sz="4" w:space="0" w:color="auto"/>
              <w:bottom w:val="single" w:sz="4" w:space="0" w:color="auto"/>
              <w:right w:val="single" w:sz="4" w:space="0" w:color="auto"/>
            </w:tcBorders>
            <w:shd w:val="clear" w:color="000000" w:fill="A5A5A5"/>
            <w:vAlign w:val="center"/>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PARTIDO POLÍTICO </w:t>
            </w:r>
          </w:p>
        </w:tc>
        <w:tc>
          <w:tcPr>
            <w:tcW w:w="2082" w:type="dxa"/>
            <w:tcBorders>
              <w:top w:val="nil"/>
              <w:left w:val="nil"/>
              <w:bottom w:val="single" w:sz="4" w:space="0" w:color="auto"/>
              <w:right w:val="single" w:sz="4" w:space="0" w:color="auto"/>
            </w:tcBorders>
            <w:shd w:val="clear" w:color="000000" w:fill="A5A5A5"/>
            <w:vAlign w:val="bottom"/>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TOTAL FINANCIAMIENTO PÚBLICO PARA ACTIVIDADES ESPECÍFICAS </w:t>
            </w:r>
          </w:p>
        </w:tc>
        <w:tc>
          <w:tcPr>
            <w:tcW w:w="4632" w:type="dxa"/>
            <w:tcBorders>
              <w:top w:val="single" w:sz="4" w:space="0" w:color="auto"/>
              <w:left w:val="nil"/>
              <w:bottom w:val="single" w:sz="4" w:space="0" w:color="auto"/>
              <w:right w:val="single" w:sz="4" w:space="0" w:color="auto"/>
            </w:tcBorders>
            <w:shd w:val="clear" w:color="000000" w:fill="A5A5A5"/>
            <w:vAlign w:val="center"/>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25 % DEL TOTAL DEL FINANCIAMIENTO PÚBLICO PARA ACTIVIDADES ESPECÍFICAS </w:t>
            </w:r>
          </w:p>
        </w:tc>
      </w:tr>
      <w:tr w:rsidR="0061118F" w:rsidRPr="00EE6AF7" w:rsidTr="0061118F">
        <w:trPr>
          <w:trHeight w:val="480"/>
          <w:jc w:val="center"/>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ACCIÓN NACIONAL </w:t>
            </w:r>
          </w:p>
        </w:tc>
        <w:tc>
          <w:tcPr>
            <w:tcW w:w="2082" w:type="dxa"/>
            <w:tcBorders>
              <w:top w:val="nil"/>
              <w:left w:val="nil"/>
              <w:bottom w:val="single" w:sz="4" w:space="0" w:color="auto"/>
              <w:right w:val="single" w:sz="4" w:space="0" w:color="auto"/>
            </w:tcBorders>
            <w:shd w:val="clear" w:color="000000" w:fill="FFFFFF"/>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2,089,314.66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522,328.67 </w:t>
            </w:r>
          </w:p>
        </w:tc>
      </w:tr>
      <w:tr w:rsidR="0061118F" w:rsidRPr="00EE6AF7" w:rsidTr="0061118F">
        <w:trPr>
          <w:trHeight w:val="720"/>
          <w:jc w:val="center"/>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REVOLUCIONARIO INSTITUCIONAL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1,436,844.30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359,211.07 </w:t>
            </w:r>
          </w:p>
        </w:tc>
      </w:tr>
      <w:tr w:rsidR="0061118F" w:rsidRPr="00EE6AF7" w:rsidTr="0061118F">
        <w:trPr>
          <w:trHeight w:val="720"/>
          <w:jc w:val="center"/>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DE LA REVOLUCIÓN DEMOCRÁTICA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437,830.23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109,457.56 </w:t>
            </w:r>
          </w:p>
        </w:tc>
      </w:tr>
      <w:tr w:rsidR="0061118F" w:rsidRPr="00EE6AF7" w:rsidTr="0061118F">
        <w:trPr>
          <w:trHeight w:val="480"/>
          <w:jc w:val="center"/>
        </w:trPr>
        <w:tc>
          <w:tcPr>
            <w:tcW w:w="1661" w:type="dxa"/>
            <w:tcBorders>
              <w:top w:val="nil"/>
              <w:left w:val="single" w:sz="4" w:space="0" w:color="auto"/>
              <w:bottom w:val="single" w:sz="4" w:space="0" w:color="auto"/>
              <w:right w:val="single" w:sz="4" w:space="0" w:color="auto"/>
            </w:tcBorders>
            <w:shd w:val="clear" w:color="000000" w:fill="A5A5A5"/>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DEL TRABAJO </w:t>
            </w:r>
          </w:p>
        </w:tc>
        <w:tc>
          <w:tcPr>
            <w:tcW w:w="2082" w:type="dxa"/>
            <w:tcBorders>
              <w:top w:val="nil"/>
              <w:left w:val="nil"/>
              <w:bottom w:val="single" w:sz="4" w:space="0" w:color="auto"/>
              <w:right w:val="single" w:sz="4" w:space="0" w:color="auto"/>
            </w:tcBorders>
            <w:shd w:val="clear" w:color="000000" w:fill="A6A6A6"/>
            <w:noWrap/>
            <w:vAlign w:val="bottom"/>
            <w:hideMark/>
          </w:tcPr>
          <w:p w:rsidR="0061118F" w:rsidRPr="0061118F" w:rsidRDefault="0061118F" w:rsidP="0061118F">
            <w:pPr>
              <w:jc w:val="right"/>
              <w:rPr>
                <w:rFonts w:eastAsia="Times New Roman" w:cs="Arial"/>
                <w:color w:val="000000"/>
                <w:sz w:val="16"/>
                <w:szCs w:val="16"/>
                <w:lang w:eastAsia="es-MX"/>
              </w:rPr>
            </w:pPr>
            <w:r w:rsidRPr="0061118F">
              <w:rPr>
                <w:rFonts w:eastAsia="Times New Roman" w:cs="Arial"/>
                <w:color w:val="000000"/>
                <w:sz w:val="16"/>
                <w:szCs w:val="16"/>
                <w:lang w:eastAsia="es-MX"/>
              </w:rPr>
              <w:t xml:space="preserve"> NO TIENE DERECHO </w:t>
            </w:r>
          </w:p>
        </w:tc>
        <w:tc>
          <w:tcPr>
            <w:tcW w:w="4632" w:type="dxa"/>
            <w:tcBorders>
              <w:top w:val="single" w:sz="4" w:space="0" w:color="auto"/>
              <w:left w:val="nil"/>
              <w:bottom w:val="single" w:sz="4" w:space="0" w:color="auto"/>
              <w:right w:val="single" w:sz="4" w:space="0" w:color="auto"/>
            </w:tcBorders>
            <w:shd w:val="clear" w:color="000000" w:fill="A6A6A6"/>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 </w:t>
            </w:r>
          </w:p>
        </w:tc>
      </w:tr>
      <w:tr w:rsidR="0061118F" w:rsidRPr="00EE6AF7" w:rsidTr="0061118F">
        <w:trPr>
          <w:trHeight w:val="720"/>
          <w:jc w:val="center"/>
        </w:trPr>
        <w:tc>
          <w:tcPr>
            <w:tcW w:w="1661" w:type="dxa"/>
            <w:tcBorders>
              <w:top w:val="nil"/>
              <w:left w:val="single" w:sz="4" w:space="0" w:color="auto"/>
              <w:bottom w:val="single" w:sz="4" w:space="0" w:color="auto"/>
              <w:right w:val="single" w:sz="4" w:space="0" w:color="auto"/>
            </w:tcBorders>
            <w:shd w:val="clear" w:color="000000" w:fill="FFFFFF"/>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VERDE ECOLOGISTA DE MÉXICO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449,846.90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112,461.73 </w:t>
            </w:r>
          </w:p>
        </w:tc>
      </w:tr>
      <w:tr w:rsidR="0061118F" w:rsidRPr="00EE6AF7" w:rsidTr="0061118F">
        <w:trPr>
          <w:trHeight w:val="480"/>
          <w:jc w:val="center"/>
        </w:trPr>
        <w:tc>
          <w:tcPr>
            <w:tcW w:w="1661" w:type="dxa"/>
            <w:tcBorders>
              <w:top w:val="nil"/>
              <w:left w:val="single" w:sz="4" w:space="0" w:color="auto"/>
              <w:bottom w:val="single" w:sz="4" w:space="0" w:color="auto"/>
              <w:right w:val="single" w:sz="4" w:space="0" w:color="auto"/>
            </w:tcBorders>
            <w:shd w:val="clear" w:color="auto" w:fill="auto"/>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MOVIMIENTO CIUDADANO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right"/>
              <w:rPr>
                <w:rFonts w:eastAsia="Times New Roman" w:cs="Arial"/>
                <w:color w:val="000000"/>
                <w:sz w:val="16"/>
                <w:szCs w:val="16"/>
                <w:lang w:eastAsia="es-MX"/>
              </w:rPr>
            </w:pPr>
            <w:r w:rsidRPr="0061118F">
              <w:rPr>
                <w:rFonts w:eastAsia="Times New Roman" w:cs="Arial"/>
                <w:color w:val="000000"/>
                <w:sz w:val="16"/>
                <w:szCs w:val="16"/>
                <w:lang w:eastAsia="es-MX"/>
              </w:rPr>
              <w:t xml:space="preserve">                       465,006.47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116,251.62 </w:t>
            </w:r>
          </w:p>
        </w:tc>
      </w:tr>
      <w:tr w:rsidR="0061118F" w:rsidRPr="00EE6AF7" w:rsidTr="0061118F">
        <w:trPr>
          <w:trHeight w:val="240"/>
          <w:jc w:val="center"/>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MORENA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1,561,136.06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390,284.02 </w:t>
            </w:r>
          </w:p>
        </w:tc>
      </w:tr>
      <w:tr w:rsidR="0061118F" w:rsidRPr="00EE6AF7" w:rsidTr="0061118F">
        <w:trPr>
          <w:trHeight w:val="480"/>
          <w:jc w:val="center"/>
        </w:trPr>
        <w:tc>
          <w:tcPr>
            <w:tcW w:w="1661" w:type="dxa"/>
            <w:tcBorders>
              <w:top w:val="nil"/>
              <w:left w:val="single" w:sz="4" w:space="0" w:color="auto"/>
              <w:bottom w:val="single" w:sz="4" w:space="0" w:color="auto"/>
              <w:right w:val="single" w:sz="4" w:space="0" w:color="auto"/>
            </w:tcBorders>
            <w:shd w:val="clear" w:color="000000" w:fill="FFFFFF"/>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NUEVA ALIANZA YUCATÁN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402,683.80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100,670.95 </w:t>
            </w:r>
          </w:p>
        </w:tc>
      </w:tr>
      <w:tr w:rsidR="0061118F" w:rsidRPr="00EE6AF7" w:rsidTr="0061118F">
        <w:trPr>
          <w:trHeight w:val="24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TOTAL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6,842,662.43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1,710,665.61 </w:t>
            </w:r>
          </w:p>
        </w:tc>
      </w:tr>
    </w:tbl>
    <w:p w:rsidR="0061118F" w:rsidRDefault="0061118F"/>
    <w:p w:rsidR="00C532B7" w:rsidRDefault="00C532B7"/>
    <w:p w:rsidR="00C532B7" w:rsidRDefault="00E343DF">
      <w:r w:rsidRPr="00E343DF">
        <w:t>COMPUTOS DE LA ELECCIÓN DE DIPUTACIONES</w:t>
      </w:r>
    </w:p>
    <w:p w:rsidR="00AD3B8F" w:rsidRDefault="00AD3B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
        <w:gridCol w:w="482"/>
        <w:gridCol w:w="482"/>
        <w:gridCol w:w="425"/>
        <w:gridCol w:w="425"/>
        <w:gridCol w:w="425"/>
        <w:gridCol w:w="425"/>
        <w:gridCol w:w="504"/>
        <w:gridCol w:w="835"/>
        <w:gridCol w:w="1059"/>
        <w:gridCol w:w="368"/>
        <w:gridCol w:w="846"/>
        <w:gridCol w:w="892"/>
        <w:gridCol w:w="499"/>
        <w:gridCol w:w="539"/>
        <w:gridCol w:w="618"/>
        <w:gridCol w:w="948"/>
        <w:gridCol w:w="681"/>
      </w:tblGrid>
      <w:tr w:rsidR="00EC232A" w:rsidRPr="00EE6AF7" w:rsidTr="000F680B">
        <w:trPr>
          <w:trHeight w:val="660"/>
          <w:tblHeader/>
        </w:trPr>
        <w:tc>
          <w:tcPr>
            <w:tcW w:w="0" w:type="auto"/>
            <w:shd w:val="clear" w:color="auto" w:fill="auto"/>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br/>
              <w:t>DISTRITO</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PAN</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PRI</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PRD</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PVE</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PT</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MC</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Morena</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Nueva Alianza</w:t>
            </w:r>
          </w:p>
        </w:tc>
        <w:tc>
          <w:tcPr>
            <w:tcW w:w="0" w:type="auto"/>
            <w:shd w:val="clear" w:color="auto" w:fill="auto"/>
            <w:noWrap/>
            <w:vAlign w:val="center"/>
            <w:hideMark/>
          </w:tcPr>
          <w:p w:rsidR="00EC232A" w:rsidRPr="00EC232A" w:rsidRDefault="00EC232A" w:rsidP="00EC232A">
            <w:pPr>
              <w:jc w:val="left"/>
              <w:rPr>
                <w:rFonts w:ascii="Calibri" w:eastAsia="Times New Roman" w:hAnsi="Calibri" w:cs="Calibri"/>
                <w:sz w:val="22"/>
                <w:szCs w:val="22"/>
                <w:lang w:eastAsia="es-MX"/>
              </w:rPr>
            </w:pPr>
          </w:p>
          <w:tbl>
            <w:tblPr>
              <w:tblW w:w="0" w:type="auto"/>
              <w:tblCellSpacing w:w="0" w:type="dxa"/>
              <w:tblCellMar>
                <w:left w:w="0" w:type="dxa"/>
                <w:right w:w="0" w:type="dxa"/>
              </w:tblCellMar>
              <w:tblLook w:val="04A0" w:firstRow="1" w:lastRow="0" w:firstColumn="1" w:lastColumn="0" w:noHBand="0" w:noVBand="1"/>
            </w:tblPr>
            <w:tblGrid>
              <w:gridCol w:w="914"/>
            </w:tblGrid>
            <w:tr w:rsidR="00EC232A" w:rsidRPr="00EE6AF7">
              <w:trPr>
                <w:trHeight w:val="660"/>
                <w:tblCellSpacing w:w="0" w:type="dxa"/>
              </w:trPr>
              <w:tc>
                <w:tcPr>
                  <w:tcW w:w="1060" w:type="dxa"/>
                  <w:tcBorders>
                    <w:top w:val="single" w:sz="4" w:space="0" w:color="000000"/>
                    <w:left w:val="nil"/>
                    <w:bottom w:val="nil"/>
                    <w:right w:val="single" w:sz="4" w:space="0" w:color="000000"/>
                  </w:tcBorders>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PES</w:t>
                  </w:r>
                </w:p>
              </w:tc>
            </w:tr>
          </w:tbl>
          <w:p w:rsidR="00EC232A" w:rsidRPr="00EC232A" w:rsidRDefault="00EC232A" w:rsidP="00EC232A">
            <w:pPr>
              <w:jc w:val="left"/>
              <w:rPr>
                <w:rFonts w:ascii="Calibri" w:eastAsia="Times New Roman" w:hAnsi="Calibri" w:cs="Calibri"/>
                <w:sz w:val="22"/>
                <w:szCs w:val="22"/>
                <w:lang w:eastAsia="es-MX"/>
              </w:rPr>
            </w:pPr>
          </w:p>
        </w:tc>
        <w:tc>
          <w:tcPr>
            <w:tcW w:w="0" w:type="auto"/>
            <w:shd w:val="clear" w:color="auto" w:fill="auto"/>
            <w:noWrap/>
            <w:vAlign w:val="bottom"/>
            <w:hideMark/>
          </w:tcPr>
          <w:p w:rsidR="00EC232A" w:rsidRPr="00EC232A" w:rsidRDefault="00EC232A" w:rsidP="00EC232A">
            <w:pPr>
              <w:jc w:val="left"/>
              <w:rPr>
                <w:rFonts w:eastAsia="Times New Roman" w:cs="Arial"/>
                <w:color w:val="000000"/>
                <w:sz w:val="12"/>
                <w:szCs w:val="12"/>
                <w:lang w:eastAsia="es-MX"/>
              </w:rPr>
            </w:pPr>
            <w:r w:rsidRPr="00EC232A">
              <w:rPr>
                <w:rFonts w:eastAsia="Times New Roman" w:cs="Arial"/>
                <w:color w:val="000000"/>
                <w:sz w:val="12"/>
                <w:szCs w:val="12"/>
                <w:lang w:eastAsia="es-MX"/>
              </w:rPr>
              <w:t>RSP</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Fuerza México</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CANDIDATOS NO REGISTRADOS</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VOTOS NULOS</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br/>
              <w:t>TOTAL</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LISTA NOMINAL</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 DE PARTICIPACIÓN</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VOTACIÓN VÁLIDA EMITIDA</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20702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11996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398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321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26</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56621</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111417</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50.82%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54913</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23753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12675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1364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1555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16890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381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547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1741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61033</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115540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52.82%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59224</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21040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10937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664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1386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1464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19343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979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57</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1175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59214</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138075</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42.89%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57982</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39722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11687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641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813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1701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15398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358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1439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73820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133896</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55.13%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72336</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34342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10714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1036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443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13462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317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502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247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785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47</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65058</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115310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56.42%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64000</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16144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12882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3622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1725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633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4440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15758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1706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1538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419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2106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1438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62459</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105160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59.39%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61003</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15803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11485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407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1108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15459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455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255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805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49700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114509</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43.40%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47831</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16734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13493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2393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3031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3424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7372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22049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633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1825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74124</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104059</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71.23%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72286</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23883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17512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318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4567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3045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19323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704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3576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395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2098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76684</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112034</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74570</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29007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18772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770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17179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3720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452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326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248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1278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73048</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97898</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71766</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25278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20457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555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2087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1298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1243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3168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74230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101390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73.21%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73151</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16609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20225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10367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4499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6563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2060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10469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1336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407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1369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1590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75658</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101189</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74.77%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74060</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23934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13361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2785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512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3071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24440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4275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586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708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1800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78191</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101927</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76.71%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76496</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28720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23424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2399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6877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654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1646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15119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1385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272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763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83882</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100332</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83.60%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83018</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30067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23253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3467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2199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325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2726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19612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2519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2139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1972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89306</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107356</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83.19%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87324</w:t>
            </w:r>
          </w:p>
        </w:tc>
      </w:tr>
      <w:tr w:rsidR="00EC232A" w:rsidRPr="00EE6AF7" w:rsidTr="00EC232A">
        <w:trPr>
          <w:trHeight w:val="240"/>
        </w:trPr>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TOTALES =</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365738</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232873</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29440</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31887</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18572</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34974</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258183</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22283</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15802</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5248</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14930</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491</w:t>
            </w:r>
          </w:p>
        </w:tc>
        <w:tc>
          <w:tcPr>
            <w:tcW w:w="0" w:type="auto"/>
            <w:shd w:val="clear" w:color="auto" w:fill="auto"/>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22577</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1053028</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1660092</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63.43%</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1029960</w:t>
            </w:r>
          </w:p>
        </w:tc>
      </w:tr>
    </w:tbl>
    <w:p w:rsidR="00AD3B8F" w:rsidRDefault="00AD3B8F"/>
    <w:p w:rsidR="00C1086D" w:rsidRDefault="00C1086D"/>
    <w:p w:rsidR="00832984" w:rsidRDefault="003A542D" w:rsidP="008E0983">
      <w:pPr>
        <w:jc w:val="center"/>
      </w:pPr>
      <w:r w:rsidRPr="003A542D">
        <w:t xml:space="preserve">RESULTADOS GENERALES </w:t>
      </w:r>
      <w:r>
        <w:t>–</w:t>
      </w:r>
      <w:r w:rsidRPr="003A542D">
        <w:t xml:space="preserve"> </w:t>
      </w:r>
      <w:r>
        <w:t xml:space="preserve">COMPUTOS </w:t>
      </w:r>
      <w:r w:rsidRPr="003A542D">
        <w:t>DEL LA ELECCI</w:t>
      </w:r>
      <w:r>
        <w:t>Ó</w:t>
      </w:r>
      <w:r w:rsidRPr="003A542D">
        <w:t>N DE AYUNTAMIENTOS</w:t>
      </w:r>
    </w:p>
    <w:p w:rsidR="003A542D" w:rsidRDefault="008E0983" w:rsidP="008E0983">
      <w:pPr>
        <w:jc w:val="center"/>
      </w:pPr>
      <w:r w:rsidRPr="008E0983">
        <w:t>VOTOS PARTIDOS POLÍTICOS</w:t>
      </w:r>
    </w:p>
    <w:p w:rsidR="008E0983" w:rsidRDefault="008E0983" w:rsidP="008E0983">
      <w:pPr>
        <w:jc w:val="center"/>
      </w:pPr>
    </w:p>
    <w:tbl>
      <w:tblPr>
        <w:tblW w:w="0" w:type="auto"/>
        <w:tblCellMar>
          <w:left w:w="70" w:type="dxa"/>
          <w:right w:w="70" w:type="dxa"/>
        </w:tblCellMar>
        <w:tblLook w:val="04A0" w:firstRow="1" w:lastRow="0" w:firstColumn="1" w:lastColumn="0" w:noHBand="0" w:noVBand="1"/>
      </w:tblPr>
      <w:tblGrid>
        <w:gridCol w:w="1556"/>
        <w:gridCol w:w="608"/>
        <w:gridCol w:w="530"/>
        <w:gridCol w:w="452"/>
        <w:gridCol w:w="537"/>
        <w:gridCol w:w="452"/>
        <w:gridCol w:w="452"/>
        <w:gridCol w:w="763"/>
        <w:gridCol w:w="452"/>
        <w:gridCol w:w="452"/>
        <w:gridCol w:w="452"/>
        <w:gridCol w:w="452"/>
        <w:gridCol w:w="2086"/>
        <w:gridCol w:w="1028"/>
        <w:gridCol w:w="280"/>
        <w:gridCol w:w="608"/>
      </w:tblGrid>
      <w:tr w:rsidR="00B40642" w:rsidRPr="00EE6AF7" w:rsidTr="00B40642">
        <w:trPr>
          <w:trHeight w:val="1200"/>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40642" w:rsidRPr="00B40642" w:rsidRDefault="00B40642" w:rsidP="00B40642">
            <w:pPr>
              <w:jc w:val="left"/>
              <w:rPr>
                <w:rFonts w:eastAsia="Times New Roman" w:cs="Arial"/>
                <w:b/>
                <w:bCs/>
                <w:color w:val="000000"/>
                <w:sz w:val="14"/>
                <w:szCs w:val="14"/>
                <w:lang w:eastAsia="es-MX"/>
              </w:rPr>
            </w:pPr>
            <w:r w:rsidRPr="00B40642">
              <w:rPr>
                <w:rFonts w:eastAsia="Times New Roman" w:cs="Arial"/>
                <w:b/>
                <w:bCs/>
                <w:color w:val="000000"/>
                <w:sz w:val="14"/>
                <w:szCs w:val="14"/>
                <w:lang w:eastAsia="es-MX"/>
              </w:rPr>
              <w:br/>
              <w:t>MUNICIPIO</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PAN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PRI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PRD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PVEM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MC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MORENA</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NAY</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PES</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RSP</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FXM</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CANDIDATOS NO REGISTRADOS</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VOTOS NULOS</w:t>
            </w:r>
          </w:p>
        </w:tc>
        <w:tc>
          <w:tcPr>
            <w:tcW w:w="0" w:type="auto"/>
            <w:tcBorders>
              <w:top w:val="single" w:sz="4" w:space="0" w:color="000000"/>
              <w:left w:val="nil"/>
              <w:bottom w:val="single" w:sz="4" w:space="0" w:color="000000"/>
              <w:right w:val="nil"/>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CI</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40642" w:rsidRPr="00B40642" w:rsidRDefault="00B40642" w:rsidP="00B40642">
            <w:pPr>
              <w:jc w:val="left"/>
              <w:rPr>
                <w:rFonts w:eastAsia="Times New Roman" w:cs="Arial"/>
                <w:b/>
                <w:bCs/>
                <w:color w:val="000000"/>
                <w:sz w:val="14"/>
                <w:szCs w:val="14"/>
                <w:lang w:eastAsia="es-MX"/>
              </w:rPr>
            </w:pPr>
            <w:r w:rsidRPr="00B40642">
              <w:rPr>
                <w:rFonts w:eastAsia="Times New Roman" w:cs="Arial"/>
                <w:b/>
                <w:bCs/>
                <w:color w:val="000000"/>
                <w:sz w:val="14"/>
                <w:szCs w:val="14"/>
                <w:lang w:eastAsia="es-MX"/>
              </w:rPr>
              <w:br/>
              <w:t>TOTAL</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ABALA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66</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4476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ACANCEH</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9335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AKIL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2205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6443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BACA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978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968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4010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BOKOBA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BUCTZOTZ</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3265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678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6061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CACALCHEN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4745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CALOTMUL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3247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CANSAHCAB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3150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CANTAMAYEC</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1755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CELESTUN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765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5087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CENOTILLO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2620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CONKAL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6642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CUNCUNUL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1372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CUZAMA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2302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CHACSINKIN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2174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CHANKOM</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2808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CHAPAB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655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2814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CHEMAX</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9799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18780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CHICXULUB PUEBLO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2959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CHICHIMILA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2382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2560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6028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CHIKINDZONOT</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2960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CHOCHOLA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3217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CHUMAYEL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2377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DZAN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3793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DZEMUL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2943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DZIDZANTUN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5619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DZILAM DE BRAVO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2113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DZILAM GONZALEZ</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175</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4591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DZITAS</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2834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DZONCAUICH</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2551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ESPITA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8723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HALACHO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1581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13255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HOCABA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3941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HOCTUN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4425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HOMUN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2060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5582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HUHI</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3646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HUNUCMA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18472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IXIL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2815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IZAMAL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16970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KANASIN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12913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10521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37679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KANTUNIL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3398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KAUA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2287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KINCHIL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4762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KOPOMA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MAMA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2373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MANI</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3654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MAXCANU</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13631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MAYAPAN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1484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2682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MERIDA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163844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87086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82788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6163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369326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MOCOCHA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1120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2622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MOTUL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19612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MUNA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7515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MUXUPIP</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2182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OPICHEN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4385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OXKUTZCAB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15977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PANABA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5220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PETO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3101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13293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PROGRESO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9183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27757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QUINTANA ROO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RIO LAGARTOS</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2601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SACALUM</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3355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SAMAHIL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3796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SANAHCAT</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1354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1777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1372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2757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SEYE</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6394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SINANCHE</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2440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SOTUTA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5118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SUCILA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2753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SUDZAL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1527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SUMA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1439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TAHDZIU</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1598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3092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TAHMEK</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2871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TEABO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2372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4302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TECOH</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3368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10654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TEKAL DE VENEGAS</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1861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TEKANTO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2872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TEKAX</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22165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TEKIT</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3475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7345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TEKOM</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2679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TELCHAC PUEBLO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2487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TELCHAC PUERTO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1706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TEMAX</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3586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TEMOZON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10456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TEPAKAN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1809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TETIZ</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3359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TEYA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1468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TICUL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18401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TIMUCUY</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5087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TINUM</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7348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TIXCACALCUPUL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2346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4458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TIXKOKOB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10883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TIXMEHUAC</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3708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TIXPEUAL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3875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TIZIMIN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17424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12823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741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38567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TUNKAS</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2571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TZUCACAB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1382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3375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8529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UCU</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2548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UMAN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8097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6735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27036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7837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8406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9990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821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35446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XOCCHEL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2364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YAXCABA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2136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YAXKUKUL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2359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YOBAIN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1872</w:t>
            </w:r>
          </w:p>
        </w:tc>
      </w:tr>
    </w:tbl>
    <w:p w:rsidR="00FA49E9" w:rsidRDefault="00FA49E9" w:rsidP="008E0983">
      <w:pPr>
        <w:jc w:val="center"/>
      </w:pPr>
    </w:p>
    <w:sectPr w:rsidR="00FA49E9" w:rsidSect="00EE6AF7">
      <w:headerReference w:type="default" r:id="rId27"/>
      <w:footerReference w:type="default" r:id="rId28"/>
      <w:pgSz w:w="15840" w:h="12240" w:orient="landscape" w:code="1"/>
      <w:pgMar w:top="1701" w:right="3402" w:bottom="1701" w:left="1418" w:header="709" w:footer="709" w:gutter="0"/>
      <w:pgNumType w:start="69"/>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742" w:rsidRDefault="00830742">
      <w:r>
        <w:separator/>
      </w:r>
    </w:p>
  </w:endnote>
  <w:endnote w:type="continuationSeparator" w:id="0">
    <w:p w:rsidR="00830742" w:rsidRDefault="00830742">
      <w:r>
        <w:continuationSeparator/>
      </w:r>
    </w:p>
  </w:endnote>
  <w:endnote w:type="continuationNotice" w:id="1">
    <w:p w:rsidR="00830742" w:rsidRDefault="00830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rlow">
    <w:altName w:val="Times New Roman"/>
    <w:charset w:val="00"/>
    <w:family w:val="auto"/>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Barlow Bold">
    <w:altName w:val="Calibri"/>
    <w:charset w:val="4D"/>
    <w:family w:val="auto"/>
    <w:pitch w:val="variable"/>
    <w:sig w:usb0="00000007" w:usb1="00000000" w:usb2="00000000" w:usb3="00000000" w:csb0="00000093" w:csb1="00000000"/>
  </w:font>
  <w:font w:name="Barlow Medium">
    <w:altName w:val="Times New Roman"/>
    <w:charset w:val="00"/>
    <w:family w:val="auto"/>
    <w:pitch w:val="variable"/>
    <w:sig w:usb0="00000001" w:usb1="00000000" w:usb2="00000000" w:usb3="00000000" w:csb0="00000093" w:csb1="00000000"/>
  </w:font>
  <w:font w:name="Soberana Titular">
    <w:altName w:val="Calibri"/>
    <w:charset w:val="4D"/>
    <w:family w:val="auto"/>
    <w:pitch w:val="variable"/>
    <w:sig w:usb0="800000AF" w:usb1="4000204A"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700" w:rsidRPr="00F711F3" w:rsidRDefault="00C95CA3">
    <w:pPr>
      <w:pStyle w:val="Piedepgina"/>
      <w:jc w:val="center"/>
      <w:rPr>
        <w:rFonts w:cs="Arial"/>
      </w:rPr>
    </w:pPr>
    <w:r w:rsidRPr="00F711F3">
      <w:rPr>
        <w:rFonts w:cs="Arial"/>
      </w:rPr>
      <w:fldChar w:fldCharType="begin"/>
    </w:r>
    <w:r w:rsidR="00513700" w:rsidRPr="00F711F3">
      <w:rPr>
        <w:rFonts w:cs="Arial"/>
      </w:rPr>
      <w:instrText>PAGE   \* MERGEFORMAT</w:instrText>
    </w:r>
    <w:r w:rsidRPr="00F711F3">
      <w:rPr>
        <w:rFonts w:cs="Arial"/>
      </w:rPr>
      <w:fldChar w:fldCharType="separate"/>
    </w:r>
    <w:r w:rsidR="008A5EAC" w:rsidRPr="008A5EAC">
      <w:rPr>
        <w:rFonts w:cs="Arial"/>
        <w:noProof/>
        <w:lang w:val="es-ES"/>
      </w:rPr>
      <w:t>70</w:t>
    </w:r>
    <w:r w:rsidRPr="00F711F3">
      <w:rPr>
        <w:rFonts w:cs="Arial"/>
      </w:rPr>
      <w:fldChar w:fldCharType="end"/>
    </w:r>
  </w:p>
  <w:p w:rsidR="00513700" w:rsidRDefault="00513700" w:rsidP="00207DB4">
    <w:pPr>
      <w:pStyle w:val="Piedepgina"/>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742" w:rsidRDefault="00830742">
      <w:r>
        <w:separator/>
      </w:r>
    </w:p>
  </w:footnote>
  <w:footnote w:type="continuationSeparator" w:id="0">
    <w:p w:rsidR="00830742" w:rsidRDefault="00830742">
      <w:r>
        <w:continuationSeparator/>
      </w:r>
    </w:p>
  </w:footnote>
  <w:footnote w:type="continuationNotice" w:id="1">
    <w:p w:rsidR="00830742" w:rsidRDefault="00830742"/>
  </w:footnote>
  <w:footnote w:id="2">
    <w:p w:rsidR="00513700" w:rsidRPr="00D661E0" w:rsidRDefault="00513700" w:rsidP="00CA5D51">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Unicef (2011). Inversión pública en la infancia y la adolescencia en México. México: Unicef México.</w:t>
      </w:r>
    </w:p>
  </w:footnote>
  <w:footnote w:id="3">
    <w:p w:rsidR="00513700" w:rsidRPr="00D661E0" w:rsidRDefault="00513700" w:rsidP="00CA5D51">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Esta categoría (Población de 0 y más años) responde a proyectos donde la inversión se destina parcialmente en beneficio de la infancia sin embargo por su naturaleza impactan sobre toda la población. A la par responden a proyectos donde su inversión por especificidad puede ser agéntico, bienes públicos o población ampliada.</w:t>
      </w:r>
    </w:p>
  </w:footnote>
  <w:footnote w:id="4">
    <w:p w:rsidR="00513700" w:rsidRPr="00C33EBF" w:rsidRDefault="00513700" w:rsidP="00CA5D51">
      <w:pPr>
        <w:pStyle w:val="Textonotapie"/>
        <w:rPr>
          <w:rFonts w:ascii="Barlow" w:hAnsi="Barlow" w:cs="Arial"/>
          <w:color w:val="121D56"/>
          <w:sz w:val="18"/>
          <w:szCs w:val="18"/>
          <w:lang w:val="es-MX"/>
        </w:rPr>
      </w:pPr>
      <w:r w:rsidRPr="00EE6AF7">
        <w:rPr>
          <w:rStyle w:val="Refdenotaalpie"/>
          <w:rFonts w:ascii="Barlow" w:hAnsi="Barlow"/>
          <w:color w:val="000000"/>
          <w:sz w:val="18"/>
          <w:szCs w:val="18"/>
        </w:rPr>
        <w:footnoteRef/>
      </w:r>
      <w:r w:rsidRPr="00EE6AF7">
        <w:rPr>
          <w:rFonts w:ascii="Barlow" w:hAnsi="Barlow" w:cs="Arial"/>
          <w:color w:val="000000"/>
          <w:sz w:val="18"/>
          <w:szCs w:val="18"/>
          <w:lang w:val="es-MX"/>
        </w:rPr>
        <w:t xml:space="preserve"> </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vers</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ó</w:t>
      </w:r>
      <w:r w:rsidRPr="00EE6AF7">
        <w:rPr>
          <w:rFonts w:ascii="Arial" w:eastAsia="Arial" w:hAnsi="Arial" w:cs="Arial"/>
          <w:color w:val="000000"/>
          <w:position w:val="-2"/>
          <w:sz w:val="18"/>
          <w:szCs w:val="18"/>
          <w:lang w:val="es-MX"/>
        </w:rPr>
        <w:t>n</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p</w:t>
      </w:r>
      <w:r w:rsidRPr="00EE6AF7">
        <w:rPr>
          <w:rFonts w:ascii="Arial" w:eastAsia="Arial" w:hAnsi="Arial" w:cs="Arial"/>
          <w:color w:val="000000"/>
          <w:spacing w:val="1"/>
          <w:position w:val="-2"/>
          <w:sz w:val="18"/>
          <w:szCs w:val="18"/>
          <w:lang w:val="es-MX"/>
        </w:rPr>
        <w:t>ú</w:t>
      </w:r>
      <w:r w:rsidRPr="00EE6AF7">
        <w:rPr>
          <w:rFonts w:ascii="Arial" w:eastAsia="Arial" w:hAnsi="Arial" w:cs="Arial"/>
          <w:color w:val="000000"/>
          <w:position w:val="-2"/>
          <w:sz w:val="18"/>
          <w:szCs w:val="18"/>
          <w:lang w:val="es-MX"/>
        </w:rPr>
        <w:t>b</w:t>
      </w:r>
      <w:r w:rsidRPr="00EE6AF7">
        <w:rPr>
          <w:rFonts w:ascii="Arial" w:eastAsia="Arial" w:hAnsi="Arial" w:cs="Arial"/>
          <w:color w:val="000000"/>
          <w:spacing w:val="1"/>
          <w:position w:val="-2"/>
          <w:sz w:val="18"/>
          <w:szCs w:val="18"/>
          <w:lang w:val="es-MX"/>
        </w:rPr>
        <w:t>l</w:t>
      </w:r>
      <w:r w:rsidRPr="00EE6AF7">
        <w:rPr>
          <w:rFonts w:ascii="Arial" w:eastAsia="Arial" w:hAnsi="Arial" w:cs="Arial"/>
          <w:color w:val="000000"/>
          <w:position w:val="-2"/>
          <w:sz w:val="18"/>
          <w:szCs w:val="18"/>
          <w:lang w:val="es-MX"/>
        </w:rPr>
        <w:t>ica</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en</w:t>
      </w:r>
      <w:r w:rsidRPr="00EE6AF7">
        <w:rPr>
          <w:rFonts w:ascii="Arial" w:eastAsia="Arial" w:hAnsi="Arial" w:cs="Arial"/>
          <w:color w:val="000000"/>
          <w:spacing w:val="-1"/>
          <w:position w:val="-2"/>
          <w:sz w:val="18"/>
          <w:szCs w:val="18"/>
          <w:lang w:val="es-MX"/>
        </w:rPr>
        <w:t xml:space="preserve"> la 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1"/>
          <w:position w:val="-2"/>
          <w:sz w:val="18"/>
          <w:szCs w:val="18"/>
          <w:lang w:val="es-MX"/>
        </w:rPr>
        <w:t>a</w:t>
      </w:r>
      <w:r w:rsidRPr="00EE6AF7">
        <w:rPr>
          <w:rFonts w:ascii="Arial" w:eastAsia="Arial" w:hAnsi="Arial" w:cs="Arial"/>
          <w:color w:val="000000"/>
          <w:position w:val="-2"/>
          <w:sz w:val="18"/>
          <w:szCs w:val="18"/>
          <w:lang w:val="es-MX"/>
        </w:rPr>
        <w:t>ncia y la adolescencia en México (Unic</w:t>
      </w:r>
      <w:r w:rsidRPr="00EE6AF7">
        <w:rPr>
          <w:rFonts w:ascii="Arial" w:eastAsia="Arial" w:hAnsi="Arial" w:cs="Arial"/>
          <w:color w:val="000000"/>
          <w:spacing w:val="1"/>
          <w:position w:val="-2"/>
          <w:sz w:val="18"/>
          <w:szCs w:val="18"/>
          <w:lang w:val="es-MX"/>
        </w:rPr>
        <w:t>e</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6"/>
          <w:position w:val="-2"/>
          <w:sz w:val="18"/>
          <w:szCs w:val="18"/>
          <w:lang w:val="es-MX"/>
        </w:rPr>
        <w:t xml:space="preserve"> </w:t>
      </w:r>
      <w:r w:rsidRPr="00EE6AF7">
        <w:rPr>
          <w:rFonts w:ascii="Arial" w:eastAsia="Arial" w:hAnsi="Arial" w:cs="Arial"/>
          <w:color w:val="000000"/>
          <w:spacing w:val="1"/>
          <w:position w:val="-2"/>
          <w:sz w:val="18"/>
          <w:szCs w:val="18"/>
          <w:lang w:val="es-MX"/>
        </w:rPr>
        <w:t>2</w:t>
      </w:r>
      <w:r w:rsidRPr="00EE6AF7">
        <w:rPr>
          <w:rFonts w:ascii="Arial" w:eastAsia="Arial" w:hAnsi="Arial" w:cs="Arial"/>
          <w:color w:val="000000"/>
          <w:spacing w:val="-1"/>
          <w:position w:val="-2"/>
          <w:sz w:val="18"/>
          <w:szCs w:val="18"/>
          <w:lang w:val="es-MX"/>
        </w:rPr>
        <w:t>0</w:t>
      </w:r>
      <w:r w:rsidRPr="00EE6AF7">
        <w:rPr>
          <w:rFonts w:ascii="Arial" w:eastAsia="Arial" w:hAnsi="Arial" w:cs="Arial"/>
          <w:color w:val="000000"/>
          <w:spacing w:val="1"/>
          <w:position w:val="-2"/>
          <w:sz w:val="18"/>
          <w:szCs w:val="18"/>
          <w:lang w:val="es-MX"/>
        </w:rPr>
        <w:t>1</w:t>
      </w:r>
      <w:r w:rsidRPr="00EE6AF7">
        <w:rPr>
          <w:rFonts w:ascii="Arial" w:eastAsia="Arial" w:hAnsi="Arial" w:cs="Arial"/>
          <w:color w:val="000000"/>
          <w:position w:val="-2"/>
          <w:sz w:val="18"/>
          <w:szCs w:val="18"/>
          <w:lang w:val="es-MX"/>
        </w:rPr>
        <w:t xml:space="preserve">1). </w:t>
      </w:r>
      <w:r w:rsidRPr="00EE6AF7">
        <w:rPr>
          <w:rStyle w:val="Hipervnculo"/>
          <w:rFonts w:ascii="Arial" w:hAnsi="Arial" w:cs="Arial"/>
          <w:color w:val="000000"/>
          <w:sz w:val="18"/>
          <w:szCs w:val="18"/>
          <w:lang w:val="es-MX"/>
        </w:rPr>
        <w:t>https://www.unicef.org/mexico/media/1756/file/mx_inversion_actualizada.pdf</w:t>
      </w:r>
    </w:p>
  </w:footnote>
  <w:footnote w:id="5">
    <w:p w:rsidR="00513700" w:rsidRPr="00513700" w:rsidRDefault="00513700" w:rsidP="00CA5D51">
      <w:pPr>
        <w:pStyle w:val="Textonotapie"/>
        <w:rPr>
          <w:rFonts w:ascii="Arial" w:hAnsi="Arial" w:cs="Arial"/>
          <w:sz w:val="18"/>
          <w:szCs w:val="18"/>
          <w:lang w:val="es-MX"/>
        </w:rPr>
      </w:pPr>
      <w:r w:rsidRPr="00D661E0">
        <w:rPr>
          <w:rStyle w:val="Refdenotaalpie"/>
          <w:rFonts w:ascii="Arial" w:hAnsi="Arial" w:cs="Arial"/>
          <w:sz w:val="18"/>
          <w:szCs w:val="18"/>
        </w:rPr>
        <w:footnoteRef/>
      </w:r>
      <w:r w:rsidRPr="00513700">
        <w:rPr>
          <w:rFonts w:ascii="Arial" w:hAnsi="Arial" w:cs="Arial"/>
          <w:sz w:val="18"/>
          <w:szCs w:val="18"/>
          <w:lang w:val="es-MX"/>
        </w:rPr>
        <w:t xml:space="preserve"> </w:t>
      </w:r>
      <w:r w:rsidRPr="00EE6AF7">
        <w:rPr>
          <w:rFonts w:ascii="Arial" w:eastAsia="Times New Roman" w:hAnsi="Arial" w:cs="Arial"/>
          <w:sz w:val="18"/>
          <w:szCs w:val="18"/>
          <w:lang w:val="es-ES_tradnl" w:eastAsia="es-ES"/>
        </w:rPr>
        <w:t>Unicef (2011). Inversión pública en la infancia y la adolescencia en México. México: Unicef México</w:t>
      </w:r>
    </w:p>
  </w:footnote>
  <w:footnote w:id="6">
    <w:p w:rsidR="00513700" w:rsidRPr="00D661E0" w:rsidRDefault="00513700" w:rsidP="00CA5D51">
      <w:pPr>
        <w:rPr>
          <w:rFonts w:cs="Arial"/>
          <w:sz w:val="18"/>
          <w:szCs w:val="18"/>
        </w:rPr>
      </w:pPr>
      <w:r w:rsidRPr="00D661E0">
        <w:rPr>
          <w:rStyle w:val="Refdenotaalpie"/>
          <w:rFonts w:cs="Arial"/>
          <w:sz w:val="18"/>
          <w:szCs w:val="18"/>
        </w:rPr>
        <w:footnoteRef/>
      </w:r>
      <w:r w:rsidRPr="00D661E0">
        <w:rPr>
          <w:rFonts w:cs="Arial"/>
          <w:sz w:val="18"/>
          <w:szCs w:val="18"/>
        </w:rPr>
        <w:t xml:space="preserve"> Programa de las Naciones Unidas para el Desarrollo (PNUD). Organización de las Naciones Unidas (ONU)</w:t>
      </w:r>
    </w:p>
  </w:footnote>
  <w:footnote w:id="7">
    <w:p w:rsidR="00513700" w:rsidRPr="00513700" w:rsidRDefault="00513700" w:rsidP="00CA5D51">
      <w:pPr>
        <w:pStyle w:val="Textonotapie"/>
        <w:rPr>
          <w:rFonts w:ascii="Barlow" w:hAnsi="Barlow" w:cs="Arial"/>
          <w:sz w:val="18"/>
          <w:szCs w:val="18"/>
          <w:lang w:val="es-MX"/>
        </w:rPr>
      </w:pPr>
      <w:r w:rsidRPr="00D661E0">
        <w:rPr>
          <w:rStyle w:val="Refdenotaalpie"/>
          <w:rFonts w:ascii="Arial" w:hAnsi="Arial" w:cs="Arial"/>
          <w:sz w:val="18"/>
          <w:szCs w:val="18"/>
        </w:rPr>
        <w:footnoteRef/>
      </w:r>
      <w:r w:rsidRPr="00513700">
        <w:rPr>
          <w:rFonts w:ascii="Arial" w:hAnsi="Arial" w:cs="Arial"/>
          <w:sz w:val="18"/>
          <w:szCs w:val="18"/>
          <w:lang w:val="es-MX"/>
        </w:rPr>
        <w:t xml:space="preserve"> </w:t>
      </w:r>
      <w:r w:rsidRPr="00EE6AF7">
        <w:rPr>
          <w:rFonts w:ascii="Arial" w:eastAsia="Times New Roman" w:hAnsi="Arial" w:cs="Arial"/>
          <w:sz w:val="18"/>
          <w:szCs w:val="18"/>
          <w:lang w:val="es-ES_tradnl" w:eastAsia="es-ES"/>
        </w:rPr>
        <w:t>Unicef (2011). Inversión pública en la infancia y la adolescencia en México. México: Unicef México</w:t>
      </w:r>
    </w:p>
  </w:footnote>
  <w:footnote w:id="8">
    <w:p w:rsidR="00513700" w:rsidRPr="00663927" w:rsidRDefault="00513700" w:rsidP="00100FA0">
      <w:pPr>
        <w:pStyle w:val="Textonotapie"/>
        <w:rPr>
          <w:rFonts w:ascii="Arial" w:eastAsia="Arial" w:hAnsi="Arial" w:cs="Arial"/>
          <w:sz w:val="18"/>
          <w:szCs w:val="24"/>
          <w:lang w:val="es-ES_tradnl" w:eastAsia="es-ES"/>
        </w:rPr>
      </w:pPr>
      <w:r w:rsidRPr="00663927">
        <w:rPr>
          <w:rFonts w:ascii="Arial" w:eastAsia="Arial" w:hAnsi="Arial" w:cs="Arial"/>
          <w:sz w:val="18"/>
          <w:szCs w:val="24"/>
          <w:vertAlign w:val="superscript"/>
          <w:lang w:val="es-ES_tradnl" w:eastAsia="es-ES"/>
        </w:rPr>
        <w:footnoteRef/>
      </w:r>
      <w:r w:rsidRPr="00663927">
        <w:rPr>
          <w:rFonts w:ascii="Arial" w:eastAsia="Arial" w:hAnsi="Arial" w:cs="Arial"/>
          <w:sz w:val="18"/>
          <w:szCs w:val="24"/>
          <w:lang w:val="es-ES_tradnl" w:eastAsia="es-ES"/>
        </w:rPr>
        <w:t xml:space="preserve"> Unicef (2011). Inversión pública en la infancia y la adolescencia en México. México: Unicef México.</w:t>
      </w:r>
    </w:p>
    <w:p w:rsidR="00513700" w:rsidRPr="004A2B44" w:rsidRDefault="00513700" w:rsidP="00100FA0">
      <w:pPr>
        <w:pStyle w:val="Textonotapie"/>
        <w:rPr>
          <w:lang w:val="es-MX"/>
        </w:rPr>
      </w:pPr>
    </w:p>
  </w:footnote>
  <w:footnote w:id="9">
    <w:p w:rsidR="00513700" w:rsidRPr="00C33EBF" w:rsidRDefault="00513700" w:rsidP="00100FA0">
      <w:pPr>
        <w:pStyle w:val="Textonotapie"/>
        <w:rPr>
          <w:rFonts w:ascii="Barlow" w:hAnsi="Barlow" w:cs="Arial"/>
          <w:color w:val="121D56"/>
          <w:sz w:val="18"/>
          <w:szCs w:val="18"/>
          <w:lang w:val="es-MX"/>
        </w:rPr>
      </w:pPr>
      <w:r w:rsidRPr="00EE6AF7">
        <w:rPr>
          <w:rStyle w:val="Refdenotaalpie"/>
          <w:rFonts w:ascii="Barlow" w:hAnsi="Barlow"/>
          <w:color w:val="000000"/>
          <w:sz w:val="18"/>
          <w:szCs w:val="18"/>
        </w:rPr>
        <w:footnoteRef/>
      </w:r>
      <w:r w:rsidRPr="00EE6AF7">
        <w:rPr>
          <w:rFonts w:ascii="Barlow" w:hAnsi="Barlow" w:cs="Arial"/>
          <w:color w:val="000000"/>
          <w:sz w:val="18"/>
          <w:szCs w:val="18"/>
          <w:lang w:val="es-MX"/>
        </w:rPr>
        <w:t xml:space="preserve"> </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vers</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ó</w:t>
      </w:r>
      <w:r w:rsidRPr="00EE6AF7">
        <w:rPr>
          <w:rFonts w:ascii="Arial" w:eastAsia="Arial" w:hAnsi="Arial" w:cs="Arial"/>
          <w:color w:val="000000"/>
          <w:position w:val="-2"/>
          <w:sz w:val="18"/>
          <w:szCs w:val="18"/>
          <w:lang w:val="es-MX"/>
        </w:rPr>
        <w:t>n</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p</w:t>
      </w:r>
      <w:r w:rsidRPr="00EE6AF7">
        <w:rPr>
          <w:rFonts w:ascii="Arial" w:eastAsia="Arial" w:hAnsi="Arial" w:cs="Arial"/>
          <w:color w:val="000000"/>
          <w:spacing w:val="1"/>
          <w:position w:val="-2"/>
          <w:sz w:val="18"/>
          <w:szCs w:val="18"/>
          <w:lang w:val="es-MX"/>
        </w:rPr>
        <w:t>ú</w:t>
      </w:r>
      <w:r w:rsidRPr="00EE6AF7">
        <w:rPr>
          <w:rFonts w:ascii="Arial" w:eastAsia="Arial" w:hAnsi="Arial" w:cs="Arial"/>
          <w:color w:val="000000"/>
          <w:position w:val="-2"/>
          <w:sz w:val="18"/>
          <w:szCs w:val="18"/>
          <w:lang w:val="es-MX"/>
        </w:rPr>
        <w:t>b</w:t>
      </w:r>
      <w:r w:rsidRPr="00EE6AF7">
        <w:rPr>
          <w:rFonts w:ascii="Arial" w:eastAsia="Arial" w:hAnsi="Arial" w:cs="Arial"/>
          <w:color w:val="000000"/>
          <w:spacing w:val="1"/>
          <w:position w:val="-2"/>
          <w:sz w:val="18"/>
          <w:szCs w:val="18"/>
          <w:lang w:val="es-MX"/>
        </w:rPr>
        <w:t>l</w:t>
      </w:r>
      <w:r w:rsidRPr="00EE6AF7">
        <w:rPr>
          <w:rFonts w:ascii="Arial" w:eastAsia="Arial" w:hAnsi="Arial" w:cs="Arial"/>
          <w:color w:val="000000"/>
          <w:position w:val="-2"/>
          <w:sz w:val="18"/>
          <w:szCs w:val="18"/>
          <w:lang w:val="es-MX"/>
        </w:rPr>
        <w:t>ica</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en</w:t>
      </w:r>
      <w:r w:rsidRPr="00EE6AF7">
        <w:rPr>
          <w:rFonts w:ascii="Arial" w:eastAsia="Arial" w:hAnsi="Arial" w:cs="Arial"/>
          <w:color w:val="000000"/>
          <w:spacing w:val="-1"/>
          <w:position w:val="-2"/>
          <w:sz w:val="18"/>
          <w:szCs w:val="18"/>
          <w:lang w:val="es-MX"/>
        </w:rPr>
        <w:t xml:space="preserve"> la 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1"/>
          <w:position w:val="-2"/>
          <w:sz w:val="18"/>
          <w:szCs w:val="18"/>
          <w:lang w:val="es-MX"/>
        </w:rPr>
        <w:t>a</w:t>
      </w:r>
      <w:r w:rsidRPr="00EE6AF7">
        <w:rPr>
          <w:rFonts w:ascii="Arial" w:eastAsia="Arial" w:hAnsi="Arial" w:cs="Arial"/>
          <w:color w:val="000000"/>
          <w:position w:val="-2"/>
          <w:sz w:val="18"/>
          <w:szCs w:val="18"/>
          <w:lang w:val="es-MX"/>
        </w:rPr>
        <w:t>ncia y la adolescencia en México (Unic</w:t>
      </w:r>
      <w:r w:rsidRPr="00EE6AF7">
        <w:rPr>
          <w:rFonts w:ascii="Arial" w:eastAsia="Arial" w:hAnsi="Arial" w:cs="Arial"/>
          <w:color w:val="000000"/>
          <w:spacing w:val="1"/>
          <w:position w:val="-2"/>
          <w:sz w:val="18"/>
          <w:szCs w:val="18"/>
          <w:lang w:val="es-MX"/>
        </w:rPr>
        <w:t>e</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6"/>
          <w:position w:val="-2"/>
          <w:sz w:val="18"/>
          <w:szCs w:val="18"/>
          <w:lang w:val="es-MX"/>
        </w:rPr>
        <w:t xml:space="preserve"> </w:t>
      </w:r>
      <w:r w:rsidRPr="00EE6AF7">
        <w:rPr>
          <w:rFonts w:ascii="Arial" w:eastAsia="Arial" w:hAnsi="Arial" w:cs="Arial"/>
          <w:color w:val="000000"/>
          <w:spacing w:val="1"/>
          <w:position w:val="-2"/>
          <w:sz w:val="18"/>
          <w:szCs w:val="18"/>
          <w:lang w:val="es-MX"/>
        </w:rPr>
        <w:t>2</w:t>
      </w:r>
      <w:r w:rsidRPr="00EE6AF7">
        <w:rPr>
          <w:rFonts w:ascii="Arial" w:eastAsia="Arial" w:hAnsi="Arial" w:cs="Arial"/>
          <w:color w:val="000000"/>
          <w:spacing w:val="-1"/>
          <w:position w:val="-2"/>
          <w:sz w:val="18"/>
          <w:szCs w:val="18"/>
          <w:lang w:val="es-MX"/>
        </w:rPr>
        <w:t>0</w:t>
      </w:r>
      <w:r w:rsidRPr="00EE6AF7">
        <w:rPr>
          <w:rFonts w:ascii="Arial" w:eastAsia="Arial" w:hAnsi="Arial" w:cs="Arial"/>
          <w:color w:val="000000"/>
          <w:spacing w:val="1"/>
          <w:position w:val="-2"/>
          <w:sz w:val="18"/>
          <w:szCs w:val="18"/>
          <w:lang w:val="es-MX"/>
        </w:rPr>
        <w:t>1</w:t>
      </w:r>
      <w:r w:rsidRPr="00EE6AF7">
        <w:rPr>
          <w:rFonts w:ascii="Arial" w:eastAsia="Arial" w:hAnsi="Arial" w:cs="Arial"/>
          <w:color w:val="000000"/>
          <w:position w:val="-2"/>
          <w:sz w:val="18"/>
          <w:szCs w:val="18"/>
          <w:lang w:val="es-MX"/>
        </w:rPr>
        <w:t xml:space="preserve">1). </w:t>
      </w:r>
      <w:r w:rsidRPr="00EE6AF7">
        <w:rPr>
          <w:rStyle w:val="Hipervnculo"/>
          <w:rFonts w:ascii="Arial" w:hAnsi="Arial" w:cs="Arial"/>
          <w:color w:val="000000"/>
          <w:sz w:val="18"/>
          <w:szCs w:val="18"/>
          <w:lang w:val="es-MX"/>
        </w:rPr>
        <w:t>https://www.unicef.org/mexico/media/1756/file/mx_inversion_actualizada.pdf</w:t>
      </w:r>
    </w:p>
  </w:footnote>
  <w:footnote w:id="10">
    <w:p w:rsidR="00513700" w:rsidRPr="00B825F4" w:rsidRDefault="00513700" w:rsidP="00100FA0">
      <w:pPr>
        <w:pStyle w:val="Textonotapie"/>
        <w:rPr>
          <w:rFonts w:ascii="Arial" w:eastAsia="Arial" w:hAnsi="Arial" w:cs="Arial"/>
          <w:color w:val="121D56"/>
          <w:sz w:val="18"/>
          <w:szCs w:val="24"/>
          <w:lang w:val="es-ES_tradnl" w:eastAsia="es-ES"/>
        </w:rPr>
      </w:pPr>
      <w:r w:rsidRPr="00B825F4">
        <w:rPr>
          <w:rFonts w:ascii="Arial" w:eastAsia="Arial" w:hAnsi="Arial" w:cs="Arial"/>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Unicef  (2011). Inversión pública en la infancia y la adolescencia en México. México: Unicef México</w:t>
      </w:r>
    </w:p>
  </w:footnote>
  <w:footnote w:id="11">
    <w:p w:rsidR="00513700" w:rsidRPr="00B825F4" w:rsidRDefault="00513700" w:rsidP="00100FA0">
      <w:pPr>
        <w:pStyle w:val="Textonotapie"/>
        <w:rPr>
          <w:rFonts w:ascii="Arial" w:eastAsia="Arial" w:hAnsi="Arial" w:cs="Arial"/>
          <w:sz w:val="18"/>
          <w:szCs w:val="24"/>
          <w:lang w:val="es-ES_tradnl" w:eastAsia="es-ES"/>
        </w:rPr>
      </w:pPr>
      <w:r w:rsidRPr="00B825F4">
        <w:rPr>
          <w:rFonts w:ascii="Arial" w:eastAsia="Arial" w:hAnsi="Arial" w:cs="Arial"/>
          <w:sz w:val="18"/>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Programa de las Naciones Unidas para el Desarrollo (PNUD). Organización de las Naciones Unidas (ONU)</w:t>
      </w:r>
    </w:p>
  </w:footnote>
  <w:footnote w:id="12">
    <w:p w:rsidR="00513700" w:rsidRPr="00B825F4" w:rsidRDefault="00513700" w:rsidP="00100FA0">
      <w:pPr>
        <w:rPr>
          <w:rFonts w:cs="Arial"/>
          <w:sz w:val="18"/>
        </w:rPr>
      </w:pPr>
      <w:r w:rsidRPr="00B825F4">
        <w:rPr>
          <w:rStyle w:val="Refdenotaalpie"/>
          <w:rFonts w:cs="Arial"/>
          <w:sz w:val="18"/>
        </w:rPr>
        <w:footnoteRef/>
      </w:r>
      <w:r w:rsidRPr="00B825F4">
        <w:rPr>
          <w:rFonts w:cs="Arial"/>
          <w:sz w:val="18"/>
        </w:rPr>
        <w:t xml:space="preserve"> </w:t>
      </w:r>
      <w:hyperlink r:id="rId1" w:history="1">
        <w:r w:rsidRPr="00B825F4">
          <w:rPr>
            <w:rStyle w:val="Hipervnculo"/>
            <w:rFonts w:cs="Arial"/>
            <w:sz w:val="18"/>
          </w:rPr>
          <w:t>http://www.mx.undp.org/content/mexico/es/home/post-2015/sdg-overview.html</w:t>
        </w:r>
      </w:hyperlink>
      <w:r w:rsidRPr="00B825F4">
        <w:rPr>
          <w:rFonts w:cs="Arial"/>
          <w:sz w:val="18"/>
        </w:rPr>
        <w:t xml:space="preserve"> </w:t>
      </w:r>
    </w:p>
  </w:footnote>
  <w:footnote w:id="13">
    <w:p w:rsidR="00513700" w:rsidRPr="00EC25DA" w:rsidRDefault="00513700" w:rsidP="006118E4">
      <w:pPr>
        <w:pStyle w:val="Textonotapie"/>
        <w:rPr>
          <w:rFonts w:ascii="Barlow" w:eastAsia="Arial" w:hAnsi="Barlow" w:cs="Arial"/>
          <w:w w:val="102"/>
          <w:sz w:val="18"/>
          <w:szCs w:val="18"/>
          <w:lang w:val="es-MX"/>
        </w:rPr>
      </w:pPr>
      <w:r w:rsidRPr="00EE6AF7">
        <w:rPr>
          <w:rStyle w:val="Refdenotaalpie"/>
          <w:rFonts w:ascii="Barlow" w:hAnsi="Barlow"/>
          <w:color w:val="000000"/>
          <w:sz w:val="18"/>
          <w:szCs w:val="18"/>
        </w:rPr>
        <w:footnoteRef/>
      </w:r>
      <w:r w:rsidRPr="00EE6AF7">
        <w:rPr>
          <w:rFonts w:ascii="Barlow" w:hAnsi="Barlow" w:cs="Arial"/>
          <w:color w:val="000000"/>
          <w:sz w:val="18"/>
          <w:szCs w:val="18"/>
          <w:lang w:val="es-MX"/>
        </w:rPr>
        <w:t xml:space="preserve"> </w:t>
      </w:r>
      <w:r w:rsidRPr="00EE6AF7">
        <w:rPr>
          <w:rFonts w:ascii="Arial" w:hAnsi="Arial" w:cs="Arial"/>
          <w:color w:val="000000"/>
          <w:sz w:val="18"/>
          <w:szCs w:val="18"/>
          <w:lang w:val="es-MX"/>
        </w:rPr>
        <w:t xml:space="preserve">Elaboración propia de acuerdo a la Convención Iberoamericana de los Derechos de los Jóvenes.  </w:t>
      </w:r>
      <w:hyperlink r:id="rId2" w:history="1">
        <w:r w:rsidRPr="00EE6AF7">
          <w:rPr>
            <w:rStyle w:val="Hipervnculo"/>
            <w:rFonts w:ascii="Arial" w:hAnsi="Arial" w:cs="Arial"/>
            <w:color w:val="000000"/>
            <w:sz w:val="18"/>
            <w:szCs w:val="18"/>
            <w:lang w:val="es-MX"/>
          </w:rPr>
          <w:t>http://www.injuve.es/sites/default/files/ConvencionIberoamericana2005.pdf</w:t>
        </w:r>
      </w:hyperlink>
      <w:r w:rsidRPr="00EE6AF7">
        <w:rPr>
          <w:rFonts w:ascii="Barlow" w:hAnsi="Barlow" w:cs="Arial"/>
          <w:color w:val="000000"/>
          <w:sz w:val="18"/>
          <w:szCs w:val="18"/>
          <w:lang w:val="es-MX"/>
        </w:rPr>
        <w:t xml:space="preserve"> </w:t>
      </w:r>
    </w:p>
  </w:footnote>
  <w:footnote w:id="14">
    <w:p w:rsidR="00513700" w:rsidRPr="00EE6AF7" w:rsidRDefault="00513700" w:rsidP="006118E4">
      <w:pPr>
        <w:spacing w:before="68"/>
        <w:ind w:right="-20"/>
        <w:rPr>
          <w:rFonts w:eastAsia="Arial" w:cs="Arial"/>
          <w:color w:val="000000"/>
          <w:sz w:val="18"/>
          <w:szCs w:val="18"/>
        </w:rPr>
      </w:pPr>
      <w:r w:rsidRPr="00EE6AF7">
        <w:rPr>
          <w:rStyle w:val="Refdenotaalpie"/>
          <w:rFonts w:ascii="Barlow" w:hAnsi="Barlow"/>
          <w:color w:val="000000"/>
          <w:sz w:val="18"/>
          <w:szCs w:val="18"/>
        </w:rPr>
        <w:footnoteRef/>
      </w:r>
      <w:r w:rsidRPr="00EE6AF7">
        <w:rPr>
          <w:rFonts w:ascii="Barlow" w:hAnsi="Barlow" w:cs="Arial"/>
          <w:color w:val="000000"/>
          <w:sz w:val="18"/>
          <w:szCs w:val="18"/>
        </w:rPr>
        <w:t xml:space="preserve"> </w:t>
      </w:r>
      <w:r w:rsidRPr="00EE6AF7">
        <w:rPr>
          <w:rFonts w:eastAsia="Arial" w:cs="Arial"/>
          <w:color w:val="000000"/>
          <w:spacing w:val="-1"/>
          <w:sz w:val="18"/>
          <w:szCs w:val="18"/>
        </w:rPr>
        <w:t>Juventud: realidades y retos para un desarrollo con igualdad. Daniela Trucco y Heidi Ullmann. Comisión Económica para América Latina y el Caribe (CEPAL), septiembre de 2015.</w:t>
      </w:r>
    </w:p>
    <w:p w:rsidR="00513700" w:rsidRPr="00EC25DA" w:rsidRDefault="00513700" w:rsidP="006118E4">
      <w:pPr>
        <w:pStyle w:val="Textonotapie"/>
        <w:rPr>
          <w:rFonts w:ascii="Barlow" w:hAnsi="Barlow"/>
          <w:lang w:val="es-MX"/>
        </w:rPr>
      </w:pPr>
    </w:p>
  </w:footnote>
  <w:footnote w:id="15">
    <w:p w:rsidR="00513700" w:rsidRPr="00C33EBF" w:rsidRDefault="00513700" w:rsidP="006118E4">
      <w:pPr>
        <w:pStyle w:val="Textonotapie"/>
        <w:rPr>
          <w:rFonts w:ascii="Barlow" w:hAnsi="Barlow" w:cs="Arial"/>
          <w:color w:val="121D56"/>
          <w:sz w:val="18"/>
          <w:szCs w:val="18"/>
          <w:lang w:val="es-MX"/>
        </w:rPr>
      </w:pPr>
      <w:r w:rsidRPr="00EE6AF7">
        <w:rPr>
          <w:rStyle w:val="Refdenotaalpie"/>
          <w:rFonts w:ascii="Barlow" w:hAnsi="Barlow"/>
          <w:color w:val="000000"/>
          <w:sz w:val="18"/>
          <w:szCs w:val="18"/>
        </w:rPr>
        <w:footnoteRef/>
      </w:r>
      <w:r w:rsidRPr="00EE6AF7">
        <w:rPr>
          <w:rFonts w:ascii="Barlow" w:hAnsi="Barlow" w:cs="Arial"/>
          <w:color w:val="000000"/>
          <w:sz w:val="18"/>
          <w:szCs w:val="18"/>
          <w:lang w:val="es-MX"/>
        </w:rPr>
        <w:t xml:space="preserve"> </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vers</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ó</w:t>
      </w:r>
      <w:r w:rsidRPr="00EE6AF7">
        <w:rPr>
          <w:rFonts w:ascii="Arial" w:eastAsia="Arial" w:hAnsi="Arial" w:cs="Arial"/>
          <w:color w:val="000000"/>
          <w:position w:val="-2"/>
          <w:sz w:val="18"/>
          <w:szCs w:val="18"/>
          <w:lang w:val="es-MX"/>
        </w:rPr>
        <w:t>n</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p</w:t>
      </w:r>
      <w:r w:rsidRPr="00EE6AF7">
        <w:rPr>
          <w:rFonts w:ascii="Arial" w:eastAsia="Arial" w:hAnsi="Arial" w:cs="Arial"/>
          <w:color w:val="000000"/>
          <w:spacing w:val="1"/>
          <w:position w:val="-2"/>
          <w:sz w:val="18"/>
          <w:szCs w:val="18"/>
          <w:lang w:val="es-MX"/>
        </w:rPr>
        <w:t>ú</w:t>
      </w:r>
      <w:r w:rsidRPr="00EE6AF7">
        <w:rPr>
          <w:rFonts w:ascii="Arial" w:eastAsia="Arial" w:hAnsi="Arial" w:cs="Arial"/>
          <w:color w:val="000000"/>
          <w:position w:val="-2"/>
          <w:sz w:val="18"/>
          <w:szCs w:val="18"/>
          <w:lang w:val="es-MX"/>
        </w:rPr>
        <w:t>b</w:t>
      </w:r>
      <w:r w:rsidRPr="00EE6AF7">
        <w:rPr>
          <w:rFonts w:ascii="Arial" w:eastAsia="Arial" w:hAnsi="Arial" w:cs="Arial"/>
          <w:color w:val="000000"/>
          <w:spacing w:val="1"/>
          <w:position w:val="-2"/>
          <w:sz w:val="18"/>
          <w:szCs w:val="18"/>
          <w:lang w:val="es-MX"/>
        </w:rPr>
        <w:t>l</w:t>
      </w:r>
      <w:r w:rsidRPr="00EE6AF7">
        <w:rPr>
          <w:rFonts w:ascii="Arial" w:eastAsia="Arial" w:hAnsi="Arial" w:cs="Arial"/>
          <w:color w:val="000000"/>
          <w:position w:val="-2"/>
          <w:sz w:val="18"/>
          <w:szCs w:val="18"/>
          <w:lang w:val="es-MX"/>
        </w:rPr>
        <w:t>ica</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en</w:t>
      </w:r>
      <w:r w:rsidRPr="00EE6AF7">
        <w:rPr>
          <w:rFonts w:ascii="Arial" w:eastAsia="Arial" w:hAnsi="Arial" w:cs="Arial"/>
          <w:color w:val="000000"/>
          <w:spacing w:val="-1"/>
          <w:position w:val="-2"/>
          <w:sz w:val="18"/>
          <w:szCs w:val="18"/>
          <w:lang w:val="es-MX"/>
        </w:rPr>
        <w:t xml:space="preserve"> la 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1"/>
          <w:position w:val="-2"/>
          <w:sz w:val="18"/>
          <w:szCs w:val="18"/>
          <w:lang w:val="es-MX"/>
        </w:rPr>
        <w:t>a</w:t>
      </w:r>
      <w:r w:rsidRPr="00EE6AF7">
        <w:rPr>
          <w:rFonts w:ascii="Arial" w:eastAsia="Arial" w:hAnsi="Arial" w:cs="Arial"/>
          <w:color w:val="000000"/>
          <w:position w:val="-2"/>
          <w:sz w:val="18"/>
          <w:szCs w:val="18"/>
          <w:lang w:val="es-MX"/>
        </w:rPr>
        <w:t>ncia y la adolescencia en México (Unic</w:t>
      </w:r>
      <w:r w:rsidRPr="00EE6AF7">
        <w:rPr>
          <w:rFonts w:ascii="Arial" w:eastAsia="Arial" w:hAnsi="Arial" w:cs="Arial"/>
          <w:color w:val="000000"/>
          <w:spacing w:val="1"/>
          <w:position w:val="-2"/>
          <w:sz w:val="18"/>
          <w:szCs w:val="18"/>
          <w:lang w:val="es-MX"/>
        </w:rPr>
        <w:t>e</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6"/>
          <w:position w:val="-2"/>
          <w:sz w:val="18"/>
          <w:szCs w:val="18"/>
          <w:lang w:val="es-MX"/>
        </w:rPr>
        <w:t xml:space="preserve"> </w:t>
      </w:r>
      <w:r w:rsidRPr="00EE6AF7">
        <w:rPr>
          <w:rFonts w:ascii="Arial" w:eastAsia="Arial" w:hAnsi="Arial" w:cs="Arial"/>
          <w:color w:val="000000"/>
          <w:spacing w:val="1"/>
          <w:position w:val="-2"/>
          <w:sz w:val="18"/>
          <w:szCs w:val="18"/>
          <w:lang w:val="es-MX"/>
        </w:rPr>
        <w:t>2</w:t>
      </w:r>
      <w:r w:rsidRPr="00EE6AF7">
        <w:rPr>
          <w:rFonts w:ascii="Arial" w:eastAsia="Arial" w:hAnsi="Arial" w:cs="Arial"/>
          <w:color w:val="000000"/>
          <w:spacing w:val="-1"/>
          <w:position w:val="-2"/>
          <w:sz w:val="18"/>
          <w:szCs w:val="18"/>
          <w:lang w:val="es-MX"/>
        </w:rPr>
        <w:t>0</w:t>
      </w:r>
      <w:r w:rsidRPr="00EE6AF7">
        <w:rPr>
          <w:rFonts w:ascii="Arial" w:eastAsia="Arial" w:hAnsi="Arial" w:cs="Arial"/>
          <w:color w:val="000000"/>
          <w:spacing w:val="1"/>
          <w:position w:val="-2"/>
          <w:sz w:val="18"/>
          <w:szCs w:val="18"/>
          <w:lang w:val="es-MX"/>
        </w:rPr>
        <w:t>1</w:t>
      </w:r>
      <w:r w:rsidRPr="00EE6AF7">
        <w:rPr>
          <w:rFonts w:ascii="Arial" w:eastAsia="Arial" w:hAnsi="Arial" w:cs="Arial"/>
          <w:color w:val="000000"/>
          <w:position w:val="-2"/>
          <w:sz w:val="18"/>
          <w:szCs w:val="18"/>
          <w:lang w:val="es-MX"/>
        </w:rPr>
        <w:t xml:space="preserve">1). </w:t>
      </w:r>
      <w:r w:rsidRPr="00EE6AF7">
        <w:rPr>
          <w:rStyle w:val="Hipervnculo"/>
          <w:rFonts w:ascii="Arial" w:hAnsi="Arial" w:cs="Arial"/>
          <w:color w:val="000000"/>
          <w:sz w:val="18"/>
          <w:szCs w:val="18"/>
          <w:lang w:val="es-MX"/>
        </w:rPr>
        <w:t>https://www.unicef.org/mexico/media/1756/file/mx_inversion_actualizada.pdf</w:t>
      </w:r>
    </w:p>
  </w:footnote>
  <w:footnote w:id="16">
    <w:p w:rsidR="00513700" w:rsidRPr="00EE6AF7" w:rsidRDefault="00513700" w:rsidP="006118E4">
      <w:pPr>
        <w:rPr>
          <w:rFonts w:ascii="Barlow" w:hAnsi="Barlow" w:cs="Arial"/>
          <w:color w:val="000000"/>
          <w:sz w:val="18"/>
          <w:szCs w:val="18"/>
        </w:rPr>
      </w:pPr>
      <w:r w:rsidRPr="00EE6AF7">
        <w:rPr>
          <w:rStyle w:val="Refdenotaalpie"/>
          <w:rFonts w:ascii="Barlow" w:hAnsi="Barlow"/>
          <w:color w:val="000000"/>
          <w:sz w:val="18"/>
          <w:szCs w:val="18"/>
        </w:rPr>
        <w:footnoteRef/>
      </w:r>
      <w:r w:rsidRPr="00EE6AF7">
        <w:rPr>
          <w:rFonts w:ascii="Barlow" w:hAnsi="Barlow" w:cs="Arial"/>
          <w:color w:val="000000"/>
          <w:sz w:val="18"/>
          <w:szCs w:val="18"/>
        </w:rPr>
        <w:t xml:space="preserve"> </w:t>
      </w:r>
      <w:r w:rsidRPr="00EE6AF7">
        <w:rPr>
          <w:rFonts w:cs="Arial"/>
          <w:color w:val="000000"/>
          <w:sz w:val="18"/>
          <w:szCs w:val="18"/>
        </w:rPr>
        <w:t>Programa de las Naciones Unidas para el Desarrollo (PNUD). Organización de las Naciones Unidas (ONU)</w:t>
      </w:r>
    </w:p>
  </w:footnote>
  <w:footnote w:id="17">
    <w:p w:rsidR="00513700" w:rsidRPr="00EE6AF7" w:rsidRDefault="00513700" w:rsidP="006118E4">
      <w:pPr>
        <w:rPr>
          <w:rFonts w:cs="Arial"/>
          <w:color w:val="000000"/>
          <w:sz w:val="18"/>
        </w:rPr>
      </w:pPr>
      <w:r w:rsidRPr="00EE6AF7">
        <w:rPr>
          <w:rStyle w:val="Refdenotaalpie"/>
          <w:rFonts w:ascii="Barlow" w:hAnsi="Barlow"/>
          <w:color w:val="000000"/>
          <w:sz w:val="18"/>
        </w:rPr>
        <w:footnoteRef/>
      </w:r>
      <w:r w:rsidRPr="00EE6AF7">
        <w:rPr>
          <w:rFonts w:ascii="Barlow" w:hAnsi="Barlow" w:cs="Arial"/>
          <w:color w:val="000000"/>
          <w:sz w:val="18"/>
        </w:rPr>
        <w:t xml:space="preserve"> </w:t>
      </w:r>
      <w:hyperlink r:id="rId3" w:history="1">
        <w:r w:rsidRPr="00EE6AF7">
          <w:rPr>
            <w:rStyle w:val="Hipervnculo"/>
            <w:rFonts w:cs="Arial"/>
            <w:color w:val="000000"/>
            <w:sz w:val="18"/>
            <w:szCs w:val="18"/>
          </w:rPr>
          <w:t>http://www.mx.undp.org/content/mexico/es/home/post-2015/sdg-overview.html</w:t>
        </w:r>
      </w:hyperlink>
      <w:r w:rsidRPr="00EE6AF7">
        <w:rPr>
          <w:rFonts w:cs="Arial"/>
          <w:color w:val="000000"/>
          <w:sz w:val="18"/>
        </w:rPr>
        <w:t xml:space="preserve"> </w:t>
      </w:r>
    </w:p>
    <w:p w:rsidR="00513700" w:rsidRPr="00FD6FCB" w:rsidRDefault="00513700" w:rsidP="006118E4">
      <w:pPr>
        <w:rPr>
          <w:rFonts w:cs="Arial"/>
          <w:sz w:val="18"/>
        </w:rPr>
      </w:pPr>
    </w:p>
  </w:footnote>
  <w:footnote w:id="18">
    <w:p w:rsidR="00513700" w:rsidRPr="00513700" w:rsidRDefault="00513700" w:rsidP="00F04D6E">
      <w:pPr>
        <w:pStyle w:val="Textonotapie"/>
        <w:rPr>
          <w:rFonts w:ascii="Arial" w:hAnsi="Arial" w:cs="Arial"/>
          <w:color w:val="121D56"/>
          <w:sz w:val="18"/>
          <w:szCs w:val="18"/>
          <w:lang w:val="es-MX"/>
        </w:rPr>
      </w:pPr>
      <w:r w:rsidRPr="004B425C">
        <w:rPr>
          <w:rStyle w:val="Refdenotaalpie"/>
          <w:rFonts w:ascii="Arial" w:hAnsi="Arial" w:cs="Arial"/>
          <w:sz w:val="18"/>
          <w:szCs w:val="18"/>
        </w:rPr>
        <w:footnoteRef/>
      </w:r>
      <w:r w:rsidRPr="00513700">
        <w:rPr>
          <w:rFonts w:ascii="Arial" w:hAnsi="Arial" w:cs="Arial"/>
          <w:sz w:val="18"/>
          <w:szCs w:val="18"/>
          <w:lang w:val="es-MX"/>
        </w:rPr>
        <w:t xml:space="preserve"> Inmujeres, (2007). Derechos Humanos de las Mujeres. </w:t>
      </w:r>
    </w:p>
  </w:footnote>
  <w:footnote w:id="19">
    <w:p w:rsidR="00513700" w:rsidRPr="004B425C" w:rsidRDefault="00513700" w:rsidP="00F04D6E">
      <w:pPr>
        <w:pStyle w:val="Textonotapie"/>
        <w:rPr>
          <w:rStyle w:val="Refdenotaalpie"/>
          <w:rFonts w:ascii="Arial" w:hAnsi="Arial" w:cs="Arial"/>
          <w:sz w:val="18"/>
          <w:szCs w:val="18"/>
        </w:rPr>
      </w:pPr>
      <w:r w:rsidRPr="004B425C">
        <w:rPr>
          <w:rStyle w:val="Refdenotaalpie"/>
          <w:rFonts w:ascii="Arial" w:hAnsi="Arial" w:cs="Arial"/>
          <w:sz w:val="18"/>
          <w:szCs w:val="18"/>
        </w:rPr>
        <w:footnoteRef/>
      </w:r>
      <w:r w:rsidRPr="004B425C">
        <w:rPr>
          <w:rStyle w:val="Refdenotaalpie"/>
          <w:rFonts w:ascii="Arial" w:hAnsi="Arial" w:cs="Arial"/>
          <w:sz w:val="18"/>
          <w:szCs w:val="18"/>
        </w:rPr>
        <w:t xml:space="preserve"> Son aquellos medios tecnológicos, que sirven para enviar mensajes, que van dirigidos a una gran cantidad de público, y que, pueden atravesar grandes distancias en un mínimo de tiempo. Con este tipo de medios,  el receptor pierde su carácter de receptor “individual” pasando a llamarse “receptor colectivo”. Son: radio, televisión, prensa escrita, e internet, por ejemplo.</w:t>
      </w:r>
    </w:p>
  </w:footnote>
  <w:footnote w:id="20">
    <w:p w:rsidR="00513700" w:rsidRPr="00513700" w:rsidRDefault="00513700" w:rsidP="00F04D6E">
      <w:pPr>
        <w:pStyle w:val="Textonotapie"/>
        <w:rPr>
          <w:rStyle w:val="Refdenotaalpie"/>
          <w:rFonts w:ascii="Barlow" w:hAnsi="Barlow"/>
          <w:color w:val="121D56"/>
          <w:lang w:val="es-MX"/>
        </w:rPr>
      </w:pPr>
      <w:r w:rsidRPr="004B425C">
        <w:rPr>
          <w:rStyle w:val="Refdenotaalpie"/>
          <w:rFonts w:ascii="Arial" w:hAnsi="Arial" w:cs="Arial"/>
          <w:sz w:val="18"/>
          <w:szCs w:val="18"/>
        </w:rPr>
        <w:footnoteRef/>
      </w:r>
      <w:r w:rsidRPr="00513700">
        <w:rPr>
          <w:rStyle w:val="Refdenotaalpie"/>
          <w:rFonts w:ascii="Arial" w:hAnsi="Arial" w:cs="Arial"/>
          <w:sz w:val="18"/>
          <w:szCs w:val="18"/>
          <w:lang w:val="es-MX"/>
        </w:rPr>
        <w:t xml:space="preserve"> </w:t>
      </w:r>
      <w:r w:rsidRPr="00EE6AF7">
        <w:rPr>
          <w:rFonts w:ascii="Arial" w:eastAsia="Times New Roman" w:hAnsi="Arial" w:cs="Arial"/>
          <w:sz w:val="18"/>
          <w:szCs w:val="18"/>
          <w:lang w:val="es-ES_tradnl" w:eastAsia="es-ES"/>
        </w:rPr>
        <w:t>Unicef (2011). Inversión pública en la infancia y la adolescencia en México. México: Unicef México.</w:t>
      </w:r>
    </w:p>
  </w:footnote>
  <w:footnote w:id="21">
    <w:p w:rsidR="00513700" w:rsidRPr="00513700" w:rsidRDefault="00513700" w:rsidP="00F04D6E">
      <w:pPr>
        <w:pStyle w:val="Textonotapie"/>
        <w:rPr>
          <w:rFonts w:ascii="Arial" w:hAnsi="Arial" w:cs="Arial"/>
          <w:lang w:val="es-MX"/>
        </w:rPr>
      </w:pPr>
      <w:r w:rsidRPr="004B425C">
        <w:rPr>
          <w:rStyle w:val="Refdenotaalpie"/>
          <w:rFonts w:ascii="Arial" w:hAnsi="Arial" w:cs="Arial"/>
          <w:sz w:val="18"/>
          <w:szCs w:val="18"/>
        </w:rPr>
        <w:footnoteRef/>
      </w:r>
      <w:r w:rsidRPr="00513700">
        <w:rPr>
          <w:rFonts w:ascii="Arial" w:hAnsi="Arial" w:cs="Arial"/>
          <w:sz w:val="18"/>
          <w:szCs w:val="18"/>
          <w:lang w:val="es-MX"/>
        </w:rPr>
        <w:t xml:space="preserve"> Son “estrategias destinadas a garantizar el acceso a la igualdad de oportunidades entre mujeres y hombres, a través de medidas que permiten contrastar o corregir discriminaciones que son el resultado de prácticas o sistemas sociales.” Inmujeres (2004). El ABC de género en la Administración Pública. Instituto Nacional de las Mujeres y Programa de las Naciones Unidas para el Desarrollo, México.</w:t>
      </w:r>
    </w:p>
  </w:footnote>
  <w:footnote w:id="22">
    <w:p w:rsidR="00513700" w:rsidRPr="004B425C" w:rsidRDefault="00513700" w:rsidP="00F04D6E">
      <w:pPr>
        <w:rPr>
          <w:rFonts w:cs="Arial"/>
          <w:color w:val="121D56"/>
          <w:sz w:val="18"/>
          <w:szCs w:val="18"/>
        </w:rPr>
      </w:pPr>
      <w:r w:rsidRPr="004B425C">
        <w:rPr>
          <w:rStyle w:val="Refdenotaalpie"/>
          <w:rFonts w:cs="Arial"/>
          <w:sz w:val="18"/>
          <w:szCs w:val="18"/>
        </w:rPr>
        <w:footnoteRef/>
      </w:r>
      <w:r w:rsidRPr="004B425C">
        <w:rPr>
          <w:rFonts w:cs="Arial"/>
          <w:sz w:val="18"/>
          <w:szCs w:val="18"/>
        </w:rPr>
        <w:t xml:space="preserve"> </w:t>
      </w:r>
      <w:r w:rsidRPr="004B425C">
        <w:rPr>
          <w:rFonts w:eastAsia="Times New Roman" w:cs="Arial"/>
          <w:sz w:val="18"/>
          <w:szCs w:val="18"/>
          <w:lang w:eastAsia="es-MX"/>
        </w:rPr>
        <w:t>De estos objetivos, se estableció uno específico para la igualdad de género y el empoderamiento de niñas y mujeres, en el cual se incluyen diversas metas para disminuir las brechas entre mujeres y hombres en todos los ámbitos de la vida social y económica.</w:t>
      </w:r>
    </w:p>
  </w:footnote>
  <w:footnote w:id="23">
    <w:p w:rsidR="00513700" w:rsidRPr="0081215E" w:rsidRDefault="00513700" w:rsidP="001A4168">
      <w:pPr>
        <w:pStyle w:val="Textonotapie"/>
        <w:rPr>
          <w:rFonts w:ascii="Barlow" w:eastAsia="Arial" w:hAnsi="Barlow" w:cs="Arial"/>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lang w:val="es-ES_tradnl" w:eastAsia="es-ES"/>
        </w:rPr>
        <w:t xml:space="preserve"> Programa de las Naciones Unidas para el Desarrollo (PNUD). Organización de las Naciones Unidas (ONU)</w:t>
      </w:r>
    </w:p>
  </w:footnote>
  <w:footnote w:id="24">
    <w:p w:rsidR="00513700" w:rsidRPr="0081215E" w:rsidRDefault="00513700" w:rsidP="001A4168">
      <w:pPr>
        <w:pStyle w:val="Textonotapie"/>
        <w:rPr>
          <w:rFonts w:ascii="Barlow" w:eastAsia="Arial" w:hAnsi="Barlow"/>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vertAlign w:val="superscript"/>
          <w:lang w:val="es-ES_tradnl" w:eastAsia="es-ES"/>
        </w:rPr>
        <w:t xml:space="preserve"> </w:t>
      </w:r>
      <w:r w:rsidRPr="0081215E">
        <w:rPr>
          <w:rFonts w:ascii="Barlow" w:eastAsia="Arial" w:hAnsi="Barlow" w:cs="Arial"/>
          <w:sz w:val="18"/>
          <w:szCs w:val="24"/>
          <w:lang w:val="es-ES_tradnl" w:eastAsia="es-ES"/>
        </w:rPr>
        <w:t>Programa de las Naciones Unidas para el Desarrollo (PNUD). Organización de las Naciones Unidas (ONU)</w:t>
      </w:r>
    </w:p>
  </w:footnote>
  <w:footnote w:id="25">
    <w:p w:rsidR="00513700" w:rsidRPr="00FD6FCB" w:rsidRDefault="00513700" w:rsidP="001A4168">
      <w:pPr>
        <w:rPr>
          <w:rFonts w:cs="Arial"/>
          <w:sz w:val="18"/>
        </w:rPr>
      </w:pPr>
      <w:r w:rsidRPr="0081215E">
        <w:rPr>
          <w:rStyle w:val="Refdenotaalpie"/>
          <w:rFonts w:ascii="Barlow" w:hAnsi="Barlow"/>
          <w:sz w:val="18"/>
        </w:rPr>
        <w:footnoteRef/>
      </w:r>
      <w:r w:rsidRPr="0081215E">
        <w:rPr>
          <w:rFonts w:ascii="Barlow" w:hAnsi="Barlow" w:cs="Arial"/>
          <w:sz w:val="18"/>
        </w:rPr>
        <w:t xml:space="preserve"> </w:t>
      </w:r>
      <w:hyperlink r:id="rId4" w:history="1">
        <w:r w:rsidRPr="0081215E">
          <w:rPr>
            <w:rStyle w:val="Hipervnculo"/>
            <w:rFonts w:cs="Arial"/>
            <w:sz w:val="18"/>
          </w:rPr>
          <w:t>http://www.mx.undp.org/content/mexico/es/home/post-2015/sdg-overview.html</w:t>
        </w:r>
      </w:hyperlink>
      <w:r w:rsidRPr="0081215E">
        <w:rPr>
          <w:rFonts w:cs="Arial"/>
          <w:sz w:val="18"/>
        </w:rPr>
        <w:t xml:space="preserve"> </w:t>
      </w:r>
    </w:p>
  </w:footnote>
  <w:footnote w:id="26">
    <w:p w:rsidR="00513700" w:rsidRDefault="00513700" w:rsidP="00096835">
      <w:pPr>
        <w:pStyle w:val="Piedepgina"/>
        <w:rPr>
          <w:rFonts w:cs="Arial"/>
          <w:sz w:val="20"/>
        </w:rPr>
      </w:pPr>
      <w:r>
        <w:rPr>
          <w:rStyle w:val="Refdenotaalpie"/>
        </w:rPr>
        <w:footnoteRef/>
      </w:r>
      <w:r>
        <w:rPr>
          <w:rFonts w:cs="Arial"/>
          <w:sz w:val="20"/>
          <w:vertAlign w:val="superscript"/>
        </w:rPr>
        <w:t xml:space="preserve">1 </w:t>
      </w:r>
      <w:r>
        <w:rPr>
          <w:rFonts w:cs="Arial"/>
          <w:sz w:val="20"/>
        </w:rPr>
        <w:t>Declaración de las Naciones Unidas sobre los Derechos de los Pueblos Indígenas (2008).</w:t>
      </w:r>
    </w:p>
    <w:p w:rsidR="00513700" w:rsidRDefault="00513700" w:rsidP="00096835">
      <w:pPr>
        <w:pStyle w:val="Piedepgina"/>
        <w:rPr>
          <w:rFonts w:cs="Arial"/>
          <w:sz w:val="20"/>
        </w:rPr>
      </w:pPr>
      <w:r>
        <w:rPr>
          <w:rFonts w:cs="Arial"/>
          <w:sz w:val="20"/>
        </w:rPr>
        <w:tab/>
        <w:t xml:space="preserve"> Declaración de las Naciones Unidas sobre los Derechos de los Pueblos Indígenas. México: ONU</w:t>
      </w:r>
    </w:p>
    <w:p w:rsidR="00513700" w:rsidRPr="00551522" w:rsidRDefault="00513700" w:rsidP="00096835">
      <w:pPr>
        <w:pStyle w:val="Piedepgina"/>
        <w:rPr>
          <w:rStyle w:val="Hipervnculo"/>
          <w:color w:val="002060"/>
          <w:szCs w:val="20"/>
        </w:rPr>
      </w:pPr>
      <w:r>
        <w:t xml:space="preserve">    </w:t>
      </w:r>
      <w:hyperlink r:id="rId5" w:tgtFrame="_blank" w:history="1">
        <w:r w:rsidRPr="00551522">
          <w:rPr>
            <w:rStyle w:val="Hipervnculo"/>
            <w:rFonts w:cs="Arial"/>
            <w:color w:val="002060"/>
            <w:sz w:val="20"/>
            <w:szCs w:val="20"/>
          </w:rPr>
          <w:t>https://www.un.org/esa/socdev/unpfii/documents/DRIPS_es.pdf</w:t>
        </w:r>
      </w:hyperlink>
    </w:p>
    <w:p w:rsidR="00513700" w:rsidRPr="00513700" w:rsidRDefault="00513700" w:rsidP="00096835">
      <w:pPr>
        <w:pStyle w:val="Textonotapie"/>
        <w:rPr>
          <w:lang w:val="es-MX"/>
        </w:rPr>
      </w:pPr>
    </w:p>
  </w:footnote>
  <w:footnote w:id="27">
    <w:p w:rsidR="00513700" w:rsidRPr="00513700" w:rsidRDefault="00513700" w:rsidP="00096835">
      <w:pPr>
        <w:pStyle w:val="Textonotapie"/>
        <w:rPr>
          <w:rFonts w:ascii="Arial" w:hAnsi="Arial" w:cs="Arial"/>
          <w:lang w:val="es-MX"/>
        </w:rPr>
      </w:pPr>
      <w:r w:rsidRPr="00481734">
        <w:rPr>
          <w:rStyle w:val="Refdenotaalpie"/>
          <w:rFonts w:cs="Arial"/>
        </w:rPr>
        <w:footnoteRef/>
      </w:r>
      <w:r w:rsidRPr="00513700">
        <w:rPr>
          <w:rFonts w:ascii="Arial" w:hAnsi="Arial" w:cs="Arial"/>
          <w:lang w:val="es-MX"/>
        </w:rPr>
        <w:t xml:space="preserve"> Ley para la Protección de los Derechos de la Comunidad Maya del Estado de Yucatán (2011).</w:t>
      </w:r>
    </w:p>
    <w:p w:rsidR="00513700" w:rsidRPr="00513700" w:rsidRDefault="00513700" w:rsidP="00096835">
      <w:pPr>
        <w:pStyle w:val="Textonotapie"/>
        <w:rPr>
          <w:rFonts w:ascii="Arial" w:hAnsi="Arial" w:cs="Arial"/>
          <w:lang w:val="es-MX"/>
        </w:rPr>
      </w:pPr>
      <w:r w:rsidRPr="00513700">
        <w:rPr>
          <w:rFonts w:ascii="Arial" w:hAnsi="Arial" w:cs="Arial"/>
          <w:lang w:val="es-MX"/>
        </w:rPr>
        <w:t xml:space="preserve">  Ley para la Protección de los Derechos de la Comunidad Maya del Estado de Yucatán. México: (CNDH)</w:t>
      </w:r>
    </w:p>
    <w:p w:rsidR="00513700" w:rsidRPr="00513700" w:rsidRDefault="00513700" w:rsidP="00096835">
      <w:pPr>
        <w:pStyle w:val="Textonotapie"/>
        <w:rPr>
          <w:rFonts w:ascii="Arial" w:hAnsi="Arial" w:cs="Arial"/>
          <w:color w:val="002060"/>
          <w:lang w:val="es-MX"/>
        </w:rPr>
      </w:pPr>
      <w:r w:rsidRPr="00513700">
        <w:rPr>
          <w:rFonts w:ascii="Arial" w:hAnsi="Arial" w:cs="Arial"/>
          <w:color w:val="002060"/>
          <w:lang w:val="es-MX"/>
        </w:rPr>
        <w:t xml:space="preserve">  </w:t>
      </w:r>
      <w:hyperlink r:id="rId6" w:history="1">
        <w:r w:rsidRPr="00513700">
          <w:rPr>
            <w:rStyle w:val="Hipervnculo"/>
            <w:rFonts w:ascii="Arial" w:hAnsi="Arial" w:cs="Arial"/>
            <w:color w:val="002060"/>
            <w:lang w:val="es-MX"/>
          </w:rPr>
          <w:t>https://www.cndh.org.mx/sites/default/files/doc/Programas/Indigenas/OtrasNormas/Estatal/Yucatan/Ley_PDCMYuc.pdf</w:t>
        </w:r>
      </w:hyperlink>
    </w:p>
  </w:footnote>
  <w:footnote w:id="28">
    <w:p w:rsidR="00513700" w:rsidRPr="00F12E5D" w:rsidRDefault="00513700" w:rsidP="002D6055">
      <w:pPr>
        <w:pStyle w:val="Textonotapie"/>
        <w:rPr>
          <w:lang w:val="es-ES"/>
        </w:rPr>
      </w:pPr>
      <w:r>
        <w:rPr>
          <w:rStyle w:val="Refdenotaalpie"/>
        </w:rPr>
        <w:footnoteRef/>
      </w:r>
      <w:r w:rsidRPr="00513700">
        <w:rPr>
          <w:lang w:val="es-MX"/>
        </w:rPr>
        <w:t xml:space="preserve"> https://www.finanzaspublicas.hacienda.gob.mx/work/models/Finanzas_Publicas/docs/ori/Espanol/PE/2021/Comunicado_Criterios_2022_espanol.pdf</w:t>
      </w:r>
    </w:p>
  </w:footnote>
  <w:footnote w:id="29">
    <w:p w:rsidR="00513700" w:rsidRPr="00BB779C" w:rsidRDefault="00513700" w:rsidP="002D6055">
      <w:pPr>
        <w:pStyle w:val="Textonotapie"/>
        <w:rPr>
          <w:lang w:val="es-ES"/>
        </w:rPr>
      </w:pPr>
      <w:r>
        <w:rPr>
          <w:rStyle w:val="Refdenotaalpie"/>
        </w:rPr>
        <w:footnoteRef/>
      </w:r>
      <w:r w:rsidRPr="00513700">
        <w:rPr>
          <w:lang w:val="es-ES"/>
        </w:rPr>
        <w:t xml:space="preserve"> </w:t>
      </w:r>
      <w:hyperlink r:id="rId7" w:history="1">
        <w:r w:rsidRPr="00513700">
          <w:rPr>
            <w:rStyle w:val="Hipervnculo"/>
            <w:sz w:val="16"/>
            <w:szCs w:val="16"/>
            <w:lang w:val="es-ES"/>
          </w:rPr>
          <w:t>https://www.yucatan.gob.mx/docs/transparencia/paquete_fiscal/2021/PPE/1_CGPE.pdf</w:t>
        </w:r>
      </w:hyperlink>
      <w:r w:rsidRPr="00513700">
        <w:rPr>
          <w:lang w:val="es-E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700" w:rsidRDefault="00513700" w:rsidP="00207DB4">
    <w:pPr>
      <w:pStyle w:val="Encabezado"/>
      <w:tabs>
        <w:tab w:val="clear" w:pos="4419"/>
      </w:tabs>
    </w:pPr>
    <w:r>
      <w:tab/>
    </w:r>
  </w:p>
  <w:p w:rsidR="00513700" w:rsidRDefault="00513700" w:rsidP="00207DB4">
    <w:pPr>
      <w:pStyle w:val="Encabezado"/>
      <w:tabs>
        <w:tab w:val="clear" w:pos="4419"/>
        <w:tab w:val="clear" w:pos="8838"/>
        <w:tab w:val="left" w:pos="3840"/>
        <w:tab w:val="left" w:pos="6590"/>
        <w:tab w:val="left" w:pos="7390"/>
      </w:tabs>
    </w:pP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4EC5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AAB5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B8D1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B638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C65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5AC1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6AE7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BAFC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C26F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3205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64C459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5496917"/>
    <w:multiLevelType w:val="hybridMultilevel"/>
    <w:tmpl w:val="AFD88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072718D9"/>
    <w:multiLevelType w:val="hybridMultilevel"/>
    <w:tmpl w:val="42CAB48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097F75CB"/>
    <w:multiLevelType w:val="hybridMultilevel"/>
    <w:tmpl w:val="7E782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E1F6261"/>
    <w:multiLevelType w:val="hybridMultilevel"/>
    <w:tmpl w:val="8C76FB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0919E1"/>
    <w:multiLevelType w:val="hybridMultilevel"/>
    <w:tmpl w:val="045A5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4135D5C"/>
    <w:multiLevelType w:val="hybridMultilevel"/>
    <w:tmpl w:val="DCBA8C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7BD6920"/>
    <w:multiLevelType w:val="hybridMultilevel"/>
    <w:tmpl w:val="114E1D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8" w15:restartNumberingAfterBreak="0">
    <w:nsid w:val="17BE7A78"/>
    <w:multiLevelType w:val="hybridMultilevel"/>
    <w:tmpl w:val="42CAB4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192A167D"/>
    <w:multiLevelType w:val="hybridMultilevel"/>
    <w:tmpl w:val="E07A6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9D245A3"/>
    <w:multiLevelType w:val="hybridMultilevel"/>
    <w:tmpl w:val="79B6D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A0023DB"/>
    <w:multiLevelType w:val="hybridMultilevel"/>
    <w:tmpl w:val="2A22AFA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1057A82"/>
    <w:multiLevelType w:val="hybridMultilevel"/>
    <w:tmpl w:val="E282556A"/>
    <w:lvl w:ilvl="0" w:tplc="57605D24">
      <w:start w:val="1"/>
      <w:numFmt w:val="bullet"/>
      <w:lvlText w:val=""/>
      <w:lvlJc w:val="left"/>
      <w:pPr>
        <w:ind w:left="643"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C8F13E6"/>
    <w:multiLevelType w:val="hybridMultilevel"/>
    <w:tmpl w:val="1A7676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D112034"/>
    <w:multiLevelType w:val="hybridMultilevel"/>
    <w:tmpl w:val="734220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E9D7A55"/>
    <w:multiLevelType w:val="hybridMultilevel"/>
    <w:tmpl w:val="C090D86E"/>
    <w:lvl w:ilvl="0" w:tplc="8A404854">
      <w:start w:val="1"/>
      <w:numFmt w:val="decimal"/>
      <w:lvlText w:val="%1."/>
      <w:lvlJc w:val="lef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760C53"/>
    <w:multiLevelType w:val="hybridMultilevel"/>
    <w:tmpl w:val="672ED804"/>
    <w:lvl w:ilvl="0" w:tplc="59C06C7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A5058BC"/>
    <w:multiLevelType w:val="hybridMultilevel"/>
    <w:tmpl w:val="BF88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CEE34C6"/>
    <w:multiLevelType w:val="hybridMultilevel"/>
    <w:tmpl w:val="877AE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DC26F9B"/>
    <w:multiLevelType w:val="hybridMultilevel"/>
    <w:tmpl w:val="B84A8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FE458CE"/>
    <w:multiLevelType w:val="hybridMultilevel"/>
    <w:tmpl w:val="5FA483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408571CA"/>
    <w:multiLevelType w:val="hybridMultilevel"/>
    <w:tmpl w:val="34285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41E6FE9"/>
    <w:multiLevelType w:val="hybridMultilevel"/>
    <w:tmpl w:val="2AAECB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46DF16A5"/>
    <w:multiLevelType w:val="hybridMultilevel"/>
    <w:tmpl w:val="381C1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73629E6"/>
    <w:multiLevelType w:val="hybridMultilevel"/>
    <w:tmpl w:val="16FAD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B3D18B1"/>
    <w:multiLevelType w:val="hybridMultilevel"/>
    <w:tmpl w:val="C6D68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FE43197"/>
    <w:multiLevelType w:val="hybridMultilevel"/>
    <w:tmpl w:val="392CA7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53453EF0"/>
    <w:multiLevelType w:val="hybridMultilevel"/>
    <w:tmpl w:val="4FDAE6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AD4A7D"/>
    <w:multiLevelType w:val="hybridMultilevel"/>
    <w:tmpl w:val="C51C6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4D37A55"/>
    <w:multiLevelType w:val="hybridMultilevel"/>
    <w:tmpl w:val="E53CE720"/>
    <w:lvl w:ilvl="0" w:tplc="7CC87480">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40" w15:restartNumberingAfterBreak="0">
    <w:nsid w:val="5B813A40"/>
    <w:multiLevelType w:val="hybridMultilevel"/>
    <w:tmpl w:val="B29EF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16C2BD8"/>
    <w:multiLevelType w:val="hybridMultilevel"/>
    <w:tmpl w:val="944A73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6A9F26FF"/>
    <w:multiLevelType w:val="hybridMultilevel"/>
    <w:tmpl w:val="EEA82602"/>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6E2A1FDC"/>
    <w:multiLevelType w:val="hybridMultilevel"/>
    <w:tmpl w:val="E73E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03B60FD"/>
    <w:multiLevelType w:val="hybridMultilevel"/>
    <w:tmpl w:val="0A2221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5" w15:restartNumberingAfterBreak="0">
    <w:nsid w:val="776F321D"/>
    <w:multiLevelType w:val="hybridMultilevel"/>
    <w:tmpl w:val="60B6A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78C44FDA"/>
    <w:multiLevelType w:val="hybridMultilevel"/>
    <w:tmpl w:val="3C96D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7B27598E"/>
    <w:multiLevelType w:val="hybridMultilevel"/>
    <w:tmpl w:val="ADF88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80370C"/>
    <w:multiLevelType w:val="hybridMultilevel"/>
    <w:tmpl w:val="1004A6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43"/>
  </w:num>
  <w:num w:numId="3">
    <w:abstractNumId w:val="30"/>
  </w:num>
  <w:num w:numId="4">
    <w:abstractNumId w:val="11"/>
  </w:num>
  <w:num w:numId="5">
    <w:abstractNumId w:val="46"/>
  </w:num>
  <w:num w:numId="6">
    <w:abstractNumId w:val="41"/>
  </w:num>
  <w:num w:numId="7">
    <w:abstractNumId w:val="45"/>
  </w:num>
  <w:num w:numId="8">
    <w:abstractNumId w:val="16"/>
  </w:num>
  <w:num w:numId="9">
    <w:abstractNumId w:val="17"/>
  </w:num>
  <w:num w:numId="10">
    <w:abstractNumId w:val="32"/>
  </w:num>
  <w:num w:numId="11">
    <w:abstractNumId w:val="36"/>
  </w:num>
  <w:num w:numId="12">
    <w:abstractNumId w:val="13"/>
  </w:num>
  <w:num w:numId="13">
    <w:abstractNumId w:val="44"/>
  </w:num>
  <w:num w:numId="14">
    <w:abstractNumId w:val="19"/>
  </w:num>
  <w:num w:numId="15">
    <w:abstractNumId w:val="34"/>
  </w:num>
  <w:num w:numId="16">
    <w:abstractNumId w:val="39"/>
  </w:num>
  <w:num w:numId="17">
    <w:abstractNumId w:val="22"/>
  </w:num>
  <w:num w:numId="18">
    <w:abstractNumId w:val="23"/>
  </w:num>
  <w:num w:numId="19">
    <w:abstractNumId w:val="27"/>
  </w:num>
  <w:num w:numId="20">
    <w:abstractNumId w:val="20"/>
  </w:num>
  <w:num w:numId="21">
    <w:abstractNumId w:val="31"/>
  </w:num>
  <w:num w:numId="22">
    <w:abstractNumId w:val="42"/>
  </w:num>
  <w:num w:numId="23">
    <w:abstractNumId w:val="26"/>
  </w:num>
  <w:num w:numId="24">
    <w:abstractNumId w:val="35"/>
  </w:num>
  <w:num w:numId="25">
    <w:abstractNumId w:val="21"/>
  </w:num>
  <w:num w:numId="26">
    <w:abstractNumId w:val="9"/>
  </w:num>
  <w:num w:numId="27">
    <w:abstractNumId w:val="8"/>
  </w:num>
  <w:num w:numId="28">
    <w:abstractNumId w:val="7"/>
  </w:num>
  <w:num w:numId="29">
    <w:abstractNumId w:val="6"/>
  </w:num>
  <w:num w:numId="30">
    <w:abstractNumId w:val="5"/>
  </w:num>
  <w:num w:numId="31">
    <w:abstractNumId w:val="4"/>
  </w:num>
  <w:num w:numId="32">
    <w:abstractNumId w:val="3"/>
  </w:num>
  <w:num w:numId="33">
    <w:abstractNumId w:val="2"/>
  </w:num>
  <w:num w:numId="34">
    <w:abstractNumId w:val="1"/>
  </w:num>
  <w:num w:numId="35">
    <w:abstractNumId w:val="0"/>
  </w:num>
  <w:num w:numId="36">
    <w:abstractNumId w:val="10"/>
  </w:num>
  <w:num w:numId="37">
    <w:abstractNumId w:val="48"/>
  </w:num>
  <w:num w:numId="38">
    <w:abstractNumId w:val="14"/>
  </w:num>
  <w:num w:numId="39">
    <w:abstractNumId w:val="24"/>
  </w:num>
  <w:num w:numId="40">
    <w:abstractNumId w:val="25"/>
  </w:num>
  <w:num w:numId="41">
    <w:abstractNumId w:val="28"/>
  </w:num>
  <w:num w:numId="42">
    <w:abstractNumId w:val="15"/>
  </w:num>
  <w:num w:numId="43">
    <w:abstractNumId w:val="38"/>
  </w:num>
  <w:num w:numId="44">
    <w:abstractNumId w:val="47"/>
  </w:num>
  <w:num w:numId="45">
    <w:abstractNumId w:val="33"/>
  </w:num>
  <w:num w:numId="46">
    <w:abstractNumId w:val="40"/>
  </w:num>
  <w:num w:numId="47">
    <w:abstractNumId w:val="29"/>
  </w:num>
  <w:num w:numId="48">
    <w:abstractNumId w:val="37"/>
  </w:num>
  <w:num w:numId="49">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9E9"/>
    <w:rsid w:val="00000849"/>
    <w:rsid w:val="000011E2"/>
    <w:rsid w:val="00001CDB"/>
    <w:rsid w:val="00001E8E"/>
    <w:rsid w:val="00003668"/>
    <w:rsid w:val="00017543"/>
    <w:rsid w:val="000238D4"/>
    <w:rsid w:val="00025A11"/>
    <w:rsid w:val="000322AD"/>
    <w:rsid w:val="000410DC"/>
    <w:rsid w:val="00042E0C"/>
    <w:rsid w:val="00044831"/>
    <w:rsid w:val="00063F52"/>
    <w:rsid w:val="00065BEE"/>
    <w:rsid w:val="00066D07"/>
    <w:rsid w:val="00066D78"/>
    <w:rsid w:val="00080809"/>
    <w:rsid w:val="00082683"/>
    <w:rsid w:val="00082DA6"/>
    <w:rsid w:val="00083151"/>
    <w:rsid w:val="00087123"/>
    <w:rsid w:val="00092134"/>
    <w:rsid w:val="00093677"/>
    <w:rsid w:val="00094EDF"/>
    <w:rsid w:val="00096835"/>
    <w:rsid w:val="000968DF"/>
    <w:rsid w:val="00097AF4"/>
    <w:rsid w:val="000A51CD"/>
    <w:rsid w:val="000D125F"/>
    <w:rsid w:val="000D3F21"/>
    <w:rsid w:val="000E2F34"/>
    <w:rsid w:val="000E709A"/>
    <w:rsid w:val="000F680B"/>
    <w:rsid w:val="00100FA0"/>
    <w:rsid w:val="00101C94"/>
    <w:rsid w:val="00102E81"/>
    <w:rsid w:val="00103FDA"/>
    <w:rsid w:val="001138EE"/>
    <w:rsid w:val="00117815"/>
    <w:rsid w:val="00120FB2"/>
    <w:rsid w:val="00121552"/>
    <w:rsid w:val="00122060"/>
    <w:rsid w:val="001245A7"/>
    <w:rsid w:val="00125F1A"/>
    <w:rsid w:val="00126CAB"/>
    <w:rsid w:val="00136959"/>
    <w:rsid w:val="001372DC"/>
    <w:rsid w:val="0014059C"/>
    <w:rsid w:val="00141710"/>
    <w:rsid w:val="00146822"/>
    <w:rsid w:val="001477DC"/>
    <w:rsid w:val="00152E6C"/>
    <w:rsid w:val="00153AF4"/>
    <w:rsid w:val="001556D5"/>
    <w:rsid w:val="00155B1B"/>
    <w:rsid w:val="001572C6"/>
    <w:rsid w:val="00160645"/>
    <w:rsid w:val="0016250B"/>
    <w:rsid w:val="001633CD"/>
    <w:rsid w:val="0016468E"/>
    <w:rsid w:val="001717D1"/>
    <w:rsid w:val="00175385"/>
    <w:rsid w:val="00180599"/>
    <w:rsid w:val="00182489"/>
    <w:rsid w:val="001845B1"/>
    <w:rsid w:val="001916CB"/>
    <w:rsid w:val="00192436"/>
    <w:rsid w:val="001927F3"/>
    <w:rsid w:val="00193FB8"/>
    <w:rsid w:val="001968EC"/>
    <w:rsid w:val="001972C4"/>
    <w:rsid w:val="001977F3"/>
    <w:rsid w:val="001A1F7D"/>
    <w:rsid w:val="001A4168"/>
    <w:rsid w:val="001A674C"/>
    <w:rsid w:val="001B4387"/>
    <w:rsid w:val="001B5A86"/>
    <w:rsid w:val="001B712E"/>
    <w:rsid w:val="001C27B4"/>
    <w:rsid w:val="001C5516"/>
    <w:rsid w:val="001D0BC0"/>
    <w:rsid w:val="001D2B6E"/>
    <w:rsid w:val="001D7C46"/>
    <w:rsid w:val="001E3CA5"/>
    <w:rsid w:val="001E6796"/>
    <w:rsid w:val="001E7293"/>
    <w:rsid w:val="001F016F"/>
    <w:rsid w:val="001F3048"/>
    <w:rsid w:val="001F4204"/>
    <w:rsid w:val="001F7136"/>
    <w:rsid w:val="00204EB4"/>
    <w:rsid w:val="0020705E"/>
    <w:rsid w:val="00207CE9"/>
    <w:rsid w:val="00207DB4"/>
    <w:rsid w:val="00210C0F"/>
    <w:rsid w:val="00211ABB"/>
    <w:rsid w:val="002173AE"/>
    <w:rsid w:val="0021749E"/>
    <w:rsid w:val="00217D1F"/>
    <w:rsid w:val="00223F42"/>
    <w:rsid w:val="002246BF"/>
    <w:rsid w:val="00231942"/>
    <w:rsid w:val="00231994"/>
    <w:rsid w:val="00231F2B"/>
    <w:rsid w:val="0023589B"/>
    <w:rsid w:val="002372D0"/>
    <w:rsid w:val="00243C55"/>
    <w:rsid w:val="0025266D"/>
    <w:rsid w:val="002666A6"/>
    <w:rsid w:val="0026720E"/>
    <w:rsid w:val="0027008B"/>
    <w:rsid w:val="00270E98"/>
    <w:rsid w:val="00272A00"/>
    <w:rsid w:val="0027754B"/>
    <w:rsid w:val="00281243"/>
    <w:rsid w:val="0028126D"/>
    <w:rsid w:val="00287030"/>
    <w:rsid w:val="00292938"/>
    <w:rsid w:val="00294D99"/>
    <w:rsid w:val="002977F1"/>
    <w:rsid w:val="002A21DF"/>
    <w:rsid w:val="002A60E8"/>
    <w:rsid w:val="002A6597"/>
    <w:rsid w:val="002B03ED"/>
    <w:rsid w:val="002D0366"/>
    <w:rsid w:val="002D0DC4"/>
    <w:rsid w:val="002D6055"/>
    <w:rsid w:val="002D62E0"/>
    <w:rsid w:val="002E1091"/>
    <w:rsid w:val="002E3716"/>
    <w:rsid w:val="002E704E"/>
    <w:rsid w:val="002E7AA3"/>
    <w:rsid w:val="002F310F"/>
    <w:rsid w:val="002F5285"/>
    <w:rsid w:val="00300C3A"/>
    <w:rsid w:val="00303806"/>
    <w:rsid w:val="00303BC2"/>
    <w:rsid w:val="0030680B"/>
    <w:rsid w:val="00311A3A"/>
    <w:rsid w:val="003126B1"/>
    <w:rsid w:val="00315BE7"/>
    <w:rsid w:val="00315EA2"/>
    <w:rsid w:val="003255EB"/>
    <w:rsid w:val="00332C3D"/>
    <w:rsid w:val="003331EC"/>
    <w:rsid w:val="003359BE"/>
    <w:rsid w:val="00341680"/>
    <w:rsid w:val="00346B29"/>
    <w:rsid w:val="0035082A"/>
    <w:rsid w:val="00353977"/>
    <w:rsid w:val="003556E7"/>
    <w:rsid w:val="00357431"/>
    <w:rsid w:val="003624DE"/>
    <w:rsid w:val="0036255B"/>
    <w:rsid w:val="0036387B"/>
    <w:rsid w:val="003654BB"/>
    <w:rsid w:val="00367647"/>
    <w:rsid w:val="0037100F"/>
    <w:rsid w:val="003744C9"/>
    <w:rsid w:val="00377952"/>
    <w:rsid w:val="0038583E"/>
    <w:rsid w:val="00386FD7"/>
    <w:rsid w:val="00396BF2"/>
    <w:rsid w:val="00397B36"/>
    <w:rsid w:val="003A361D"/>
    <w:rsid w:val="003A47AF"/>
    <w:rsid w:val="003A542D"/>
    <w:rsid w:val="003A5C62"/>
    <w:rsid w:val="003A5D69"/>
    <w:rsid w:val="003A60CA"/>
    <w:rsid w:val="003B7299"/>
    <w:rsid w:val="003C305C"/>
    <w:rsid w:val="003D1A6D"/>
    <w:rsid w:val="003D265E"/>
    <w:rsid w:val="003D4411"/>
    <w:rsid w:val="003D470D"/>
    <w:rsid w:val="003D4E1D"/>
    <w:rsid w:val="003D5A02"/>
    <w:rsid w:val="003D5F01"/>
    <w:rsid w:val="003E0112"/>
    <w:rsid w:val="003E2D14"/>
    <w:rsid w:val="003E2F87"/>
    <w:rsid w:val="003E3AEA"/>
    <w:rsid w:val="003E4DAE"/>
    <w:rsid w:val="003E5C33"/>
    <w:rsid w:val="003E669D"/>
    <w:rsid w:val="003E78E8"/>
    <w:rsid w:val="003F2515"/>
    <w:rsid w:val="003F4166"/>
    <w:rsid w:val="003F5DB0"/>
    <w:rsid w:val="00401BE9"/>
    <w:rsid w:val="00403B02"/>
    <w:rsid w:val="004044D1"/>
    <w:rsid w:val="0040638D"/>
    <w:rsid w:val="00407A67"/>
    <w:rsid w:val="004106CD"/>
    <w:rsid w:val="00414723"/>
    <w:rsid w:val="0042103B"/>
    <w:rsid w:val="0042270A"/>
    <w:rsid w:val="00422B15"/>
    <w:rsid w:val="00422C72"/>
    <w:rsid w:val="00422D45"/>
    <w:rsid w:val="004241FF"/>
    <w:rsid w:val="004274A8"/>
    <w:rsid w:val="00431F16"/>
    <w:rsid w:val="00432C1F"/>
    <w:rsid w:val="004401E8"/>
    <w:rsid w:val="00446048"/>
    <w:rsid w:val="00447302"/>
    <w:rsid w:val="00453B92"/>
    <w:rsid w:val="00461BEB"/>
    <w:rsid w:val="00461E3D"/>
    <w:rsid w:val="004654AB"/>
    <w:rsid w:val="00465D61"/>
    <w:rsid w:val="00472FC5"/>
    <w:rsid w:val="00482CFB"/>
    <w:rsid w:val="00486D09"/>
    <w:rsid w:val="00487273"/>
    <w:rsid w:val="0049287E"/>
    <w:rsid w:val="004A0436"/>
    <w:rsid w:val="004A0BCB"/>
    <w:rsid w:val="004A67FB"/>
    <w:rsid w:val="004A7505"/>
    <w:rsid w:val="004B1CAB"/>
    <w:rsid w:val="004C5765"/>
    <w:rsid w:val="004C6986"/>
    <w:rsid w:val="004D2B7A"/>
    <w:rsid w:val="004D4B0C"/>
    <w:rsid w:val="004D534B"/>
    <w:rsid w:val="004D6A35"/>
    <w:rsid w:val="004E169F"/>
    <w:rsid w:val="004E2B8B"/>
    <w:rsid w:val="004E4563"/>
    <w:rsid w:val="004E68FC"/>
    <w:rsid w:val="004F07D4"/>
    <w:rsid w:val="004F268B"/>
    <w:rsid w:val="004F2DE6"/>
    <w:rsid w:val="004F453E"/>
    <w:rsid w:val="004F65C2"/>
    <w:rsid w:val="004F69C8"/>
    <w:rsid w:val="005007ED"/>
    <w:rsid w:val="00501419"/>
    <w:rsid w:val="005015FE"/>
    <w:rsid w:val="005025E5"/>
    <w:rsid w:val="0050621F"/>
    <w:rsid w:val="00513700"/>
    <w:rsid w:val="00514E11"/>
    <w:rsid w:val="00521A97"/>
    <w:rsid w:val="00521E95"/>
    <w:rsid w:val="00540E4C"/>
    <w:rsid w:val="00541D30"/>
    <w:rsid w:val="005465AF"/>
    <w:rsid w:val="005477A8"/>
    <w:rsid w:val="005534BB"/>
    <w:rsid w:val="00556BB0"/>
    <w:rsid w:val="00556C04"/>
    <w:rsid w:val="00557812"/>
    <w:rsid w:val="00560F3B"/>
    <w:rsid w:val="0056150B"/>
    <w:rsid w:val="00563B1D"/>
    <w:rsid w:val="00563FB4"/>
    <w:rsid w:val="00566704"/>
    <w:rsid w:val="00566BEF"/>
    <w:rsid w:val="00573894"/>
    <w:rsid w:val="00585A90"/>
    <w:rsid w:val="0058687D"/>
    <w:rsid w:val="00593A2C"/>
    <w:rsid w:val="005A3760"/>
    <w:rsid w:val="005B2D7B"/>
    <w:rsid w:val="005B3EC6"/>
    <w:rsid w:val="005B58EB"/>
    <w:rsid w:val="005C6569"/>
    <w:rsid w:val="005D7765"/>
    <w:rsid w:val="005E05B7"/>
    <w:rsid w:val="005E5787"/>
    <w:rsid w:val="005F112D"/>
    <w:rsid w:val="005F371A"/>
    <w:rsid w:val="00601399"/>
    <w:rsid w:val="00601A8D"/>
    <w:rsid w:val="006028C3"/>
    <w:rsid w:val="00602D2F"/>
    <w:rsid w:val="00607AE9"/>
    <w:rsid w:val="0061118F"/>
    <w:rsid w:val="006115C8"/>
    <w:rsid w:val="006118E4"/>
    <w:rsid w:val="00616CE2"/>
    <w:rsid w:val="00617C8F"/>
    <w:rsid w:val="00623398"/>
    <w:rsid w:val="00625CB8"/>
    <w:rsid w:val="00630C5C"/>
    <w:rsid w:val="006347FE"/>
    <w:rsid w:val="00637359"/>
    <w:rsid w:val="006402BA"/>
    <w:rsid w:val="00641959"/>
    <w:rsid w:val="0065171B"/>
    <w:rsid w:val="00664721"/>
    <w:rsid w:val="00673A44"/>
    <w:rsid w:val="00682556"/>
    <w:rsid w:val="00684561"/>
    <w:rsid w:val="00686F9F"/>
    <w:rsid w:val="006912D1"/>
    <w:rsid w:val="00693B7B"/>
    <w:rsid w:val="00696ED1"/>
    <w:rsid w:val="006A10D9"/>
    <w:rsid w:val="006A3321"/>
    <w:rsid w:val="006A3A69"/>
    <w:rsid w:val="006A4A20"/>
    <w:rsid w:val="006B7B6C"/>
    <w:rsid w:val="006C5730"/>
    <w:rsid w:val="006C5F9B"/>
    <w:rsid w:val="006C6065"/>
    <w:rsid w:val="006C6FCE"/>
    <w:rsid w:val="006D4AFD"/>
    <w:rsid w:val="006E4320"/>
    <w:rsid w:val="006E5230"/>
    <w:rsid w:val="006F637B"/>
    <w:rsid w:val="006F7799"/>
    <w:rsid w:val="00701306"/>
    <w:rsid w:val="00704C52"/>
    <w:rsid w:val="00704F22"/>
    <w:rsid w:val="00705832"/>
    <w:rsid w:val="00712C76"/>
    <w:rsid w:val="00713CC3"/>
    <w:rsid w:val="0072153F"/>
    <w:rsid w:val="007218E8"/>
    <w:rsid w:val="00723465"/>
    <w:rsid w:val="00726EB5"/>
    <w:rsid w:val="007332D8"/>
    <w:rsid w:val="00740753"/>
    <w:rsid w:val="00740929"/>
    <w:rsid w:val="00743D36"/>
    <w:rsid w:val="00743E44"/>
    <w:rsid w:val="00747961"/>
    <w:rsid w:val="0075649B"/>
    <w:rsid w:val="00757646"/>
    <w:rsid w:val="0076748D"/>
    <w:rsid w:val="007700E9"/>
    <w:rsid w:val="00771647"/>
    <w:rsid w:val="00780FA1"/>
    <w:rsid w:val="007912DD"/>
    <w:rsid w:val="00793E8F"/>
    <w:rsid w:val="00793FC5"/>
    <w:rsid w:val="007974D4"/>
    <w:rsid w:val="007A3E37"/>
    <w:rsid w:val="007B1EB3"/>
    <w:rsid w:val="007B20D2"/>
    <w:rsid w:val="007B5D40"/>
    <w:rsid w:val="007C35BF"/>
    <w:rsid w:val="007C3E71"/>
    <w:rsid w:val="007C43E8"/>
    <w:rsid w:val="007C5015"/>
    <w:rsid w:val="007C6EA1"/>
    <w:rsid w:val="007D12E1"/>
    <w:rsid w:val="007D13F0"/>
    <w:rsid w:val="007D3CB2"/>
    <w:rsid w:val="007D4E0F"/>
    <w:rsid w:val="007F5738"/>
    <w:rsid w:val="007F6401"/>
    <w:rsid w:val="007F75DD"/>
    <w:rsid w:val="007F7992"/>
    <w:rsid w:val="00806510"/>
    <w:rsid w:val="0081418C"/>
    <w:rsid w:val="008158A0"/>
    <w:rsid w:val="00821B73"/>
    <w:rsid w:val="00825DF2"/>
    <w:rsid w:val="008306B5"/>
    <w:rsid w:val="00830742"/>
    <w:rsid w:val="00830DD4"/>
    <w:rsid w:val="00832984"/>
    <w:rsid w:val="00832A3A"/>
    <w:rsid w:val="008343F5"/>
    <w:rsid w:val="00836987"/>
    <w:rsid w:val="00840A1C"/>
    <w:rsid w:val="00840F85"/>
    <w:rsid w:val="008614BE"/>
    <w:rsid w:val="00872C50"/>
    <w:rsid w:val="00890207"/>
    <w:rsid w:val="00893121"/>
    <w:rsid w:val="00894490"/>
    <w:rsid w:val="00895E26"/>
    <w:rsid w:val="0089706A"/>
    <w:rsid w:val="00897BB1"/>
    <w:rsid w:val="008A17DA"/>
    <w:rsid w:val="008A5EAC"/>
    <w:rsid w:val="008B2BDC"/>
    <w:rsid w:val="008B5D83"/>
    <w:rsid w:val="008C590E"/>
    <w:rsid w:val="008C5DCF"/>
    <w:rsid w:val="008D0301"/>
    <w:rsid w:val="008D0DBE"/>
    <w:rsid w:val="008E0983"/>
    <w:rsid w:val="008E1039"/>
    <w:rsid w:val="008E39DE"/>
    <w:rsid w:val="008F7C69"/>
    <w:rsid w:val="00902B65"/>
    <w:rsid w:val="009050F5"/>
    <w:rsid w:val="00905F12"/>
    <w:rsid w:val="009070EB"/>
    <w:rsid w:val="00913282"/>
    <w:rsid w:val="009144D4"/>
    <w:rsid w:val="0091690C"/>
    <w:rsid w:val="00917211"/>
    <w:rsid w:val="0092005B"/>
    <w:rsid w:val="00922A11"/>
    <w:rsid w:val="00924F22"/>
    <w:rsid w:val="009277CD"/>
    <w:rsid w:val="0093254F"/>
    <w:rsid w:val="00933E34"/>
    <w:rsid w:val="0093634D"/>
    <w:rsid w:val="00937300"/>
    <w:rsid w:val="0094758C"/>
    <w:rsid w:val="00951A15"/>
    <w:rsid w:val="009544FA"/>
    <w:rsid w:val="009670C6"/>
    <w:rsid w:val="00967B81"/>
    <w:rsid w:val="009706F4"/>
    <w:rsid w:val="00973B9D"/>
    <w:rsid w:val="00973CA5"/>
    <w:rsid w:val="00974249"/>
    <w:rsid w:val="009765D0"/>
    <w:rsid w:val="0098016A"/>
    <w:rsid w:val="00986454"/>
    <w:rsid w:val="00987303"/>
    <w:rsid w:val="0098760C"/>
    <w:rsid w:val="00991C8F"/>
    <w:rsid w:val="0099390B"/>
    <w:rsid w:val="00995985"/>
    <w:rsid w:val="0099637D"/>
    <w:rsid w:val="009A19E3"/>
    <w:rsid w:val="009A6154"/>
    <w:rsid w:val="009A7BDD"/>
    <w:rsid w:val="009B0CCE"/>
    <w:rsid w:val="009B3692"/>
    <w:rsid w:val="009C034D"/>
    <w:rsid w:val="009C1791"/>
    <w:rsid w:val="009D346D"/>
    <w:rsid w:val="009D45DC"/>
    <w:rsid w:val="009D49C3"/>
    <w:rsid w:val="009D7DD9"/>
    <w:rsid w:val="00A008F1"/>
    <w:rsid w:val="00A0164D"/>
    <w:rsid w:val="00A05C6E"/>
    <w:rsid w:val="00A06C6F"/>
    <w:rsid w:val="00A11171"/>
    <w:rsid w:val="00A231A9"/>
    <w:rsid w:val="00A262E1"/>
    <w:rsid w:val="00A26ED9"/>
    <w:rsid w:val="00A30A56"/>
    <w:rsid w:val="00A30E00"/>
    <w:rsid w:val="00A423FE"/>
    <w:rsid w:val="00A46494"/>
    <w:rsid w:val="00A52CCD"/>
    <w:rsid w:val="00A65D6D"/>
    <w:rsid w:val="00A66143"/>
    <w:rsid w:val="00A6777E"/>
    <w:rsid w:val="00A72E64"/>
    <w:rsid w:val="00A75BD2"/>
    <w:rsid w:val="00A8571B"/>
    <w:rsid w:val="00A90C95"/>
    <w:rsid w:val="00A92B97"/>
    <w:rsid w:val="00A977BD"/>
    <w:rsid w:val="00AA25D2"/>
    <w:rsid w:val="00AA3BFE"/>
    <w:rsid w:val="00AA475F"/>
    <w:rsid w:val="00AB6609"/>
    <w:rsid w:val="00AC079A"/>
    <w:rsid w:val="00AC3906"/>
    <w:rsid w:val="00AC5692"/>
    <w:rsid w:val="00AD1948"/>
    <w:rsid w:val="00AD3B8F"/>
    <w:rsid w:val="00AD7497"/>
    <w:rsid w:val="00AE4AF1"/>
    <w:rsid w:val="00AE6711"/>
    <w:rsid w:val="00AF0BF8"/>
    <w:rsid w:val="00AF1B99"/>
    <w:rsid w:val="00AF2FF8"/>
    <w:rsid w:val="00B01042"/>
    <w:rsid w:val="00B04E12"/>
    <w:rsid w:val="00B065CF"/>
    <w:rsid w:val="00B0702F"/>
    <w:rsid w:val="00B10307"/>
    <w:rsid w:val="00B13BBB"/>
    <w:rsid w:val="00B17D4A"/>
    <w:rsid w:val="00B2463D"/>
    <w:rsid w:val="00B25AC6"/>
    <w:rsid w:val="00B27D88"/>
    <w:rsid w:val="00B345B4"/>
    <w:rsid w:val="00B366F5"/>
    <w:rsid w:val="00B374CE"/>
    <w:rsid w:val="00B40642"/>
    <w:rsid w:val="00B40A37"/>
    <w:rsid w:val="00B41030"/>
    <w:rsid w:val="00B43427"/>
    <w:rsid w:val="00B5182F"/>
    <w:rsid w:val="00B51D99"/>
    <w:rsid w:val="00B55C54"/>
    <w:rsid w:val="00B566B6"/>
    <w:rsid w:val="00B601C9"/>
    <w:rsid w:val="00B62FF3"/>
    <w:rsid w:val="00B76913"/>
    <w:rsid w:val="00B77277"/>
    <w:rsid w:val="00B77778"/>
    <w:rsid w:val="00B81106"/>
    <w:rsid w:val="00B811BD"/>
    <w:rsid w:val="00B8781D"/>
    <w:rsid w:val="00B87E7B"/>
    <w:rsid w:val="00B92788"/>
    <w:rsid w:val="00B966AD"/>
    <w:rsid w:val="00BA00FE"/>
    <w:rsid w:val="00BA04FD"/>
    <w:rsid w:val="00BA113C"/>
    <w:rsid w:val="00BB0375"/>
    <w:rsid w:val="00BB210A"/>
    <w:rsid w:val="00BB4A7D"/>
    <w:rsid w:val="00BB67EF"/>
    <w:rsid w:val="00BB7A38"/>
    <w:rsid w:val="00BC02ED"/>
    <w:rsid w:val="00BC3744"/>
    <w:rsid w:val="00BC6C3E"/>
    <w:rsid w:val="00BC6E70"/>
    <w:rsid w:val="00BD7E34"/>
    <w:rsid w:val="00BE53A8"/>
    <w:rsid w:val="00BF0EB3"/>
    <w:rsid w:val="00BF139E"/>
    <w:rsid w:val="00BF1563"/>
    <w:rsid w:val="00BF2FD5"/>
    <w:rsid w:val="00BF3DBB"/>
    <w:rsid w:val="00BF5258"/>
    <w:rsid w:val="00C00ACC"/>
    <w:rsid w:val="00C05316"/>
    <w:rsid w:val="00C1086D"/>
    <w:rsid w:val="00C1172B"/>
    <w:rsid w:val="00C13CEE"/>
    <w:rsid w:val="00C13FC2"/>
    <w:rsid w:val="00C1639F"/>
    <w:rsid w:val="00C16963"/>
    <w:rsid w:val="00C16EF7"/>
    <w:rsid w:val="00C17868"/>
    <w:rsid w:val="00C21C24"/>
    <w:rsid w:val="00C22354"/>
    <w:rsid w:val="00C2410F"/>
    <w:rsid w:val="00C4181D"/>
    <w:rsid w:val="00C41D21"/>
    <w:rsid w:val="00C41D64"/>
    <w:rsid w:val="00C437BF"/>
    <w:rsid w:val="00C43EDF"/>
    <w:rsid w:val="00C456B8"/>
    <w:rsid w:val="00C47319"/>
    <w:rsid w:val="00C532B7"/>
    <w:rsid w:val="00C555B8"/>
    <w:rsid w:val="00C56141"/>
    <w:rsid w:val="00C577E9"/>
    <w:rsid w:val="00C66F76"/>
    <w:rsid w:val="00C705EE"/>
    <w:rsid w:val="00C77437"/>
    <w:rsid w:val="00C8044A"/>
    <w:rsid w:val="00C84E0B"/>
    <w:rsid w:val="00C873E9"/>
    <w:rsid w:val="00C87640"/>
    <w:rsid w:val="00C87974"/>
    <w:rsid w:val="00C9070A"/>
    <w:rsid w:val="00C935CA"/>
    <w:rsid w:val="00C938A1"/>
    <w:rsid w:val="00C942B0"/>
    <w:rsid w:val="00C9466B"/>
    <w:rsid w:val="00C95CA3"/>
    <w:rsid w:val="00C96552"/>
    <w:rsid w:val="00C96BE9"/>
    <w:rsid w:val="00CA12EB"/>
    <w:rsid w:val="00CA3321"/>
    <w:rsid w:val="00CA47EF"/>
    <w:rsid w:val="00CA54D3"/>
    <w:rsid w:val="00CA5792"/>
    <w:rsid w:val="00CA5D51"/>
    <w:rsid w:val="00CA5E7F"/>
    <w:rsid w:val="00CA6850"/>
    <w:rsid w:val="00CA755D"/>
    <w:rsid w:val="00CB2D7D"/>
    <w:rsid w:val="00CB486B"/>
    <w:rsid w:val="00CC5233"/>
    <w:rsid w:val="00CC6D61"/>
    <w:rsid w:val="00CC75E9"/>
    <w:rsid w:val="00CD31E0"/>
    <w:rsid w:val="00CD3881"/>
    <w:rsid w:val="00CE27E1"/>
    <w:rsid w:val="00CE3745"/>
    <w:rsid w:val="00CE43F0"/>
    <w:rsid w:val="00CE48E5"/>
    <w:rsid w:val="00CE71CA"/>
    <w:rsid w:val="00CF0982"/>
    <w:rsid w:val="00CF5649"/>
    <w:rsid w:val="00CF77DD"/>
    <w:rsid w:val="00D00540"/>
    <w:rsid w:val="00D007C2"/>
    <w:rsid w:val="00D0154E"/>
    <w:rsid w:val="00D01E31"/>
    <w:rsid w:val="00D03856"/>
    <w:rsid w:val="00D04072"/>
    <w:rsid w:val="00D04924"/>
    <w:rsid w:val="00D12E14"/>
    <w:rsid w:val="00D14E40"/>
    <w:rsid w:val="00D150B7"/>
    <w:rsid w:val="00D20803"/>
    <w:rsid w:val="00D241E5"/>
    <w:rsid w:val="00D3137D"/>
    <w:rsid w:val="00D31C25"/>
    <w:rsid w:val="00D31C30"/>
    <w:rsid w:val="00D33CA5"/>
    <w:rsid w:val="00D35C63"/>
    <w:rsid w:val="00D37689"/>
    <w:rsid w:val="00D41D5D"/>
    <w:rsid w:val="00D4244D"/>
    <w:rsid w:val="00D45253"/>
    <w:rsid w:val="00D47184"/>
    <w:rsid w:val="00D540A2"/>
    <w:rsid w:val="00D7375A"/>
    <w:rsid w:val="00D769E9"/>
    <w:rsid w:val="00D81365"/>
    <w:rsid w:val="00D82FFC"/>
    <w:rsid w:val="00D85764"/>
    <w:rsid w:val="00D85AC7"/>
    <w:rsid w:val="00DA33DC"/>
    <w:rsid w:val="00DB16AD"/>
    <w:rsid w:val="00DB21A9"/>
    <w:rsid w:val="00DB252A"/>
    <w:rsid w:val="00DB44DF"/>
    <w:rsid w:val="00DC0CD2"/>
    <w:rsid w:val="00DC1F42"/>
    <w:rsid w:val="00DC26DB"/>
    <w:rsid w:val="00DD0277"/>
    <w:rsid w:val="00DD0510"/>
    <w:rsid w:val="00DD0DD6"/>
    <w:rsid w:val="00DD420D"/>
    <w:rsid w:val="00DD6C2A"/>
    <w:rsid w:val="00DE1DB5"/>
    <w:rsid w:val="00DE1DC6"/>
    <w:rsid w:val="00DE5FE7"/>
    <w:rsid w:val="00DE7460"/>
    <w:rsid w:val="00E07312"/>
    <w:rsid w:val="00E10BB8"/>
    <w:rsid w:val="00E13D92"/>
    <w:rsid w:val="00E1795D"/>
    <w:rsid w:val="00E24349"/>
    <w:rsid w:val="00E270BF"/>
    <w:rsid w:val="00E316D5"/>
    <w:rsid w:val="00E33CBF"/>
    <w:rsid w:val="00E343DF"/>
    <w:rsid w:val="00E3515E"/>
    <w:rsid w:val="00E35950"/>
    <w:rsid w:val="00E37735"/>
    <w:rsid w:val="00E44968"/>
    <w:rsid w:val="00E46E9C"/>
    <w:rsid w:val="00E713FE"/>
    <w:rsid w:val="00E85FFB"/>
    <w:rsid w:val="00E860DB"/>
    <w:rsid w:val="00E875A6"/>
    <w:rsid w:val="00E94EA5"/>
    <w:rsid w:val="00EA29E6"/>
    <w:rsid w:val="00EA4ADF"/>
    <w:rsid w:val="00EB554A"/>
    <w:rsid w:val="00EB55B0"/>
    <w:rsid w:val="00EB778E"/>
    <w:rsid w:val="00EC232A"/>
    <w:rsid w:val="00EC3FB6"/>
    <w:rsid w:val="00ED0BD1"/>
    <w:rsid w:val="00ED1EBA"/>
    <w:rsid w:val="00ED4552"/>
    <w:rsid w:val="00ED58FB"/>
    <w:rsid w:val="00ED6EAC"/>
    <w:rsid w:val="00EE1306"/>
    <w:rsid w:val="00EE1BA6"/>
    <w:rsid w:val="00EE664C"/>
    <w:rsid w:val="00EE6AF7"/>
    <w:rsid w:val="00EE7FBB"/>
    <w:rsid w:val="00EF3E96"/>
    <w:rsid w:val="00EF4E5D"/>
    <w:rsid w:val="00F0058E"/>
    <w:rsid w:val="00F034EF"/>
    <w:rsid w:val="00F0479B"/>
    <w:rsid w:val="00F04D6E"/>
    <w:rsid w:val="00F142BA"/>
    <w:rsid w:val="00F15631"/>
    <w:rsid w:val="00F16602"/>
    <w:rsid w:val="00F178B7"/>
    <w:rsid w:val="00F211F0"/>
    <w:rsid w:val="00F31384"/>
    <w:rsid w:val="00F33E9B"/>
    <w:rsid w:val="00F42BE6"/>
    <w:rsid w:val="00F45606"/>
    <w:rsid w:val="00F456AE"/>
    <w:rsid w:val="00F4726D"/>
    <w:rsid w:val="00F552E0"/>
    <w:rsid w:val="00F57613"/>
    <w:rsid w:val="00F60E2F"/>
    <w:rsid w:val="00F64B80"/>
    <w:rsid w:val="00F71AD8"/>
    <w:rsid w:val="00F72CF5"/>
    <w:rsid w:val="00F826C0"/>
    <w:rsid w:val="00F84BA5"/>
    <w:rsid w:val="00F93CEA"/>
    <w:rsid w:val="00F969CB"/>
    <w:rsid w:val="00FA1A15"/>
    <w:rsid w:val="00FA49E9"/>
    <w:rsid w:val="00FB1530"/>
    <w:rsid w:val="00FB7471"/>
    <w:rsid w:val="00FD102F"/>
    <w:rsid w:val="00FD413D"/>
    <w:rsid w:val="00FE406D"/>
    <w:rsid w:val="00FE4EED"/>
    <w:rsid w:val="00FE737F"/>
    <w:rsid w:val="00FE76C5"/>
    <w:rsid w:val="00FF31D5"/>
    <w:rsid w:val="00FF34C5"/>
    <w:rsid w:val="00FF7934"/>
    <w:rsid w:val="03F6C281"/>
    <w:rsid w:val="06D1B7C6"/>
    <w:rsid w:val="0B745AB3"/>
    <w:rsid w:val="0D354D1E"/>
    <w:rsid w:val="0E6AD53A"/>
    <w:rsid w:val="123E7297"/>
    <w:rsid w:val="1918EAF1"/>
    <w:rsid w:val="1B18814C"/>
    <w:rsid w:val="1BBD8CF2"/>
    <w:rsid w:val="1C5202A4"/>
    <w:rsid w:val="1F83B9B1"/>
    <w:rsid w:val="1F88CE85"/>
    <w:rsid w:val="1FA8126D"/>
    <w:rsid w:val="246D2C03"/>
    <w:rsid w:val="27B6BF38"/>
    <w:rsid w:val="2AEC6ED6"/>
    <w:rsid w:val="2EAB6CC5"/>
    <w:rsid w:val="301D99A3"/>
    <w:rsid w:val="34B30443"/>
    <w:rsid w:val="42C2ADB6"/>
    <w:rsid w:val="42CD4BB5"/>
    <w:rsid w:val="433FD79E"/>
    <w:rsid w:val="4604AF0E"/>
    <w:rsid w:val="4682320A"/>
    <w:rsid w:val="6840970C"/>
    <w:rsid w:val="68EC5888"/>
    <w:rsid w:val="6D2B53F9"/>
    <w:rsid w:val="6E80D915"/>
    <w:rsid w:val="70A4D00F"/>
    <w:rsid w:val="733A7EEE"/>
    <w:rsid w:val="76F26533"/>
    <w:rsid w:val="7C88EE34"/>
    <w:rsid w:val="7E17D9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BB836EB-CEDA-451E-B842-CB88D6709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E65"/>
    <w:pPr>
      <w:jc w:val="both"/>
    </w:pPr>
    <w:rPr>
      <w:rFonts w:ascii="Arial" w:hAnsi="Arial"/>
      <w:sz w:val="24"/>
      <w:szCs w:val="24"/>
      <w:lang w:eastAsia="en-US"/>
    </w:rPr>
  </w:style>
  <w:style w:type="paragraph" w:styleId="Ttulo1">
    <w:name w:val="heading 1"/>
    <w:basedOn w:val="Normal"/>
    <w:next w:val="Normal"/>
    <w:link w:val="Ttulo1Car"/>
    <w:uiPriority w:val="9"/>
    <w:qFormat/>
    <w:rsid w:val="005A4E65"/>
    <w:pPr>
      <w:keepNext/>
      <w:keepLines/>
      <w:spacing w:before="240"/>
      <w:jc w:val="center"/>
      <w:outlineLvl w:val="0"/>
    </w:pPr>
    <w:rPr>
      <w:rFonts w:eastAsia="Times New Roman"/>
      <w:b/>
      <w:color w:val="000000"/>
      <w:szCs w:val="32"/>
    </w:rPr>
  </w:style>
  <w:style w:type="paragraph" w:styleId="Ttulo2">
    <w:name w:val="heading 2"/>
    <w:basedOn w:val="Normal"/>
    <w:next w:val="Normal"/>
    <w:link w:val="Ttulo2Car"/>
    <w:uiPriority w:val="9"/>
    <w:unhideWhenUsed/>
    <w:qFormat/>
    <w:rsid w:val="005A4E65"/>
    <w:pPr>
      <w:keepNext/>
      <w:keepLines/>
      <w:jc w:val="center"/>
      <w:outlineLvl w:val="1"/>
    </w:pPr>
    <w:rPr>
      <w:rFonts w:eastAsia="Times New Roman"/>
      <w:b/>
      <w:color w:val="000000"/>
      <w:szCs w:val="26"/>
    </w:rPr>
  </w:style>
  <w:style w:type="paragraph" w:styleId="Ttulo3">
    <w:name w:val="heading 3"/>
    <w:basedOn w:val="Normal"/>
    <w:next w:val="Normal"/>
    <w:link w:val="Ttulo3Car"/>
    <w:unhideWhenUsed/>
    <w:qFormat/>
    <w:rsid w:val="005A4E65"/>
    <w:pPr>
      <w:keepNext/>
      <w:keepLines/>
      <w:jc w:val="center"/>
      <w:outlineLvl w:val="2"/>
    </w:pPr>
    <w:rPr>
      <w:rFonts w:eastAsia="Times New Roman"/>
      <w:b/>
      <w:color w:val="000000"/>
    </w:rPr>
  </w:style>
  <w:style w:type="paragraph" w:styleId="Ttulo4">
    <w:name w:val="heading 4"/>
    <w:basedOn w:val="Normal"/>
    <w:next w:val="Normal"/>
    <w:link w:val="Ttulo4Car"/>
    <w:unhideWhenUsed/>
    <w:qFormat/>
    <w:rsid w:val="00F566E7"/>
    <w:pPr>
      <w:keepNext/>
      <w:keepLines/>
      <w:jc w:val="center"/>
      <w:outlineLvl w:val="3"/>
    </w:pPr>
    <w:rPr>
      <w:rFonts w:eastAsia="Times New Roman"/>
      <w:b/>
      <w:iCs/>
      <w:color w:val="000000"/>
    </w:rPr>
  </w:style>
  <w:style w:type="paragraph" w:styleId="Ttulo5">
    <w:name w:val="heading 5"/>
    <w:basedOn w:val="Normal"/>
    <w:next w:val="Normal"/>
    <w:link w:val="Ttulo5Car"/>
    <w:unhideWhenUsed/>
    <w:qFormat/>
    <w:rsid w:val="00062298"/>
    <w:pPr>
      <w:keepNext/>
      <w:keepLines/>
      <w:spacing w:before="40"/>
      <w:outlineLvl w:val="4"/>
    </w:pPr>
    <w:rPr>
      <w:rFonts w:ascii="Calibri Light" w:eastAsia="Times New Roman" w:hAnsi="Calibri Light"/>
      <w:color w:val="2F5496"/>
    </w:rPr>
  </w:style>
  <w:style w:type="paragraph" w:styleId="Ttulo6">
    <w:name w:val="heading 6"/>
    <w:basedOn w:val="Normal"/>
    <w:next w:val="Normal"/>
    <w:link w:val="Ttulo6Car"/>
    <w:unhideWhenUsed/>
    <w:qFormat/>
    <w:rsid w:val="00B82FED"/>
    <w:pPr>
      <w:pageBreakBefore/>
      <w:framePr w:wrap="around" w:vAnchor="page" w:hAnchor="text" w:y="1"/>
      <w:spacing w:before="40"/>
      <w:jc w:val="center"/>
      <w:outlineLvl w:val="5"/>
    </w:pPr>
    <w:rPr>
      <w:rFonts w:eastAsia="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B5080"/>
    <w:pPr>
      <w:tabs>
        <w:tab w:val="center" w:pos="4419"/>
        <w:tab w:val="right" w:pos="8838"/>
      </w:tabs>
    </w:pPr>
  </w:style>
  <w:style w:type="character" w:customStyle="1" w:styleId="PiedepginaCar">
    <w:name w:val="Pie de página Car"/>
    <w:basedOn w:val="Fuentedeprrafopredeter"/>
    <w:link w:val="Piedepgina"/>
    <w:uiPriority w:val="99"/>
    <w:rsid w:val="001B5080"/>
  </w:style>
  <w:style w:type="character" w:styleId="Nmerodepgina">
    <w:name w:val="page number"/>
    <w:basedOn w:val="Fuentedeprrafopredeter"/>
    <w:uiPriority w:val="99"/>
    <w:semiHidden/>
    <w:unhideWhenUsed/>
    <w:rsid w:val="001B5080"/>
  </w:style>
  <w:style w:type="paragraph" w:styleId="Encabezado">
    <w:name w:val="header"/>
    <w:basedOn w:val="Normal"/>
    <w:link w:val="EncabezadoCar"/>
    <w:uiPriority w:val="99"/>
    <w:unhideWhenUsed/>
    <w:rsid w:val="00B97640"/>
    <w:pPr>
      <w:tabs>
        <w:tab w:val="center" w:pos="4419"/>
        <w:tab w:val="right" w:pos="8838"/>
      </w:tabs>
    </w:pPr>
  </w:style>
  <w:style w:type="character" w:customStyle="1" w:styleId="EncabezadoCar">
    <w:name w:val="Encabezado Car"/>
    <w:basedOn w:val="Fuentedeprrafopredeter"/>
    <w:link w:val="Encabezado"/>
    <w:uiPriority w:val="99"/>
    <w:rsid w:val="00B97640"/>
  </w:style>
  <w:style w:type="character" w:customStyle="1" w:styleId="Ttulo1Car">
    <w:name w:val="Título 1 Car"/>
    <w:link w:val="Ttulo1"/>
    <w:uiPriority w:val="9"/>
    <w:rsid w:val="005A4E65"/>
    <w:rPr>
      <w:rFonts w:ascii="Arial" w:eastAsia="Times New Roman" w:hAnsi="Arial" w:cs="Times New Roman"/>
      <w:b/>
      <w:color w:val="000000"/>
      <w:szCs w:val="32"/>
    </w:rPr>
  </w:style>
  <w:style w:type="paragraph" w:styleId="TtuloTDC">
    <w:name w:val="TOC Heading"/>
    <w:basedOn w:val="Ttulo1"/>
    <w:next w:val="Normal"/>
    <w:uiPriority w:val="39"/>
    <w:unhideWhenUsed/>
    <w:qFormat/>
    <w:rsid w:val="00210E32"/>
    <w:pPr>
      <w:spacing w:line="259" w:lineRule="auto"/>
      <w:outlineLvl w:val="9"/>
    </w:pPr>
    <w:rPr>
      <w:lang w:eastAsia="es-MX"/>
    </w:rPr>
  </w:style>
  <w:style w:type="paragraph" w:styleId="Prrafodelista">
    <w:name w:val="List Paragraph"/>
    <w:basedOn w:val="Normal"/>
    <w:uiPriority w:val="34"/>
    <w:qFormat/>
    <w:rsid w:val="00D14BC9"/>
    <w:pPr>
      <w:spacing w:after="200" w:line="276" w:lineRule="auto"/>
      <w:ind w:left="720"/>
      <w:contextualSpacing/>
    </w:pPr>
    <w:rPr>
      <w:rFonts w:ascii="Calibri" w:hAnsi="Calibri"/>
      <w:szCs w:val="22"/>
    </w:rPr>
  </w:style>
  <w:style w:type="paragraph" w:styleId="TDC1">
    <w:name w:val="toc 1"/>
    <w:basedOn w:val="Normal"/>
    <w:next w:val="Normal"/>
    <w:autoRedefine/>
    <w:uiPriority w:val="39"/>
    <w:unhideWhenUsed/>
    <w:rsid w:val="00395066"/>
    <w:pPr>
      <w:spacing w:after="100"/>
    </w:pPr>
  </w:style>
  <w:style w:type="character" w:styleId="Hipervnculo">
    <w:name w:val="Hyperlink"/>
    <w:uiPriority w:val="99"/>
    <w:unhideWhenUsed/>
    <w:rsid w:val="002011FF"/>
    <w:rPr>
      <w:rFonts w:ascii="Barlow" w:hAnsi="Barlow"/>
      <w:color w:val="0563C1"/>
      <w:u w:val="single"/>
    </w:rPr>
  </w:style>
  <w:style w:type="character" w:customStyle="1" w:styleId="Ttulo2Car">
    <w:name w:val="Título 2 Car"/>
    <w:link w:val="Ttulo2"/>
    <w:uiPriority w:val="9"/>
    <w:rsid w:val="005A4E65"/>
    <w:rPr>
      <w:rFonts w:ascii="Arial" w:eastAsia="Times New Roman" w:hAnsi="Arial" w:cs="Times New Roman"/>
      <w:b/>
      <w:color w:val="000000"/>
      <w:szCs w:val="26"/>
    </w:rPr>
  </w:style>
  <w:style w:type="character" w:customStyle="1" w:styleId="Ttulo3Car">
    <w:name w:val="Título 3 Car"/>
    <w:link w:val="Ttulo3"/>
    <w:rsid w:val="005A4E65"/>
    <w:rPr>
      <w:rFonts w:ascii="Arial" w:eastAsia="Times New Roman" w:hAnsi="Arial" w:cs="Times New Roman"/>
      <w:b/>
      <w:color w:val="000000"/>
    </w:rPr>
  </w:style>
  <w:style w:type="paragraph" w:styleId="TDC2">
    <w:name w:val="toc 2"/>
    <w:basedOn w:val="Normal"/>
    <w:next w:val="Normal"/>
    <w:autoRedefine/>
    <w:uiPriority w:val="39"/>
    <w:unhideWhenUsed/>
    <w:rsid w:val="00F864DA"/>
    <w:pPr>
      <w:spacing w:after="100"/>
      <w:ind w:left="240"/>
    </w:pPr>
  </w:style>
  <w:style w:type="paragraph" w:styleId="TDC3">
    <w:name w:val="toc 3"/>
    <w:basedOn w:val="Normal"/>
    <w:next w:val="Normal"/>
    <w:autoRedefine/>
    <w:uiPriority w:val="39"/>
    <w:unhideWhenUsed/>
    <w:rsid w:val="00F864DA"/>
    <w:pPr>
      <w:spacing w:after="100"/>
      <w:ind w:left="480"/>
    </w:pPr>
  </w:style>
  <w:style w:type="paragraph" w:styleId="Textodeglobo">
    <w:name w:val="Balloon Text"/>
    <w:basedOn w:val="Normal"/>
    <w:link w:val="TextodegloboCar"/>
    <w:uiPriority w:val="99"/>
    <w:semiHidden/>
    <w:unhideWhenUsed/>
    <w:rsid w:val="000564AC"/>
    <w:rPr>
      <w:rFonts w:ascii="Segoe UI" w:hAnsi="Segoe UI" w:cs="Segoe UI"/>
      <w:sz w:val="18"/>
      <w:szCs w:val="18"/>
    </w:rPr>
  </w:style>
  <w:style w:type="character" w:customStyle="1" w:styleId="TextodegloboCar">
    <w:name w:val="Texto de globo Car"/>
    <w:link w:val="Textodeglobo"/>
    <w:uiPriority w:val="99"/>
    <w:semiHidden/>
    <w:rsid w:val="000564AC"/>
    <w:rPr>
      <w:rFonts w:ascii="Segoe UI" w:hAnsi="Segoe UI" w:cs="Segoe UI"/>
      <w:sz w:val="18"/>
      <w:szCs w:val="18"/>
    </w:rPr>
  </w:style>
  <w:style w:type="character" w:styleId="Hipervnculovisitado">
    <w:name w:val="FollowedHyperlink"/>
    <w:uiPriority w:val="99"/>
    <w:semiHidden/>
    <w:unhideWhenUsed/>
    <w:rsid w:val="00F91495"/>
    <w:rPr>
      <w:color w:val="954F72"/>
      <w:u w:val="single"/>
    </w:rPr>
  </w:style>
  <w:style w:type="paragraph" w:customStyle="1" w:styleId="msonormal0">
    <w:name w:val="msonormal"/>
    <w:basedOn w:val="Normal"/>
    <w:rsid w:val="00F91495"/>
    <w:pPr>
      <w:spacing w:before="100" w:beforeAutospacing="1" w:after="100" w:afterAutospacing="1"/>
    </w:pPr>
    <w:rPr>
      <w:rFonts w:ascii="Times New Roman" w:eastAsia="Times New Roman" w:hAnsi="Times New Roman"/>
      <w:lang w:eastAsia="es-MX"/>
    </w:rPr>
  </w:style>
  <w:style w:type="paragraph" w:customStyle="1" w:styleId="xl66">
    <w:name w:val="xl66"/>
    <w:basedOn w:val="Normal"/>
    <w:rsid w:val="00F91495"/>
    <w:pPr>
      <w:spacing w:before="100" w:beforeAutospacing="1" w:after="100" w:afterAutospacing="1"/>
    </w:pPr>
    <w:rPr>
      <w:rFonts w:eastAsia="Times New Roman"/>
      <w:lang w:eastAsia="es-MX"/>
    </w:rPr>
  </w:style>
  <w:style w:type="paragraph" w:customStyle="1" w:styleId="xl67">
    <w:name w:val="xl67"/>
    <w:basedOn w:val="Normal"/>
    <w:rsid w:val="00F91495"/>
    <w:pPr>
      <w:pBdr>
        <w:top w:val="single" w:sz="4" w:space="0" w:color="auto"/>
        <w:bottom w:val="double" w:sz="6" w:space="0" w:color="auto"/>
      </w:pBdr>
      <w:shd w:val="clear" w:color="000000" w:fill="ACB9CA"/>
      <w:spacing w:before="100" w:beforeAutospacing="1" w:after="100" w:afterAutospacing="1"/>
      <w:textAlignment w:val="top"/>
    </w:pPr>
    <w:rPr>
      <w:rFonts w:eastAsia="Times New Roman"/>
      <w:lang w:eastAsia="es-MX"/>
    </w:rPr>
  </w:style>
  <w:style w:type="paragraph" w:customStyle="1" w:styleId="xl68">
    <w:name w:val="xl68"/>
    <w:basedOn w:val="Normal"/>
    <w:rsid w:val="00F91495"/>
    <w:pPr>
      <w:pBdr>
        <w:top w:val="single" w:sz="4" w:space="0" w:color="auto"/>
        <w:bottom w:val="double" w:sz="6"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69">
    <w:name w:val="xl69"/>
    <w:basedOn w:val="Normal"/>
    <w:rsid w:val="00F91495"/>
    <w:pPr>
      <w:pBdr>
        <w:top w:val="single" w:sz="4" w:space="0" w:color="auto"/>
        <w:bottom w:val="double" w:sz="6"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xl70">
    <w:name w:val="xl70"/>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1">
    <w:name w:val="xl71"/>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2">
    <w:name w:val="xl72"/>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3">
    <w:name w:val="xl73"/>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4">
    <w:name w:val="xl74"/>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5">
    <w:name w:val="xl75"/>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6">
    <w:name w:val="xl76"/>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7">
    <w:name w:val="xl77"/>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8">
    <w:name w:val="xl78"/>
    <w:basedOn w:val="Normal"/>
    <w:rsid w:val="00F91495"/>
    <w:pPr>
      <w:pBdr>
        <w:top w:val="single" w:sz="4" w:space="0" w:color="FFFFFF"/>
        <w:left w:val="single" w:sz="4" w:space="0" w:color="FFFFFF"/>
        <w:bottom w:val="single" w:sz="4" w:space="0" w:color="FFFFFF"/>
        <w:right w:val="single" w:sz="4" w:space="0" w:color="FFFFFF"/>
      </w:pBdr>
      <w:shd w:val="clear" w:color="000000" w:fill="FFC000"/>
      <w:spacing w:before="100" w:beforeAutospacing="1" w:after="100" w:afterAutospacing="1"/>
      <w:jc w:val="center"/>
      <w:textAlignment w:val="center"/>
    </w:pPr>
    <w:rPr>
      <w:rFonts w:ascii="Barlow Bold" w:eastAsia="Times New Roman" w:hAnsi="Barlow Bold"/>
      <w:color w:val="111B58"/>
      <w:lang w:eastAsia="es-MX"/>
    </w:rPr>
  </w:style>
  <w:style w:type="paragraph" w:customStyle="1" w:styleId="xl79">
    <w:name w:val="xl79"/>
    <w:basedOn w:val="Normal"/>
    <w:rsid w:val="00F91495"/>
    <w:pPr>
      <w:pBdr>
        <w:top w:val="single" w:sz="4" w:space="0" w:color="FFFFFF"/>
        <w:left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0">
    <w:name w:val="xl80"/>
    <w:basedOn w:val="Normal"/>
    <w:rsid w:val="00F91495"/>
    <w:pPr>
      <w:pBdr>
        <w:top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1">
    <w:name w:val="xl81"/>
    <w:basedOn w:val="Normal"/>
    <w:rsid w:val="00F91495"/>
    <w:pPr>
      <w:pBdr>
        <w:top w:val="single" w:sz="4" w:space="0" w:color="FFFFFF"/>
        <w:bottom w:val="single" w:sz="4" w:space="0" w:color="FFFFFF"/>
        <w:right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2">
    <w:name w:val="xl82"/>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textAlignment w:val="center"/>
    </w:pPr>
    <w:rPr>
      <w:rFonts w:ascii="Barlow Bold" w:eastAsia="Times New Roman" w:hAnsi="Barlow Bold"/>
      <w:color w:val="FFFFFF"/>
      <w:lang w:eastAsia="es-MX"/>
    </w:rPr>
  </w:style>
  <w:style w:type="paragraph" w:customStyle="1" w:styleId="xl83">
    <w:name w:val="xl83"/>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center"/>
      <w:textAlignment w:val="center"/>
    </w:pPr>
    <w:rPr>
      <w:rFonts w:ascii="Barlow Bold" w:eastAsia="Times New Roman" w:hAnsi="Barlow Bold"/>
      <w:color w:val="FFFFFF"/>
      <w:lang w:eastAsia="es-MX"/>
    </w:rPr>
  </w:style>
  <w:style w:type="paragraph" w:customStyle="1" w:styleId="xl84">
    <w:name w:val="xl84"/>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b/>
      <w:bCs/>
      <w:color w:val="203764"/>
      <w:lang w:eastAsia="es-MX"/>
    </w:rPr>
  </w:style>
  <w:style w:type="paragraph" w:customStyle="1" w:styleId="xl85">
    <w:name w:val="xl85"/>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6">
    <w:name w:val="xl86"/>
    <w:basedOn w:val="Normal"/>
    <w:rsid w:val="006C282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7">
    <w:name w:val="xl87"/>
    <w:basedOn w:val="Normal"/>
    <w:rsid w:val="00F468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font5">
    <w:name w:val="font5"/>
    <w:basedOn w:val="Normal"/>
    <w:rsid w:val="008D6DF0"/>
    <w:pPr>
      <w:spacing w:before="100" w:beforeAutospacing="1" w:after="100" w:afterAutospacing="1"/>
    </w:pPr>
    <w:rPr>
      <w:rFonts w:eastAsia="Times New Roman"/>
      <w:b/>
      <w:bCs/>
      <w:color w:val="FFFFFF"/>
      <w:szCs w:val="22"/>
      <w:lang w:eastAsia="es-MX"/>
    </w:rPr>
  </w:style>
  <w:style w:type="paragraph" w:customStyle="1" w:styleId="font6">
    <w:name w:val="font6"/>
    <w:basedOn w:val="Normal"/>
    <w:rsid w:val="008D6DF0"/>
    <w:pPr>
      <w:spacing w:before="100" w:beforeAutospacing="1" w:after="100" w:afterAutospacing="1"/>
    </w:pPr>
    <w:rPr>
      <w:rFonts w:eastAsia="Times New Roman"/>
      <w:color w:val="FFFFFF"/>
      <w:szCs w:val="22"/>
      <w:lang w:eastAsia="es-MX"/>
    </w:rPr>
  </w:style>
  <w:style w:type="paragraph" w:customStyle="1" w:styleId="xl88">
    <w:name w:val="xl88"/>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lang w:eastAsia="es-MX"/>
    </w:rPr>
  </w:style>
  <w:style w:type="paragraph" w:customStyle="1" w:styleId="xl89">
    <w:name w:val="xl89"/>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
      <w:bCs/>
      <w:color w:val="002060"/>
      <w:lang w:eastAsia="es-MX"/>
    </w:rPr>
  </w:style>
  <w:style w:type="paragraph" w:customStyle="1" w:styleId="xl90">
    <w:name w:val="xl90"/>
    <w:basedOn w:val="Normal"/>
    <w:rsid w:val="008D6DF0"/>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eastAsia="Times New Roman"/>
      <w:color w:val="000000"/>
      <w:lang w:eastAsia="es-MX"/>
    </w:rPr>
  </w:style>
  <w:style w:type="paragraph" w:customStyle="1" w:styleId="xl91">
    <w:name w:val="xl91"/>
    <w:basedOn w:val="Normal"/>
    <w:rsid w:val="008D6DF0"/>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eastAsia="Times New Roman"/>
      <w:lang w:eastAsia="es-MX"/>
    </w:rPr>
  </w:style>
  <w:style w:type="paragraph" w:customStyle="1" w:styleId="xl92">
    <w:name w:val="xl92"/>
    <w:basedOn w:val="Normal"/>
    <w:rsid w:val="008D6DF0"/>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olor w:val="000000"/>
      <w:lang w:eastAsia="es-MX"/>
    </w:rPr>
  </w:style>
  <w:style w:type="paragraph" w:customStyle="1" w:styleId="xl93">
    <w:name w:val="xl93"/>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94">
    <w:name w:val="xl94"/>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Default">
    <w:name w:val="Default"/>
    <w:uiPriority w:val="99"/>
    <w:rsid w:val="00764A04"/>
    <w:pPr>
      <w:widowControl w:val="0"/>
      <w:autoSpaceDE w:val="0"/>
      <w:autoSpaceDN w:val="0"/>
      <w:adjustRightInd w:val="0"/>
    </w:pPr>
    <w:rPr>
      <w:rFonts w:ascii="Soberana Titular" w:eastAsia="Times New Roman" w:hAnsi="Soberana Titular" w:cs="Soberana Titular"/>
      <w:color w:val="000000"/>
      <w:sz w:val="24"/>
      <w:szCs w:val="24"/>
      <w:lang w:val="es-ES" w:eastAsia="es-ES"/>
    </w:rPr>
  </w:style>
  <w:style w:type="paragraph" w:customStyle="1" w:styleId="CM166">
    <w:name w:val="CM166"/>
    <w:basedOn w:val="Default"/>
    <w:next w:val="Default"/>
    <w:uiPriority w:val="99"/>
    <w:rsid w:val="00764A04"/>
    <w:rPr>
      <w:rFonts w:cs="Times New Roman"/>
      <w:color w:val="auto"/>
    </w:rPr>
  </w:style>
  <w:style w:type="paragraph" w:customStyle="1" w:styleId="xl63">
    <w:name w:val="xl63"/>
    <w:basedOn w:val="Normal"/>
    <w:rsid w:val="00413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Barlow Bold" w:eastAsia="Times New Roman" w:hAnsi="Barlow Bold"/>
      <w:color w:val="111B58"/>
      <w:sz w:val="18"/>
      <w:szCs w:val="18"/>
      <w:lang w:eastAsia="es-MX"/>
    </w:rPr>
  </w:style>
  <w:style w:type="paragraph" w:customStyle="1" w:styleId="xl64">
    <w:name w:val="xl64"/>
    <w:basedOn w:val="Normal"/>
    <w:rsid w:val="004133B4"/>
    <w:pPr>
      <w:pBdr>
        <w:top w:val="single" w:sz="4" w:space="0" w:color="auto"/>
        <w:left w:val="single" w:sz="4" w:space="0" w:color="auto"/>
        <w:bottom w:val="single" w:sz="4" w:space="0" w:color="auto"/>
        <w:right w:val="single" w:sz="4" w:space="0" w:color="auto"/>
      </w:pBdr>
      <w:shd w:val="clear" w:color="000000" w:fill="111B58"/>
      <w:spacing w:before="100" w:beforeAutospacing="1" w:after="100" w:afterAutospacing="1"/>
      <w:jc w:val="center"/>
      <w:textAlignment w:val="center"/>
    </w:pPr>
    <w:rPr>
      <w:rFonts w:ascii="Barlow Medium" w:eastAsia="Times New Roman" w:hAnsi="Barlow Medium"/>
      <w:color w:val="FFFFFF"/>
      <w:sz w:val="18"/>
      <w:szCs w:val="18"/>
      <w:lang w:eastAsia="es-MX"/>
    </w:rPr>
  </w:style>
  <w:style w:type="paragraph" w:customStyle="1" w:styleId="xl65">
    <w:name w:val="xl65"/>
    <w:basedOn w:val="Normal"/>
    <w:autoRedefine/>
    <w:rsid w:val="001F46CD"/>
    <w:pPr>
      <w:shd w:val="solid" w:color="2F75B5" w:fill="auto"/>
      <w:spacing w:before="100" w:beforeAutospacing="1" w:after="100" w:afterAutospacing="1" w:line="360" w:lineRule="auto"/>
      <w:jc w:val="center"/>
    </w:pPr>
    <w:rPr>
      <w:rFonts w:ascii="Barlow Medium" w:eastAsia="Times New Roman" w:hAnsi="Barlow Medium"/>
      <w:b/>
      <w:color w:val="FFFFFF"/>
      <w:szCs w:val="18"/>
      <w:lang w:eastAsia="es-MX"/>
    </w:rPr>
  </w:style>
  <w:style w:type="paragraph" w:customStyle="1" w:styleId="CM162">
    <w:name w:val="CM162"/>
    <w:basedOn w:val="Default"/>
    <w:next w:val="Default"/>
    <w:uiPriority w:val="99"/>
    <w:rsid w:val="002011FF"/>
    <w:rPr>
      <w:rFonts w:ascii="Barlow" w:hAnsi="Barlow" w:cs="Times New Roman"/>
      <w:color w:val="auto"/>
    </w:rPr>
  </w:style>
  <w:style w:type="paragraph" w:customStyle="1" w:styleId="xl95">
    <w:name w:val="xl95"/>
    <w:basedOn w:val="Normal"/>
    <w:rsid w:val="00CF5073"/>
    <w:pPr>
      <w:spacing w:before="100" w:beforeAutospacing="1" w:after="100" w:afterAutospacing="1"/>
    </w:pPr>
    <w:rPr>
      <w:rFonts w:eastAsia="Times New Roman"/>
      <w:sz w:val="20"/>
      <w:szCs w:val="20"/>
      <w:lang w:eastAsia="es-MX"/>
    </w:rPr>
  </w:style>
  <w:style w:type="paragraph" w:customStyle="1" w:styleId="xl96">
    <w:name w:val="xl96"/>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7">
    <w:name w:val="xl97"/>
    <w:basedOn w:val="Normal"/>
    <w:rsid w:val="00CF5073"/>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8">
    <w:name w:val="xl98"/>
    <w:basedOn w:val="Normal"/>
    <w:rsid w:val="00CF5073"/>
    <w:pPr>
      <w:pBdr>
        <w:top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Compacto">
    <w:name w:val="Compacto"/>
    <w:basedOn w:val="Normal"/>
    <w:qFormat/>
    <w:rsid w:val="00E822A2"/>
    <w:pPr>
      <w:shd w:val="clear" w:color="000000" w:fill="FFFFFF"/>
      <w:spacing w:before="100" w:beforeAutospacing="1" w:after="100" w:afterAutospacing="1"/>
      <w:textAlignment w:val="center"/>
    </w:pPr>
    <w:rPr>
      <w:rFonts w:eastAsia="Times New Roman"/>
      <w:color w:val="000000"/>
      <w:sz w:val="16"/>
      <w:szCs w:val="20"/>
      <w:lang w:eastAsia="es-MX"/>
    </w:rPr>
  </w:style>
  <w:style w:type="paragraph" w:customStyle="1" w:styleId="xl100">
    <w:name w:val="xl100"/>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Barlow Medium" w:eastAsia="Times New Roman" w:hAnsi="Barlow Medium"/>
      <w:color w:val="FFFFFF"/>
      <w:sz w:val="20"/>
      <w:szCs w:val="20"/>
      <w:lang w:eastAsia="es-MX"/>
    </w:rPr>
  </w:style>
  <w:style w:type="paragraph" w:customStyle="1" w:styleId="xl101">
    <w:name w:val="xl101"/>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16"/>
      <w:szCs w:val="16"/>
      <w:lang w:eastAsia="es-MX"/>
    </w:rPr>
  </w:style>
  <w:style w:type="paragraph" w:customStyle="1" w:styleId="xl102">
    <w:name w:val="xl102"/>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eastAsia="es-MX"/>
    </w:rPr>
  </w:style>
  <w:style w:type="paragraph" w:customStyle="1" w:styleId="xl103">
    <w:name w:val="xl103"/>
    <w:basedOn w:val="Normal"/>
    <w:rsid w:val="00272EFE"/>
    <w:pPr>
      <w:spacing w:before="100" w:beforeAutospacing="1" w:after="100" w:afterAutospacing="1"/>
      <w:jc w:val="right"/>
      <w:textAlignment w:val="center"/>
    </w:pPr>
    <w:rPr>
      <w:rFonts w:eastAsia="Times New Roman"/>
      <w:sz w:val="16"/>
      <w:szCs w:val="16"/>
      <w:lang w:eastAsia="es-MX"/>
    </w:rPr>
  </w:style>
  <w:style w:type="paragraph" w:customStyle="1" w:styleId="xl104">
    <w:name w:val="xl104"/>
    <w:basedOn w:val="Normal"/>
    <w:rsid w:val="00272EFE"/>
    <w:pPr>
      <w:spacing w:before="100" w:beforeAutospacing="1" w:after="100" w:afterAutospacing="1"/>
      <w:jc w:val="right"/>
    </w:pPr>
    <w:rPr>
      <w:rFonts w:eastAsia="Times New Roman"/>
      <w:b/>
      <w:bCs/>
      <w:sz w:val="16"/>
      <w:szCs w:val="16"/>
      <w:lang w:eastAsia="es-MX"/>
    </w:rPr>
  </w:style>
  <w:style w:type="paragraph" w:customStyle="1" w:styleId="xl105">
    <w:name w:val="xl105"/>
    <w:basedOn w:val="Normal"/>
    <w:rsid w:val="00272EFE"/>
    <w:pPr>
      <w:pBdr>
        <w:top w:val="single" w:sz="4" w:space="0" w:color="auto"/>
        <w:bottom w:val="single" w:sz="4" w:space="0" w:color="auto"/>
      </w:pBdr>
      <w:spacing w:before="100" w:beforeAutospacing="1" w:after="100" w:afterAutospacing="1"/>
      <w:jc w:val="right"/>
      <w:textAlignment w:val="center"/>
    </w:pPr>
    <w:rPr>
      <w:rFonts w:eastAsia="Times New Roman"/>
      <w:sz w:val="16"/>
      <w:szCs w:val="16"/>
      <w:lang w:eastAsia="es-MX"/>
    </w:r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rsid w:val="007363DB"/>
    <w:pPr>
      <w:spacing w:before="100" w:beforeAutospacing="1" w:after="100" w:afterAutospacing="1"/>
    </w:pPr>
    <w:rPr>
      <w:rFonts w:ascii="Times New Roman" w:eastAsia="Times New Roman" w:hAnsi="Times New Roman"/>
      <w:lang w:eastAsia="es-MX"/>
    </w:rPr>
  </w:style>
  <w:style w:type="character" w:styleId="Refdecomentario">
    <w:name w:val="annotation reference"/>
    <w:uiPriority w:val="99"/>
    <w:semiHidden/>
    <w:unhideWhenUsed/>
    <w:rsid w:val="00B217BD"/>
    <w:rPr>
      <w:sz w:val="16"/>
      <w:szCs w:val="16"/>
    </w:rPr>
  </w:style>
  <w:style w:type="paragraph" w:styleId="Textocomentario">
    <w:name w:val="annotation text"/>
    <w:basedOn w:val="Normal"/>
    <w:link w:val="TextocomentarioCar"/>
    <w:uiPriority w:val="99"/>
    <w:unhideWhenUsed/>
    <w:rsid w:val="00B217BD"/>
    <w:rPr>
      <w:sz w:val="20"/>
      <w:szCs w:val="20"/>
    </w:rPr>
  </w:style>
  <w:style w:type="character" w:customStyle="1" w:styleId="TextocomentarioCar">
    <w:name w:val="Texto comentario Car"/>
    <w:link w:val="Textocomentario"/>
    <w:uiPriority w:val="99"/>
    <w:rsid w:val="00B217BD"/>
    <w:rPr>
      <w:sz w:val="20"/>
      <w:szCs w:val="20"/>
    </w:rPr>
  </w:style>
  <w:style w:type="paragraph" w:styleId="Asuntodelcomentario">
    <w:name w:val="annotation subject"/>
    <w:basedOn w:val="Textocomentario"/>
    <w:next w:val="Textocomentario"/>
    <w:link w:val="AsuntodelcomentarioCar"/>
    <w:uiPriority w:val="99"/>
    <w:semiHidden/>
    <w:unhideWhenUsed/>
    <w:rsid w:val="00B217BD"/>
    <w:rPr>
      <w:b/>
      <w:bCs/>
    </w:rPr>
  </w:style>
  <w:style w:type="character" w:customStyle="1" w:styleId="AsuntodelcomentarioCar">
    <w:name w:val="Asunto del comentario Car"/>
    <w:link w:val="Asuntodelcomentario"/>
    <w:uiPriority w:val="99"/>
    <w:semiHidden/>
    <w:rsid w:val="00B217BD"/>
    <w:rPr>
      <w:b/>
      <w:bCs/>
      <w:sz w:val="20"/>
      <w:szCs w:val="20"/>
    </w:rPr>
  </w:style>
  <w:style w:type="paragraph" w:styleId="Revisin">
    <w:name w:val="Revision"/>
    <w:hidden/>
    <w:uiPriority w:val="99"/>
    <w:semiHidden/>
    <w:rsid w:val="00940CF7"/>
    <w:rPr>
      <w:sz w:val="24"/>
      <w:szCs w:val="24"/>
      <w:lang w:eastAsia="en-US"/>
    </w:rPr>
  </w:style>
  <w:style w:type="numbering" w:customStyle="1" w:styleId="Sinlista1">
    <w:name w:val="Sin lista1"/>
    <w:next w:val="Sinlista"/>
    <w:uiPriority w:val="99"/>
    <w:semiHidden/>
    <w:unhideWhenUsed/>
    <w:rsid w:val="00F6743F"/>
  </w:style>
  <w:style w:type="table" w:customStyle="1" w:styleId="TableNormal">
    <w:name w:val="TableNormal"/>
    <w:basedOn w:val="Tablanormal"/>
    <w:uiPriority w:val="99"/>
    <w:rsid w:val="00FD46F2"/>
    <w:tblPr>
      <w:tblStyleRowBandSize w:val="1"/>
    </w:tblPr>
    <w:tblStylePr w:type="firstRow">
      <w:pPr>
        <w:jc w:val="center"/>
      </w:pPr>
      <w:rPr>
        <w:rFonts w:ascii="Bahnschrift SemiBold" w:hAnsi="Bahnschrift SemiBold"/>
        <w:b/>
        <w:color w:val="FFFFFF"/>
        <w:sz w:val="22"/>
      </w:rPr>
      <w:tblPr/>
      <w:tcPr>
        <w:shd w:val="clear" w:color="auto" w:fill="0070C0"/>
        <w:vAlign w:val="center"/>
      </w:tcPr>
    </w:tblStylePr>
    <w:tblStylePr w:type="firstCol">
      <w:rPr>
        <w:rFonts w:ascii="Bahnschrift SemiBold" w:hAnsi="Bahnschrift SemiBold"/>
        <w:color w:val="FFFFFF"/>
        <w:sz w:val="22"/>
      </w:rPr>
    </w:tblStylePr>
  </w:style>
  <w:style w:type="table" w:styleId="Tablaconcuadrcula">
    <w:name w:val="Table Grid"/>
    <w:basedOn w:val="Tablanormal"/>
    <w:uiPriority w:val="39"/>
    <w:rsid w:val="00E24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3A45F8"/>
    <w:pPr>
      <w:contextualSpacing/>
    </w:pPr>
    <w:rPr>
      <w:rFonts w:eastAsia="Times New Roman"/>
      <w:spacing w:val="-10"/>
      <w:kern w:val="28"/>
      <w:sz w:val="56"/>
      <w:szCs w:val="56"/>
    </w:rPr>
  </w:style>
  <w:style w:type="character" w:customStyle="1" w:styleId="TtuloCar">
    <w:name w:val="Título Car"/>
    <w:link w:val="Ttulo"/>
    <w:rsid w:val="003A45F8"/>
    <w:rPr>
      <w:rFonts w:ascii="Barlow" w:eastAsia="Times New Roman" w:hAnsi="Barlow" w:cs="Times New Roman"/>
      <w:spacing w:val="-10"/>
      <w:kern w:val="28"/>
      <w:sz w:val="56"/>
      <w:szCs w:val="56"/>
    </w:rPr>
  </w:style>
  <w:style w:type="paragraph" w:styleId="Subttulo">
    <w:name w:val="Subtitle"/>
    <w:basedOn w:val="Normal"/>
    <w:next w:val="Normal"/>
    <w:link w:val="SubttuloCar"/>
    <w:qFormat/>
    <w:rsid w:val="003A45F8"/>
    <w:pPr>
      <w:numPr>
        <w:ilvl w:val="1"/>
      </w:numPr>
      <w:spacing w:after="160"/>
    </w:pPr>
    <w:rPr>
      <w:rFonts w:eastAsia="Times New Roman"/>
      <w:color w:val="5A5A5A"/>
      <w:spacing w:val="15"/>
      <w:szCs w:val="22"/>
    </w:rPr>
  </w:style>
  <w:style w:type="character" w:customStyle="1" w:styleId="SubttuloCar">
    <w:name w:val="Subtítulo Car"/>
    <w:link w:val="Subttulo"/>
    <w:rsid w:val="003A45F8"/>
    <w:rPr>
      <w:rFonts w:ascii="Barlow" w:eastAsia="Times New Roman" w:hAnsi="Barlow"/>
      <w:color w:val="5A5A5A"/>
      <w:spacing w:val="15"/>
      <w:sz w:val="22"/>
      <w:szCs w:val="22"/>
    </w:rPr>
  </w:style>
  <w:style w:type="character" w:styleId="nfasissutil">
    <w:name w:val="Subtle Emphasis"/>
    <w:uiPriority w:val="19"/>
    <w:qFormat/>
    <w:rsid w:val="003A45F8"/>
    <w:rPr>
      <w:rFonts w:ascii="Barlow" w:hAnsi="Barlow"/>
      <w:i/>
      <w:iCs/>
      <w:color w:val="404040"/>
    </w:rPr>
  </w:style>
  <w:style w:type="character" w:styleId="nfasisintenso">
    <w:name w:val="Intense Emphasis"/>
    <w:uiPriority w:val="21"/>
    <w:qFormat/>
    <w:rsid w:val="003A45F8"/>
    <w:rPr>
      <w:rFonts w:ascii="Barlow" w:hAnsi="Barlow"/>
      <w:i/>
      <w:iCs/>
      <w:color w:val="4472C4"/>
    </w:rPr>
  </w:style>
  <w:style w:type="character" w:styleId="Textoennegrita">
    <w:name w:val="Strong"/>
    <w:uiPriority w:val="22"/>
    <w:qFormat/>
    <w:rsid w:val="003A45F8"/>
    <w:rPr>
      <w:rFonts w:ascii="Barlow" w:hAnsi="Barlow"/>
      <w:b/>
      <w:bCs/>
    </w:rPr>
  </w:style>
  <w:style w:type="paragraph" w:styleId="Cita">
    <w:name w:val="Quote"/>
    <w:basedOn w:val="Normal"/>
    <w:next w:val="Normal"/>
    <w:link w:val="CitaCar"/>
    <w:uiPriority w:val="29"/>
    <w:qFormat/>
    <w:rsid w:val="003A45F8"/>
    <w:pPr>
      <w:spacing w:before="200" w:after="160"/>
      <w:ind w:left="864" w:right="864"/>
      <w:jc w:val="center"/>
    </w:pPr>
    <w:rPr>
      <w:i/>
      <w:iCs/>
      <w:color w:val="404040"/>
    </w:rPr>
  </w:style>
  <w:style w:type="character" w:customStyle="1" w:styleId="CitaCar">
    <w:name w:val="Cita Car"/>
    <w:link w:val="Cita"/>
    <w:uiPriority w:val="29"/>
    <w:rsid w:val="003A45F8"/>
    <w:rPr>
      <w:rFonts w:ascii="Barlow" w:hAnsi="Barlow"/>
      <w:i/>
      <w:iCs/>
      <w:color w:val="404040"/>
      <w:sz w:val="22"/>
    </w:rPr>
  </w:style>
  <w:style w:type="character" w:styleId="Referenciasutil">
    <w:name w:val="Subtle Reference"/>
    <w:uiPriority w:val="31"/>
    <w:qFormat/>
    <w:rsid w:val="003A45F8"/>
    <w:rPr>
      <w:rFonts w:ascii="Barlow" w:hAnsi="Barlow"/>
      <w:smallCaps/>
      <w:color w:val="5A5A5A"/>
    </w:rPr>
  </w:style>
  <w:style w:type="character" w:styleId="Referenciaintensa">
    <w:name w:val="Intense Reference"/>
    <w:uiPriority w:val="32"/>
    <w:qFormat/>
    <w:rsid w:val="003A45F8"/>
    <w:rPr>
      <w:rFonts w:ascii="Barlow" w:hAnsi="Barlow"/>
      <w:b/>
      <w:bCs/>
      <w:smallCaps/>
      <w:color w:val="4472C4"/>
      <w:spacing w:val="5"/>
    </w:rPr>
  </w:style>
  <w:style w:type="character" w:styleId="Ttulodellibro">
    <w:name w:val="Book Title"/>
    <w:uiPriority w:val="33"/>
    <w:qFormat/>
    <w:rsid w:val="003A45F8"/>
    <w:rPr>
      <w:rFonts w:ascii="Barlow" w:hAnsi="Barlow"/>
      <w:b/>
      <w:bCs/>
      <w:i/>
      <w:iCs/>
      <w:spacing w:val="5"/>
    </w:rPr>
  </w:style>
  <w:style w:type="character" w:customStyle="1" w:styleId="Ttulo4Car">
    <w:name w:val="Título 4 Car"/>
    <w:link w:val="Ttulo4"/>
    <w:rsid w:val="00F566E7"/>
    <w:rPr>
      <w:rFonts w:ascii="Arial" w:eastAsia="Times New Roman" w:hAnsi="Arial" w:cs="Times New Roman"/>
      <w:b/>
      <w:iCs/>
      <w:color w:val="000000"/>
    </w:rPr>
  </w:style>
  <w:style w:type="paragraph" w:styleId="Citadestacada">
    <w:name w:val="Intense Quote"/>
    <w:basedOn w:val="Normal"/>
    <w:next w:val="Normal"/>
    <w:link w:val="CitadestacadaCar"/>
    <w:uiPriority w:val="30"/>
    <w:qFormat/>
    <w:rsid w:val="002011FF"/>
    <w:pPr>
      <w:pBdr>
        <w:top w:val="single" w:sz="4" w:space="10" w:color="4472C4"/>
        <w:bottom w:val="single" w:sz="4" w:space="10" w:color="4472C4"/>
      </w:pBdr>
      <w:spacing w:before="360" w:after="360"/>
      <w:ind w:left="864" w:right="864"/>
      <w:jc w:val="center"/>
    </w:pPr>
    <w:rPr>
      <w:i/>
      <w:iCs/>
      <w:color w:val="4472C4"/>
    </w:rPr>
  </w:style>
  <w:style w:type="character" w:customStyle="1" w:styleId="CitadestacadaCar">
    <w:name w:val="Cita destacada Car"/>
    <w:link w:val="Citadestacada"/>
    <w:uiPriority w:val="30"/>
    <w:rsid w:val="002011FF"/>
    <w:rPr>
      <w:rFonts w:ascii="Barlow" w:hAnsi="Barlow"/>
      <w:i/>
      <w:iCs/>
      <w:color w:val="4472C4"/>
      <w:sz w:val="22"/>
    </w:rPr>
  </w:style>
  <w:style w:type="character" w:styleId="nfasis">
    <w:name w:val="Emphasis"/>
    <w:uiPriority w:val="20"/>
    <w:qFormat/>
    <w:rsid w:val="002011FF"/>
    <w:rPr>
      <w:rFonts w:ascii="Barlow" w:hAnsi="Barlow"/>
      <w:i/>
      <w:iCs/>
    </w:rPr>
  </w:style>
  <w:style w:type="paragraph" w:customStyle="1" w:styleId="EstiloJustificadoDespus6pto">
    <w:name w:val="Estilo Justificado Después:  6 pto"/>
    <w:basedOn w:val="Normal"/>
    <w:rsid w:val="002011FF"/>
    <w:pPr>
      <w:spacing w:after="120"/>
    </w:pPr>
    <w:rPr>
      <w:rFonts w:eastAsia="Times New Roman"/>
      <w:szCs w:val="20"/>
    </w:rPr>
  </w:style>
  <w:style w:type="character" w:customStyle="1" w:styleId="Ttulo5Car">
    <w:name w:val="Título 5 Car"/>
    <w:link w:val="Ttulo5"/>
    <w:rsid w:val="00062298"/>
    <w:rPr>
      <w:rFonts w:ascii="Calibri Light" w:eastAsia="Times New Roman" w:hAnsi="Calibri Light" w:cs="Times New Roman"/>
      <w:color w:val="2F5496"/>
    </w:rPr>
  </w:style>
  <w:style w:type="character" w:customStyle="1" w:styleId="Ttulo6Car">
    <w:name w:val="Título 6 Car"/>
    <w:link w:val="Ttulo6"/>
    <w:rsid w:val="00B82FED"/>
    <w:rPr>
      <w:rFonts w:ascii="Arial" w:eastAsia="Times New Roman" w:hAnsi="Arial" w:cs="Times New Roman"/>
      <w:b/>
      <w:color w:val="000000"/>
    </w:rPr>
  </w:style>
  <w:style w:type="paragraph" w:customStyle="1" w:styleId="SourceCode">
    <w:name w:val="Source Code"/>
    <w:basedOn w:val="Normal"/>
    <w:rsid w:val="00C95CA3"/>
    <w:pPr>
      <w:shd w:val="clear" w:color="auto" w:fill="F8F8F8"/>
      <w:wordWrap w:val="0"/>
    </w:pPr>
  </w:style>
  <w:style w:type="character" w:customStyle="1" w:styleId="KeywordTok">
    <w:name w:val="KeywordTok"/>
    <w:rsid w:val="00C95CA3"/>
    <w:rPr>
      <w:b/>
      <w:color w:val="204A87"/>
      <w:shd w:val="clear" w:color="auto" w:fill="F8F8F8"/>
    </w:rPr>
  </w:style>
  <w:style w:type="character" w:customStyle="1" w:styleId="DataTypeTok">
    <w:name w:val="DataTypeTok"/>
    <w:rsid w:val="00C95CA3"/>
    <w:rPr>
      <w:color w:val="204A87"/>
      <w:shd w:val="clear" w:color="auto" w:fill="F8F8F8"/>
    </w:rPr>
  </w:style>
  <w:style w:type="character" w:customStyle="1" w:styleId="DecValTok">
    <w:name w:val="DecValTok"/>
    <w:rsid w:val="00C95CA3"/>
    <w:rPr>
      <w:color w:val="0000CF"/>
      <w:shd w:val="clear" w:color="auto" w:fill="F8F8F8"/>
    </w:rPr>
  </w:style>
  <w:style w:type="character" w:customStyle="1" w:styleId="BaseNTok">
    <w:name w:val="BaseNTok"/>
    <w:rsid w:val="00C95CA3"/>
    <w:rPr>
      <w:color w:val="0000CF"/>
      <w:shd w:val="clear" w:color="auto" w:fill="F8F8F8"/>
    </w:rPr>
  </w:style>
  <w:style w:type="character" w:customStyle="1" w:styleId="FloatTok">
    <w:name w:val="FloatTok"/>
    <w:rsid w:val="00C95CA3"/>
    <w:rPr>
      <w:color w:val="0000CF"/>
      <w:shd w:val="clear" w:color="auto" w:fill="F8F8F8"/>
    </w:rPr>
  </w:style>
  <w:style w:type="character" w:customStyle="1" w:styleId="ConstantTok">
    <w:name w:val="ConstantTok"/>
    <w:rsid w:val="00C95CA3"/>
    <w:rPr>
      <w:color w:val="000000"/>
      <w:shd w:val="clear" w:color="auto" w:fill="F8F8F8"/>
    </w:rPr>
  </w:style>
  <w:style w:type="character" w:customStyle="1" w:styleId="CharTok">
    <w:name w:val="CharTok"/>
    <w:rsid w:val="00C95CA3"/>
    <w:rPr>
      <w:color w:val="4E9A06"/>
      <w:shd w:val="clear" w:color="auto" w:fill="F8F8F8"/>
    </w:rPr>
  </w:style>
  <w:style w:type="character" w:customStyle="1" w:styleId="SpecialCharTok">
    <w:name w:val="SpecialCharTok"/>
    <w:rsid w:val="00C95CA3"/>
    <w:rPr>
      <w:color w:val="000000"/>
      <w:shd w:val="clear" w:color="auto" w:fill="F8F8F8"/>
    </w:rPr>
  </w:style>
  <w:style w:type="character" w:customStyle="1" w:styleId="StringTok">
    <w:name w:val="StringTok"/>
    <w:rsid w:val="00C95CA3"/>
    <w:rPr>
      <w:color w:val="4E9A06"/>
      <w:shd w:val="clear" w:color="auto" w:fill="F8F8F8"/>
    </w:rPr>
  </w:style>
  <w:style w:type="character" w:customStyle="1" w:styleId="VerbatimStringTok">
    <w:name w:val="VerbatimStringTok"/>
    <w:rsid w:val="00C95CA3"/>
    <w:rPr>
      <w:color w:val="4E9A06"/>
      <w:shd w:val="clear" w:color="auto" w:fill="F8F8F8"/>
    </w:rPr>
  </w:style>
  <w:style w:type="character" w:customStyle="1" w:styleId="SpecialStringTok">
    <w:name w:val="SpecialStringTok"/>
    <w:rsid w:val="00C95CA3"/>
    <w:rPr>
      <w:color w:val="4E9A06"/>
      <w:shd w:val="clear" w:color="auto" w:fill="F8F8F8"/>
    </w:rPr>
  </w:style>
  <w:style w:type="character" w:customStyle="1" w:styleId="ImportTok">
    <w:name w:val="ImportTok"/>
    <w:rsid w:val="00C95CA3"/>
    <w:rPr>
      <w:shd w:val="clear" w:color="auto" w:fill="F8F8F8"/>
    </w:rPr>
  </w:style>
  <w:style w:type="character" w:customStyle="1" w:styleId="CommentTok">
    <w:name w:val="CommentTok"/>
    <w:rsid w:val="00C95CA3"/>
    <w:rPr>
      <w:i/>
      <w:color w:val="8F5902"/>
      <w:shd w:val="clear" w:color="auto" w:fill="F8F8F8"/>
    </w:rPr>
  </w:style>
  <w:style w:type="character" w:customStyle="1" w:styleId="DocumentationTok">
    <w:name w:val="DocumentationTok"/>
    <w:rsid w:val="00C95CA3"/>
    <w:rPr>
      <w:b/>
      <w:i/>
      <w:color w:val="8F5902"/>
      <w:shd w:val="clear" w:color="auto" w:fill="F8F8F8"/>
    </w:rPr>
  </w:style>
  <w:style w:type="character" w:customStyle="1" w:styleId="AnnotationTok">
    <w:name w:val="AnnotationTok"/>
    <w:rsid w:val="00C95CA3"/>
    <w:rPr>
      <w:b/>
      <w:i/>
      <w:color w:val="8F5902"/>
      <w:shd w:val="clear" w:color="auto" w:fill="F8F8F8"/>
    </w:rPr>
  </w:style>
  <w:style w:type="character" w:customStyle="1" w:styleId="CommentVarTok">
    <w:name w:val="CommentVarTok"/>
    <w:rsid w:val="00C95CA3"/>
    <w:rPr>
      <w:b/>
      <w:i/>
      <w:color w:val="8F5902"/>
      <w:shd w:val="clear" w:color="auto" w:fill="F8F8F8"/>
    </w:rPr>
  </w:style>
  <w:style w:type="character" w:customStyle="1" w:styleId="OtherTok">
    <w:name w:val="OtherTok"/>
    <w:rsid w:val="00C95CA3"/>
    <w:rPr>
      <w:color w:val="8F5902"/>
      <w:shd w:val="clear" w:color="auto" w:fill="F8F8F8"/>
    </w:rPr>
  </w:style>
  <w:style w:type="character" w:customStyle="1" w:styleId="FunctionTok">
    <w:name w:val="FunctionTok"/>
    <w:rsid w:val="00C95CA3"/>
    <w:rPr>
      <w:color w:val="000000"/>
      <w:shd w:val="clear" w:color="auto" w:fill="F8F8F8"/>
    </w:rPr>
  </w:style>
  <w:style w:type="character" w:customStyle="1" w:styleId="VariableTok">
    <w:name w:val="VariableTok"/>
    <w:rsid w:val="00C95CA3"/>
    <w:rPr>
      <w:color w:val="000000"/>
      <w:shd w:val="clear" w:color="auto" w:fill="F8F8F8"/>
    </w:rPr>
  </w:style>
  <w:style w:type="character" w:customStyle="1" w:styleId="ControlFlowTok">
    <w:name w:val="ControlFlowTok"/>
    <w:rsid w:val="00C95CA3"/>
    <w:rPr>
      <w:b/>
      <w:color w:val="204A87"/>
      <w:shd w:val="clear" w:color="auto" w:fill="F8F8F8"/>
    </w:rPr>
  </w:style>
  <w:style w:type="character" w:customStyle="1" w:styleId="OperatorTok">
    <w:name w:val="OperatorTok"/>
    <w:rsid w:val="00C95CA3"/>
    <w:rPr>
      <w:b/>
      <w:color w:val="CE5C00"/>
      <w:shd w:val="clear" w:color="auto" w:fill="F8F8F8"/>
    </w:rPr>
  </w:style>
  <w:style w:type="character" w:customStyle="1" w:styleId="BuiltInTok">
    <w:name w:val="BuiltInTok"/>
    <w:rsid w:val="00C95CA3"/>
    <w:rPr>
      <w:shd w:val="clear" w:color="auto" w:fill="F8F8F8"/>
    </w:rPr>
  </w:style>
  <w:style w:type="character" w:customStyle="1" w:styleId="ExtensionTok">
    <w:name w:val="ExtensionTok"/>
    <w:rsid w:val="00C95CA3"/>
    <w:rPr>
      <w:shd w:val="clear" w:color="auto" w:fill="F8F8F8"/>
    </w:rPr>
  </w:style>
  <w:style w:type="character" w:customStyle="1" w:styleId="PreprocessorTok">
    <w:name w:val="PreprocessorTok"/>
    <w:rsid w:val="00C95CA3"/>
    <w:rPr>
      <w:i/>
      <w:color w:val="8F5902"/>
      <w:shd w:val="clear" w:color="auto" w:fill="F8F8F8"/>
    </w:rPr>
  </w:style>
  <w:style w:type="character" w:customStyle="1" w:styleId="AttributeTok">
    <w:name w:val="AttributeTok"/>
    <w:rsid w:val="00C95CA3"/>
    <w:rPr>
      <w:color w:val="C4A000"/>
      <w:shd w:val="clear" w:color="auto" w:fill="F8F8F8"/>
    </w:rPr>
  </w:style>
  <w:style w:type="character" w:customStyle="1" w:styleId="RegionMarkerTok">
    <w:name w:val="RegionMarkerTok"/>
    <w:rsid w:val="00C95CA3"/>
    <w:rPr>
      <w:shd w:val="clear" w:color="auto" w:fill="F8F8F8"/>
    </w:rPr>
  </w:style>
  <w:style w:type="character" w:customStyle="1" w:styleId="InformationTok">
    <w:name w:val="InformationTok"/>
    <w:rsid w:val="00C95CA3"/>
    <w:rPr>
      <w:b/>
      <w:i/>
      <w:color w:val="8F5902"/>
      <w:shd w:val="clear" w:color="auto" w:fill="F8F8F8"/>
    </w:rPr>
  </w:style>
  <w:style w:type="character" w:customStyle="1" w:styleId="WarningTok">
    <w:name w:val="WarningTok"/>
    <w:rsid w:val="00C95CA3"/>
    <w:rPr>
      <w:b/>
      <w:i/>
      <w:color w:val="8F5902"/>
      <w:shd w:val="clear" w:color="auto" w:fill="F8F8F8"/>
    </w:rPr>
  </w:style>
  <w:style w:type="character" w:customStyle="1" w:styleId="AlertTok">
    <w:name w:val="AlertTok"/>
    <w:rsid w:val="00C95CA3"/>
    <w:rPr>
      <w:color w:val="EF2929"/>
      <w:shd w:val="clear" w:color="auto" w:fill="F8F8F8"/>
    </w:rPr>
  </w:style>
  <w:style w:type="character" w:customStyle="1" w:styleId="ErrorTok">
    <w:name w:val="ErrorTok"/>
    <w:rsid w:val="00C95CA3"/>
    <w:rPr>
      <w:b/>
      <w:color w:val="A40000"/>
      <w:shd w:val="clear" w:color="auto" w:fill="F8F8F8"/>
    </w:rPr>
  </w:style>
  <w:style w:type="character" w:customStyle="1" w:styleId="NormalTok">
    <w:name w:val="NormalTok"/>
    <w:rsid w:val="00C95CA3"/>
    <w:rPr>
      <w:shd w:val="clear" w:color="auto" w:fill="F8F8F8"/>
    </w:rPr>
  </w:style>
  <w:style w:type="paragraph" w:styleId="Textonotapie">
    <w:name w:val="footnote text"/>
    <w:basedOn w:val="Normal"/>
    <w:link w:val="TextonotapieCar"/>
    <w:uiPriority w:val="99"/>
    <w:unhideWhenUsed/>
    <w:rsid w:val="00EE7FBB"/>
    <w:pPr>
      <w:jc w:val="left"/>
    </w:pPr>
    <w:rPr>
      <w:rFonts w:ascii="Calibri" w:hAnsi="Calibri"/>
      <w:sz w:val="20"/>
      <w:szCs w:val="20"/>
      <w:lang w:val="en-US"/>
    </w:rPr>
  </w:style>
  <w:style w:type="character" w:customStyle="1" w:styleId="TextonotapieCar">
    <w:name w:val="Texto nota pie Car"/>
    <w:link w:val="Textonotapie"/>
    <w:uiPriority w:val="99"/>
    <w:rsid w:val="00EE7FBB"/>
    <w:rPr>
      <w:sz w:val="20"/>
      <w:szCs w:val="20"/>
      <w:lang w:val="en-US"/>
    </w:rPr>
  </w:style>
  <w:style w:type="character" w:styleId="Refdenotaalpie">
    <w:name w:val="footnote reference"/>
    <w:aliases w:val="ftref,脚注引用,16 Point,Superscript 6 Point,Fußnotenzeichen DISS,fr,Superscript 6 Point + 11 pt,BVI fnr,BVI fnr Car Car,BVI fnr Car,BVI fnr Car Car Car Car,Footnote text"/>
    <w:uiPriority w:val="99"/>
    <w:unhideWhenUsed/>
    <w:rsid w:val="00EE7FBB"/>
    <w:rPr>
      <w:vertAlign w:val="superscript"/>
    </w:rPr>
  </w:style>
  <w:style w:type="table" w:styleId="Listaclara-nfasis1">
    <w:name w:val="Light List Accent 1"/>
    <w:basedOn w:val="Tablanormal"/>
    <w:uiPriority w:val="61"/>
    <w:unhideWhenUsed/>
    <w:rsid w:val="00EE7FBB"/>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Sinespaciado">
    <w:name w:val="No Spacing"/>
    <w:uiPriority w:val="1"/>
    <w:qFormat/>
    <w:rsid w:val="00EE7FBB"/>
    <w:pPr>
      <w:jc w:val="both"/>
    </w:pPr>
    <w:rPr>
      <w:rFonts w:ascii="Barlow Medium" w:eastAsia="Times New Roman" w:hAnsi="Barlow Medium" w:cs="Arial"/>
      <w:color w:val="595959"/>
      <w:sz w:val="24"/>
      <w:szCs w:val="24"/>
      <w:lang w:eastAsia="es-ES"/>
    </w:rPr>
  </w:style>
  <w:style w:type="table" w:styleId="Sombreadoclaro-nfasis2">
    <w:name w:val="Light Shading Accent 2"/>
    <w:basedOn w:val="Tablanormal"/>
    <w:uiPriority w:val="60"/>
    <w:rsid w:val="00EE7FBB"/>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Sombreadomedio1-nfasis5">
    <w:name w:val="Medium Shading 1 Accent 5"/>
    <w:basedOn w:val="Tablanormal"/>
    <w:uiPriority w:val="63"/>
    <w:rsid w:val="00D4244D"/>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aconcuadrcula4-nfasis61">
    <w:name w:val="Tabla con cuadrícula 4 - Énfasis 61"/>
    <w:basedOn w:val="Tablanormal"/>
    <w:uiPriority w:val="49"/>
    <w:rsid w:val="00F04D6E"/>
    <w:pPr>
      <w:spacing w:before="100" w:beforeAutospacing="1" w:after="100" w:afterAutospacing="1"/>
      <w:jc w:val="both"/>
    </w:pPr>
    <w:rPr>
      <w:rFonts w:eastAsia="Times New Roman"/>
      <w:lang w:val="en-US"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uiPriority w:val="99"/>
    <w:rsid w:val="00F04D6E"/>
    <w:rPr>
      <w:rFonts w:ascii="Times New Roman" w:eastAsia="Times New Roman" w:hAnsi="Times New Roman" w:cs="Times New Roman"/>
      <w:lang w:eastAsia="es-MX"/>
    </w:rPr>
  </w:style>
  <w:style w:type="paragraph" w:styleId="Descripcin">
    <w:name w:val="caption"/>
    <w:basedOn w:val="Normal"/>
    <w:next w:val="Normal"/>
    <w:uiPriority w:val="35"/>
    <w:unhideWhenUsed/>
    <w:qFormat/>
    <w:rsid w:val="00F04D6E"/>
    <w:pPr>
      <w:widowControl w:val="0"/>
      <w:spacing w:before="100" w:beforeAutospacing="1" w:after="200" w:afterAutospacing="1"/>
    </w:pPr>
    <w:rPr>
      <w:rFonts w:ascii="Calibri" w:hAnsi="Calibri"/>
      <w:b/>
      <w:bCs/>
      <w:color w:val="4472C4"/>
      <w:sz w:val="18"/>
      <w:szCs w:val="18"/>
    </w:rPr>
  </w:style>
  <w:style w:type="character" w:customStyle="1" w:styleId="TextonotaalfinalCar">
    <w:name w:val="Texto nota al final Car"/>
    <w:link w:val="Textonotaalfinal"/>
    <w:uiPriority w:val="99"/>
    <w:semiHidden/>
    <w:rsid w:val="00F04D6E"/>
    <w:rPr>
      <w:sz w:val="20"/>
      <w:szCs w:val="20"/>
    </w:rPr>
  </w:style>
  <w:style w:type="paragraph" w:styleId="Textonotaalfinal">
    <w:name w:val="endnote text"/>
    <w:basedOn w:val="Normal"/>
    <w:link w:val="TextonotaalfinalCar"/>
    <w:uiPriority w:val="99"/>
    <w:semiHidden/>
    <w:unhideWhenUsed/>
    <w:rsid w:val="00F04D6E"/>
    <w:pPr>
      <w:widowControl w:val="0"/>
      <w:spacing w:before="100" w:beforeAutospacing="1" w:after="100" w:afterAutospacing="1"/>
    </w:pPr>
    <w:rPr>
      <w:rFonts w:ascii="Calibri" w:hAnsi="Calibri"/>
      <w:sz w:val="20"/>
      <w:szCs w:val="20"/>
    </w:rPr>
  </w:style>
  <w:style w:type="character" w:customStyle="1" w:styleId="TextonotaalfinalCar1">
    <w:name w:val="Texto nota al final Car1"/>
    <w:uiPriority w:val="99"/>
    <w:semiHidden/>
    <w:rsid w:val="00F04D6E"/>
    <w:rPr>
      <w:rFonts w:ascii="Arial" w:hAnsi="Arial"/>
      <w:sz w:val="20"/>
      <w:szCs w:val="20"/>
    </w:rPr>
  </w:style>
  <w:style w:type="character" w:styleId="Refdenotaalfinal">
    <w:name w:val="endnote reference"/>
    <w:uiPriority w:val="99"/>
    <w:semiHidden/>
    <w:unhideWhenUsed/>
    <w:rsid w:val="00F04D6E"/>
    <w:rPr>
      <w:vertAlign w:val="superscript"/>
    </w:rPr>
  </w:style>
  <w:style w:type="character" w:customStyle="1" w:styleId="apple-converted-space">
    <w:name w:val="apple-converted-space"/>
    <w:basedOn w:val="Fuentedeprrafopredeter"/>
    <w:rsid w:val="00F04D6E"/>
  </w:style>
  <w:style w:type="table" w:styleId="Listaclara">
    <w:name w:val="Light List"/>
    <w:basedOn w:val="Tablanormal"/>
    <w:uiPriority w:val="61"/>
    <w:semiHidden/>
    <w:unhideWhenUsed/>
    <w:rsid w:val="00F04D6E"/>
    <w:pPr>
      <w:spacing w:before="100" w:beforeAutospacing="1" w:after="100" w:afterAutospacing="1"/>
      <w:jc w:val="both"/>
    </w:pPr>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1-nfasis1">
    <w:name w:val="Medium Shading 1 Accent 1"/>
    <w:basedOn w:val="Tablanormal"/>
    <w:uiPriority w:val="63"/>
    <w:semiHidden/>
    <w:unhideWhenUsed/>
    <w:rsid w:val="00F04D6E"/>
    <w:pPr>
      <w:spacing w:before="100" w:beforeAutospacing="1" w:after="100" w:afterAutospacing="1"/>
      <w:jc w:val="both"/>
    </w:pPr>
    <w:rPr>
      <w:rFonts w:eastAsia="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cPr>
      <w:shd w:val="clear" w:color="auto" w:fill="F2F2F2"/>
    </w:tcPr>
    <w:tblStylePr w:type="firstRow">
      <w:pPr>
        <w:spacing w:beforeLines="0" w:beforeAutospacing="0" w:afterLines="0" w:afterAutospacing="0" w:line="240" w:lineRule="auto"/>
      </w:pPr>
      <w:rPr>
        <w:b/>
        <w:bCs/>
        <w:color w:val="FFFFFF"/>
      </w:rPr>
      <w:tblPr/>
      <w:tcPr>
        <w:shd w:val="clear" w:color="auto" w:fill="16365C"/>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9D9D9"/>
      </w:tcPr>
    </w:tblStylePr>
    <w:tblStylePr w:type="band1Horz">
      <w:tblPr/>
      <w:tcPr>
        <w:shd w:val="clear" w:color="auto" w:fill="D9D9D9"/>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Cuadrculaclara-nfasis4">
    <w:name w:val="Light Grid Accent 4"/>
    <w:basedOn w:val="Tablanormal"/>
    <w:uiPriority w:val="62"/>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Sombreadoclaro-nfasis5">
    <w:name w:val="Light Shading Accent 5"/>
    <w:basedOn w:val="Tablanormal"/>
    <w:uiPriority w:val="60"/>
    <w:semiHidden/>
    <w:unhideWhenUsed/>
    <w:rsid w:val="00F04D6E"/>
    <w:pPr>
      <w:spacing w:before="100" w:beforeAutospacing="1" w:after="100" w:afterAutospacing="1"/>
      <w:jc w:val="both"/>
    </w:pPr>
    <w:rPr>
      <w:color w:val="2E74B5"/>
      <w:sz w:val="22"/>
      <w:szCs w:val="22"/>
    </w:rPr>
    <w:tblPr>
      <w:tblStyleRowBandSize w:val="1"/>
      <w:tblStyleColBandSize w:val="1"/>
      <w:tblBorders>
        <w:top w:val="single" w:sz="8" w:space="0" w:color="5B9BD5"/>
        <w:bottom w:val="single" w:sz="8" w:space="0" w:color="5B9BD5"/>
      </w:tblBorders>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Cuadrculamedia1-nfasis5">
    <w:name w:val="Medium Grid 1 Accent 5"/>
    <w:basedOn w:val="Tablanormal"/>
    <w:uiPriority w:val="67"/>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Sombreadomedio1-nfasis6">
    <w:name w:val="Medium Shading 1 Accent 6"/>
    <w:basedOn w:val="Tablanormal"/>
    <w:uiPriority w:val="63"/>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Autospacing="0" w:afterLines="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F04D6E"/>
    <w:pPr>
      <w:spacing w:before="100" w:beforeAutospacing="1" w:after="100" w:afterAutospacing="1"/>
      <w:jc w:val="both"/>
    </w:pPr>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shd w:val="clear" w:color="auto" w:fill="F2F2F2"/>
      </w:tcPr>
    </w:tblStylePr>
    <w:tblStylePr w:type="band2Horz">
      <w:tblPr/>
      <w:tcPr>
        <w:tcBorders>
          <w:insideH w:val="nil"/>
          <w:insideV w:val="nil"/>
        </w:tcBorders>
      </w:tcPr>
    </w:tblStylePr>
  </w:style>
  <w:style w:type="table" w:customStyle="1" w:styleId="Listaclara1">
    <w:name w:val="Lista clara1"/>
    <w:basedOn w:val="Tablanormal"/>
    <w:uiPriority w:val="61"/>
    <w:rsid w:val="00F04D6E"/>
    <w:pPr>
      <w:spacing w:before="100" w:beforeAutospacing="1" w:after="100" w:afterAutospacing="1"/>
      <w:jc w:val="both"/>
    </w:pPr>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encinsinresolver1">
    <w:name w:val="Mención sin resolver1"/>
    <w:uiPriority w:val="99"/>
    <w:semiHidden/>
    <w:unhideWhenUsed/>
    <w:rsid w:val="00AC5692"/>
    <w:rPr>
      <w:color w:val="605E5C"/>
      <w:shd w:val="clear" w:color="auto" w:fill="E1DFDD"/>
    </w:rPr>
  </w:style>
  <w:style w:type="table" w:customStyle="1" w:styleId="TableNormal1">
    <w:name w:val="Table Normal1"/>
    <w:rsid w:val="00180599"/>
    <w:pPr>
      <w:spacing w:before="100" w:beforeAutospacing="1" w:after="100" w:afterAutospacing="1" w:line="276" w:lineRule="auto"/>
      <w:jc w:val="both"/>
    </w:pPr>
    <w:rPr>
      <w:rFonts w:ascii="Arial" w:eastAsia="Arial" w:hAnsi="Arial" w:cs="Arial"/>
      <w:sz w:val="22"/>
      <w:szCs w:val="22"/>
    </w:rPr>
    <w:tblPr>
      <w:tblCellMar>
        <w:top w:w="0" w:type="dxa"/>
        <w:left w:w="0" w:type="dxa"/>
        <w:bottom w:w="0" w:type="dxa"/>
        <w:right w:w="0" w:type="dxa"/>
      </w:tblCellMar>
    </w:tblPr>
  </w:style>
  <w:style w:type="character" w:styleId="Textodelmarcadordeposicin">
    <w:name w:val="Placeholder Text"/>
    <w:uiPriority w:val="99"/>
    <w:semiHidden/>
    <w:rsid w:val="00AC56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378">
      <w:bodyDiv w:val="1"/>
      <w:marLeft w:val="0"/>
      <w:marRight w:val="0"/>
      <w:marTop w:val="0"/>
      <w:marBottom w:val="0"/>
      <w:divBdr>
        <w:top w:val="none" w:sz="0" w:space="0" w:color="auto"/>
        <w:left w:val="none" w:sz="0" w:space="0" w:color="auto"/>
        <w:bottom w:val="none" w:sz="0" w:space="0" w:color="auto"/>
        <w:right w:val="none" w:sz="0" w:space="0" w:color="auto"/>
      </w:divBdr>
    </w:div>
    <w:div w:id="14428334">
      <w:bodyDiv w:val="1"/>
      <w:marLeft w:val="0"/>
      <w:marRight w:val="0"/>
      <w:marTop w:val="0"/>
      <w:marBottom w:val="0"/>
      <w:divBdr>
        <w:top w:val="none" w:sz="0" w:space="0" w:color="auto"/>
        <w:left w:val="none" w:sz="0" w:space="0" w:color="auto"/>
        <w:bottom w:val="none" w:sz="0" w:space="0" w:color="auto"/>
        <w:right w:val="none" w:sz="0" w:space="0" w:color="auto"/>
      </w:divBdr>
    </w:div>
    <w:div w:id="17783460">
      <w:bodyDiv w:val="1"/>
      <w:marLeft w:val="0"/>
      <w:marRight w:val="0"/>
      <w:marTop w:val="0"/>
      <w:marBottom w:val="0"/>
      <w:divBdr>
        <w:top w:val="none" w:sz="0" w:space="0" w:color="auto"/>
        <w:left w:val="none" w:sz="0" w:space="0" w:color="auto"/>
        <w:bottom w:val="none" w:sz="0" w:space="0" w:color="auto"/>
        <w:right w:val="none" w:sz="0" w:space="0" w:color="auto"/>
      </w:divBdr>
    </w:div>
    <w:div w:id="35350041">
      <w:bodyDiv w:val="1"/>
      <w:marLeft w:val="0"/>
      <w:marRight w:val="0"/>
      <w:marTop w:val="0"/>
      <w:marBottom w:val="0"/>
      <w:divBdr>
        <w:top w:val="none" w:sz="0" w:space="0" w:color="auto"/>
        <w:left w:val="none" w:sz="0" w:space="0" w:color="auto"/>
        <w:bottom w:val="none" w:sz="0" w:space="0" w:color="auto"/>
        <w:right w:val="none" w:sz="0" w:space="0" w:color="auto"/>
      </w:divBdr>
    </w:div>
    <w:div w:id="39673524">
      <w:bodyDiv w:val="1"/>
      <w:marLeft w:val="0"/>
      <w:marRight w:val="0"/>
      <w:marTop w:val="0"/>
      <w:marBottom w:val="0"/>
      <w:divBdr>
        <w:top w:val="none" w:sz="0" w:space="0" w:color="auto"/>
        <w:left w:val="none" w:sz="0" w:space="0" w:color="auto"/>
        <w:bottom w:val="none" w:sz="0" w:space="0" w:color="auto"/>
        <w:right w:val="none" w:sz="0" w:space="0" w:color="auto"/>
      </w:divBdr>
    </w:div>
    <w:div w:id="44452921">
      <w:bodyDiv w:val="1"/>
      <w:marLeft w:val="0"/>
      <w:marRight w:val="0"/>
      <w:marTop w:val="0"/>
      <w:marBottom w:val="0"/>
      <w:divBdr>
        <w:top w:val="none" w:sz="0" w:space="0" w:color="auto"/>
        <w:left w:val="none" w:sz="0" w:space="0" w:color="auto"/>
        <w:bottom w:val="none" w:sz="0" w:space="0" w:color="auto"/>
        <w:right w:val="none" w:sz="0" w:space="0" w:color="auto"/>
      </w:divBdr>
    </w:div>
    <w:div w:id="49039730">
      <w:bodyDiv w:val="1"/>
      <w:marLeft w:val="0"/>
      <w:marRight w:val="0"/>
      <w:marTop w:val="0"/>
      <w:marBottom w:val="0"/>
      <w:divBdr>
        <w:top w:val="none" w:sz="0" w:space="0" w:color="auto"/>
        <w:left w:val="none" w:sz="0" w:space="0" w:color="auto"/>
        <w:bottom w:val="none" w:sz="0" w:space="0" w:color="auto"/>
        <w:right w:val="none" w:sz="0" w:space="0" w:color="auto"/>
      </w:divBdr>
    </w:div>
    <w:div w:id="54788465">
      <w:bodyDiv w:val="1"/>
      <w:marLeft w:val="0"/>
      <w:marRight w:val="0"/>
      <w:marTop w:val="0"/>
      <w:marBottom w:val="0"/>
      <w:divBdr>
        <w:top w:val="none" w:sz="0" w:space="0" w:color="auto"/>
        <w:left w:val="none" w:sz="0" w:space="0" w:color="auto"/>
        <w:bottom w:val="none" w:sz="0" w:space="0" w:color="auto"/>
        <w:right w:val="none" w:sz="0" w:space="0" w:color="auto"/>
      </w:divBdr>
    </w:div>
    <w:div w:id="58552073">
      <w:bodyDiv w:val="1"/>
      <w:marLeft w:val="0"/>
      <w:marRight w:val="0"/>
      <w:marTop w:val="0"/>
      <w:marBottom w:val="0"/>
      <w:divBdr>
        <w:top w:val="none" w:sz="0" w:space="0" w:color="auto"/>
        <w:left w:val="none" w:sz="0" w:space="0" w:color="auto"/>
        <w:bottom w:val="none" w:sz="0" w:space="0" w:color="auto"/>
        <w:right w:val="none" w:sz="0" w:space="0" w:color="auto"/>
      </w:divBdr>
    </w:div>
    <w:div w:id="77096784">
      <w:bodyDiv w:val="1"/>
      <w:marLeft w:val="0"/>
      <w:marRight w:val="0"/>
      <w:marTop w:val="0"/>
      <w:marBottom w:val="0"/>
      <w:divBdr>
        <w:top w:val="none" w:sz="0" w:space="0" w:color="auto"/>
        <w:left w:val="none" w:sz="0" w:space="0" w:color="auto"/>
        <w:bottom w:val="none" w:sz="0" w:space="0" w:color="auto"/>
        <w:right w:val="none" w:sz="0" w:space="0" w:color="auto"/>
      </w:divBdr>
    </w:div>
    <w:div w:id="80681257">
      <w:bodyDiv w:val="1"/>
      <w:marLeft w:val="0"/>
      <w:marRight w:val="0"/>
      <w:marTop w:val="0"/>
      <w:marBottom w:val="0"/>
      <w:divBdr>
        <w:top w:val="none" w:sz="0" w:space="0" w:color="auto"/>
        <w:left w:val="none" w:sz="0" w:space="0" w:color="auto"/>
        <w:bottom w:val="none" w:sz="0" w:space="0" w:color="auto"/>
        <w:right w:val="none" w:sz="0" w:space="0" w:color="auto"/>
      </w:divBdr>
    </w:div>
    <w:div w:id="87391701">
      <w:bodyDiv w:val="1"/>
      <w:marLeft w:val="0"/>
      <w:marRight w:val="0"/>
      <w:marTop w:val="0"/>
      <w:marBottom w:val="0"/>
      <w:divBdr>
        <w:top w:val="none" w:sz="0" w:space="0" w:color="auto"/>
        <w:left w:val="none" w:sz="0" w:space="0" w:color="auto"/>
        <w:bottom w:val="none" w:sz="0" w:space="0" w:color="auto"/>
        <w:right w:val="none" w:sz="0" w:space="0" w:color="auto"/>
      </w:divBdr>
    </w:div>
    <w:div w:id="101189982">
      <w:bodyDiv w:val="1"/>
      <w:marLeft w:val="0"/>
      <w:marRight w:val="0"/>
      <w:marTop w:val="0"/>
      <w:marBottom w:val="0"/>
      <w:divBdr>
        <w:top w:val="none" w:sz="0" w:space="0" w:color="auto"/>
        <w:left w:val="none" w:sz="0" w:space="0" w:color="auto"/>
        <w:bottom w:val="none" w:sz="0" w:space="0" w:color="auto"/>
        <w:right w:val="none" w:sz="0" w:space="0" w:color="auto"/>
      </w:divBdr>
    </w:div>
    <w:div w:id="133644066">
      <w:bodyDiv w:val="1"/>
      <w:marLeft w:val="0"/>
      <w:marRight w:val="0"/>
      <w:marTop w:val="0"/>
      <w:marBottom w:val="0"/>
      <w:divBdr>
        <w:top w:val="none" w:sz="0" w:space="0" w:color="auto"/>
        <w:left w:val="none" w:sz="0" w:space="0" w:color="auto"/>
        <w:bottom w:val="none" w:sz="0" w:space="0" w:color="auto"/>
        <w:right w:val="none" w:sz="0" w:space="0" w:color="auto"/>
      </w:divBdr>
    </w:div>
    <w:div w:id="150604590">
      <w:bodyDiv w:val="1"/>
      <w:marLeft w:val="0"/>
      <w:marRight w:val="0"/>
      <w:marTop w:val="0"/>
      <w:marBottom w:val="0"/>
      <w:divBdr>
        <w:top w:val="none" w:sz="0" w:space="0" w:color="auto"/>
        <w:left w:val="none" w:sz="0" w:space="0" w:color="auto"/>
        <w:bottom w:val="none" w:sz="0" w:space="0" w:color="auto"/>
        <w:right w:val="none" w:sz="0" w:space="0" w:color="auto"/>
      </w:divBdr>
    </w:div>
    <w:div w:id="157892719">
      <w:bodyDiv w:val="1"/>
      <w:marLeft w:val="0"/>
      <w:marRight w:val="0"/>
      <w:marTop w:val="0"/>
      <w:marBottom w:val="0"/>
      <w:divBdr>
        <w:top w:val="none" w:sz="0" w:space="0" w:color="auto"/>
        <w:left w:val="none" w:sz="0" w:space="0" w:color="auto"/>
        <w:bottom w:val="none" w:sz="0" w:space="0" w:color="auto"/>
        <w:right w:val="none" w:sz="0" w:space="0" w:color="auto"/>
      </w:divBdr>
    </w:div>
    <w:div w:id="159545996">
      <w:bodyDiv w:val="1"/>
      <w:marLeft w:val="0"/>
      <w:marRight w:val="0"/>
      <w:marTop w:val="0"/>
      <w:marBottom w:val="0"/>
      <w:divBdr>
        <w:top w:val="none" w:sz="0" w:space="0" w:color="auto"/>
        <w:left w:val="none" w:sz="0" w:space="0" w:color="auto"/>
        <w:bottom w:val="none" w:sz="0" w:space="0" w:color="auto"/>
        <w:right w:val="none" w:sz="0" w:space="0" w:color="auto"/>
      </w:divBdr>
    </w:div>
    <w:div w:id="164902048">
      <w:bodyDiv w:val="1"/>
      <w:marLeft w:val="0"/>
      <w:marRight w:val="0"/>
      <w:marTop w:val="0"/>
      <w:marBottom w:val="0"/>
      <w:divBdr>
        <w:top w:val="none" w:sz="0" w:space="0" w:color="auto"/>
        <w:left w:val="none" w:sz="0" w:space="0" w:color="auto"/>
        <w:bottom w:val="none" w:sz="0" w:space="0" w:color="auto"/>
        <w:right w:val="none" w:sz="0" w:space="0" w:color="auto"/>
      </w:divBdr>
    </w:div>
    <w:div w:id="166554866">
      <w:bodyDiv w:val="1"/>
      <w:marLeft w:val="0"/>
      <w:marRight w:val="0"/>
      <w:marTop w:val="0"/>
      <w:marBottom w:val="0"/>
      <w:divBdr>
        <w:top w:val="none" w:sz="0" w:space="0" w:color="auto"/>
        <w:left w:val="none" w:sz="0" w:space="0" w:color="auto"/>
        <w:bottom w:val="none" w:sz="0" w:space="0" w:color="auto"/>
        <w:right w:val="none" w:sz="0" w:space="0" w:color="auto"/>
      </w:divBdr>
    </w:div>
    <w:div w:id="181475397">
      <w:bodyDiv w:val="1"/>
      <w:marLeft w:val="0"/>
      <w:marRight w:val="0"/>
      <w:marTop w:val="0"/>
      <w:marBottom w:val="0"/>
      <w:divBdr>
        <w:top w:val="none" w:sz="0" w:space="0" w:color="auto"/>
        <w:left w:val="none" w:sz="0" w:space="0" w:color="auto"/>
        <w:bottom w:val="none" w:sz="0" w:space="0" w:color="auto"/>
        <w:right w:val="none" w:sz="0" w:space="0" w:color="auto"/>
      </w:divBdr>
    </w:div>
    <w:div w:id="192230295">
      <w:bodyDiv w:val="1"/>
      <w:marLeft w:val="0"/>
      <w:marRight w:val="0"/>
      <w:marTop w:val="0"/>
      <w:marBottom w:val="0"/>
      <w:divBdr>
        <w:top w:val="none" w:sz="0" w:space="0" w:color="auto"/>
        <w:left w:val="none" w:sz="0" w:space="0" w:color="auto"/>
        <w:bottom w:val="none" w:sz="0" w:space="0" w:color="auto"/>
        <w:right w:val="none" w:sz="0" w:space="0" w:color="auto"/>
      </w:divBdr>
    </w:div>
    <w:div w:id="201598273">
      <w:bodyDiv w:val="1"/>
      <w:marLeft w:val="0"/>
      <w:marRight w:val="0"/>
      <w:marTop w:val="0"/>
      <w:marBottom w:val="0"/>
      <w:divBdr>
        <w:top w:val="none" w:sz="0" w:space="0" w:color="auto"/>
        <w:left w:val="none" w:sz="0" w:space="0" w:color="auto"/>
        <w:bottom w:val="none" w:sz="0" w:space="0" w:color="auto"/>
        <w:right w:val="none" w:sz="0" w:space="0" w:color="auto"/>
      </w:divBdr>
    </w:div>
    <w:div w:id="204829371">
      <w:bodyDiv w:val="1"/>
      <w:marLeft w:val="0"/>
      <w:marRight w:val="0"/>
      <w:marTop w:val="0"/>
      <w:marBottom w:val="0"/>
      <w:divBdr>
        <w:top w:val="none" w:sz="0" w:space="0" w:color="auto"/>
        <w:left w:val="none" w:sz="0" w:space="0" w:color="auto"/>
        <w:bottom w:val="none" w:sz="0" w:space="0" w:color="auto"/>
        <w:right w:val="none" w:sz="0" w:space="0" w:color="auto"/>
      </w:divBdr>
    </w:div>
    <w:div w:id="211313088">
      <w:bodyDiv w:val="1"/>
      <w:marLeft w:val="0"/>
      <w:marRight w:val="0"/>
      <w:marTop w:val="0"/>
      <w:marBottom w:val="0"/>
      <w:divBdr>
        <w:top w:val="none" w:sz="0" w:space="0" w:color="auto"/>
        <w:left w:val="none" w:sz="0" w:space="0" w:color="auto"/>
        <w:bottom w:val="none" w:sz="0" w:space="0" w:color="auto"/>
        <w:right w:val="none" w:sz="0" w:space="0" w:color="auto"/>
      </w:divBdr>
    </w:div>
    <w:div w:id="235869734">
      <w:bodyDiv w:val="1"/>
      <w:marLeft w:val="0"/>
      <w:marRight w:val="0"/>
      <w:marTop w:val="0"/>
      <w:marBottom w:val="0"/>
      <w:divBdr>
        <w:top w:val="none" w:sz="0" w:space="0" w:color="auto"/>
        <w:left w:val="none" w:sz="0" w:space="0" w:color="auto"/>
        <w:bottom w:val="none" w:sz="0" w:space="0" w:color="auto"/>
        <w:right w:val="none" w:sz="0" w:space="0" w:color="auto"/>
      </w:divBdr>
    </w:div>
    <w:div w:id="242684253">
      <w:bodyDiv w:val="1"/>
      <w:marLeft w:val="0"/>
      <w:marRight w:val="0"/>
      <w:marTop w:val="0"/>
      <w:marBottom w:val="0"/>
      <w:divBdr>
        <w:top w:val="none" w:sz="0" w:space="0" w:color="auto"/>
        <w:left w:val="none" w:sz="0" w:space="0" w:color="auto"/>
        <w:bottom w:val="none" w:sz="0" w:space="0" w:color="auto"/>
        <w:right w:val="none" w:sz="0" w:space="0" w:color="auto"/>
      </w:divBdr>
    </w:div>
    <w:div w:id="246498852">
      <w:bodyDiv w:val="1"/>
      <w:marLeft w:val="0"/>
      <w:marRight w:val="0"/>
      <w:marTop w:val="0"/>
      <w:marBottom w:val="0"/>
      <w:divBdr>
        <w:top w:val="none" w:sz="0" w:space="0" w:color="auto"/>
        <w:left w:val="none" w:sz="0" w:space="0" w:color="auto"/>
        <w:bottom w:val="none" w:sz="0" w:space="0" w:color="auto"/>
        <w:right w:val="none" w:sz="0" w:space="0" w:color="auto"/>
      </w:divBdr>
    </w:div>
    <w:div w:id="247889281">
      <w:bodyDiv w:val="1"/>
      <w:marLeft w:val="0"/>
      <w:marRight w:val="0"/>
      <w:marTop w:val="0"/>
      <w:marBottom w:val="0"/>
      <w:divBdr>
        <w:top w:val="none" w:sz="0" w:space="0" w:color="auto"/>
        <w:left w:val="none" w:sz="0" w:space="0" w:color="auto"/>
        <w:bottom w:val="none" w:sz="0" w:space="0" w:color="auto"/>
        <w:right w:val="none" w:sz="0" w:space="0" w:color="auto"/>
      </w:divBdr>
    </w:div>
    <w:div w:id="253782606">
      <w:bodyDiv w:val="1"/>
      <w:marLeft w:val="0"/>
      <w:marRight w:val="0"/>
      <w:marTop w:val="0"/>
      <w:marBottom w:val="0"/>
      <w:divBdr>
        <w:top w:val="none" w:sz="0" w:space="0" w:color="auto"/>
        <w:left w:val="none" w:sz="0" w:space="0" w:color="auto"/>
        <w:bottom w:val="none" w:sz="0" w:space="0" w:color="auto"/>
        <w:right w:val="none" w:sz="0" w:space="0" w:color="auto"/>
      </w:divBdr>
    </w:div>
    <w:div w:id="266281692">
      <w:bodyDiv w:val="1"/>
      <w:marLeft w:val="0"/>
      <w:marRight w:val="0"/>
      <w:marTop w:val="0"/>
      <w:marBottom w:val="0"/>
      <w:divBdr>
        <w:top w:val="none" w:sz="0" w:space="0" w:color="auto"/>
        <w:left w:val="none" w:sz="0" w:space="0" w:color="auto"/>
        <w:bottom w:val="none" w:sz="0" w:space="0" w:color="auto"/>
        <w:right w:val="none" w:sz="0" w:space="0" w:color="auto"/>
      </w:divBdr>
    </w:div>
    <w:div w:id="274486314">
      <w:bodyDiv w:val="1"/>
      <w:marLeft w:val="0"/>
      <w:marRight w:val="0"/>
      <w:marTop w:val="0"/>
      <w:marBottom w:val="0"/>
      <w:divBdr>
        <w:top w:val="none" w:sz="0" w:space="0" w:color="auto"/>
        <w:left w:val="none" w:sz="0" w:space="0" w:color="auto"/>
        <w:bottom w:val="none" w:sz="0" w:space="0" w:color="auto"/>
        <w:right w:val="none" w:sz="0" w:space="0" w:color="auto"/>
      </w:divBdr>
    </w:div>
    <w:div w:id="289674593">
      <w:bodyDiv w:val="1"/>
      <w:marLeft w:val="0"/>
      <w:marRight w:val="0"/>
      <w:marTop w:val="0"/>
      <w:marBottom w:val="0"/>
      <w:divBdr>
        <w:top w:val="none" w:sz="0" w:space="0" w:color="auto"/>
        <w:left w:val="none" w:sz="0" w:space="0" w:color="auto"/>
        <w:bottom w:val="none" w:sz="0" w:space="0" w:color="auto"/>
        <w:right w:val="none" w:sz="0" w:space="0" w:color="auto"/>
      </w:divBdr>
    </w:div>
    <w:div w:id="322200385">
      <w:bodyDiv w:val="1"/>
      <w:marLeft w:val="0"/>
      <w:marRight w:val="0"/>
      <w:marTop w:val="0"/>
      <w:marBottom w:val="0"/>
      <w:divBdr>
        <w:top w:val="none" w:sz="0" w:space="0" w:color="auto"/>
        <w:left w:val="none" w:sz="0" w:space="0" w:color="auto"/>
        <w:bottom w:val="none" w:sz="0" w:space="0" w:color="auto"/>
        <w:right w:val="none" w:sz="0" w:space="0" w:color="auto"/>
      </w:divBdr>
    </w:div>
    <w:div w:id="323512575">
      <w:bodyDiv w:val="1"/>
      <w:marLeft w:val="0"/>
      <w:marRight w:val="0"/>
      <w:marTop w:val="0"/>
      <w:marBottom w:val="0"/>
      <w:divBdr>
        <w:top w:val="none" w:sz="0" w:space="0" w:color="auto"/>
        <w:left w:val="none" w:sz="0" w:space="0" w:color="auto"/>
        <w:bottom w:val="none" w:sz="0" w:space="0" w:color="auto"/>
        <w:right w:val="none" w:sz="0" w:space="0" w:color="auto"/>
      </w:divBdr>
    </w:div>
    <w:div w:id="345330308">
      <w:bodyDiv w:val="1"/>
      <w:marLeft w:val="0"/>
      <w:marRight w:val="0"/>
      <w:marTop w:val="0"/>
      <w:marBottom w:val="0"/>
      <w:divBdr>
        <w:top w:val="none" w:sz="0" w:space="0" w:color="auto"/>
        <w:left w:val="none" w:sz="0" w:space="0" w:color="auto"/>
        <w:bottom w:val="none" w:sz="0" w:space="0" w:color="auto"/>
        <w:right w:val="none" w:sz="0" w:space="0" w:color="auto"/>
      </w:divBdr>
    </w:div>
    <w:div w:id="365645910">
      <w:bodyDiv w:val="1"/>
      <w:marLeft w:val="0"/>
      <w:marRight w:val="0"/>
      <w:marTop w:val="0"/>
      <w:marBottom w:val="0"/>
      <w:divBdr>
        <w:top w:val="none" w:sz="0" w:space="0" w:color="auto"/>
        <w:left w:val="none" w:sz="0" w:space="0" w:color="auto"/>
        <w:bottom w:val="none" w:sz="0" w:space="0" w:color="auto"/>
        <w:right w:val="none" w:sz="0" w:space="0" w:color="auto"/>
      </w:divBdr>
    </w:div>
    <w:div w:id="375278627">
      <w:bodyDiv w:val="1"/>
      <w:marLeft w:val="0"/>
      <w:marRight w:val="0"/>
      <w:marTop w:val="0"/>
      <w:marBottom w:val="0"/>
      <w:divBdr>
        <w:top w:val="none" w:sz="0" w:space="0" w:color="auto"/>
        <w:left w:val="none" w:sz="0" w:space="0" w:color="auto"/>
        <w:bottom w:val="none" w:sz="0" w:space="0" w:color="auto"/>
        <w:right w:val="none" w:sz="0" w:space="0" w:color="auto"/>
      </w:divBdr>
    </w:div>
    <w:div w:id="391120132">
      <w:bodyDiv w:val="1"/>
      <w:marLeft w:val="0"/>
      <w:marRight w:val="0"/>
      <w:marTop w:val="0"/>
      <w:marBottom w:val="0"/>
      <w:divBdr>
        <w:top w:val="none" w:sz="0" w:space="0" w:color="auto"/>
        <w:left w:val="none" w:sz="0" w:space="0" w:color="auto"/>
        <w:bottom w:val="none" w:sz="0" w:space="0" w:color="auto"/>
        <w:right w:val="none" w:sz="0" w:space="0" w:color="auto"/>
      </w:divBdr>
    </w:div>
    <w:div w:id="396435638">
      <w:bodyDiv w:val="1"/>
      <w:marLeft w:val="0"/>
      <w:marRight w:val="0"/>
      <w:marTop w:val="0"/>
      <w:marBottom w:val="0"/>
      <w:divBdr>
        <w:top w:val="none" w:sz="0" w:space="0" w:color="auto"/>
        <w:left w:val="none" w:sz="0" w:space="0" w:color="auto"/>
        <w:bottom w:val="none" w:sz="0" w:space="0" w:color="auto"/>
        <w:right w:val="none" w:sz="0" w:space="0" w:color="auto"/>
      </w:divBdr>
    </w:div>
    <w:div w:id="418329739">
      <w:bodyDiv w:val="1"/>
      <w:marLeft w:val="0"/>
      <w:marRight w:val="0"/>
      <w:marTop w:val="0"/>
      <w:marBottom w:val="0"/>
      <w:divBdr>
        <w:top w:val="none" w:sz="0" w:space="0" w:color="auto"/>
        <w:left w:val="none" w:sz="0" w:space="0" w:color="auto"/>
        <w:bottom w:val="none" w:sz="0" w:space="0" w:color="auto"/>
        <w:right w:val="none" w:sz="0" w:space="0" w:color="auto"/>
      </w:divBdr>
    </w:div>
    <w:div w:id="447553290">
      <w:bodyDiv w:val="1"/>
      <w:marLeft w:val="0"/>
      <w:marRight w:val="0"/>
      <w:marTop w:val="0"/>
      <w:marBottom w:val="0"/>
      <w:divBdr>
        <w:top w:val="none" w:sz="0" w:space="0" w:color="auto"/>
        <w:left w:val="none" w:sz="0" w:space="0" w:color="auto"/>
        <w:bottom w:val="none" w:sz="0" w:space="0" w:color="auto"/>
        <w:right w:val="none" w:sz="0" w:space="0" w:color="auto"/>
      </w:divBdr>
    </w:div>
    <w:div w:id="458258438">
      <w:bodyDiv w:val="1"/>
      <w:marLeft w:val="0"/>
      <w:marRight w:val="0"/>
      <w:marTop w:val="0"/>
      <w:marBottom w:val="0"/>
      <w:divBdr>
        <w:top w:val="none" w:sz="0" w:space="0" w:color="auto"/>
        <w:left w:val="none" w:sz="0" w:space="0" w:color="auto"/>
        <w:bottom w:val="none" w:sz="0" w:space="0" w:color="auto"/>
        <w:right w:val="none" w:sz="0" w:space="0" w:color="auto"/>
      </w:divBdr>
    </w:div>
    <w:div w:id="482744499">
      <w:bodyDiv w:val="1"/>
      <w:marLeft w:val="0"/>
      <w:marRight w:val="0"/>
      <w:marTop w:val="0"/>
      <w:marBottom w:val="0"/>
      <w:divBdr>
        <w:top w:val="none" w:sz="0" w:space="0" w:color="auto"/>
        <w:left w:val="none" w:sz="0" w:space="0" w:color="auto"/>
        <w:bottom w:val="none" w:sz="0" w:space="0" w:color="auto"/>
        <w:right w:val="none" w:sz="0" w:space="0" w:color="auto"/>
      </w:divBdr>
    </w:div>
    <w:div w:id="485172379">
      <w:bodyDiv w:val="1"/>
      <w:marLeft w:val="0"/>
      <w:marRight w:val="0"/>
      <w:marTop w:val="0"/>
      <w:marBottom w:val="0"/>
      <w:divBdr>
        <w:top w:val="none" w:sz="0" w:space="0" w:color="auto"/>
        <w:left w:val="none" w:sz="0" w:space="0" w:color="auto"/>
        <w:bottom w:val="none" w:sz="0" w:space="0" w:color="auto"/>
        <w:right w:val="none" w:sz="0" w:space="0" w:color="auto"/>
      </w:divBdr>
    </w:div>
    <w:div w:id="485896508">
      <w:bodyDiv w:val="1"/>
      <w:marLeft w:val="0"/>
      <w:marRight w:val="0"/>
      <w:marTop w:val="0"/>
      <w:marBottom w:val="0"/>
      <w:divBdr>
        <w:top w:val="none" w:sz="0" w:space="0" w:color="auto"/>
        <w:left w:val="none" w:sz="0" w:space="0" w:color="auto"/>
        <w:bottom w:val="none" w:sz="0" w:space="0" w:color="auto"/>
        <w:right w:val="none" w:sz="0" w:space="0" w:color="auto"/>
      </w:divBdr>
    </w:div>
    <w:div w:id="498272344">
      <w:bodyDiv w:val="1"/>
      <w:marLeft w:val="0"/>
      <w:marRight w:val="0"/>
      <w:marTop w:val="0"/>
      <w:marBottom w:val="0"/>
      <w:divBdr>
        <w:top w:val="none" w:sz="0" w:space="0" w:color="auto"/>
        <w:left w:val="none" w:sz="0" w:space="0" w:color="auto"/>
        <w:bottom w:val="none" w:sz="0" w:space="0" w:color="auto"/>
        <w:right w:val="none" w:sz="0" w:space="0" w:color="auto"/>
      </w:divBdr>
    </w:div>
    <w:div w:id="514269449">
      <w:bodyDiv w:val="1"/>
      <w:marLeft w:val="0"/>
      <w:marRight w:val="0"/>
      <w:marTop w:val="0"/>
      <w:marBottom w:val="0"/>
      <w:divBdr>
        <w:top w:val="none" w:sz="0" w:space="0" w:color="auto"/>
        <w:left w:val="none" w:sz="0" w:space="0" w:color="auto"/>
        <w:bottom w:val="none" w:sz="0" w:space="0" w:color="auto"/>
        <w:right w:val="none" w:sz="0" w:space="0" w:color="auto"/>
      </w:divBdr>
    </w:div>
    <w:div w:id="534928304">
      <w:bodyDiv w:val="1"/>
      <w:marLeft w:val="0"/>
      <w:marRight w:val="0"/>
      <w:marTop w:val="0"/>
      <w:marBottom w:val="0"/>
      <w:divBdr>
        <w:top w:val="none" w:sz="0" w:space="0" w:color="auto"/>
        <w:left w:val="none" w:sz="0" w:space="0" w:color="auto"/>
        <w:bottom w:val="none" w:sz="0" w:space="0" w:color="auto"/>
        <w:right w:val="none" w:sz="0" w:space="0" w:color="auto"/>
      </w:divBdr>
    </w:div>
    <w:div w:id="539317733">
      <w:bodyDiv w:val="1"/>
      <w:marLeft w:val="0"/>
      <w:marRight w:val="0"/>
      <w:marTop w:val="0"/>
      <w:marBottom w:val="0"/>
      <w:divBdr>
        <w:top w:val="none" w:sz="0" w:space="0" w:color="auto"/>
        <w:left w:val="none" w:sz="0" w:space="0" w:color="auto"/>
        <w:bottom w:val="none" w:sz="0" w:space="0" w:color="auto"/>
        <w:right w:val="none" w:sz="0" w:space="0" w:color="auto"/>
      </w:divBdr>
    </w:div>
    <w:div w:id="547180010">
      <w:bodyDiv w:val="1"/>
      <w:marLeft w:val="0"/>
      <w:marRight w:val="0"/>
      <w:marTop w:val="0"/>
      <w:marBottom w:val="0"/>
      <w:divBdr>
        <w:top w:val="none" w:sz="0" w:space="0" w:color="auto"/>
        <w:left w:val="none" w:sz="0" w:space="0" w:color="auto"/>
        <w:bottom w:val="none" w:sz="0" w:space="0" w:color="auto"/>
        <w:right w:val="none" w:sz="0" w:space="0" w:color="auto"/>
      </w:divBdr>
    </w:div>
    <w:div w:id="566644354">
      <w:bodyDiv w:val="1"/>
      <w:marLeft w:val="0"/>
      <w:marRight w:val="0"/>
      <w:marTop w:val="0"/>
      <w:marBottom w:val="0"/>
      <w:divBdr>
        <w:top w:val="none" w:sz="0" w:space="0" w:color="auto"/>
        <w:left w:val="none" w:sz="0" w:space="0" w:color="auto"/>
        <w:bottom w:val="none" w:sz="0" w:space="0" w:color="auto"/>
        <w:right w:val="none" w:sz="0" w:space="0" w:color="auto"/>
      </w:divBdr>
    </w:div>
    <w:div w:id="572619519">
      <w:bodyDiv w:val="1"/>
      <w:marLeft w:val="0"/>
      <w:marRight w:val="0"/>
      <w:marTop w:val="0"/>
      <w:marBottom w:val="0"/>
      <w:divBdr>
        <w:top w:val="none" w:sz="0" w:space="0" w:color="auto"/>
        <w:left w:val="none" w:sz="0" w:space="0" w:color="auto"/>
        <w:bottom w:val="none" w:sz="0" w:space="0" w:color="auto"/>
        <w:right w:val="none" w:sz="0" w:space="0" w:color="auto"/>
      </w:divBdr>
    </w:div>
    <w:div w:id="579171108">
      <w:bodyDiv w:val="1"/>
      <w:marLeft w:val="0"/>
      <w:marRight w:val="0"/>
      <w:marTop w:val="0"/>
      <w:marBottom w:val="0"/>
      <w:divBdr>
        <w:top w:val="none" w:sz="0" w:space="0" w:color="auto"/>
        <w:left w:val="none" w:sz="0" w:space="0" w:color="auto"/>
        <w:bottom w:val="none" w:sz="0" w:space="0" w:color="auto"/>
        <w:right w:val="none" w:sz="0" w:space="0" w:color="auto"/>
      </w:divBdr>
    </w:div>
    <w:div w:id="602373793">
      <w:bodyDiv w:val="1"/>
      <w:marLeft w:val="0"/>
      <w:marRight w:val="0"/>
      <w:marTop w:val="0"/>
      <w:marBottom w:val="0"/>
      <w:divBdr>
        <w:top w:val="none" w:sz="0" w:space="0" w:color="auto"/>
        <w:left w:val="none" w:sz="0" w:space="0" w:color="auto"/>
        <w:bottom w:val="none" w:sz="0" w:space="0" w:color="auto"/>
        <w:right w:val="none" w:sz="0" w:space="0" w:color="auto"/>
      </w:divBdr>
    </w:div>
    <w:div w:id="610474326">
      <w:bodyDiv w:val="1"/>
      <w:marLeft w:val="0"/>
      <w:marRight w:val="0"/>
      <w:marTop w:val="0"/>
      <w:marBottom w:val="0"/>
      <w:divBdr>
        <w:top w:val="none" w:sz="0" w:space="0" w:color="auto"/>
        <w:left w:val="none" w:sz="0" w:space="0" w:color="auto"/>
        <w:bottom w:val="none" w:sz="0" w:space="0" w:color="auto"/>
        <w:right w:val="none" w:sz="0" w:space="0" w:color="auto"/>
      </w:divBdr>
    </w:div>
    <w:div w:id="612589138">
      <w:bodyDiv w:val="1"/>
      <w:marLeft w:val="0"/>
      <w:marRight w:val="0"/>
      <w:marTop w:val="0"/>
      <w:marBottom w:val="0"/>
      <w:divBdr>
        <w:top w:val="none" w:sz="0" w:space="0" w:color="auto"/>
        <w:left w:val="none" w:sz="0" w:space="0" w:color="auto"/>
        <w:bottom w:val="none" w:sz="0" w:space="0" w:color="auto"/>
        <w:right w:val="none" w:sz="0" w:space="0" w:color="auto"/>
      </w:divBdr>
    </w:div>
    <w:div w:id="612783818">
      <w:bodyDiv w:val="1"/>
      <w:marLeft w:val="0"/>
      <w:marRight w:val="0"/>
      <w:marTop w:val="0"/>
      <w:marBottom w:val="0"/>
      <w:divBdr>
        <w:top w:val="none" w:sz="0" w:space="0" w:color="auto"/>
        <w:left w:val="none" w:sz="0" w:space="0" w:color="auto"/>
        <w:bottom w:val="none" w:sz="0" w:space="0" w:color="auto"/>
        <w:right w:val="none" w:sz="0" w:space="0" w:color="auto"/>
      </w:divBdr>
    </w:div>
    <w:div w:id="619453301">
      <w:bodyDiv w:val="1"/>
      <w:marLeft w:val="0"/>
      <w:marRight w:val="0"/>
      <w:marTop w:val="0"/>
      <w:marBottom w:val="0"/>
      <w:divBdr>
        <w:top w:val="none" w:sz="0" w:space="0" w:color="auto"/>
        <w:left w:val="none" w:sz="0" w:space="0" w:color="auto"/>
        <w:bottom w:val="none" w:sz="0" w:space="0" w:color="auto"/>
        <w:right w:val="none" w:sz="0" w:space="0" w:color="auto"/>
      </w:divBdr>
    </w:div>
    <w:div w:id="620260374">
      <w:bodyDiv w:val="1"/>
      <w:marLeft w:val="0"/>
      <w:marRight w:val="0"/>
      <w:marTop w:val="0"/>
      <w:marBottom w:val="0"/>
      <w:divBdr>
        <w:top w:val="none" w:sz="0" w:space="0" w:color="auto"/>
        <w:left w:val="none" w:sz="0" w:space="0" w:color="auto"/>
        <w:bottom w:val="none" w:sz="0" w:space="0" w:color="auto"/>
        <w:right w:val="none" w:sz="0" w:space="0" w:color="auto"/>
      </w:divBdr>
    </w:div>
    <w:div w:id="623078049">
      <w:bodyDiv w:val="1"/>
      <w:marLeft w:val="0"/>
      <w:marRight w:val="0"/>
      <w:marTop w:val="0"/>
      <w:marBottom w:val="0"/>
      <w:divBdr>
        <w:top w:val="none" w:sz="0" w:space="0" w:color="auto"/>
        <w:left w:val="none" w:sz="0" w:space="0" w:color="auto"/>
        <w:bottom w:val="none" w:sz="0" w:space="0" w:color="auto"/>
        <w:right w:val="none" w:sz="0" w:space="0" w:color="auto"/>
      </w:divBdr>
    </w:div>
    <w:div w:id="624000038">
      <w:bodyDiv w:val="1"/>
      <w:marLeft w:val="0"/>
      <w:marRight w:val="0"/>
      <w:marTop w:val="0"/>
      <w:marBottom w:val="0"/>
      <w:divBdr>
        <w:top w:val="none" w:sz="0" w:space="0" w:color="auto"/>
        <w:left w:val="none" w:sz="0" w:space="0" w:color="auto"/>
        <w:bottom w:val="none" w:sz="0" w:space="0" w:color="auto"/>
        <w:right w:val="none" w:sz="0" w:space="0" w:color="auto"/>
      </w:divBdr>
    </w:div>
    <w:div w:id="668484225">
      <w:bodyDiv w:val="1"/>
      <w:marLeft w:val="0"/>
      <w:marRight w:val="0"/>
      <w:marTop w:val="0"/>
      <w:marBottom w:val="0"/>
      <w:divBdr>
        <w:top w:val="none" w:sz="0" w:space="0" w:color="auto"/>
        <w:left w:val="none" w:sz="0" w:space="0" w:color="auto"/>
        <w:bottom w:val="none" w:sz="0" w:space="0" w:color="auto"/>
        <w:right w:val="none" w:sz="0" w:space="0" w:color="auto"/>
      </w:divBdr>
    </w:div>
    <w:div w:id="669255368">
      <w:bodyDiv w:val="1"/>
      <w:marLeft w:val="0"/>
      <w:marRight w:val="0"/>
      <w:marTop w:val="0"/>
      <w:marBottom w:val="0"/>
      <w:divBdr>
        <w:top w:val="none" w:sz="0" w:space="0" w:color="auto"/>
        <w:left w:val="none" w:sz="0" w:space="0" w:color="auto"/>
        <w:bottom w:val="none" w:sz="0" w:space="0" w:color="auto"/>
        <w:right w:val="none" w:sz="0" w:space="0" w:color="auto"/>
      </w:divBdr>
    </w:div>
    <w:div w:id="734283276">
      <w:bodyDiv w:val="1"/>
      <w:marLeft w:val="0"/>
      <w:marRight w:val="0"/>
      <w:marTop w:val="0"/>
      <w:marBottom w:val="0"/>
      <w:divBdr>
        <w:top w:val="none" w:sz="0" w:space="0" w:color="auto"/>
        <w:left w:val="none" w:sz="0" w:space="0" w:color="auto"/>
        <w:bottom w:val="none" w:sz="0" w:space="0" w:color="auto"/>
        <w:right w:val="none" w:sz="0" w:space="0" w:color="auto"/>
      </w:divBdr>
    </w:div>
    <w:div w:id="749734042">
      <w:bodyDiv w:val="1"/>
      <w:marLeft w:val="0"/>
      <w:marRight w:val="0"/>
      <w:marTop w:val="0"/>
      <w:marBottom w:val="0"/>
      <w:divBdr>
        <w:top w:val="none" w:sz="0" w:space="0" w:color="auto"/>
        <w:left w:val="none" w:sz="0" w:space="0" w:color="auto"/>
        <w:bottom w:val="none" w:sz="0" w:space="0" w:color="auto"/>
        <w:right w:val="none" w:sz="0" w:space="0" w:color="auto"/>
      </w:divBdr>
    </w:div>
    <w:div w:id="763107339">
      <w:bodyDiv w:val="1"/>
      <w:marLeft w:val="0"/>
      <w:marRight w:val="0"/>
      <w:marTop w:val="0"/>
      <w:marBottom w:val="0"/>
      <w:divBdr>
        <w:top w:val="none" w:sz="0" w:space="0" w:color="auto"/>
        <w:left w:val="none" w:sz="0" w:space="0" w:color="auto"/>
        <w:bottom w:val="none" w:sz="0" w:space="0" w:color="auto"/>
        <w:right w:val="none" w:sz="0" w:space="0" w:color="auto"/>
      </w:divBdr>
    </w:div>
    <w:div w:id="778262221">
      <w:bodyDiv w:val="1"/>
      <w:marLeft w:val="0"/>
      <w:marRight w:val="0"/>
      <w:marTop w:val="0"/>
      <w:marBottom w:val="0"/>
      <w:divBdr>
        <w:top w:val="none" w:sz="0" w:space="0" w:color="auto"/>
        <w:left w:val="none" w:sz="0" w:space="0" w:color="auto"/>
        <w:bottom w:val="none" w:sz="0" w:space="0" w:color="auto"/>
        <w:right w:val="none" w:sz="0" w:space="0" w:color="auto"/>
      </w:divBdr>
    </w:div>
    <w:div w:id="778796879">
      <w:bodyDiv w:val="1"/>
      <w:marLeft w:val="0"/>
      <w:marRight w:val="0"/>
      <w:marTop w:val="0"/>
      <w:marBottom w:val="0"/>
      <w:divBdr>
        <w:top w:val="none" w:sz="0" w:space="0" w:color="auto"/>
        <w:left w:val="none" w:sz="0" w:space="0" w:color="auto"/>
        <w:bottom w:val="none" w:sz="0" w:space="0" w:color="auto"/>
        <w:right w:val="none" w:sz="0" w:space="0" w:color="auto"/>
      </w:divBdr>
    </w:div>
    <w:div w:id="828638547">
      <w:bodyDiv w:val="1"/>
      <w:marLeft w:val="0"/>
      <w:marRight w:val="0"/>
      <w:marTop w:val="0"/>
      <w:marBottom w:val="0"/>
      <w:divBdr>
        <w:top w:val="none" w:sz="0" w:space="0" w:color="auto"/>
        <w:left w:val="none" w:sz="0" w:space="0" w:color="auto"/>
        <w:bottom w:val="none" w:sz="0" w:space="0" w:color="auto"/>
        <w:right w:val="none" w:sz="0" w:space="0" w:color="auto"/>
      </w:divBdr>
    </w:div>
    <w:div w:id="838302485">
      <w:bodyDiv w:val="1"/>
      <w:marLeft w:val="0"/>
      <w:marRight w:val="0"/>
      <w:marTop w:val="0"/>
      <w:marBottom w:val="0"/>
      <w:divBdr>
        <w:top w:val="none" w:sz="0" w:space="0" w:color="auto"/>
        <w:left w:val="none" w:sz="0" w:space="0" w:color="auto"/>
        <w:bottom w:val="none" w:sz="0" w:space="0" w:color="auto"/>
        <w:right w:val="none" w:sz="0" w:space="0" w:color="auto"/>
      </w:divBdr>
    </w:div>
    <w:div w:id="843856411">
      <w:bodyDiv w:val="1"/>
      <w:marLeft w:val="0"/>
      <w:marRight w:val="0"/>
      <w:marTop w:val="0"/>
      <w:marBottom w:val="0"/>
      <w:divBdr>
        <w:top w:val="none" w:sz="0" w:space="0" w:color="auto"/>
        <w:left w:val="none" w:sz="0" w:space="0" w:color="auto"/>
        <w:bottom w:val="none" w:sz="0" w:space="0" w:color="auto"/>
        <w:right w:val="none" w:sz="0" w:space="0" w:color="auto"/>
      </w:divBdr>
    </w:div>
    <w:div w:id="844327009">
      <w:bodyDiv w:val="1"/>
      <w:marLeft w:val="0"/>
      <w:marRight w:val="0"/>
      <w:marTop w:val="0"/>
      <w:marBottom w:val="0"/>
      <w:divBdr>
        <w:top w:val="none" w:sz="0" w:space="0" w:color="auto"/>
        <w:left w:val="none" w:sz="0" w:space="0" w:color="auto"/>
        <w:bottom w:val="none" w:sz="0" w:space="0" w:color="auto"/>
        <w:right w:val="none" w:sz="0" w:space="0" w:color="auto"/>
      </w:divBdr>
    </w:div>
    <w:div w:id="846166584">
      <w:bodyDiv w:val="1"/>
      <w:marLeft w:val="0"/>
      <w:marRight w:val="0"/>
      <w:marTop w:val="0"/>
      <w:marBottom w:val="0"/>
      <w:divBdr>
        <w:top w:val="none" w:sz="0" w:space="0" w:color="auto"/>
        <w:left w:val="none" w:sz="0" w:space="0" w:color="auto"/>
        <w:bottom w:val="none" w:sz="0" w:space="0" w:color="auto"/>
        <w:right w:val="none" w:sz="0" w:space="0" w:color="auto"/>
      </w:divBdr>
    </w:div>
    <w:div w:id="849611906">
      <w:bodyDiv w:val="1"/>
      <w:marLeft w:val="0"/>
      <w:marRight w:val="0"/>
      <w:marTop w:val="0"/>
      <w:marBottom w:val="0"/>
      <w:divBdr>
        <w:top w:val="none" w:sz="0" w:space="0" w:color="auto"/>
        <w:left w:val="none" w:sz="0" w:space="0" w:color="auto"/>
        <w:bottom w:val="none" w:sz="0" w:space="0" w:color="auto"/>
        <w:right w:val="none" w:sz="0" w:space="0" w:color="auto"/>
      </w:divBdr>
    </w:div>
    <w:div w:id="871725084">
      <w:bodyDiv w:val="1"/>
      <w:marLeft w:val="0"/>
      <w:marRight w:val="0"/>
      <w:marTop w:val="0"/>
      <w:marBottom w:val="0"/>
      <w:divBdr>
        <w:top w:val="none" w:sz="0" w:space="0" w:color="auto"/>
        <w:left w:val="none" w:sz="0" w:space="0" w:color="auto"/>
        <w:bottom w:val="none" w:sz="0" w:space="0" w:color="auto"/>
        <w:right w:val="none" w:sz="0" w:space="0" w:color="auto"/>
      </w:divBdr>
    </w:div>
    <w:div w:id="875241076">
      <w:bodyDiv w:val="1"/>
      <w:marLeft w:val="0"/>
      <w:marRight w:val="0"/>
      <w:marTop w:val="0"/>
      <w:marBottom w:val="0"/>
      <w:divBdr>
        <w:top w:val="none" w:sz="0" w:space="0" w:color="auto"/>
        <w:left w:val="none" w:sz="0" w:space="0" w:color="auto"/>
        <w:bottom w:val="none" w:sz="0" w:space="0" w:color="auto"/>
        <w:right w:val="none" w:sz="0" w:space="0" w:color="auto"/>
      </w:divBdr>
    </w:div>
    <w:div w:id="875584646">
      <w:bodyDiv w:val="1"/>
      <w:marLeft w:val="0"/>
      <w:marRight w:val="0"/>
      <w:marTop w:val="0"/>
      <w:marBottom w:val="0"/>
      <w:divBdr>
        <w:top w:val="none" w:sz="0" w:space="0" w:color="auto"/>
        <w:left w:val="none" w:sz="0" w:space="0" w:color="auto"/>
        <w:bottom w:val="none" w:sz="0" w:space="0" w:color="auto"/>
        <w:right w:val="none" w:sz="0" w:space="0" w:color="auto"/>
      </w:divBdr>
    </w:div>
    <w:div w:id="891355386">
      <w:bodyDiv w:val="1"/>
      <w:marLeft w:val="0"/>
      <w:marRight w:val="0"/>
      <w:marTop w:val="0"/>
      <w:marBottom w:val="0"/>
      <w:divBdr>
        <w:top w:val="none" w:sz="0" w:space="0" w:color="auto"/>
        <w:left w:val="none" w:sz="0" w:space="0" w:color="auto"/>
        <w:bottom w:val="none" w:sz="0" w:space="0" w:color="auto"/>
        <w:right w:val="none" w:sz="0" w:space="0" w:color="auto"/>
      </w:divBdr>
    </w:div>
    <w:div w:id="897588855">
      <w:bodyDiv w:val="1"/>
      <w:marLeft w:val="0"/>
      <w:marRight w:val="0"/>
      <w:marTop w:val="0"/>
      <w:marBottom w:val="0"/>
      <w:divBdr>
        <w:top w:val="none" w:sz="0" w:space="0" w:color="auto"/>
        <w:left w:val="none" w:sz="0" w:space="0" w:color="auto"/>
        <w:bottom w:val="none" w:sz="0" w:space="0" w:color="auto"/>
        <w:right w:val="none" w:sz="0" w:space="0" w:color="auto"/>
      </w:divBdr>
    </w:div>
    <w:div w:id="899750663">
      <w:bodyDiv w:val="1"/>
      <w:marLeft w:val="0"/>
      <w:marRight w:val="0"/>
      <w:marTop w:val="0"/>
      <w:marBottom w:val="0"/>
      <w:divBdr>
        <w:top w:val="none" w:sz="0" w:space="0" w:color="auto"/>
        <w:left w:val="none" w:sz="0" w:space="0" w:color="auto"/>
        <w:bottom w:val="none" w:sz="0" w:space="0" w:color="auto"/>
        <w:right w:val="none" w:sz="0" w:space="0" w:color="auto"/>
      </w:divBdr>
    </w:div>
    <w:div w:id="907303471">
      <w:bodyDiv w:val="1"/>
      <w:marLeft w:val="0"/>
      <w:marRight w:val="0"/>
      <w:marTop w:val="0"/>
      <w:marBottom w:val="0"/>
      <w:divBdr>
        <w:top w:val="none" w:sz="0" w:space="0" w:color="auto"/>
        <w:left w:val="none" w:sz="0" w:space="0" w:color="auto"/>
        <w:bottom w:val="none" w:sz="0" w:space="0" w:color="auto"/>
        <w:right w:val="none" w:sz="0" w:space="0" w:color="auto"/>
      </w:divBdr>
    </w:div>
    <w:div w:id="909120009">
      <w:bodyDiv w:val="1"/>
      <w:marLeft w:val="0"/>
      <w:marRight w:val="0"/>
      <w:marTop w:val="0"/>
      <w:marBottom w:val="0"/>
      <w:divBdr>
        <w:top w:val="none" w:sz="0" w:space="0" w:color="auto"/>
        <w:left w:val="none" w:sz="0" w:space="0" w:color="auto"/>
        <w:bottom w:val="none" w:sz="0" w:space="0" w:color="auto"/>
        <w:right w:val="none" w:sz="0" w:space="0" w:color="auto"/>
      </w:divBdr>
    </w:div>
    <w:div w:id="910777934">
      <w:bodyDiv w:val="1"/>
      <w:marLeft w:val="0"/>
      <w:marRight w:val="0"/>
      <w:marTop w:val="0"/>
      <w:marBottom w:val="0"/>
      <w:divBdr>
        <w:top w:val="none" w:sz="0" w:space="0" w:color="auto"/>
        <w:left w:val="none" w:sz="0" w:space="0" w:color="auto"/>
        <w:bottom w:val="none" w:sz="0" w:space="0" w:color="auto"/>
        <w:right w:val="none" w:sz="0" w:space="0" w:color="auto"/>
      </w:divBdr>
    </w:div>
    <w:div w:id="920257746">
      <w:bodyDiv w:val="1"/>
      <w:marLeft w:val="0"/>
      <w:marRight w:val="0"/>
      <w:marTop w:val="0"/>
      <w:marBottom w:val="0"/>
      <w:divBdr>
        <w:top w:val="none" w:sz="0" w:space="0" w:color="auto"/>
        <w:left w:val="none" w:sz="0" w:space="0" w:color="auto"/>
        <w:bottom w:val="none" w:sz="0" w:space="0" w:color="auto"/>
        <w:right w:val="none" w:sz="0" w:space="0" w:color="auto"/>
      </w:divBdr>
    </w:div>
    <w:div w:id="933169207">
      <w:bodyDiv w:val="1"/>
      <w:marLeft w:val="0"/>
      <w:marRight w:val="0"/>
      <w:marTop w:val="0"/>
      <w:marBottom w:val="0"/>
      <w:divBdr>
        <w:top w:val="none" w:sz="0" w:space="0" w:color="auto"/>
        <w:left w:val="none" w:sz="0" w:space="0" w:color="auto"/>
        <w:bottom w:val="none" w:sz="0" w:space="0" w:color="auto"/>
        <w:right w:val="none" w:sz="0" w:space="0" w:color="auto"/>
      </w:divBdr>
    </w:div>
    <w:div w:id="935404984">
      <w:bodyDiv w:val="1"/>
      <w:marLeft w:val="0"/>
      <w:marRight w:val="0"/>
      <w:marTop w:val="0"/>
      <w:marBottom w:val="0"/>
      <w:divBdr>
        <w:top w:val="none" w:sz="0" w:space="0" w:color="auto"/>
        <w:left w:val="none" w:sz="0" w:space="0" w:color="auto"/>
        <w:bottom w:val="none" w:sz="0" w:space="0" w:color="auto"/>
        <w:right w:val="none" w:sz="0" w:space="0" w:color="auto"/>
      </w:divBdr>
    </w:div>
    <w:div w:id="941574753">
      <w:bodyDiv w:val="1"/>
      <w:marLeft w:val="0"/>
      <w:marRight w:val="0"/>
      <w:marTop w:val="0"/>
      <w:marBottom w:val="0"/>
      <w:divBdr>
        <w:top w:val="none" w:sz="0" w:space="0" w:color="auto"/>
        <w:left w:val="none" w:sz="0" w:space="0" w:color="auto"/>
        <w:bottom w:val="none" w:sz="0" w:space="0" w:color="auto"/>
        <w:right w:val="none" w:sz="0" w:space="0" w:color="auto"/>
      </w:divBdr>
    </w:div>
    <w:div w:id="956912763">
      <w:bodyDiv w:val="1"/>
      <w:marLeft w:val="0"/>
      <w:marRight w:val="0"/>
      <w:marTop w:val="0"/>
      <w:marBottom w:val="0"/>
      <w:divBdr>
        <w:top w:val="none" w:sz="0" w:space="0" w:color="auto"/>
        <w:left w:val="none" w:sz="0" w:space="0" w:color="auto"/>
        <w:bottom w:val="none" w:sz="0" w:space="0" w:color="auto"/>
        <w:right w:val="none" w:sz="0" w:space="0" w:color="auto"/>
      </w:divBdr>
    </w:div>
    <w:div w:id="962543670">
      <w:bodyDiv w:val="1"/>
      <w:marLeft w:val="0"/>
      <w:marRight w:val="0"/>
      <w:marTop w:val="0"/>
      <w:marBottom w:val="0"/>
      <w:divBdr>
        <w:top w:val="none" w:sz="0" w:space="0" w:color="auto"/>
        <w:left w:val="none" w:sz="0" w:space="0" w:color="auto"/>
        <w:bottom w:val="none" w:sz="0" w:space="0" w:color="auto"/>
        <w:right w:val="none" w:sz="0" w:space="0" w:color="auto"/>
      </w:divBdr>
    </w:div>
    <w:div w:id="1017384273">
      <w:bodyDiv w:val="1"/>
      <w:marLeft w:val="0"/>
      <w:marRight w:val="0"/>
      <w:marTop w:val="0"/>
      <w:marBottom w:val="0"/>
      <w:divBdr>
        <w:top w:val="none" w:sz="0" w:space="0" w:color="auto"/>
        <w:left w:val="none" w:sz="0" w:space="0" w:color="auto"/>
        <w:bottom w:val="none" w:sz="0" w:space="0" w:color="auto"/>
        <w:right w:val="none" w:sz="0" w:space="0" w:color="auto"/>
      </w:divBdr>
    </w:div>
    <w:div w:id="1048527125">
      <w:bodyDiv w:val="1"/>
      <w:marLeft w:val="0"/>
      <w:marRight w:val="0"/>
      <w:marTop w:val="0"/>
      <w:marBottom w:val="0"/>
      <w:divBdr>
        <w:top w:val="none" w:sz="0" w:space="0" w:color="auto"/>
        <w:left w:val="none" w:sz="0" w:space="0" w:color="auto"/>
        <w:bottom w:val="none" w:sz="0" w:space="0" w:color="auto"/>
        <w:right w:val="none" w:sz="0" w:space="0" w:color="auto"/>
      </w:divBdr>
    </w:div>
    <w:div w:id="1054236748">
      <w:bodyDiv w:val="1"/>
      <w:marLeft w:val="0"/>
      <w:marRight w:val="0"/>
      <w:marTop w:val="0"/>
      <w:marBottom w:val="0"/>
      <w:divBdr>
        <w:top w:val="none" w:sz="0" w:space="0" w:color="auto"/>
        <w:left w:val="none" w:sz="0" w:space="0" w:color="auto"/>
        <w:bottom w:val="none" w:sz="0" w:space="0" w:color="auto"/>
        <w:right w:val="none" w:sz="0" w:space="0" w:color="auto"/>
      </w:divBdr>
    </w:div>
    <w:div w:id="1057439876">
      <w:bodyDiv w:val="1"/>
      <w:marLeft w:val="0"/>
      <w:marRight w:val="0"/>
      <w:marTop w:val="0"/>
      <w:marBottom w:val="0"/>
      <w:divBdr>
        <w:top w:val="none" w:sz="0" w:space="0" w:color="auto"/>
        <w:left w:val="none" w:sz="0" w:space="0" w:color="auto"/>
        <w:bottom w:val="none" w:sz="0" w:space="0" w:color="auto"/>
        <w:right w:val="none" w:sz="0" w:space="0" w:color="auto"/>
      </w:divBdr>
    </w:div>
    <w:div w:id="1061951682">
      <w:bodyDiv w:val="1"/>
      <w:marLeft w:val="0"/>
      <w:marRight w:val="0"/>
      <w:marTop w:val="0"/>
      <w:marBottom w:val="0"/>
      <w:divBdr>
        <w:top w:val="none" w:sz="0" w:space="0" w:color="auto"/>
        <w:left w:val="none" w:sz="0" w:space="0" w:color="auto"/>
        <w:bottom w:val="none" w:sz="0" w:space="0" w:color="auto"/>
        <w:right w:val="none" w:sz="0" w:space="0" w:color="auto"/>
      </w:divBdr>
    </w:div>
    <w:div w:id="1067528898">
      <w:bodyDiv w:val="1"/>
      <w:marLeft w:val="0"/>
      <w:marRight w:val="0"/>
      <w:marTop w:val="0"/>
      <w:marBottom w:val="0"/>
      <w:divBdr>
        <w:top w:val="none" w:sz="0" w:space="0" w:color="auto"/>
        <w:left w:val="none" w:sz="0" w:space="0" w:color="auto"/>
        <w:bottom w:val="none" w:sz="0" w:space="0" w:color="auto"/>
        <w:right w:val="none" w:sz="0" w:space="0" w:color="auto"/>
      </w:divBdr>
    </w:div>
    <w:div w:id="1092316467">
      <w:bodyDiv w:val="1"/>
      <w:marLeft w:val="0"/>
      <w:marRight w:val="0"/>
      <w:marTop w:val="0"/>
      <w:marBottom w:val="0"/>
      <w:divBdr>
        <w:top w:val="none" w:sz="0" w:space="0" w:color="auto"/>
        <w:left w:val="none" w:sz="0" w:space="0" w:color="auto"/>
        <w:bottom w:val="none" w:sz="0" w:space="0" w:color="auto"/>
        <w:right w:val="none" w:sz="0" w:space="0" w:color="auto"/>
      </w:divBdr>
    </w:div>
    <w:div w:id="1094394778">
      <w:bodyDiv w:val="1"/>
      <w:marLeft w:val="0"/>
      <w:marRight w:val="0"/>
      <w:marTop w:val="0"/>
      <w:marBottom w:val="0"/>
      <w:divBdr>
        <w:top w:val="none" w:sz="0" w:space="0" w:color="auto"/>
        <w:left w:val="none" w:sz="0" w:space="0" w:color="auto"/>
        <w:bottom w:val="none" w:sz="0" w:space="0" w:color="auto"/>
        <w:right w:val="none" w:sz="0" w:space="0" w:color="auto"/>
      </w:divBdr>
    </w:div>
    <w:div w:id="1128666021">
      <w:bodyDiv w:val="1"/>
      <w:marLeft w:val="0"/>
      <w:marRight w:val="0"/>
      <w:marTop w:val="0"/>
      <w:marBottom w:val="0"/>
      <w:divBdr>
        <w:top w:val="none" w:sz="0" w:space="0" w:color="auto"/>
        <w:left w:val="none" w:sz="0" w:space="0" w:color="auto"/>
        <w:bottom w:val="none" w:sz="0" w:space="0" w:color="auto"/>
        <w:right w:val="none" w:sz="0" w:space="0" w:color="auto"/>
      </w:divBdr>
    </w:div>
    <w:div w:id="1136527856">
      <w:bodyDiv w:val="1"/>
      <w:marLeft w:val="0"/>
      <w:marRight w:val="0"/>
      <w:marTop w:val="0"/>
      <w:marBottom w:val="0"/>
      <w:divBdr>
        <w:top w:val="none" w:sz="0" w:space="0" w:color="auto"/>
        <w:left w:val="none" w:sz="0" w:space="0" w:color="auto"/>
        <w:bottom w:val="none" w:sz="0" w:space="0" w:color="auto"/>
        <w:right w:val="none" w:sz="0" w:space="0" w:color="auto"/>
      </w:divBdr>
    </w:div>
    <w:div w:id="1148547506">
      <w:bodyDiv w:val="1"/>
      <w:marLeft w:val="0"/>
      <w:marRight w:val="0"/>
      <w:marTop w:val="0"/>
      <w:marBottom w:val="0"/>
      <w:divBdr>
        <w:top w:val="none" w:sz="0" w:space="0" w:color="auto"/>
        <w:left w:val="none" w:sz="0" w:space="0" w:color="auto"/>
        <w:bottom w:val="none" w:sz="0" w:space="0" w:color="auto"/>
        <w:right w:val="none" w:sz="0" w:space="0" w:color="auto"/>
      </w:divBdr>
    </w:div>
    <w:div w:id="1150058162">
      <w:bodyDiv w:val="1"/>
      <w:marLeft w:val="0"/>
      <w:marRight w:val="0"/>
      <w:marTop w:val="0"/>
      <w:marBottom w:val="0"/>
      <w:divBdr>
        <w:top w:val="none" w:sz="0" w:space="0" w:color="auto"/>
        <w:left w:val="none" w:sz="0" w:space="0" w:color="auto"/>
        <w:bottom w:val="none" w:sz="0" w:space="0" w:color="auto"/>
        <w:right w:val="none" w:sz="0" w:space="0" w:color="auto"/>
      </w:divBdr>
    </w:div>
    <w:div w:id="1162963439">
      <w:bodyDiv w:val="1"/>
      <w:marLeft w:val="0"/>
      <w:marRight w:val="0"/>
      <w:marTop w:val="0"/>
      <w:marBottom w:val="0"/>
      <w:divBdr>
        <w:top w:val="none" w:sz="0" w:space="0" w:color="auto"/>
        <w:left w:val="none" w:sz="0" w:space="0" w:color="auto"/>
        <w:bottom w:val="none" w:sz="0" w:space="0" w:color="auto"/>
        <w:right w:val="none" w:sz="0" w:space="0" w:color="auto"/>
      </w:divBdr>
    </w:div>
    <w:div w:id="1182086592">
      <w:bodyDiv w:val="1"/>
      <w:marLeft w:val="0"/>
      <w:marRight w:val="0"/>
      <w:marTop w:val="0"/>
      <w:marBottom w:val="0"/>
      <w:divBdr>
        <w:top w:val="none" w:sz="0" w:space="0" w:color="auto"/>
        <w:left w:val="none" w:sz="0" w:space="0" w:color="auto"/>
        <w:bottom w:val="none" w:sz="0" w:space="0" w:color="auto"/>
        <w:right w:val="none" w:sz="0" w:space="0" w:color="auto"/>
      </w:divBdr>
    </w:div>
    <w:div w:id="1186822204">
      <w:bodyDiv w:val="1"/>
      <w:marLeft w:val="0"/>
      <w:marRight w:val="0"/>
      <w:marTop w:val="0"/>
      <w:marBottom w:val="0"/>
      <w:divBdr>
        <w:top w:val="none" w:sz="0" w:space="0" w:color="auto"/>
        <w:left w:val="none" w:sz="0" w:space="0" w:color="auto"/>
        <w:bottom w:val="none" w:sz="0" w:space="0" w:color="auto"/>
        <w:right w:val="none" w:sz="0" w:space="0" w:color="auto"/>
      </w:divBdr>
    </w:div>
    <w:div w:id="1193611656">
      <w:bodyDiv w:val="1"/>
      <w:marLeft w:val="0"/>
      <w:marRight w:val="0"/>
      <w:marTop w:val="0"/>
      <w:marBottom w:val="0"/>
      <w:divBdr>
        <w:top w:val="none" w:sz="0" w:space="0" w:color="auto"/>
        <w:left w:val="none" w:sz="0" w:space="0" w:color="auto"/>
        <w:bottom w:val="none" w:sz="0" w:space="0" w:color="auto"/>
        <w:right w:val="none" w:sz="0" w:space="0" w:color="auto"/>
      </w:divBdr>
    </w:div>
    <w:div w:id="1212038123">
      <w:bodyDiv w:val="1"/>
      <w:marLeft w:val="0"/>
      <w:marRight w:val="0"/>
      <w:marTop w:val="0"/>
      <w:marBottom w:val="0"/>
      <w:divBdr>
        <w:top w:val="none" w:sz="0" w:space="0" w:color="auto"/>
        <w:left w:val="none" w:sz="0" w:space="0" w:color="auto"/>
        <w:bottom w:val="none" w:sz="0" w:space="0" w:color="auto"/>
        <w:right w:val="none" w:sz="0" w:space="0" w:color="auto"/>
      </w:divBdr>
    </w:div>
    <w:div w:id="1217470175">
      <w:bodyDiv w:val="1"/>
      <w:marLeft w:val="0"/>
      <w:marRight w:val="0"/>
      <w:marTop w:val="0"/>
      <w:marBottom w:val="0"/>
      <w:divBdr>
        <w:top w:val="none" w:sz="0" w:space="0" w:color="auto"/>
        <w:left w:val="none" w:sz="0" w:space="0" w:color="auto"/>
        <w:bottom w:val="none" w:sz="0" w:space="0" w:color="auto"/>
        <w:right w:val="none" w:sz="0" w:space="0" w:color="auto"/>
      </w:divBdr>
    </w:div>
    <w:div w:id="1240797083">
      <w:bodyDiv w:val="1"/>
      <w:marLeft w:val="0"/>
      <w:marRight w:val="0"/>
      <w:marTop w:val="0"/>
      <w:marBottom w:val="0"/>
      <w:divBdr>
        <w:top w:val="none" w:sz="0" w:space="0" w:color="auto"/>
        <w:left w:val="none" w:sz="0" w:space="0" w:color="auto"/>
        <w:bottom w:val="none" w:sz="0" w:space="0" w:color="auto"/>
        <w:right w:val="none" w:sz="0" w:space="0" w:color="auto"/>
      </w:divBdr>
    </w:div>
    <w:div w:id="1251892505">
      <w:bodyDiv w:val="1"/>
      <w:marLeft w:val="0"/>
      <w:marRight w:val="0"/>
      <w:marTop w:val="0"/>
      <w:marBottom w:val="0"/>
      <w:divBdr>
        <w:top w:val="none" w:sz="0" w:space="0" w:color="auto"/>
        <w:left w:val="none" w:sz="0" w:space="0" w:color="auto"/>
        <w:bottom w:val="none" w:sz="0" w:space="0" w:color="auto"/>
        <w:right w:val="none" w:sz="0" w:space="0" w:color="auto"/>
      </w:divBdr>
    </w:div>
    <w:div w:id="1299602720">
      <w:bodyDiv w:val="1"/>
      <w:marLeft w:val="0"/>
      <w:marRight w:val="0"/>
      <w:marTop w:val="0"/>
      <w:marBottom w:val="0"/>
      <w:divBdr>
        <w:top w:val="none" w:sz="0" w:space="0" w:color="auto"/>
        <w:left w:val="none" w:sz="0" w:space="0" w:color="auto"/>
        <w:bottom w:val="none" w:sz="0" w:space="0" w:color="auto"/>
        <w:right w:val="none" w:sz="0" w:space="0" w:color="auto"/>
      </w:divBdr>
    </w:div>
    <w:div w:id="1300040086">
      <w:bodyDiv w:val="1"/>
      <w:marLeft w:val="0"/>
      <w:marRight w:val="0"/>
      <w:marTop w:val="0"/>
      <w:marBottom w:val="0"/>
      <w:divBdr>
        <w:top w:val="none" w:sz="0" w:space="0" w:color="auto"/>
        <w:left w:val="none" w:sz="0" w:space="0" w:color="auto"/>
        <w:bottom w:val="none" w:sz="0" w:space="0" w:color="auto"/>
        <w:right w:val="none" w:sz="0" w:space="0" w:color="auto"/>
      </w:divBdr>
    </w:div>
    <w:div w:id="1306467370">
      <w:bodyDiv w:val="1"/>
      <w:marLeft w:val="0"/>
      <w:marRight w:val="0"/>
      <w:marTop w:val="0"/>
      <w:marBottom w:val="0"/>
      <w:divBdr>
        <w:top w:val="none" w:sz="0" w:space="0" w:color="auto"/>
        <w:left w:val="none" w:sz="0" w:space="0" w:color="auto"/>
        <w:bottom w:val="none" w:sz="0" w:space="0" w:color="auto"/>
        <w:right w:val="none" w:sz="0" w:space="0" w:color="auto"/>
      </w:divBdr>
    </w:div>
    <w:div w:id="1307934222">
      <w:bodyDiv w:val="1"/>
      <w:marLeft w:val="0"/>
      <w:marRight w:val="0"/>
      <w:marTop w:val="0"/>
      <w:marBottom w:val="0"/>
      <w:divBdr>
        <w:top w:val="none" w:sz="0" w:space="0" w:color="auto"/>
        <w:left w:val="none" w:sz="0" w:space="0" w:color="auto"/>
        <w:bottom w:val="none" w:sz="0" w:space="0" w:color="auto"/>
        <w:right w:val="none" w:sz="0" w:space="0" w:color="auto"/>
      </w:divBdr>
    </w:div>
    <w:div w:id="1315453125">
      <w:bodyDiv w:val="1"/>
      <w:marLeft w:val="0"/>
      <w:marRight w:val="0"/>
      <w:marTop w:val="0"/>
      <w:marBottom w:val="0"/>
      <w:divBdr>
        <w:top w:val="none" w:sz="0" w:space="0" w:color="auto"/>
        <w:left w:val="none" w:sz="0" w:space="0" w:color="auto"/>
        <w:bottom w:val="none" w:sz="0" w:space="0" w:color="auto"/>
        <w:right w:val="none" w:sz="0" w:space="0" w:color="auto"/>
      </w:divBdr>
    </w:div>
    <w:div w:id="1315909782">
      <w:bodyDiv w:val="1"/>
      <w:marLeft w:val="0"/>
      <w:marRight w:val="0"/>
      <w:marTop w:val="0"/>
      <w:marBottom w:val="0"/>
      <w:divBdr>
        <w:top w:val="none" w:sz="0" w:space="0" w:color="auto"/>
        <w:left w:val="none" w:sz="0" w:space="0" w:color="auto"/>
        <w:bottom w:val="none" w:sz="0" w:space="0" w:color="auto"/>
        <w:right w:val="none" w:sz="0" w:space="0" w:color="auto"/>
      </w:divBdr>
    </w:div>
    <w:div w:id="1319921574">
      <w:bodyDiv w:val="1"/>
      <w:marLeft w:val="0"/>
      <w:marRight w:val="0"/>
      <w:marTop w:val="0"/>
      <w:marBottom w:val="0"/>
      <w:divBdr>
        <w:top w:val="none" w:sz="0" w:space="0" w:color="auto"/>
        <w:left w:val="none" w:sz="0" w:space="0" w:color="auto"/>
        <w:bottom w:val="none" w:sz="0" w:space="0" w:color="auto"/>
        <w:right w:val="none" w:sz="0" w:space="0" w:color="auto"/>
      </w:divBdr>
    </w:div>
    <w:div w:id="1325666820">
      <w:bodyDiv w:val="1"/>
      <w:marLeft w:val="0"/>
      <w:marRight w:val="0"/>
      <w:marTop w:val="0"/>
      <w:marBottom w:val="0"/>
      <w:divBdr>
        <w:top w:val="none" w:sz="0" w:space="0" w:color="auto"/>
        <w:left w:val="none" w:sz="0" w:space="0" w:color="auto"/>
        <w:bottom w:val="none" w:sz="0" w:space="0" w:color="auto"/>
        <w:right w:val="none" w:sz="0" w:space="0" w:color="auto"/>
      </w:divBdr>
    </w:div>
    <w:div w:id="1337655658">
      <w:bodyDiv w:val="1"/>
      <w:marLeft w:val="0"/>
      <w:marRight w:val="0"/>
      <w:marTop w:val="0"/>
      <w:marBottom w:val="0"/>
      <w:divBdr>
        <w:top w:val="none" w:sz="0" w:space="0" w:color="auto"/>
        <w:left w:val="none" w:sz="0" w:space="0" w:color="auto"/>
        <w:bottom w:val="none" w:sz="0" w:space="0" w:color="auto"/>
        <w:right w:val="none" w:sz="0" w:space="0" w:color="auto"/>
      </w:divBdr>
    </w:div>
    <w:div w:id="1340700254">
      <w:bodyDiv w:val="1"/>
      <w:marLeft w:val="0"/>
      <w:marRight w:val="0"/>
      <w:marTop w:val="0"/>
      <w:marBottom w:val="0"/>
      <w:divBdr>
        <w:top w:val="none" w:sz="0" w:space="0" w:color="auto"/>
        <w:left w:val="none" w:sz="0" w:space="0" w:color="auto"/>
        <w:bottom w:val="none" w:sz="0" w:space="0" w:color="auto"/>
        <w:right w:val="none" w:sz="0" w:space="0" w:color="auto"/>
      </w:divBdr>
    </w:div>
    <w:div w:id="1343705118">
      <w:bodyDiv w:val="1"/>
      <w:marLeft w:val="0"/>
      <w:marRight w:val="0"/>
      <w:marTop w:val="0"/>
      <w:marBottom w:val="0"/>
      <w:divBdr>
        <w:top w:val="none" w:sz="0" w:space="0" w:color="auto"/>
        <w:left w:val="none" w:sz="0" w:space="0" w:color="auto"/>
        <w:bottom w:val="none" w:sz="0" w:space="0" w:color="auto"/>
        <w:right w:val="none" w:sz="0" w:space="0" w:color="auto"/>
      </w:divBdr>
    </w:div>
    <w:div w:id="1381249706">
      <w:bodyDiv w:val="1"/>
      <w:marLeft w:val="0"/>
      <w:marRight w:val="0"/>
      <w:marTop w:val="0"/>
      <w:marBottom w:val="0"/>
      <w:divBdr>
        <w:top w:val="none" w:sz="0" w:space="0" w:color="auto"/>
        <w:left w:val="none" w:sz="0" w:space="0" w:color="auto"/>
        <w:bottom w:val="none" w:sz="0" w:space="0" w:color="auto"/>
        <w:right w:val="none" w:sz="0" w:space="0" w:color="auto"/>
      </w:divBdr>
    </w:div>
    <w:div w:id="1387606606">
      <w:bodyDiv w:val="1"/>
      <w:marLeft w:val="0"/>
      <w:marRight w:val="0"/>
      <w:marTop w:val="0"/>
      <w:marBottom w:val="0"/>
      <w:divBdr>
        <w:top w:val="none" w:sz="0" w:space="0" w:color="auto"/>
        <w:left w:val="none" w:sz="0" w:space="0" w:color="auto"/>
        <w:bottom w:val="none" w:sz="0" w:space="0" w:color="auto"/>
        <w:right w:val="none" w:sz="0" w:space="0" w:color="auto"/>
      </w:divBdr>
    </w:div>
    <w:div w:id="1412501675">
      <w:bodyDiv w:val="1"/>
      <w:marLeft w:val="0"/>
      <w:marRight w:val="0"/>
      <w:marTop w:val="0"/>
      <w:marBottom w:val="0"/>
      <w:divBdr>
        <w:top w:val="none" w:sz="0" w:space="0" w:color="auto"/>
        <w:left w:val="none" w:sz="0" w:space="0" w:color="auto"/>
        <w:bottom w:val="none" w:sz="0" w:space="0" w:color="auto"/>
        <w:right w:val="none" w:sz="0" w:space="0" w:color="auto"/>
      </w:divBdr>
    </w:div>
    <w:div w:id="1418480896">
      <w:bodyDiv w:val="1"/>
      <w:marLeft w:val="0"/>
      <w:marRight w:val="0"/>
      <w:marTop w:val="0"/>
      <w:marBottom w:val="0"/>
      <w:divBdr>
        <w:top w:val="none" w:sz="0" w:space="0" w:color="auto"/>
        <w:left w:val="none" w:sz="0" w:space="0" w:color="auto"/>
        <w:bottom w:val="none" w:sz="0" w:space="0" w:color="auto"/>
        <w:right w:val="none" w:sz="0" w:space="0" w:color="auto"/>
      </w:divBdr>
    </w:div>
    <w:div w:id="1451703634">
      <w:bodyDiv w:val="1"/>
      <w:marLeft w:val="0"/>
      <w:marRight w:val="0"/>
      <w:marTop w:val="0"/>
      <w:marBottom w:val="0"/>
      <w:divBdr>
        <w:top w:val="none" w:sz="0" w:space="0" w:color="auto"/>
        <w:left w:val="none" w:sz="0" w:space="0" w:color="auto"/>
        <w:bottom w:val="none" w:sz="0" w:space="0" w:color="auto"/>
        <w:right w:val="none" w:sz="0" w:space="0" w:color="auto"/>
      </w:divBdr>
    </w:div>
    <w:div w:id="1484277568">
      <w:bodyDiv w:val="1"/>
      <w:marLeft w:val="0"/>
      <w:marRight w:val="0"/>
      <w:marTop w:val="0"/>
      <w:marBottom w:val="0"/>
      <w:divBdr>
        <w:top w:val="none" w:sz="0" w:space="0" w:color="auto"/>
        <w:left w:val="none" w:sz="0" w:space="0" w:color="auto"/>
        <w:bottom w:val="none" w:sz="0" w:space="0" w:color="auto"/>
        <w:right w:val="none" w:sz="0" w:space="0" w:color="auto"/>
      </w:divBdr>
    </w:div>
    <w:div w:id="1485928528">
      <w:bodyDiv w:val="1"/>
      <w:marLeft w:val="0"/>
      <w:marRight w:val="0"/>
      <w:marTop w:val="0"/>
      <w:marBottom w:val="0"/>
      <w:divBdr>
        <w:top w:val="none" w:sz="0" w:space="0" w:color="auto"/>
        <w:left w:val="none" w:sz="0" w:space="0" w:color="auto"/>
        <w:bottom w:val="none" w:sz="0" w:space="0" w:color="auto"/>
        <w:right w:val="none" w:sz="0" w:space="0" w:color="auto"/>
      </w:divBdr>
    </w:div>
    <w:div w:id="1486819824">
      <w:bodyDiv w:val="1"/>
      <w:marLeft w:val="0"/>
      <w:marRight w:val="0"/>
      <w:marTop w:val="0"/>
      <w:marBottom w:val="0"/>
      <w:divBdr>
        <w:top w:val="none" w:sz="0" w:space="0" w:color="auto"/>
        <w:left w:val="none" w:sz="0" w:space="0" w:color="auto"/>
        <w:bottom w:val="none" w:sz="0" w:space="0" w:color="auto"/>
        <w:right w:val="none" w:sz="0" w:space="0" w:color="auto"/>
      </w:divBdr>
    </w:div>
    <w:div w:id="1507550196">
      <w:bodyDiv w:val="1"/>
      <w:marLeft w:val="0"/>
      <w:marRight w:val="0"/>
      <w:marTop w:val="0"/>
      <w:marBottom w:val="0"/>
      <w:divBdr>
        <w:top w:val="none" w:sz="0" w:space="0" w:color="auto"/>
        <w:left w:val="none" w:sz="0" w:space="0" w:color="auto"/>
        <w:bottom w:val="none" w:sz="0" w:space="0" w:color="auto"/>
        <w:right w:val="none" w:sz="0" w:space="0" w:color="auto"/>
      </w:divBdr>
    </w:div>
    <w:div w:id="1509061882">
      <w:bodyDiv w:val="1"/>
      <w:marLeft w:val="0"/>
      <w:marRight w:val="0"/>
      <w:marTop w:val="0"/>
      <w:marBottom w:val="0"/>
      <w:divBdr>
        <w:top w:val="none" w:sz="0" w:space="0" w:color="auto"/>
        <w:left w:val="none" w:sz="0" w:space="0" w:color="auto"/>
        <w:bottom w:val="none" w:sz="0" w:space="0" w:color="auto"/>
        <w:right w:val="none" w:sz="0" w:space="0" w:color="auto"/>
      </w:divBdr>
    </w:div>
    <w:div w:id="1509951583">
      <w:bodyDiv w:val="1"/>
      <w:marLeft w:val="0"/>
      <w:marRight w:val="0"/>
      <w:marTop w:val="0"/>
      <w:marBottom w:val="0"/>
      <w:divBdr>
        <w:top w:val="none" w:sz="0" w:space="0" w:color="auto"/>
        <w:left w:val="none" w:sz="0" w:space="0" w:color="auto"/>
        <w:bottom w:val="none" w:sz="0" w:space="0" w:color="auto"/>
        <w:right w:val="none" w:sz="0" w:space="0" w:color="auto"/>
      </w:divBdr>
    </w:div>
    <w:div w:id="1516993474">
      <w:bodyDiv w:val="1"/>
      <w:marLeft w:val="0"/>
      <w:marRight w:val="0"/>
      <w:marTop w:val="0"/>
      <w:marBottom w:val="0"/>
      <w:divBdr>
        <w:top w:val="none" w:sz="0" w:space="0" w:color="auto"/>
        <w:left w:val="none" w:sz="0" w:space="0" w:color="auto"/>
        <w:bottom w:val="none" w:sz="0" w:space="0" w:color="auto"/>
        <w:right w:val="none" w:sz="0" w:space="0" w:color="auto"/>
      </w:divBdr>
    </w:div>
    <w:div w:id="1530222122">
      <w:bodyDiv w:val="1"/>
      <w:marLeft w:val="0"/>
      <w:marRight w:val="0"/>
      <w:marTop w:val="0"/>
      <w:marBottom w:val="0"/>
      <w:divBdr>
        <w:top w:val="none" w:sz="0" w:space="0" w:color="auto"/>
        <w:left w:val="none" w:sz="0" w:space="0" w:color="auto"/>
        <w:bottom w:val="none" w:sz="0" w:space="0" w:color="auto"/>
        <w:right w:val="none" w:sz="0" w:space="0" w:color="auto"/>
      </w:divBdr>
    </w:div>
    <w:div w:id="1533809921">
      <w:bodyDiv w:val="1"/>
      <w:marLeft w:val="0"/>
      <w:marRight w:val="0"/>
      <w:marTop w:val="0"/>
      <w:marBottom w:val="0"/>
      <w:divBdr>
        <w:top w:val="none" w:sz="0" w:space="0" w:color="auto"/>
        <w:left w:val="none" w:sz="0" w:space="0" w:color="auto"/>
        <w:bottom w:val="none" w:sz="0" w:space="0" w:color="auto"/>
        <w:right w:val="none" w:sz="0" w:space="0" w:color="auto"/>
      </w:divBdr>
    </w:div>
    <w:div w:id="1553226672">
      <w:bodyDiv w:val="1"/>
      <w:marLeft w:val="0"/>
      <w:marRight w:val="0"/>
      <w:marTop w:val="0"/>
      <w:marBottom w:val="0"/>
      <w:divBdr>
        <w:top w:val="none" w:sz="0" w:space="0" w:color="auto"/>
        <w:left w:val="none" w:sz="0" w:space="0" w:color="auto"/>
        <w:bottom w:val="none" w:sz="0" w:space="0" w:color="auto"/>
        <w:right w:val="none" w:sz="0" w:space="0" w:color="auto"/>
      </w:divBdr>
    </w:div>
    <w:div w:id="1554350017">
      <w:bodyDiv w:val="1"/>
      <w:marLeft w:val="0"/>
      <w:marRight w:val="0"/>
      <w:marTop w:val="0"/>
      <w:marBottom w:val="0"/>
      <w:divBdr>
        <w:top w:val="none" w:sz="0" w:space="0" w:color="auto"/>
        <w:left w:val="none" w:sz="0" w:space="0" w:color="auto"/>
        <w:bottom w:val="none" w:sz="0" w:space="0" w:color="auto"/>
        <w:right w:val="none" w:sz="0" w:space="0" w:color="auto"/>
      </w:divBdr>
    </w:div>
    <w:div w:id="1576669288">
      <w:bodyDiv w:val="1"/>
      <w:marLeft w:val="0"/>
      <w:marRight w:val="0"/>
      <w:marTop w:val="0"/>
      <w:marBottom w:val="0"/>
      <w:divBdr>
        <w:top w:val="none" w:sz="0" w:space="0" w:color="auto"/>
        <w:left w:val="none" w:sz="0" w:space="0" w:color="auto"/>
        <w:bottom w:val="none" w:sz="0" w:space="0" w:color="auto"/>
        <w:right w:val="none" w:sz="0" w:space="0" w:color="auto"/>
      </w:divBdr>
    </w:div>
    <w:div w:id="1585407879">
      <w:bodyDiv w:val="1"/>
      <w:marLeft w:val="0"/>
      <w:marRight w:val="0"/>
      <w:marTop w:val="0"/>
      <w:marBottom w:val="0"/>
      <w:divBdr>
        <w:top w:val="none" w:sz="0" w:space="0" w:color="auto"/>
        <w:left w:val="none" w:sz="0" w:space="0" w:color="auto"/>
        <w:bottom w:val="none" w:sz="0" w:space="0" w:color="auto"/>
        <w:right w:val="none" w:sz="0" w:space="0" w:color="auto"/>
      </w:divBdr>
    </w:div>
    <w:div w:id="1607498026">
      <w:bodyDiv w:val="1"/>
      <w:marLeft w:val="0"/>
      <w:marRight w:val="0"/>
      <w:marTop w:val="0"/>
      <w:marBottom w:val="0"/>
      <w:divBdr>
        <w:top w:val="none" w:sz="0" w:space="0" w:color="auto"/>
        <w:left w:val="none" w:sz="0" w:space="0" w:color="auto"/>
        <w:bottom w:val="none" w:sz="0" w:space="0" w:color="auto"/>
        <w:right w:val="none" w:sz="0" w:space="0" w:color="auto"/>
      </w:divBdr>
    </w:div>
    <w:div w:id="1614283322">
      <w:bodyDiv w:val="1"/>
      <w:marLeft w:val="0"/>
      <w:marRight w:val="0"/>
      <w:marTop w:val="0"/>
      <w:marBottom w:val="0"/>
      <w:divBdr>
        <w:top w:val="none" w:sz="0" w:space="0" w:color="auto"/>
        <w:left w:val="none" w:sz="0" w:space="0" w:color="auto"/>
        <w:bottom w:val="none" w:sz="0" w:space="0" w:color="auto"/>
        <w:right w:val="none" w:sz="0" w:space="0" w:color="auto"/>
      </w:divBdr>
    </w:div>
    <w:div w:id="1654487527">
      <w:bodyDiv w:val="1"/>
      <w:marLeft w:val="0"/>
      <w:marRight w:val="0"/>
      <w:marTop w:val="0"/>
      <w:marBottom w:val="0"/>
      <w:divBdr>
        <w:top w:val="none" w:sz="0" w:space="0" w:color="auto"/>
        <w:left w:val="none" w:sz="0" w:space="0" w:color="auto"/>
        <w:bottom w:val="none" w:sz="0" w:space="0" w:color="auto"/>
        <w:right w:val="none" w:sz="0" w:space="0" w:color="auto"/>
      </w:divBdr>
    </w:div>
    <w:div w:id="1657342228">
      <w:bodyDiv w:val="1"/>
      <w:marLeft w:val="0"/>
      <w:marRight w:val="0"/>
      <w:marTop w:val="0"/>
      <w:marBottom w:val="0"/>
      <w:divBdr>
        <w:top w:val="none" w:sz="0" w:space="0" w:color="auto"/>
        <w:left w:val="none" w:sz="0" w:space="0" w:color="auto"/>
        <w:bottom w:val="none" w:sz="0" w:space="0" w:color="auto"/>
        <w:right w:val="none" w:sz="0" w:space="0" w:color="auto"/>
      </w:divBdr>
    </w:div>
    <w:div w:id="1659533394">
      <w:bodyDiv w:val="1"/>
      <w:marLeft w:val="0"/>
      <w:marRight w:val="0"/>
      <w:marTop w:val="0"/>
      <w:marBottom w:val="0"/>
      <w:divBdr>
        <w:top w:val="none" w:sz="0" w:space="0" w:color="auto"/>
        <w:left w:val="none" w:sz="0" w:space="0" w:color="auto"/>
        <w:bottom w:val="none" w:sz="0" w:space="0" w:color="auto"/>
        <w:right w:val="none" w:sz="0" w:space="0" w:color="auto"/>
      </w:divBdr>
    </w:div>
    <w:div w:id="1661808736">
      <w:bodyDiv w:val="1"/>
      <w:marLeft w:val="0"/>
      <w:marRight w:val="0"/>
      <w:marTop w:val="0"/>
      <w:marBottom w:val="0"/>
      <w:divBdr>
        <w:top w:val="none" w:sz="0" w:space="0" w:color="auto"/>
        <w:left w:val="none" w:sz="0" w:space="0" w:color="auto"/>
        <w:bottom w:val="none" w:sz="0" w:space="0" w:color="auto"/>
        <w:right w:val="none" w:sz="0" w:space="0" w:color="auto"/>
      </w:divBdr>
    </w:div>
    <w:div w:id="1667632141">
      <w:bodyDiv w:val="1"/>
      <w:marLeft w:val="0"/>
      <w:marRight w:val="0"/>
      <w:marTop w:val="0"/>
      <w:marBottom w:val="0"/>
      <w:divBdr>
        <w:top w:val="none" w:sz="0" w:space="0" w:color="auto"/>
        <w:left w:val="none" w:sz="0" w:space="0" w:color="auto"/>
        <w:bottom w:val="none" w:sz="0" w:space="0" w:color="auto"/>
        <w:right w:val="none" w:sz="0" w:space="0" w:color="auto"/>
      </w:divBdr>
    </w:div>
    <w:div w:id="1695225545">
      <w:bodyDiv w:val="1"/>
      <w:marLeft w:val="0"/>
      <w:marRight w:val="0"/>
      <w:marTop w:val="0"/>
      <w:marBottom w:val="0"/>
      <w:divBdr>
        <w:top w:val="none" w:sz="0" w:space="0" w:color="auto"/>
        <w:left w:val="none" w:sz="0" w:space="0" w:color="auto"/>
        <w:bottom w:val="none" w:sz="0" w:space="0" w:color="auto"/>
        <w:right w:val="none" w:sz="0" w:space="0" w:color="auto"/>
      </w:divBdr>
    </w:div>
    <w:div w:id="1701465542">
      <w:bodyDiv w:val="1"/>
      <w:marLeft w:val="0"/>
      <w:marRight w:val="0"/>
      <w:marTop w:val="0"/>
      <w:marBottom w:val="0"/>
      <w:divBdr>
        <w:top w:val="none" w:sz="0" w:space="0" w:color="auto"/>
        <w:left w:val="none" w:sz="0" w:space="0" w:color="auto"/>
        <w:bottom w:val="none" w:sz="0" w:space="0" w:color="auto"/>
        <w:right w:val="none" w:sz="0" w:space="0" w:color="auto"/>
      </w:divBdr>
    </w:div>
    <w:div w:id="1710102995">
      <w:bodyDiv w:val="1"/>
      <w:marLeft w:val="0"/>
      <w:marRight w:val="0"/>
      <w:marTop w:val="0"/>
      <w:marBottom w:val="0"/>
      <w:divBdr>
        <w:top w:val="none" w:sz="0" w:space="0" w:color="auto"/>
        <w:left w:val="none" w:sz="0" w:space="0" w:color="auto"/>
        <w:bottom w:val="none" w:sz="0" w:space="0" w:color="auto"/>
        <w:right w:val="none" w:sz="0" w:space="0" w:color="auto"/>
      </w:divBdr>
    </w:div>
    <w:div w:id="1719743702">
      <w:bodyDiv w:val="1"/>
      <w:marLeft w:val="0"/>
      <w:marRight w:val="0"/>
      <w:marTop w:val="0"/>
      <w:marBottom w:val="0"/>
      <w:divBdr>
        <w:top w:val="none" w:sz="0" w:space="0" w:color="auto"/>
        <w:left w:val="none" w:sz="0" w:space="0" w:color="auto"/>
        <w:bottom w:val="none" w:sz="0" w:space="0" w:color="auto"/>
        <w:right w:val="none" w:sz="0" w:space="0" w:color="auto"/>
      </w:divBdr>
    </w:div>
    <w:div w:id="1728648851">
      <w:bodyDiv w:val="1"/>
      <w:marLeft w:val="0"/>
      <w:marRight w:val="0"/>
      <w:marTop w:val="0"/>
      <w:marBottom w:val="0"/>
      <w:divBdr>
        <w:top w:val="none" w:sz="0" w:space="0" w:color="auto"/>
        <w:left w:val="none" w:sz="0" w:space="0" w:color="auto"/>
        <w:bottom w:val="none" w:sz="0" w:space="0" w:color="auto"/>
        <w:right w:val="none" w:sz="0" w:space="0" w:color="auto"/>
      </w:divBdr>
    </w:div>
    <w:div w:id="1734548717">
      <w:bodyDiv w:val="1"/>
      <w:marLeft w:val="0"/>
      <w:marRight w:val="0"/>
      <w:marTop w:val="0"/>
      <w:marBottom w:val="0"/>
      <w:divBdr>
        <w:top w:val="none" w:sz="0" w:space="0" w:color="auto"/>
        <w:left w:val="none" w:sz="0" w:space="0" w:color="auto"/>
        <w:bottom w:val="none" w:sz="0" w:space="0" w:color="auto"/>
        <w:right w:val="none" w:sz="0" w:space="0" w:color="auto"/>
      </w:divBdr>
    </w:div>
    <w:div w:id="1778717593">
      <w:bodyDiv w:val="1"/>
      <w:marLeft w:val="0"/>
      <w:marRight w:val="0"/>
      <w:marTop w:val="0"/>
      <w:marBottom w:val="0"/>
      <w:divBdr>
        <w:top w:val="none" w:sz="0" w:space="0" w:color="auto"/>
        <w:left w:val="none" w:sz="0" w:space="0" w:color="auto"/>
        <w:bottom w:val="none" w:sz="0" w:space="0" w:color="auto"/>
        <w:right w:val="none" w:sz="0" w:space="0" w:color="auto"/>
      </w:divBdr>
    </w:div>
    <w:div w:id="1792935677">
      <w:bodyDiv w:val="1"/>
      <w:marLeft w:val="0"/>
      <w:marRight w:val="0"/>
      <w:marTop w:val="0"/>
      <w:marBottom w:val="0"/>
      <w:divBdr>
        <w:top w:val="none" w:sz="0" w:space="0" w:color="auto"/>
        <w:left w:val="none" w:sz="0" w:space="0" w:color="auto"/>
        <w:bottom w:val="none" w:sz="0" w:space="0" w:color="auto"/>
        <w:right w:val="none" w:sz="0" w:space="0" w:color="auto"/>
      </w:divBdr>
    </w:div>
    <w:div w:id="1803422092">
      <w:bodyDiv w:val="1"/>
      <w:marLeft w:val="0"/>
      <w:marRight w:val="0"/>
      <w:marTop w:val="0"/>
      <w:marBottom w:val="0"/>
      <w:divBdr>
        <w:top w:val="none" w:sz="0" w:space="0" w:color="auto"/>
        <w:left w:val="none" w:sz="0" w:space="0" w:color="auto"/>
        <w:bottom w:val="none" w:sz="0" w:space="0" w:color="auto"/>
        <w:right w:val="none" w:sz="0" w:space="0" w:color="auto"/>
      </w:divBdr>
    </w:div>
    <w:div w:id="1812016570">
      <w:bodyDiv w:val="1"/>
      <w:marLeft w:val="0"/>
      <w:marRight w:val="0"/>
      <w:marTop w:val="0"/>
      <w:marBottom w:val="0"/>
      <w:divBdr>
        <w:top w:val="none" w:sz="0" w:space="0" w:color="auto"/>
        <w:left w:val="none" w:sz="0" w:space="0" w:color="auto"/>
        <w:bottom w:val="none" w:sz="0" w:space="0" w:color="auto"/>
        <w:right w:val="none" w:sz="0" w:space="0" w:color="auto"/>
      </w:divBdr>
    </w:div>
    <w:div w:id="1853832987">
      <w:bodyDiv w:val="1"/>
      <w:marLeft w:val="0"/>
      <w:marRight w:val="0"/>
      <w:marTop w:val="0"/>
      <w:marBottom w:val="0"/>
      <w:divBdr>
        <w:top w:val="none" w:sz="0" w:space="0" w:color="auto"/>
        <w:left w:val="none" w:sz="0" w:space="0" w:color="auto"/>
        <w:bottom w:val="none" w:sz="0" w:space="0" w:color="auto"/>
        <w:right w:val="none" w:sz="0" w:space="0" w:color="auto"/>
      </w:divBdr>
    </w:div>
    <w:div w:id="1862887699">
      <w:bodyDiv w:val="1"/>
      <w:marLeft w:val="0"/>
      <w:marRight w:val="0"/>
      <w:marTop w:val="0"/>
      <w:marBottom w:val="0"/>
      <w:divBdr>
        <w:top w:val="none" w:sz="0" w:space="0" w:color="auto"/>
        <w:left w:val="none" w:sz="0" w:space="0" w:color="auto"/>
        <w:bottom w:val="none" w:sz="0" w:space="0" w:color="auto"/>
        <w:right w:val="none" w:sz="0" w:space="0" w:color="auto"/>
      </w:divBdr>
    </w:div>
    <w:div w:id="1867061342">
      <w:bodyDiv w:val="1"/>
      <w:marLeft w:val="0"/>
      <w:marRight w:val="0"/>
      <w:marTop w:val="0"/>
      <w:marBottom w:val="0"/>
      <w:divBdr>
        <w:top w:val="none" w:sz="0" w:space="0" w:color="auto"/>
        <w:left w:val="none" w:sz="0" w:space="0" w:color="auto"/>
        <w:bottom w:val="none" w:sz="0" w:space="0" w:color="auto"/>
        <w:right w:val="none" w:sz="0" w:space="0" w:color="auto"/>
      </w:divBdr>
    </w:div>
    <w:div w:id="1887326790">
      <w:bodyDiv w:val="1"/>
      <w:marLeft w:val="0"/>
      <w:marRight w:val="0"/>
      <w:marTop w:val="0"/>
      <w:marBottom w:val="0"/>
      <w:divBdr>
        <w:top w:val="none" w:sz="0" w:space="0" w:color="auto"/>
        <w:left w:val="none" w:sz="0" w:space="0" w:color="auto"/>
        <w:bottom w:val="none" w:sz="0" w:space="0" w:color="auto"/>
        <w:right w:val="none" w:sz="0" w:space="0" w:color="auto"/>
      </w:divBdr>
    </w:div>
    <w:div w:id="1887638875">
      <w:bodyDiv w:val="1"/>
      <w:marLeft w:val="0"/>
      <w:marRight w:val="0"/>
      <w:marTop w:val="0"/>
      <w:marBottom w:val="0"/>
      <w:divBdr>
        <w:top w:val="none" w:sz="0" w:space="0" w:color="auto"/>
        <w:left w:val="none" w:sz="0" w:space="0" w:color="auto"/>
        <w:bottom w:val="none" w:sz="0" w:space="0" w:color="auto"/>
        <w:right w:val="none" w:sz="0" w:space="0" w:color="auto"/>
      </w:divBdr>
    </w:div>
    <w:div w:id="1891113732">
      <w:bodyDiv w:val="1"/>
      <w:marLeft w:val="0"/>
      <w:marRight w:val="0"/>
      <w:marTop w:val="0"/>
      <w:marBottom w:val="0"/>
      <w:divBdr>
        <w:top w:val="none" w:sz="0" w:space="0" w:color="auto"/>
        <w:left w:val="none" w:sz="0" w:space="0" w:color="auto"/>
        <w:bottom w:val="none" w:sz="0" w:space="0" w:color="auto"/>
        <w:right w:val="none" w:sz="0" w:space="0" w:color="auto"/>
      </w:divBdr>
    </w:div>
    <w:div w:id="1897272936">
      <w:bodyDiv w:val="1"/>
      <w:marLeft w:val="0"/>
      <w:marRight w:val="0"/>
      <w:marTop w:val="0"/>
      <w:marBottom w:val="0"/>
      <w:divBdr>
        <w:top w:val="none" w:sz="0" w:space="0" w:color="auto"/>
        <w:left w:val="none" w:sz="0" w:space="0" w:color="auto"/>
        <w:bottom w:val="none" w:sz="0" w:space="0" w:color="auto"/>
        <w:right w:val="none" w:sz="0" w:space="0" w:color="auto"/>
      </w:divBdr>
    </w:div>
    <w:div w:id="1903326972">
      <w:bodyDiv w:val="1"/>
      <w:marLeft w:val="0"/>
      <w:marRight w:val="0"/>
      <w:marTop w:val="0"/>
      <w:marBottom w:val="0"/>
      <w:divBdr>
        <w:top w:val="none" w:sz="0" w:space="0" w:color="auto"/>
        <w:left w:val="none" w:sz="0" w:space="0" w:color="auto"/>
        <w:bottom w:val="none" w:sz="0" w:space="0" w:color="auto"/>
        <w:right w:val="none" w:sz="0" w:space="0" w:color="auto"/>
      </w:divBdr>
    </w:div>
    <w:div w:id="1909069953">
      <w:bodyDiv w:val="1"/>
      <w:marLeft w:val="0"/>
      <w:marRight w:val="0"/>
      <w:marTop w:val="0"/>
      <w:marBottom w:val="0"/>
      <w:divBdr>
        <w:top w:val="none" w:sz="0" w:space="0" w:color="auto"/>
        <w:left w:val="none" w:sz="0" w:space="0" w:color="auto"/>
        <w:bottom w:val="none" w:sz="0" w:space="0" w:color="auto"/>
        <w:right w:val="none" w:sz="0" w:space="0" w:color="auto"/>
      </w:divBdr>
    </w:div>
    <w:div w:id="1936672236">
      <w:bodyDiv w:val="1"/>
      <w:marLeft w:val="0"/>
      <w:marRight w:val="0"/>
      <w:marTop w:val="0"/>
      <w:marBottom w:val="0"/>
      <w:divBdr>
        <w:top w:val="none" w:sz="0" w:space="0" w:color="auto"/>
        <w:left w:val="none" w:sz="0" w:space="0" w:color="auto"/>
        <w:bottom w:val="none" w:sz="0" w:space="0" w:color="auto"/>
        <w:right w:val="none" w:sz="0" w:space="0" w:color="auto"/>
      </w:divBdr>
    </w:div>
    <w:div w:id="1953854565">
      <w:bodyDiv w:val="1"/>
      <w:marLeft w:val="0"/>
      <w:marRight w:val="0"/>
      <w:marTop w:val="0"/>
      <w:marBottom w:val="0"/>
      <w:divBdr>
        <w:top w:val="none" w:sz="0" w:space="0" w:color="auto"/>
        <w:left w:val="none" w:sz="0" w:space="0" w:color="auto"/>
        <w:bottom w:val="none" w:sz="0" w:space="0" w:color="auto"/>
        <w:right w:val="none" w:sz="0" w:space="0" w:color="auto"/>
      </w:divBdr>
    </w:div>
    <w:div w:id="1972857933">
      <w:bodyDiv w:val="1"/>
      <w:marLeft w:val="0"/>
      <w:marRight w:val="0"/>
      <w:marTop w:val="0"/>
      <w:marBottom w:val="0"/>
      <w:divBdr>
        <w:top w:val="none" w:sz="0" w:space="0" w:color="auto"/>
        <w:left w:val="none" w:sz="0" w:space="0" w:color="auto"/>
        <w:bottom w:val="none" w:sz="0" w:space="0" w:color="auto"/>
        <w:right w:val="none" w:sz="0" w:space="0" w:color="auto"/>
      </w:divBdr>
    </w:div>
    <w:div w:id="1975065284">
      <w:bodyDiv w:val="1"/>
      <w:marLeft w:val="0"/>
      <w:marRight w:val="0"/>
      <w:marTop w:val="0"/>
      <w:marBottom w:val="0"/>
      <w:divBdr>
        <w:top w:val="none" w:sz="0" w:space="0" w:color="auto"/>
        <w:left w:val="none" w:sz="0" w:space="0" w:color="auto"/>
        <w:bottom w:val="none" w:sz="0" w:space="0" w:color="auto"/>
        <w:right w:val="none" w:sz="0" w:space="0" w:color="auto"/>
      </w:divBdr>
    </w:div>
    <w:div w:id="1986740866">
      <w:bodyDiv w:val="1"/>
      <w:marLeft w:val="0"/>
      <w:marRight w:val="0"/>
      <w:marTop w:val="0"/>
      <w:marBottom w:val="0"/>
      <w:divBdr>
        <w:top w:val="none" w:sz="0" w:space="0" w:color="auto"/>
        <w:left w:val="none" w:sz="0" w:space="0" w:color="auto"/>
        <w:bottom w:val="none" w:sz="0" w:space="0" w:color="auto"/>
        <w:right w:val="none" w:sz="0" w:space="0" w:color="auto"/>
      </w:divBdr>
    </w:div>
    <w:div w:id="2026789717">
      <w:bodyDiv w:val="1"/>
      <w:marLeft w:val="0"/>
      <w:marRight w:val="0"/>
      <w:marTop w:val="0"/>
      <w:marBottom w:val="0"/>
      <w:divBdr>
        <w:top w:val="none" w:sz="0" w:space="0" w:color="auto"/>
        <w:left w:val="none" w:sz="0" w:space="0" w:color="auto"/>
        <w:bottom w:val="none" w:sz="0" w:space="0" w:color="auto"/>
        <w:right w:val="none" w:sz="0" w:space="0" w:color="auto"/>
      </w:divBdr>
    </w:div>
    <w:div w:id="2039428416">
      <w:bodyDiv w:val="1"/>
      <w:marLeft w:val="0"/>
      <w:marRight w:val="0"/>
      <w:marTop w:val="0"/>
      <w:marBottom w:val="0"/>
      <w:divBdr>
        <w:top w:val="none" w:sz="0" w:space="0" w:color="auto"/>
        <w:left w:val="none" w:sz="0" w:space="0" w:color="auto"/>
        <w:bottom w:val="none" w:sz="0" w:space="0" w:color="auto"/>
        <w:right w:val="none" w:sz="0" w:space="0" w:color="auto"/>
      </w:divBdr>
    </w:div>
    <w:div w:id="2052924290">
      <w:bodyDiv w:val="1"/>
      <w:marLeft w:val="0"/>
      <w:marRight w:val="0"/>
      <w:marTop w:val="0"/>
      <w:marBottom w:val="0"/>
      <w:divBdr>
        <w:top w:val="none" w:sz="0" w:space="0" w:color="auto"/>
        <w:left w:val="none" w:sz="0" w:space="0" w:color="auto"/>
        <w:bottom w:val="none" w:sz="0" w:space="0" w:color="auto"/>
        <w:right w:val="none" w:sz="0" w:space="0" w:color="auto"/>
      </w:divBdr>
    </w:div>
    <w:div w:id="2055277006">
      <w:bodyDiv w:val="1"/>
      <w:marLeft w:val="0"/>
      <w:marRight w:val="0"/>
      <w:marTop w:val="0"/>
      <w:marBottom w:val="0"/>
      <w:divBdr>
        <w:top w:val="none" w:sz="0" w:space="0" w:color="auto"/>
        <w:left w:val="none" w:sz="0" w:space="0" w:color="auto"/>
        <w:bottom w:val="none" w:sz="0" w:space="0" w:color="auto"/>
        <w:right w:val="none" w:sz="0" w:space="0" w:color="auto"/>
      </w:divBdr>
    </w:div>
    <w:div w:id="2059620487">
      <w:bodyDiv w:val="1"/>
      <w:marLeft w:val="0"/>
      <w:marRight w:val="0"/>
      <w:marTop w:val="0"/>
      <w:marBottom w:val="0"/>
      <w:divBdr>
        <w:top w:val="none" w:sz="0" w:space="0" w:color="auto"/>
        <w:left w:val="none" w:sz="0" w:space="0" w:color="auto"/>
        <w:bottom w:val="none" w:sz="0" w:space="0" w:color="auto"/>
        <w:right w:val="none" w:sz="0" w:space="0" w:color="auto"/>
      </w:divBdr>
    </w:div>
    <w:div w:id="2063095397">
      <w:bodyDiv w:val="1"/>
      <w:marLeft w:val="0"/>
      <w:marRight w:val="0"/>
      <w:marTop w:val="0"/>
      <w:marBottom w:val="0"/>
      <w:divBdr>
        <w:top w:val="none" w:sz="0" w:space="0" w:color="auto"/>
        <w:left w:val="none" w:sz="0" w:space="0" w:color="auto"/>
        <w:bottom w:val="none" w:sz="0" w:space="0" w:color="auto"/>
        <w:right w:val="none" w:sz="0" w:space="0" w:color="auto"/>
      </w:divBdr>
    </w:div>
    <w:div w:id="2123767602">
      <w:bodyDiv w:val="1"/>
      <w:marLeft w:val="0"/>
      <w:marRight w:val="0"/>
      <w:marTop w:val="0"/>
      <w:marBottom w:val="0"/>
      <w:divBdr>
        <w:top w:val="none" w:sz="0" w:space="0" w:color="auto"/>
        <w:left w:val="none" w:sz="0" w:space="0" w:color="auto"/>
        <w:bottom w:val="none" w:sz="0" w:space="0" w:color="auto"/>
        <w:right w:val="none" w:sz="0" w:space="0" w:color="auto"/>
      </w:divBdr>
    </w:div>
    <w:div w:id="2128044122">
      <w:bodyDiv w:val="1"/>
      <w:marLeft w:val="0"/>
      <w:marRight w:val="0"/>
      <w:marTop w:val="0"/>
      <w:marBottom w:val="0"/>
      <w:divBdr>
        <w:top w:val="none" w:sz="0" w:space="0" w:color="auto"/>
        <w:left w:val="none" w:sz="0" w:space="0" w:color="auto"/>
        <w:bottom w:val="none" w:sz="0" w:space="0" w:color="auto"/>
        <w:right w:val="none" w:sz="0" w:space="0" w:color="auto"/>
      </w:divBdr>
    </w:div>
    <w:div w:id="212850463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x.undp.org/content/mexico/es/home/post-2015/sdg-overview.html" TargetMode="External"/><Relationship Id="rId7" Type="http://schemas.openxmlformats.org/officeDocument/2006/relationships/hyperlink" Target="https://www.yucatan.gob.mx/docs/transparencia/paquete_fiscal/2021/PPE/1_CGPE.pdf" TargetMode="External"/><Relationship Id="rId2" Type="http://schemas.openxmlformats.org/officeDocument/2006/relationships/hyperlink" Target="http://www.injuve.es/sites/default/files/ConvencionIberoamericana2005.pdf" TargetMode="External"/><Relationship Id="rId1" Type="http://schemas.openxmlformats.org/officeDocument/2006/relationships/hyperlink" Target="http://www.mx.undp.org/content/mexico/es/home/post-2015/sdg-overview.html" TargetMode="External"/><Relationship Id="rId6" Type="http://schemas.openxmlformats.org/officeDocument/2006/relationships/hyperlink" Target="https://www.cndh.org.mx/sites/default/files/doc/Programas/Indigenas/OtrasNormas/Estatal/Yucatan/Ley_PDCMYuc.pdf" TargetMode="External"/><Relationship Id="rId5" Type="http://schemas.openxmlformats.org/officeDocument/2006/relationships/hyperlink" Target="https://www.un.org/esa/socdev/unpfii/documents/DRIPS_es.pdf" TargetMode="External"/><Relationship Id="rId4" Type="http://schemas.openxmlformats.org/officeDocument/2006/relationships/hyperlink" Target="http://www.mx.undp.org/content/mexico/es/home/post-2015/sdg-overview.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PC-Sandra\Downloads\Base%202022%20Semujeres%2019%20nov.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PC-Sandra\Downloads\Base%202022%20Semujeres%2019%20nov.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ldryn.moguel\Desktop\SAF\Anexo%20Desarrollo%20Rural%20Sustentable\Copia%20de%202.%20Base%20de%20datos%20DRS%202022%20(Versi&#243;n%20Final)%2021.11.2021.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aldryn.moguel\Desktop\SAF\Anexo%20Desarrollo%20Rural%20Sustentable\Copia%20de%202.%20Base%20de%20datos%20DRS%202022%20(Versi&#243;n%20Final)%2021.11.2021.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kevin.cortes\Documents\3.%20Anexos\Etnia\1.%20Gr&#225;ficas\5.%20Anexo%20Transversal%20Etnia_Gr&#225;ficas_19.11.21.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kevin.cortes\Documents\3.%20Anexos\Etnia\1.%20Gr&#225;ficas\7.%20Anexo%20Transversal%20Etnia_Gr&#225;ficas_22.11.21.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kevin.cortes\Documents\3.%20Anexos\Etnia\1.%20Gr&#225;ficas\7.%20Anexo%20Transversal%20Etnia_Gr&#225;ficas_22.11.21.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adia.alonzo\Desktop\Anteproyecto%202022\Anexos%20del%20Presupuesto%20tomo%20V\Infancia%20temprana\1.0%20infancia%20temprana%202022-17Nov-5.40pm.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rodrigo.espadas\Desktop\Anexo%20Infancia%202022\Anexo%20infancia%20con%20el%20error%20UBP%2011525\Anexo%20Infancia%202022-22nov-Toda%20la%20UBP1152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rodrigo.espadas\Desktop\Anexo%20Infancia%202022\Anexo%20infancia%20con%20el%20error%20UBP%2011525\Anexo%20Infancia%202022-22nov-Toda%20la%20UBP1152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rodrigo.espadas\Desktop\Anexo%20Infancia%202022\Anexo%20infancia%20con%20el%20error%20UBP%2011525\Anexo%20Infancia%202022-22nov-Toda%20la%20UBP11525.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Suma de Autorizado</c:v>
          </c:tx>
          <c:spPr>
            <a:solidFill>
              <a:srgbClr val="002060"/>
            </a:solidFill>
          </c:spPr>
          <c:invertIfNegative val="0"/>
          <c:dPt>
            <c:idx val="0"/>
            <c:invertIfNegative val="0"/>
            <c:bubble3D val="0"/>
            <c:spPr>
              <a:solidFill>
                <a:sysClr val="windowText" lastClr="000000">
                  <a:lumMod val="95000"/>
                  <a:lumOff val="5000"/>
                </a:sysClr>
              </a:solidFill>
            </c:spPr>
            <c:extLst>
              <c:ext xmlns:c16="http://schemas.microsoft.com/office/drawing/2014/chart" uri="{C3380CC4-5D6E-409C-BE32-E72D297353CC}">
                <c16:uniqueId val="{00000000-54A8-42A5-A5B3-79FF15B39F7A}"/>
              </c:ext>
            </c:extLst>
          </c:dPt>
          <c:dPt>
            <c:idx val="1"/>
            <c:invertIfNegative val="0"/>
            <c:bubble3D val="0"/>
            <c:spPr>
              <a:solidFill>
                <a:sysClr val="windowText" lastClr="000000">
                  <a:lumMod val="75000"/>
                  <a:lumOff val="25000"/>
                </a:sysClr>
              </a:solidFill>
            </c:spPr>
            <c:extLst>
              <c:ext xmlns:c16="http://schemas.microsoft.com/office/drawing/2014/chart" uri="{C3380CC4-5D6E-409C-BE32-E72D297353CC}">
                <c16:uniqueId val="{00000001-54A8-42A5-A5B3-79FF15B39F7A}"/>
              </c:ext>
            </c:extLst>
          </c:dPt>
          <c:dPt>
            <c:idx val="3"/>
            <c:invertIfNegative val="0"/>
            <c:bubble3D val="0"/>
            <c:spPr>
              <a:solidFill>
                <a:sysClr val="window" lastClr="FFFFFF">
                  <a:lumMod val="50000"/>
                </a:sysClr>
              </a:solidFill>
            </c:spPr>
            <c:extLst>
              <c:ext xmlns:c16="http://schemas.microsoft.com/office/drawing/2014/chart" uri="{C3380CC4-5D6E-409C-BE32-E72D297353CC}">
                <c16:uniqueId val="{00000002-54A8-42A5-A5B3-79FF15B39F7A}"/>
              </c:ext>
            </c:extLst>
          </c:dPt>
          <c:dLbls>
            <c:dLbl>
              <c:idx val="0"/>
              <c:tx>
                <c:rich>
                  <a:bodyPr/>
                  <a:lstStyle/>
                  <a:p>
                    <a:r>
                      <a:rPr lang="en-US" sz="1000" b="0" i="0" u="none" strike="noStrike" baseline="0">
                        <a:effectLst/>
                      </a:rPr>
                      <a:t>1,328,899,558</a:t>
                    </a:r>
                    <a:r>
                      <a:rPr lang="en-US" sz="1000" b="0" i="0" u="none" strike="noStrike"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A8-42A5-A5B3-79FF15B39F7A}"/>
                </c:ext>
              </c:extLst>
            </c:dLbl>
            <c:dLbl>
              <c:idx val="1"/>
              <c:tx>
                <c:rich>
                  <a:bodyPr/>
                  <a:lstStyle/>
                  <a:p>
                    <a:r>
                      <a:rPr lang="en-US" sz="1000" b="0" i="0" u="none" strike="noStrike" baseline="0">
                        <a:effectLst/>
                      </a:rPr>
                      <a:t>2,419,561,660</a:t>
                    </a:r>
                    <a:r>
                      <a:rPr lang="en-US" sz="1000" b="0" i="0" u="none" strike="noStrike" baseline="0"/>
                      <a:t> </a:t>
                    </a:r>
                    <a:endParaRPr lang="en-US"/>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A8-42A5-A5B3-79FF15B39F7A}"/>
                </c:ext>
              </c:extLst>
            </c:dLbl>
            <c:numFmt formatCode="#,##0" sourceLinked="0"/>
            <c:spPr>
              <a:noFill/>
              <a:ln w="25394">
                <a:noFill/>
              </a:ln>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5"/>
              <c:pt idx="0">
                <c:v>1 - Derecho a la Supervivencia</c:v>
              </c:pt>
              <c:pt idx="1">
                <c:v>2 - Derecho al Desarrollo</c:v>
              </c:pt>
              <c:pt idx="2">
                <c:v>3 - Derecho a la Participación</c:v>
              </c:pt>
              <c:pt idx="3">
                <c:v>4 - Derecho a la Protección</c:v>
              </c:pt>
              <c:pt idx="4">
                <c:v>Total general</c:v>
              </c:pt>
            </c:strLit>
          </c:cat>
          <c:val>
            <c:numLit>
              <c:formatCode>#,##0</c:formatCode>
              <c:ptCount val="5"/>
              <c:pt idx="0">
                <c:v>1453574414.0899999</c:v>
              </c:pt>
              <c:pt idx="1">
                <c:v>2419561660</c:v>
              </c:pt>
              <c:pt idx="2">
                <c:v>1930800</c:v>
              </c:pt>
              <c:pt idx="3">
                <c:v>138432058</c:v>
              </c:pt>
              <c:pt idx="4">
                <c:v>4013498932.0900002</c:v>
              </c:pt>
            </c:numLit>
          </c:val>
          <c:extLst>
            <c:ext xmlns:c16="http://schemas.microsoft.com/office/drawing/2014/chart" uri="{C3380CC4-5D6E-409C-BE32-E72D297353CC}">
              <c16:uniqueId val="{00000003-54A8-42A5-A5B3-79FF15B39F7A}"/>
            </c:ext>
          </c:extLst>
        </c:ser>
        <c:dLbls>
          <c:showLegendKey val="0"/>
          <c:showVal val="0"/>
          <c:showCatName val="0"/>
          <c:showSerName val="0"/>
          <c:showPercent val="0"/>
          <c:showBubbleSize val="0"/>
        </c:dLbls>
        <c:gapWidth val="150"/>
        <c:axId val="251485807"/>
        <c:axId val="1"/>
      </c:barChart>
      <c:catAx>
        <c:axId val="251485807"/>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251485807"/>
        <c:crosses val="autoZero"/>
        <c:crossBetween val="between"/>
      </c:valAx>
    </c:plotArea>
    <c:plotVisOnly val="1"/>
    <c:dispBlanksAs val="gap"/>
    <c:showDLblsOverMax val="0"/>
  </c:chart>
  <c:spPr>
    <a:solidFill>
      <a:sysClr val="window" lastClr="FFFFFF"/>
    </a:solidFill>
    <a:ln w="12697" cap="flat" cmpd="sng" algn="ctr">
      <a:solidFill>
        <a:srgbClr val="9D90A0">
          <a:lumMod val="40000"/>
          <a:lumOff val="60000"/>
        </a:srgbClr>
      </a:solidFill>
      <a:prstDash val="solid"/>
      <a:miter lim="800000"/>
    </a:ln>
    <a:effectLst/>
  </c:spPr>
  <c:txPr>
    <a:bodyPr/>
    <a:lstStyle/>
    <a:p>
      <a:pPr>
        <a:defRPr>
          <a:solidFill>
            <a:sysClr val="windowText" lastClr="000000"/>
          </a:solidFill>
          <a:latin typeface="+mn-lt"/>
          <a:ea typeface="+mn-ea"/>
          <a:cs typeface="+mn-cs"/>
        </a:defRPr>
      </a:pPr>
      <a:endParaRPr lang="es-MX"/>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03905944003998"/>
          <c:y val="4.3307086614173242E-2"/>
          <c:w val="0.49468659256357977"/>
          <c:h val="0.91338582677165359"/>
        </c:manualLayout>
      </c:layout>
      <c:barChart>
        <c:barDir val="bar"/>
        <c:grouping val="clustered"/>
        <c:varyColors val="0"/>
        <c:ser>
          <c:idx val="0"/>
          <c:order val="0"/>
          <c:spPr>
            <a:solidFill>
              <a:schemeClr val="dk1">
                <a:tint val="88500"/>
              </a:schemeClr>
            </a:solidFill>
            <a:ln>
              <a:noFill/>
            </a:ln>
            <a:effectLst/>
          </c:spPr>
          <c:invertIfNegative val="0"/>
          <c:dLbls>
            <c:spPr>
              <a:noFill/>
              <a:ln w="25402">
                <a:noFill/>
              </a:ln>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2 Derechos'!$A$15:$A$22</c:f>
              <c:strCache>
                <c:ptCount val="8"/>
                <c:pt idx="0">
                  <c:v>Derecho a la participación política</c:v>
                </c:pt>
                <c:pt idx="1">
                  <c:v>Derecho a la información</c:v>
                </c:pt>
                <c:pt idx="2">
                  <c:v>Derecho a la educación</c:v>
                </c:pt>
                <c:pt idx="3">
                  <c:v>Derechos sexuales y reproductivos</c:v>
                </c:pt>
                <c:pt idx="4">
                  <c:v>Derecho al trabajo</c:v>
                </c:pt>
                <c:pt idx="5">
                  <c:v>Derecho al desarrollo</c:v>
                </c:pt>
                <c:pt idx="6">
                  <c:v>Derecho a una vida libre de violencia</c:v>
                </c:pt>
                <c:pt idx="7">
                  <c:v>Derecho a la salud</c:v>
                </c:pt>
              </c:strCache>
            </c:strRef>
          </c:cat>
          <c:val>
            <c:numRef>
              <c:f>'Tabla 2 Derechos'!$B$15:$B$22</c:f>
              <c:numCache>
                <c:formatCode>_-* #,##0_-;\-* #,##0_-;_-* "-"??_-;_-@_-</c:formatCode>
                <c:ptCount val="8"/>
                <c:pt idx="0">
                  <c:v>3010.8</c:v>
                </c:pt>
                <c:pt idx="1">
                  <c:v>3710101.03</c:v>
                </c:pt>
                <c:pt idx="2">
                  <c:v>5091518</c:v>
                </c:pt>
                <c:pt idx="3">
                  <c:v>15146292</c:v>
                </c:pt>
                <c:pt idx="4">
                  <c:v>66048505</c:v>
                </c:pt>
                <c:pt idx="5">
                  <c:v>119555125.25</c:v>
                </c:pt>
                <c:pt idx="6">
                  <c:v>165458873.30000001</c:v>
                </c:pt>
                <c:pt idx="7">
                  <c:v>474938506.05400002</c:v>
                </c:pt>
              </c:numCache>
            </c:numRef>
          </c:val>
          <c:extLst>
            <c:ext xmlns:c16="http://schemas.microsoft.com/office/drawing/2014/chart" uri="{C3380CC4-5D6E-409C-BE32-E72D297353CC}">
              <c16:uniqueId val="{00000000-F537-4604-8DFB-2F5D07E2A2C1}"/>
            </c:ext>
          </c:extLst>
        </c:ser>
        <c:dLbls>
          <c:showLegendKey val="0"/>
          <c:showVal val="0"/>
          <c:showCatName val="0"/>
          <c:showSerName val="0"/>
          <c:showPercent val="0"/>
          <c:showBubbleSize val="0"/>
        </c:dLbls>
        <c:gapWidth val="182"/>
        <c:axId val="251480399"/>
        <c:axId val="1"/>
      </c:barChart>
      <c:catAx>
        <c:axId val="251480399"/>
        <c:scaling>
          <c:orientation val="minMax"/>
        </c:scaling>
        <c:delete val="0"/>
        <c:axPos val="l"/>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
        <c:crosses val="autoZero"/>
        <c:auto val="1"/>
        <c:lblAlgn val="ctr"/>
        <c:lblOffset val="100"/>
        <c:noMultiLvlLbl val="0"/>
      </c:catAx>
      <c:valAx>
        <c:axId val="1"/>
        <c:scaling>
          <c:orientation val="minMax"/>
        </c:scaling>
        <c:delete val="1"/>
        <c:axPos val="b"/>
        <c:numFmt formatCode="_-* #,##0_-;\-* #,##0_-;_-* &quot;-&quot;??_-;_-@_-" sourceLinked="1"/>
        <c:majorTickMark val="out"/>
        <c:minorTickMark val="none"/>
        <c:tickLblPos val="nextTo"/>
        <c:crossAx val="251480399"/>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w="25396">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Especificidad!$A$17:$A$22</c:f>
              <c:strCache>
                <c:ptCount val="6"/>
                <c:pt idx="0">
                  <c:v>Inversión específica o directa</c:v>
                </c:pt>
                <c:pt idx="1">
                  <c:v>Inversión específica para la igualdad</c:v>
                </c:pt>
                <c:pt idx="2">
                  <c:v>Inversión agéntica o indirecta</c:v>
                </c:pt>
                <c:pt idx="3">
                  <c:v>Inversión ampliada</c:v>
                </c:pt>
                <c:pt idx="4">
                  <c:v>Inversión en programas y proyectos que incluyen acciones de género</c:v>
                </c:pt>
                <c:pt idx="5">
                  <c:v>Inversión en bienes públicos</c:v>
                </c:pt>
              </c:strCache>
            </c:strRef>
          </c:cat>
          <c:val>
            <c:numRef>
              <c:f>Especificidad!$B$17:$B$22</c:f>
              <c:numCache>
                <c:formatCode>_-* #,##0_-;\-* #,##0_-;_-* "-"??_-;_-@_-</c:formatCode>
                <c:ptCount val="6"/>
                <c:pt idx="0">
                  <c:v>51609641.563999996</c:v>
                </c:pt>
                <c:pt idx="1">
                  <c:v>39827579.950000003</c:v>
                </c:pt>
                <c:pt idx="2">
                  <c:v>315854342</c:v>
                </c:pt>
                <c:pt idx="3">
                  <c:v>403928821.44999999</c:v>
                </c:pt>
                <c:pt idx="4">
                  <c:v>26231546.470000003</c:v>
                </c:pt>
                <c:pt idx="5">
                  <c:v>12500000</c:v>
                </c:pt>
              </c:numCache>
            </c:numRef>
          </c:val>
          <c:extLst>
            <c:ext xmlns:c16="http://schemas.microsoft.com/office/drawing/2014/chart" uri="{C3380CC4-5D6E-409C-BE32-E72D297353CC}">
              <c16:uniqueId val="{00000000-0F7C-4BE4-8777-B0820D322269}"/>
            </c:ext>
          </c:extLst>
        </c:ser>
        <c:dLbls>
          <c:showLegendKey val="0"/>
          <c:showVal val="0"/>
          <c:showCatName val="0"/>
          <c:showSerName val="0"/>
          <c:showPercent val="0"/>
          <c:showBubbleSize val="0"/>
        </c:dLbls>
        <c:gapWidth val="150"/>
        <c:axId val="251482063"/>
        <c:axId val="1"/>
      </c:barChart>
      <c:catAx>
        <c:axId val="251482063"/>
        <c:scaling>
          <c:orientation val="minMax"/>
        </c:scaling>
        <c:delete val="0"/>
        <c:axPos val="b"/>
        <c:numFmt formatCode="General" sourceLinked="0"/>
        <c:majorTickMark val="out"/>
        <c:minorTickMark val="none"/>
        <c:tickLblPos val="nextTo"/>
        <c:spPr>
          <a:noFill/>
          <a:ln w="6349"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
        <c:crosses val="autoZero"/>
        <c:auto val="1"/>
        <c:lblAlgn val="ctr"/>
        <c:lblOffset val="100"/>
        <c:noMultiLvlLbl val="0"/>
      </c:catAx>
      <c:valAx>
        <c:axId val="1"/>
        <c:scaling>
          <c:orientation val="minMax"/>
        </c:scaling>
        <c:delete val="0"/>
        <c:axPos val="l"/>
        <c:numFmt formatCode="_-* #,##0_-;\-* #,##0_-;_-* &quot;-&quot;??_-;_-@_-" sourceLinked="1"/>
        <c:majorTickMark val="out"/>
        <c:minorTickMark val="none"/>
        <c:tickLblPos val="nextTo"/>
        <c:spPr>
          <a:noFill/>
          <a:ln w="6349"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51482063"/>
        <c:crosses val="autoZero"/>
        <c:crossBetween val="between"/>
      </c:valAx>
      <c:spPr>
        <a:solidFill>
          <a:schemeClr val="bg1"/>
        </a:solidFill>
        <a:ln>
          <a:noFill/>
        </a:ln>
        <a:effectLst/>
      </c:spPr>
    </c:plotArea>
    <c:plotVisOnly val="1"/>
    <c:dispBlanksAs val="gap"/>
    <c:showDLblsOverMax val="0"/>
  </c:chart>
  <c:spPr>
    <a:solidFill>
      <a:schemeClr val="bg1"/>
    </a:solidFill>
    <a:ln w="6349" cap="flat" cmpd="sng" algn="ctr">
      <a:solidFill>
        <a:schemeClr val="tx1">
          <a:tint val="75000"/>
        </a:schemeClr>
      </a:solidFill>
      <a:prstDash val="solid"/>
      <a:round/>
    </a:ln>
    <a:effectLst/>
  </c:spPr>
  <c:txPr>
    <a:bodyPr/>
    <a:lstStyle/>
    <a:p>
      <a:pPr>
        <a:defRPr sz="1000">
          <a:latin typeface="Barlow Medium" panose="00000600000000000000" pitchFamily="2" charset="0"/>
        </a:defRPr>
      </a:pPr>
      <a:endParaRPr lang="es-MX"/>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[Base 2022 Semujeres 19 nov.xlsx]TD_C!TablaDinámica11</c:name>
    <c:fmtId val="-1"/>
  </c:pivotSource>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latin typeface="Arial" panose="020B0604020202020204" pitchFamily="34" charset="0"/>
                <a:cs typeface="Arial" panose="020B0604020202020204" pitchFamily="34" charset="0"/>
              </a:rPr>
              <a:t>PORCENTAJE POR CONCLUSIÓN</a:t>
            </a:r>
          </a:p>
        </c:rich>
      </c:tx>
      <c:layout/>
      <c:overlay val="0"/>
      <c:spPr>
        <a:noFill/>
        <a:ln>
          <a:noFill/>
        </a:ln>
        <a:effectLst/>
      </c:spPr>
    </c:title>
    <c:autoTitleDeleted val="0"/>
    <c:pivotFmts>
      <c:pivotFmt>
        <c:idx val="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c:ext xmlns:c15="http://schemas.microsoft.com/office/drawing/2012/chart" uri="{CE6537A1-D6FC-4f65-9D91-7224C49458BB}"/>
          </c:extLst>
        </c:dLbl>
      </c:pivotFmt>
      <c:pivotFmt>
        <c:idx val="1"/>
        <c:spPr>
          <a:solidFill>
            <a:schemeClr val="dk1">
              <a:tint val="88500"/>
            </a:schemeClr>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2"/>
        <c:spPr>
          <a:solidFill>
            <a:schemeClr val="dk1">
              <a:tint val="88500"/>
            </a:schemeClr>
          </a:solidFill>
          <a:ln w="19050">
            <a:solidFill>
              <a:schemeClr val="lt1"/>
            </a:solidFill>
          </a:ln>
          <a:effectLst/>
        </c:spPr>
        <c:dLbl>
          <c:idx val="0"/>
          <c:layout>
            <c:manualLayout>
              <c:x val="-7.6349062151207488E-3"/>
              <c:y val="-2.1600319175992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c:ext xmlns:c15="http://schemas.microsoft.com/office/drawing/2012/chart" uri="{CE6537A1-D6FC-4f65-9D91-7224C49458BB}"/>
          </c:extLst>
        </c:dLbl>
      </c:pivotFmt>
      <c:pivotFmt>
        <c:idx val="3"/>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c:ext xmlns:c15="http://schemas.microsoft.com/office/drawing/2012/chart" uri="{CE6537A1-D6FC-4f65-9D91-7224C49458BB}"/>
          </c:extLst>
        </c:dLbl>
      </c:pivotFmt>
      <c:pivotFmt>
        <c:idx val="4"/>
        <c:spPr>
          <a:solidFill>
            <a:schemeClr val="dk1">
              <a:tint val="88500"/>
            </a:schemeClr>
          </a:solidFill>
          <a:ln w="19050">
            <a:solidFill>
              <a:schemeClr val="lt1"/>
            </a:solidFill>
          </a:ln>
          <a:effectLst/>
        </c:spPr>
      </c:pivotFmt>
      <c:pivotFmt>
        <c:idx val="5"/>
        <c:spPr>
          <a:solidFill>
            <a:schemeClr val="dk1">
              <a:tint val="88500"/>
            </a:schemeClr>
          </a:solidFill>
          <a:ln w="19050">
            <a:solidFill>
              <a:schemeClr val="lt1"/>
            </a:solidFill>
          </a:ln>
          <a:effectLst/>
        </c:spPr>
      </c:pivotFmt>
      <c:pivotFmt>
        <c:idx val="6"/>
        <c:spPr>
          <a:solidFill>
            <a:schemeClr val="dk1">
              <a:tint val="88500"/>
            </a:schemeClr>
          </a:solidFill>
          <a:ln w="19050">
            <a:solidFill>
              <a:schemeClr val="lt1"/>
            </a:solidFill>
          </a:ln>
          <a:effectLst/>
        </c:spPr>
      </c:pivotFmt>
      <c:pivotFmt>
        <c:idx val="7"/>
        <c:spPr>
          <a:solidFill>
            <a:schemeClr val="dk1">
              <a:tint val="88500"/>
            </a:schemeClr>
          </a:solidFill>
          <a:ln w="19050">
            <a:solidFill>
              <a:schemeClr val="lt1"/>
            </a:solidFill>
          </a:ln>
          <a:effectLst/>
        </c:spPr>
        <c:dLbl>
          <c:idx val="0"/>
          <c:layout>
            <c:manualLayout>
              <c:x val="-7.6349062151207488E-3"/>
              <c:y val="-2.1600319175992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c:ext xmlns:c15="http://schemas.microsoft.com/office/drawing/2012/chart" uri="{CE6537A1-D6FC-4f65-9D91-7224C49458BB}"/>
          </c:extLst>
        </c:dLbl>
      </c:pivotFmt>
      <c:pivotFmt>
        <c:idx val="8"/>
        <c:spPr>
          <a:solidFill>
            <a:schemeClr val="dk1">
              <a:tint val="88500"/>
            </a:schemeClr>
          </a:solidFill>
          <a:ln w="19050">
            <a:solidFill>
              <a:schemeClr val="lt1"/>
            </a:solidFill>
          </a:ln>
          <a:effectLst/>
        </c:spPr>
      </c:pivotFmt>
      <c:pivotFmt>
        <c:idx val="9"/>
        <c:spPr>
          <a:solidFill>
            <a:schemeClr val="dk1">
              <a:tint val="88500"/>
            </a:schemeClr>
          </a:solidFill>
          <a:ln w="19050">
            <a:solidFill>
              <a:schemeClr val="lt1"/>
            </a:solidFill>
          </a:ln>
          <a:effectLst/>
        </c:spPr>
      </c:pivotFmt>
      <c:pivotFmt>
        <c:idx val="10"/>
        <c:spPr>
          <a:solidFill>
            <a:schemeClr val="dk1">
              <a:tint val="88500"/>
            </a:schemeClr>
          </a:solidFill>
          <a:ln w="19050">
            <a:solidFill>
              <a:schemeClr val="lt1"/>
            </a:solidFill>
          </a:ln>
          <a:effectLst/>
        </c:spPr>
      </c:pivotFmt>
      <c:pivotFmt>
        <c:idx val="11"/>
        <c:spPr>
          <a:solidFill>
            <a:schemeClr val="dk1">
              <a:tint val="88500"/>
            </a:schemeClr>
          </a:solidFill>
          <a:ln w="19050">
            <a:solidFill>
              <a:schemeClr val="lt1"/>
            </a:solidFill>
          </a:ln>
          <a:effectLst/>
        </c:spPr>
      </c:pivotFmt>
      <c:pivotFmt>
        <c:idx val="12"/>
        <c:spPr>
          <a:solidFill>
            <a:schemeClr val="dk1">
              <a:tint val="88500"/>
            </a:schemeClr>
          </a:solidFill>
          <a:ln w="19050">
            <a:solidFill>
              <a:schemeClr val="lt1"/>
            </a:solidFill>
          </a:ln>
          <a:effectLst/>
        </c:spPr>
      </c:pivotFmt>
      <c:pivotFmt>
        <c:idx val="13"/>
        <c:spPr>
          <a:solidFill>
            <a:schemeClr val="dk1">
              <a:tint val="88500"/>
            </a:schemeClr>
          </a:solidFill>
          <a:ln w="19050">
            <a:solidFill>
              <a:schemeClr val="lt1"/>
            </a:solidFill>
          </a:ln>
          <a:effectLst/>
        </c:spPr>
      </c:pivotFmt>
      <c:pivotFmt>
        <c:idx val="14"/>
        <c:spPr>
          <a:solidFill>
            <a:schemeClr val="dk1">
              <a:tint val="88500"/>
            </a:schemeClr>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15"/>
        <c:spPr>
          <a:solidFill>
            <a:schemeClr val="dk1">
              <a:tint val="88500"/>
            </a:schemeClr>
          </a:solidFill>
          <a:ln w="19050">
            <a:solidFill>
              <a:schemeClr val="lt1"/>
            </a:solidFill>
          </a:ln>
          <a:effectLst/>
        </c:spPr>
      </c:pivotFmt>
      <c:pivotFmt>
        <c:idx val="16"/>
        <c:spPr>
          <a:solidFill>
            <a:schemeClr val="dk1">
              <a:tint val="88500"/>
            </a:schemeClr>
          </a:solidFill>
          <a:ln w="19050">
            <a:solidFill>
              <a:schemeClr val="lt1"/>
            </a:solidFill>
          </a:ln>
          <a:effectLst/>
        </c:spPr>
      </c:pivotFmt>
      <c:pivotFmt>
        <c:idx val="17"/>
        <c:spPr>
          <a:solidFill>
            <a:schemeClr val="dk1">
              <a:tint val="88500"/>
            </a:schemeClr>
          </a:solidFill>
          <a:ln w="19050">
            <a:solidFill>
              <a:schemeClr val="lt1"/>
            </a:solidFill>
          </a:ln>
          <a:effectLst/>
        </c:spPr>
      </c:pivotFmt>
      <c:pivotFmt>
        <c:idx val="18"/>
        <c:spPr>
          <a:solidFill>
            <a:schemeClr val="dk1">
              <a:tint val="88500"/>
            </a:schemeClr>
          </a:solidFill>
          <a:ln w="19050">
            <a:solidFill>
              <a:schemeClr val="lt1"/>
            </a:solidFill>
          </a:ln>
          <a:effectLst/>
        </c:spPr>
      </c:pivotFmt>
      <c:pivotFmt>
        <c:idx val="19"/>
        <c:spPr>
          <a:solidFill>
            <a:schemeClr val="dk1">
              <a:tint val="88500"/>
            </a:schemeClr>
          </a:solidFill>
          <a:ln w="19050">
            <a:solidFill>
              <a:schemeClr val="lt1"/>
            </a:solidFill>
          </a:ln>
          <a:effectLst/>
        </c:spPr>
      </c:pivotFmt>
      <c:pivotFmt>
        <c:idx val="20"/>
        <c:spPr>
          <a:solidFill>
            <a:schemeClr val="dk1">
              <a:tint val="88500"/>
            </a:schemeClr>
          </a:solidFill>
          <a:ln w="19050">
            <a:solidFill>
              <a:schemeClr val="lt1"/>
            </a:solidFill>
          </a:ln>
          <a:effectLst/>
        </c:spPr>
      </c:pivotFmt>
      <c:pivotFmt>
        <c:idx val="21"/>
        <c:spPr>
          <a:solidFill>
            <a:schemeClr val="dk1">
              <a:tint val="88500"/>
            </a:schemeClr>
          </a:solidFill>
          <a:ln w="19050">
            <a:solidFill>
              <a:schemeClr val="lt1"/>
            </a:solidFill>
          </a:ln>
          <a:effectLst/>
        </c:spPr>
      </c:pivotFmt>
      <c:pivotFmt>
        <c:idx val="22"/>
        <c:spPr>
          <a:solidFill>
            <a:schemeClr val="dk1">
              <a:tint val="88500"/>
            </a:schemeClr>
          </a:solidFill>
          <a:ln w="19050">
            <a:solidFill>
              <a:schemeClr val="lt1"/>
            </a:solidFill>
          </a:ln>
          <a:effectLst/>
        </c:spPr>
      </c:pivotFmt>
      <c:pivotFmt>
        <c:idx val="23"/>
        <c:spPr>
          <a:solidFill>
            <a:schemeClr val="dk1">
              <a:tint val="88500"/>
            </a:schemeClr>
          </a:solidFill>
          <a:ln w="19050">
            <a:solidFill>
              <a:schemeClr val="lt1"/>
            </a:solidFill>
          </a:ln>
          <a:effectLst/>
        </c:spPr>
      </c:pivotFmt>
      <c:pivotFmt>
        <c:idx val="24"/>
        <c:spPr>
          <a:solidFill>
            <a:schemeClr val="dk1">
              <a:tint val="88500"/>
            </a:schemeClr>
          </a:solidFill>
          <a:ln w="19050">
            <a:solidFill>
              <a:schemeClr val="lt1"/>
            </a:solidFill>
          </a:ln>
          <a:effectLst/>
        </c:spPr>
      </c:pivotFmt>
      <c:pivotFmt>
        <c:idx val="25"/>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c:ext xmlns:c15="http://schemas.microsoft.com/office/drawing/2012/chart" uri="{CE6537A1-D6FC-4f65-9D91-7224C49458BB}"/>
          </c:extLst>
        </c:dLbl>
      </c:pivotFmt>
      <c:pivotFmt>
        <c:idx val="26"/>
        <c:spPr>
          <a:solidFill>
            <a:schemeClr val="dk1">
              <a:tint val="88500"/>
            </a:schemeClr>
          </a:solidFill>
          <a:ln w="19050">
            <a:solidFill>
              <a:schemeClr val="lt1"/>
            </a:solidFill>
          </a:ln>
          <a:effectLst/>
        </c:spPr>
      </c:pivotFmt>
      <c:pivotFmt>
        <c:idx val="27"/>
        <c:spPr>
          <a:solidFill>
            <a:schemeClr val="dk1">
              <a:tint val="88500"/>
            </a:schemeClr>
          </a:solidFill>
          <a:ln w="19050">
            <a:solidFill>
              <a:schemeClr val="lt1"/>
            </a:solidFill>
          </a:ln>
          <a:effectLst/>
        </c:spPr>
      </c:pivotFmt>
      <c:pivotFmt>
        <c:idx val="28"/>
        <c:spPr>
          <a:solidFill>
            <a:schemeClr val="dk1">
              <a:tint val="88500"/>
            </a:schemeClr>
          </a:solidFill>
          <a:ln w="19050">
            <a:solidFill>
              <a:schemeClr val="lt1"/>
            </a:solidFill>
          </a:ln>
          <a:effectLst/>
        </c:spPr>
      </c:pivotFmt>
      <c:pivotFmt>
        <c:idx val="29"/>
        <c:spPr>
          <a:solidFill>
            <a:schemeClr val="dk1">
              <a:tint val="88500"/>
            </a:schemeClr>
          </a:solidFill>
          <a:ln w="19050">
            <a:solidFill>
              <a:schemeClr val="lt1"/>
            </a:solidFill>
          </a:ln>
          <a:effectLst/>
        </c:spPr>
        <c:dLbl>
          <c:idx val="0"/>
          <c:layout>
            <c:manualLayout>
              <c:x val="-7.6349062151207488E-3"/>
              <c:y val="-2.1600319175992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c:ext xmlns:c15="http://schemas.microsoft.com/office/drawing/2012/chart" uri="{CE6537A1-D6FC-4f65-9D91-7224C49458BB}"/>
          </c:extLst>
        </c:dLbl>
      </c:pivotFmt>
      <c:pivotFmt>
        <c:idx val="30"/>
        <c:spPr>
          <a:solidFill>
            <a:schemeClr val="dk1">
              <a:tint val="88500"/>
            </a:schemeClr>
          </a:solidFill>
          <a:ln w="19050">
            <a:solidFill>
              <a:schemeClr val="lt1"/>
            </a:solidFill>
          </a:ln>
          <a:effectLst/>
        </c:spPr>
      </c:pivotFmt>
      <c:pivotFmt>
        <c:idx val="31"/>
        <c:spPr>
          <a:solidFill>
            <a:schemeClr val="dk1">
              <a:tint val="88500"/>
            </a:schemeClr>
          </a:solidFill>
          <a:ln w="19050">
            <a:solidFill>
              <a:schemeClr val="lt1"/>
            </a:solidFill>
          </a:ln>
          <a:effectLst/>
        </c:spPr>
      </c:pivotFmt>
      <c:pivotFmt>
        <c:idx val="32"/>
        <c:spPr>
          <a:solidFill>
            <a:schemeClr val="dk1">
              <a:tint val="88500"/>
            </a:schemeClr>
          </a:solidFill>
          <a:ln w="19050">
            <a:solidFill>
              <a:schemeClr val="lt1"/>
            </a:solidFill>
          </a:ln>
          <a:effectLst/>
        </c:spPr>
      </c:pivotFmt>
      <c:pivotFmt>
        <c:idx val="33"/>
        <c:spPr>
          <a:solidFill>
            <a:schemeClr val="dk1">
              <a:tint val="88500"/>
            </a:schemeClr>
          </a:solidFill>
          <a:ln w="19050">
            <a:solidFill>
              <a:schemeClr val="lt1"/>
            </a:solidFill>
          </a:ln>
          <a:effectLst/>
        </c:spPr>
      </c:pivotFmt>
      <c:pivotFmt>
        <c:idx val="34"/>
        <c:spPr>
          <a:solidFill>
            <a:schemeClr val="dk1">
              <a:tint val="88500"/>
            </a:schemeClr>
          </a:solidFill>
          <a:ln w="19050">
            <a:solidFill>
              <a:schemeClr val="lt1"/>
            </a:solidFill>
          </a:ln>
          <a:effectLst/>
        </c:spPr>
      </c:pivotFmt>
      <c:pivotFmt>
        <c:idx val="35"/>
        <c:spPr>
          <a:solidFill>
            <a:schemeClr val="dk1">
              <a:tint val="88500"/>
            </a:schemeClr>
          </a:solidFill>
          <a:ln w="19050">
            <a:solidFill>
              <a:schemeClr val="lt1"/>
            </a:solidFill>
          </a:ln>
          <a:effectLst/>
        </c:spPr>
      </c:pivotFmt>
      <c:pivotFmt>
        <c:idx val="36"/>
        <c:spPr>
          <a:solidFill>
            <a:schemeClr val="dk1">
              <a:tint val="88500"/>
            </a:schemeClr>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37"/>
        <c:spPr>
          <a:solidFill>
            <a:schemeClr val="dk1">
              <a:tint val="88500"/>
            </a:schemeClr>
          </a:solidFill>
          <a:ln w="19050">
            <a:solidFill>
              <a:schemeClr val="lt1"/>
            </a:solidFill>
          </a:ln>
          <a:effectLst/>
        </c:spPr>
      </c:pivotFmt>
      <c:pivotFmt>
        <c:idx val="38"/>
        <c:spPr>
          <a:solidFill>
            <a:schemeClr val="dk1">
              <a:tint val="88500"/>
            </a:schemeClr>
          </a:solidFill>
          <a:ln w="19050">
            <a:solidFill>
              <a:schemeClr val="lt1"/>
            </a:solidFill>
          </a:ln>
          <a:effectLst/>
        </c:spPr>
      </c:pivotFmt>
      <c:pivotFmt>
        <c:idx val="39"/>
        <c:spPr>
          <a:solidFill>
            <a:schemeClr val="dk1">
              <a:tint val="88500"/>
            </a:schemeClr>
          </a:solidFill>
          <a:ln w="19050">
            <a:solidFill>
              <a:schemeClr val="lt1"/>
            </a:solidFill>
          </a:ln>
          <a:effectLst/>
        </c:spPr>
      </c:pivotFmt>
      <c:pivotFmt>
        <c:idx val="40"/>
        <c:spPr>
          <a:solidFill>
            <a:schemeClr val="dk1">
              <a:tint val="88500"/>
            </a:schemeClr>
          </a:solidFill>
          <a:ln w="19050">
            <a:solidFill>
              <a:schemeClr val="lt1"/>
            </a:solidFill>
          </a:ln>
          <a:effectLst/>
        </c:spPr>
      </c:pivotFmt>
      <c:pivotFmt>
        <c:idx val="41"/>
        <c:spPr>
          <a:solidFill>
            <a:schemeClr val="dk1">
              <a:tint val="88500"/>
            </a:schemeClr>
          </a:solidFill>
          <a:ln w="19050">
            <a:solidFill>
              <a:schemeClr val="lt1"/>
            </a:solidFill>
          </a:ln>
          <a:effectLst/>
        </c:spPr>
      </c:pivotFmt>
      <c:pivotFmt>
        <c:idx val="42"/>
        <c:spPr>
          <a:solidFill>
            <a:schemeClr val="dk1">
              <a:tint val="88500"/>
            </a:schemeClr>
          </a:solidFill>
          <a:ln w="19050">
            <a:solidFill>
              <a:schemeClr val="lt1"/>
            </a:solidFill>
          </a:ln>
          <a:effectLst/>
        </c:spPr>
      </c:pivotFmt>
      <c:pivotFmt>
        <c:idx val="43"/>
        <c:spPr>
          <a:solidFill>
            <a:schemeClr val="dk1">
              <a:tint val="88500"/>
            </a:schemeClr>
          </a:solidFill>
          <a:ln w="19050">
            <a:solidFill>
              <a:schemeClr val="lt1"/>
            </a:solidFill>
          </a:ln>
          <a:effectLst/>
        </c:spPr>
      </c:pivotFmt>
      <c:pivotFmt>
        <c:idx val="44"/>
        <c:spPr>
          <a:solidFill>
            <a:schemeClr val="dk1">
              <a:tint val="88500"/>
            </a:schemeClr>
          </a:solidFill>
          <a:ln w="19050">
            <a:solidFill>
              <a:schemeClr val="lt1"/>
            </a:solidFill>
          </a:ln>
          <a:effectLst/>
        </c:spPr>
      </c:pivotFmt>
      <c:pivotFmt>
        <c:idx val="45"/>
        <c:spPr>
          <a:solidFill>
            <a:schemeClr val="dk1">
              <a:tint val="88500"/>
            </a:schemeClr>
          </a:solidFill>
          <a:ln w="19050">
            <a:solidFill>
              <a:schemeClr val="lt1"/>
            </a:solidFill>
          </a:ln>
          <a:effectLst/>
        </c:spPr>
      </c:pivotFmt>
      <c:pivotFmt>
        <c:idx val="46"/>
        <c:spPr>
          <a:solidFill>
            <a:schemeClr val="dk1">
              <a:tint val="88500"/>
            </a:schemeClr>
          </a:solidFill>
          <a:ln w="19050">
            <a:solidFill>
              <a:schemeClr val="lt1"/>
            </a:solidFill>
          </a:ln>
          <a:effectLst/>
        </c:spPr>
      </c:pivotFmt>
    </c:pivotFmts>
    <c:plotArea>
      <c:layout/>
      <c:pieChart>
        <c:varyColors val="1"/>
        <c:ser>
          <c:idx val="0"/>
          <c:order val="0"/>
          <c:tx>
            <c:strRef>
              <c:f>TD_C!$B$3</c:f>
              <c:strCache>
                <c:ptCount val="1"/>
                <c:pt idx="0">
                  <c:v>PORCENTAJE</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5601-4380-83B3-0A2C9E72D8FC}"/>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5601-4380-83B3-0A2C9E72D8FC}"/>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5601-4380-83B3-0A2C9E72D8FC}"/>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5601-4380-83B3-0A2C9E72D8FC}"/>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5601-4380-83B3-0A2C9E72D8FC}"/>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5601-4380-83B3-0A2C9E72D8FC}"/>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5601-4380-83B3-0A2C9E72D8FC}"/>
              </c:ext>
            </c:extLst>
          </c:dPt>
          <c:dPt>
            <c:idx val="7"/>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F-5601-4380-83B3-0A2C9E72D8FC}"/>
              </c:ext>
            </c:extLst>
          </c:dPt>
          <c:dPt>
            <c:idx val="8"/>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11-5601-4380-83B3-0A2C9E72D8FC}"/>
              </c:ext>
            </c:extLst>
          </c:dPt>
          <c:dPt>
            <c:idx val="9"/>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13-5601-4380-83B3-0A2C9E72D8FC}"/>
              </c:ext>
            </c:extLst>
          </c:dPt>
          <c:dLbls>
            <c:dLbl>
              <c:idx val="3"/>
              <c:layout>
                <c:manualLayout>
                  <c:x val="-7.6349062151207488E-3"/>
                  <c:y val="-2.160031917599213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5601-4380-83B3-0A2C9E72D8FC}"/>
                </c:ext>
              </c:extLst>
            </c:dLbl>
            <c:dLbl>
              <c:idx val="8"/>
              <c:layout>
                <c:manualLayout>
                  <c:x val="-3.4640868062223956E-3"/>
                  <c:y val="-4.7132579930099427E-3"/>
                </c:manualLayout>
              </c:layout>
              <c:dLblPos val="bestFit"/>
              <c:showLegendKey val="0"/>
              <c:showVal val="1"/>
              <c:showCatName val="0"/>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11-5601-4380-83B3-0A2C9E72D8F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eparator>. </c:separator>
            <c:showLeaderLines val="0"/>
            <c:extLst>
              <c:ext xmlns:c15="http://schemas.microsoft.com/office/drawing/2012/chart" uri="{CE6537A1-D6FC-4f65-9D91-7224C49458BB}">
                <c15:layout/>
              </c:ext>
            </c:extLst>
          </c:dLbls>
          <c:cat>
            <c:strRef>
              <c:f>TD_C!$A$4:$A$14</c:f>
              <c:strCache>
                <c:ptCount val="10"/>
                <c:pt idx="0">
                  <c:v>C.1</c:v>
                </c:pt>
                <c:pt idx="1">
                  <c:v>C.10</c:v>
                </c:pt>
                <c:pt idx="2">
                  <c:v>C.2</c:v>
                </c:pt>
                <c:pt idx="3">
                  <c:v>C.3</c:v>
                </c:pt>
                <c:pt idx="4">
                  <c:v>C.4</c:v>
                </c:pt>
                <c:pt idx="5">
                  <c:v>C.5</c:v>
                </c:pt>
                <c:pt idx="6">
                  <c:v>C.6</c:v>
                </c:pt>
                <c:pt idx="7">
                  <c:v>C.7</c:v>
                </c:pt>
                <c:pt idx="8">
                  <c:v>C.8</c:v>
                </c:pt>
                <c:pt idx="9">
                  <c:v>C.9</c:v>
                </c:pt>
              </c:strCache>
            </c:strRef>
          </c:cat>
          <c:val>
            <c:numRef>
              <c:f>TD_C!$B$4:$B$14</c:f>
              <c:numCache>
                <c:formatCode>0.00%</c:formatCode>
                <c:ptCount val="10"/>
                <c:pt idx="0">
                  <c:v>0.17956200435023445</c:v>
                </c:pt>
                <c:pt idx="1">
                  <c:v>2.5939285859036192E-2</c:v>
                </c:pt>
                <c:pt idx="2">
                  <c:v>5.6093705670165757E-2</c:v>
                </c:pt>
                <c:pt idx="3">
                  <c:v>3.0532701063240519E-2</c:v>
                </c:pt>
                <c:pt idx="4">
                  <c:v>8.1060268309488172E-3</c:v>
                </c:pt>
                <c:pt idx="5">
                  <c:v>4.2421540415298773E-3</c:v>
                </c:pt>
                <c:pt idx="6">
                  <c:v>2.7020089436496034E-2</c:v>
                </c:pt>
                <c:pt idx="7">
                  <c:v>0.10808035774598417</c:v>
                </c:pt>
                <c:pt idx="8">
                  <c:v>0.51546224618003456</c:v>
                </c:pt>
                <c:pt idx="9">
                  <c:v>4.4961428822329425E-2</c:v>
                </c:pt>
              </c:numCache>
            </c:numRef>
          </c:val>
          <c:extLst>
            <c:ext xmlns:c16="http://schemas.microsoft.com/office/drawing/2014/chart" uri="{C3380CC4-5D6E-409C-BE32-E72D297353CC}">
              <c16:uniqueId val="{00000014-5601-4380-83B3-0A2C9E72D8FC}"/>
            </c:ext>
          </c:extLst>
        </c:ser>
        <c:ser>
          <c:idx val="1"/>
          <c:order val="1"/>
          <c:tx>
            <c:strRef>
              <c:f>TD_C!$C$3</c:f>
              <c:strCache>
                <c:ptCount val="1"/>
                <c:pt idx="0">
                  <c:v>MONTO</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16-5601-4380-83B3-0A2C9E72D8FC}"/>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18-5601-4380-83B3-0A2C9E72D8FC}"/>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1A-5601-4380-83B3-0A2C9E72D8FC}"/>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1C-5601-4380-83B3-0A2C9E72D8FC}"/>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1E-5601-4380-83B3-0A2C9E72D8FC}"/>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20-5601-4380-83B3-0A2C9E72D8FC}"/>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22-5601-4380-83B3-0A2C9E72D8FC}"/>
              </c:ext>
            </c:extLst>
          </c:dPt>
          <c:dPt>
            <c:idx val="7"/>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24-5601-4380-83B3-0A2C9E72D8FC}"/>
              </c:ext>
            </c:extLst>
          </c:dPt>
          <c:dPt>
            <c:idx val="8"/>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26-5601-4380-83B3-0A2C9E72D8FC}"/>
              </c:ext>
            </c:extLst>
          </c:dPt>
          <c:dPt>
            <c:idx val="9"/>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28-5601-4380-83B3-0A2C9E72D8FC}"/>
              </c:ext>
            </c:extLst>
          </c:dPt>
          <c:cat>
            <c:strRef>
              <c:f>TD_C!$A$4:$A$14</c:f>
              <c:strCache>
                <c:ptCount val="10"/>
                <c:pt idx="0">
                  <c:v>C.1</c:v>
                </c:pt>
                <c:pt idx="1">
                  <c:v>C.10</c:v>
                </c:pt>
                <c:pt idx="2">
                  <c:v>C.2</c:v>
                </c:pt>
                <c:pt idx="3">
                  <c:v>C.3</c:v>
                </c:pt>
                <c:pt idx="4">
                  <c:v>C.4</c:v>
                </c:pt>
                <c:pt idx="5">
                  <c:v>C.5</c:v>
                </c:pt>
                <c:pt idx="6">
                  <c:v>C.6</c:v>
                </c:pt>
                <c:pt idx="7">
                  <c:v>C.7</c:v>
                </c:pt>
                <c:pt idx="8">
                  <c:v>C.8</c:v>
                </c:pt>
                <c:pt idx="9">
                  <c:v>C.9</c:v>
                </c:pt>
              </c:strCache>
            </c:strRef>
          </c:cat>
          <c:val>
            <c:numRef>
              <c:f>TD_C!$C$4:$C$14</c:f>
              <c:numCache>
                <c:formatCode>_("$"* #,##0.00_);_("$"* \(#,##0.00\);_("$"* "-"??_);_(@_)</c:formatCode>
                <c:ptCount val="10"/>
                <c:pt idx="0">
                  <c:v>8629223.4079999961</c:v>
                </c:pt>
                <c:pt idx="1">
                  <c:v>960000</c:v>
                </c:pt>
                <c:pt idx="2">
                  <c:v>16184786.4</c:v>
                </c:pt>
                <c:pt idx="3">
                  <c:v>2928910.62</c:v>
                </c:pt>
                <c:pt idx="4">
                  <c:v>180000</c:v>
                </c:pt>
                <c:pt idx="5">
                  <c:v>3135109.9640000002</c:v>
                </c:pt>
                <c:pt idx="6">
                  <c:v>363600</c:v>
                </c:pt>
                <c:pt idx="7">
                  <c:v>7868881</c:v>
                </c:pt>
                <c:pt idx="8">
                  <c:v>49703318</c:v>
                </c:pt>
                <c:pt idx="9">
                  <c:v>2799803.64</c:v>
                </c:pt>
              </c:numCache>
            </c:numRef>
          </c:val>
          <c:extLst>
            <c:ext xmlns:c16="http://schemas.microsoft.com/office/drawing/2014/chart" uri="{C3380CC4-5D6E-409C-BE32-E72D297353CC}">
              <c16:uniqueId val="{00000029-5601-4380-83B3-0A2C9E72D8FC}"/>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4"/>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5"/>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6"/>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7"/>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8"/>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9"/>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0.8676718661611732"/>
          <c:y val="0.2378228745058576"/>
          <c:w val="0.12265461632442894"/>
          <c:h val="0.509359012855943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[Base 2022 Semujeres 19 nov.xlsx]TD_INST!TablaDinámica10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PORCENTAJE POR INSTITUCIÓN</a:t>
            </a:r>
          </a:p>
        </c:rich>
      </c:tx>
      <c:layout/>
      <c:overlay val="0"/>
      <c:spPr>
        <a:noFill/>
        <a:ln>
          <a:noFill/>
        </a:ln>
        <a:effectLst/>
      </c:spPr>
    </c:title>
    <c:autoTitleDeleted val="0"/>
    <c:pivotFmts>
      <c:pivotFmt>
        <c:idx val="0"/>
        <c:spPr>
          <a:solidFill>
            <a:schemeClr val="dk1">
              <a:tint val="88500"/>
            </a:schemeClr>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dk1">
              <a:tint val="88500"/>
            </a:schemeClr>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dk1">
              <a:tint val="88500"/>
            </a:schemeClr>
          </a:solidFill>
          <a:ln w="19050">
            <a:solidFill>
              <a:schemeClr val="lt1"/>
            </a:solidFill>
          </a:ln>
          <a:effectLst/>
        </c:spPr>
      </c:pivotFmt>
      <c:pivotFmt>
        <c:idx val="4"/>
        <c:spPr>
          <a:solidFill>
            <a:schemeClr val="dk1">
              <a:tint val="88500"/>
            </a:schemeClr>
          </a:solidFill>
          <a:ln w="19050">
            <a:solidFill>
              <a:schemeClr val="lt1"/>
            </a:solidFill>
          </a:ln>
          <a:effectLst/>
        </c:spPr>
      </c:pivotFmt>
      <c:pivotFmt>
        <c:idx val="5"/>
        <c:spPr>
          <a:solidFill>
            <a:schemeClr val="dk1">
              <a:tint val="88500"/>
            </a:schemeClr>
          </a:solidFill>
          <a:ln w="19050">
            <a:solidFill>
              <a:schemeClr val="lt1"/>
            </a:solidFill>
          </a:ln>
          <a:effectLst/>
        </c:spPr>
      </c:pivotFmt>
      <c:pivotFmt>
        <c:idx val="6"/>
        <c:spPr>
          <a:solidFill>
            <a:schemeClr val="dk1">
              <a:tint val="88500"/>
            </a:schemeClr>
          </a:solidFill>
          <a:ln w="19050">
            <a:solidFill>
              <a:schemeClr val="lt1"/>
            </a:solidFill>
          </a:ln>
          <a:effectLst/>
        </c:spPr>
      </c:pivotFmt>
      <c:pivotFmt>
        <c:idx val="7"/>
        <c:spPr>
          <a:solidFill>
            <a:schemeClr val="dk1">
              <a:tint val="88500"/>
            </a:schemeClr>
          </a:solidFill>
          <a:ln w="19050">
            <a:solidFill>
              <a:schemeClr val="lt1"/>
            </a:solidFill>
          </a:ln>
          <a:effectLst/>
        </c:spPr>
      </c:pivotFmt>
      <c:pivotFmt>
        <c:idx val="8"/>
        <c:spPr>
          <a:solidFill>
            <a:schemeClr val="dk1">
              <a:tint val="88500"/>
            </a:schemeClr>
          </a:solidFill>
          <a:ln w="19050">
            <a:solidFill>
              <a:schemeClr val="lt1"/>
            </a:solidFill>
          </a:ln>
          <a:effectLst/>
        </c:spPr>
      </c:pivotFmt>
      <c:pivotFmt>
        <c:idx val="9"/>
        <c:spPr>
          <a:solidFill>
            <a:schemeClr val="dk1">
              <a:tint val="88500"/>
            </a:schemeClr>
          </a:solidFill>
          <a:ln w="19050">
            <a:solidFill>
              <a:schemeClr val="lt1"/>
            </a:solidFill>
          </a:ln>
          <a:effectLst/>
        </c:spPr>
      </c:pivotFmt>
      <c:pivotFmt>
        <c:idx val="10"/>
        <c:spPr>
          <a:solidFill>
            <a:schemeClr val="dk1">
              <a:tint val="88500"/>
            </a:schemeClr>
          </a:solidFill>
          <a:ln w="19050">
            <a:solidFill>
              <a:schemeClr val="lt1"/>
            </a:solidFill>
          </a:ln>
          <a:effectLst/>
        </c:spPr>
      </c:pivotFmt>
      <c:pivotFmt>
        <c:idx val="11"/>
        <c:spPr>
          <a:solidFill>
            <a:schemeClr val="dk1">
              <a:tint val="88500"/>
            </a:schemeClr>
          </a:solidFill>
          <a:ln w="19050">
            <a:solidFill>
              <a:schemeClr val="lt1"/>
            </a:solidFill>
          </a:ln>
          <a:effectLst/>
        </c:spPr>
      </c:pivotFmt>
      <c:pivotFmt>
        <c:idx val="12"/>
        <c:spPr>
          <a:solidFill>
            <a:schemeClr val="dk1">
              <a:tint val="88500"/>
            </a:schemeClr>
          </a:solidFill>
          <a:ln w="19050">
            <a:solidFill>
              <a:schemeClr val="lt1"/>
            </a:solidFill>
          </a:ln>
          <a:effectLst/>
        </c:spPr>
      </c:pivotFmt>
      <c:pivotFmt>
        <c:idx val="13"/>
        <c:spPr>
          <a:solidFill>
            <a:schemeClr val="dk1">
              <a:tint val="88500"/>
            </a:schemeClr>
          </a:solidFill>
          <a:ln w="19050">
            <a:solidFill>
              <a:schemeClr val="lt1"/>
            </a:solidFill>
          </a:ln>
          <a:effectLst/>
        </c:spPr>
      </c:pivotFmt>
      <c:pivotFmt>
        <c:idx val="14"/>
        <c:spPr>
          <a:solidFill>
            <a:schemeClr val="dk1">
              <a:tint val="88500"/>
            </a:schemeClr>
          </a:solidFill>
          <a:ln w="19050">
            <a:solidFill>
              <a:schemeClr val="lt1"/>
            </a:solidFill>
          </a:ln>
          <a:effectLst/>
        </c:spPr>
      </c:pivotFmt>
      <c:pivotFmt>
        <c:idx val="15"/>
        <c:spPr>
          <a:solidFill>
            <a:schemeClr val="dk1">
              <a:tint val="88500"/>
            </a:schemeClr>
          </a:solidFill>
          <a:ln w="19050">
            <a:solidFill>
              <a:schemeClr val="lt1"/>
            </a:solidFill>
          </a:ln>
          <a:effectLst/>
        </c:spPr>
      </c:pivotFmt>
      <c:pivotFmt>
        <c:idx val="16"/>
        <c:spPr>
          <a:solidFill>
            <a:schemeClr val="dk1">
              <a:tint val="88500"/>
            </a:schemeClr>
          </a:solidFill>
          <a:ln w="19050">
            <a:solidFill>
              <a:schemeClr val="lt1"/>
            </a:solidFill>
          </a:ln>
          <a:effectLst/>
        </c:spPr>
      </c:pivotFmt>
      <c:pivotFmt>
        <c:idx val="17"/>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dk1">
              <a:tint val="88500"/>
            </a:schemeClr>
          </a:solidFill>
          <a:ln w="19050">
            <a:solidFill>
              <a:schemeClr val="lt1"/>
            </a:solidFill>
          </a:ln>
          <a:effectLst/>
        </c:spPr>
      </c:pivotFmt>
      <c:pivotFmt>
        <c:idx val="19"/>
        <c:spPr>
          <a:solidFill>
            <a:schemeClr val="dk1">
              <a:tint val="88500"/>
            </a:schemeClr>
          </a:solidFill>
          <a:ln w="19050">
            <a:solidFill>
              <a:schemeClr val="lt1"/>
            </a:solidFill>
          </a:ln>
          <a:effectLst/>
        </c:spPr>
      </c:pivotFmt>
      <c:pivotFmt>
        <c:idx val="20"/>
        <c:spPr>
          <a:solidFill>
            <a:schemeClr val="dk1">
              <a:tint val="88500"/>
            </a:schemeClr>
          </a:solidFill>
          <a:ln w="19050">
            <a:solidFill>
              <a:schemeClr val="lt1"/>
            </a:solidFill>
          </a:ln>
          <a:effectLst/>
        </c:spPr>
      </c:pivotFmt>
      <c:pivotFmt>
        <c:idx val="21"/>
        <c:spPr>
          <a:solidFill>
            <a:schemeClr val="dk1">
              <a:tint val="88500"/>
            </a:schemeClr>
          </a:solidFill>
          <a:ln w="19050">
            <a:solidFill>
              <a:schemeClr val="lt1"/>
            </a:solidFill>
          </a:ln>
          <a:effectLst/>
        </c:spPr>
      </c:pivotFmt>
      <c:pivotFmt>
        <c:idx val="22"/>
        <c:spPr>
          <a:solidFill>
            <a:schemeClr val="dk1">
              <a:tint val="88500"/>
            </a:schemeClr>
          </a:solidFill>
          <a:ln w="19050">
            <a:solidFill>
              <a:schemeClr val="lt1"/>
            </a:solidFill>
          </a:ln>
          <a:effectLst/>
        </c:spPr>
      </c:pivotFmt>
      <c:pivotFmt>
        <c:idx val="23"/>
        <c:spPr>
          <a:solidFill>
            <a:schemeClr val="dk1">
              <a:tint val="88500"/>
            </a:schemeClr>
          </a:solidFill>
          <a:ln w="19050">
            <a:solidFill>
              <a:schemeClr val="lt1"/>
            </a:solidFill>
          </a:ln>
          <a:effectLst/>
        </c:spPr>
      </c:pivotFmt>
      <c:pivotFmt>
        <c:idx val="24"/>
        <c:spPr>
          <a:solidFill>
            <a:schemeClr val="dk1">
              <a:tint val="88500"/>
            </a:schemeClr>
          </a:solidFill>
          <a:ln w="19050">
            <a:solidFill>
              <a:schemeClr val="lt1"/>
            </a:solidFill>
          </a:ln>
          <a:effectLst/>
        </c:spPr>
      </c:pivotFmt>
      <c:pivotFmt>
        <c:idx val="25"/>
        <c:spPr>
          <a:solidFill>
            <a:schemeClr val="dk1">
              <a:tint val="88500"/>
            </a:schemeClr>
          </a:solidFill>
          <a:ln w="19050">
            <a:solidFill>
              <a:schemeClr val="lt1"/>
            </a:solidFill>
          </a:ln>
          <a:effectLst/>
        </c:spPr>
      </c:pivotFmt>
      <c:pivotFmt>
        <c:idx val="26"/>
        <c:spPr>
          <a:solidFill>
            <a:schemeClr val="dk1">
              <a:tint val="88500"/>
            </a:schemeClr>
          </a:solidFill>
          <a:ln w="19050">
            <a:solidFill>
              <a:schemeClr val="lt1"/>
            </a:solidFill>
          </a:ln>
          <a:effectLst/>
        </c:spPr>
      </c:pivotFmt>
      <c:pivotFmt>
        <c:idx val="27"/>
        <c:spPr>
          <a:solidFill>
            <a:schemeClr val="dk1">
              <a:tint val="88500"/>
            </a:schemeClr>
          </a:solidFill>
          <a:ln w="19050">
            <a:solidFill>
              <a:schemeClr val="lt1"/>
            </a:solidFill>
          </a:ln>
          <a:effectLst/>
        </c:spPr>
      </c:pivotFmt>
      <c:pivotFmt>
        <c:idx val="28"/>
        <c:spPr>
          <a:solidFill>
            <a:schemeClr val="dk1">
              <a:tint val="88500"/>
            </a:schemeClr>
          </a:solidFill>
          <a:ln w="19050">
            <a:solidFill>
              <a:schemeClr val="lt1"/>
            </a:solidFill>
          </a:ln>
          <a:effectLst/>
        </c:spPr>
      </c:pivotFmt>
      <c:pivotFmt>
        <c:idx val="29"/>
        <c:spPr>
          <a:solidFill>
            <a:schemeClr val="dk1">
              <a:tint val="88500"/>
            </a:schemeClr>
          </a:solidFill>
          <a:ln w="19050">
            <a:solidFill>
              <a:schemeClr val="lt1"/>
            </a:solidFill>
          </a:ln>
          <a:effectLst/>
        </c:spPr>
      </c:pivotFmt>
      <c:pivotFmt>
        <c:idx val="30"/>
        <c:spPr>
          <a:solidFill>
            <a:schemeClr val="dk1">
              <a:tint val="88500"/>
            </a:schemeClr>
          </a:solidFill>
          <a:ln w="19050">
            <a:solidFill>
              <a:schemeClr val="lt1"/>
            </a:solidFill>
          </a:ln>
          <a:effectLst/>
        </c:spPr>
      </c:pivotFmt>
      <c:pivotFmt>
        <c:idx val="31"/>
        <c:spPr>
          <a:solidFill>
            <a:schemeClr val="dk1">
              <a:tint val="88500"/>
            </a:schemeClr>
          </a:solidFill>
          <a:ln w="19050">
            <a:solidFill>
              <a:schemeClr val="lt1"/>
            </a:solidFill>
          </a:ln>
          <a:effectLst/>
        </c:spPr>
      </c:pivotFmt>
      <c:pivotFmt>
        <c:idx val="32"/>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dk1">
              <a:tint val="88500"/>
            </a:schemeClr>
          </a:solidFill>
          <a:ln w="19050">
            <a:solidFill>
              <a:schemeClr val="lt1"/>
            </a:solidFill>
          </a:ln>
          <a:effectLst/>
        </c:spPr>
      </c:pivotFmt>
      <c:pivotFmt>
        <c:idx val="34"/>
        <c:spPr>
          <a:solidFill>
            <a:schemeClr val="dk1">
              <a:tint val="88500"/>
            </a:schemeClr>
          </a:solidFill>
          <a:ln w="19050">
            <a:solidFill>
              <a:schemeClr val="lt1"/>
            </a:solidFill>
          </a:ln>
          <a:effectLst/>
        </c:spPr>
      </c:pivotFmt>
      <c:pivotFmt>
        <c:idx val="35"/>
        <c:spPr>
          <a:solidFill>
            <a:schemeClr val="dk1">
              <a:tint val="88500"/>
            </a:schemeClr>
          </a:solidFill>
          <a:ln w="19050">
            <a:solidFill>
              <a:schemeClr val="lt1"/>
            </a:solidFill>
          </a:ln>
          <a:effectLst/>
        </c:spPr>
      </c:pivotFmt>
      <c:pivotFmt>
        <c:idx val="36"/>
        <c:spPr>
          <a:solidFill>
            <a:schemeClr val="dk1">
              <a:tint val="88500"/>
            </a:schemeClr>
          </a:solidFill>
          <a:ln w="19050">
            <a:solidFill>
              <a:schemeClr val="lt1"/>
            </a:solidFill>
          </a:ln>
          <a:effectLst/>
        </c:spPr>
      </c:pivotFmt>
      <c:pivotFmt>
        <c:idx val="37"/>
        <c:spPr>
          <a:solidFill>
            <a:schemeClr val="dk1">
              <a:tint val="88500"/>
            </a:schemeClr>
          </a:solidFill>
          <a:ln w="19050">
            <a:solidFill>
              <a:schemeClr val="lt1"/>
            </a:solidFill>
          </a:ln>
          <a:effectLst/>
        </c:spPr>
      </c:pivotFmt>
      <c:pivotFmt>
        <c:idx val="38"/>
        <c:spPr>
          <a:solidFill>
            <a:schemeClr val="dk1">
              <a:tint val="88500"/>
            </a:schemeClr>
          </a:solidFill>
          <a:ln w="19050">
            <a:solidFill>
              <a:schemeClr val="lt1"/>
            </a:solidFill>
          </a:ln>
          <a:effectLst/>
        </c:spPr>
      </c:pivotFmt>
      <c:pivotFmt>
        <c:idx val="39"/>
        <c:spPr>
          <a:solidFill>
            <a:schemeClr val="dk1">
              <a:tint val="88500"/>
            </a:schemeClr>
          </a:solidFill>
          <a:ln w="19050">
            <a:solidFill>
              <a:schemeClr val="lt1"/>
            </a:solidFill>
          </a:ln>
          <a:effectLst/>
        </c:spPr>
      </c:pivotFmt>
      <c:pivotFmt>
        <c:idx val="40"/>
        <c:spPr>
          <a:solidFill>
            <a:schemeClr val="dk1">
              <a:tint val="88500"/>
            </a:schemeClr>
          </a:solidFill>
          <a:ln w="19050">
            <a:solidFill>
              <a:schemeClr val="lt1"/>
            </a:solidFill>
          </a:ln>
          <a:effectLst/>
        </c:spPr>
      </c:pivotFmt>
      <c:pivotFmt>
        <c:idx val="41"/>
        <c:spPr>
          <a:solidFill>
            <a:schemeClr val="dk1">
              <a:tint val="88500"/>
            </a:schemeClr>
          </a:solidFill>
          <a:ln w="19050">
            <a:solidFill>
              <a:schemeClr val="lt1"/>
            </a:solidFill>
          </a:ln>
          <a:effectLst/>
        </c:spPr>
      </c:pivotFmt>
      <c:pivotFmt>
        <c:idx val="42"/>
        <c:spPr>
          <a:solidFill>
            <a:schemeClr val="dk1">
              <a:tint val="88500"/>
            </a:schemeClr>
          </a:solidFill>
          <a:ln w="19050">
            <a:solidFill>
              <a:schemeClr val="lt1"/>
            </a:solidFill>
          </a:ln>
          <a:effectLst/>
        </c:spPr>
      </c:pivotFmt>
      <c:pivotFmt>
        <c:idx val="43"/>
        <c:spPr>
          <a:solidFill>
            <a:schemeClr val="dk1">
              <a:tint val="88500"/>
            </a:schemeClr>
          </a:solidFill>
          <a:ln w="19050">
            <a:solidFill>
              <a:schemeClr val="lt1"/>
            </a:solidFill>
          </a:ln>
          <a:effectLst/>
        </c:spPr>
      </c:pivotFmt>
      <c:pivotFmt>
        <c:idx val="44"/>
        <c:spPr>
          <a:solidFill>
            <a:schemeClr val="dk1">
              <a:tint val="88500"/>
            </a:schemeClr>
          </a:solidFill>
          <a:ln w="19050">
            <a:solidFill>
              <a:schemeClr val="lt1"/>
            </a:solidFill>
          </a:ln>
          <a:effectLst/>
        </c:spPr>
      </c:pivotFmt>
      <c:pivotFmt>
        <c:idx val="45"/>
        <c:spPr>
          <a:solidFill>
            <a:schemeClr val="dk1">
              <a:tint val="88500"/>
            </a:schemeClr>
          </a:solidFill>
          <a:ln w="19050">
            <a:solidFill>
              <a:schemeClr val="lt1"/>
            </a:solidFill>
          </a:ln>
          <a:effectLst/>
        </c:spPr>
      </c:pivotFmt>
      <c:pivotFmt>
        <c:idx val="46"/>
        <c:spPr>
          <a:solidFill>
            <a:schemeClr val="dk1">
              <a:tint val="88500"/>
            </a:schemeClr>
          </a:solidFill>
          <a:ln w="19050">
            <a:solidFill>
              <a:schemeClr val="lt1"/>
            </a:solidFill>
          </a:ln>
          <a:effectLst/>
        </c:spPr>
      </c:pivotFmt>
      <c:pivotFmt>
        <c:idx val="47"/>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dk1">
              <a:tint val="88500"/>
            </a:schemeClr>
          </a:solidFill>
          <a:ln w="19050">
            <a:solidFill>
              <a:schemeClr val="lt1"/>
            </a:solidFill>
          </a:ln>
          <a:effectLst/>
        </c:spPr>
      </c:pivotFmt>
      <c:pivotFmt>
        <c:idx val="49"/>
        <c:spPr>
          <a:solidFill>
            <a:schemeClr val="dk1">
              <a:tint val="88500"/>
            </a:schemeClr>
          </a:solidFill>
          <a:ln w="19050">
            <a:solidFill>
              <a:schemeClr val="lt1"/>
            </a:solidFill>
          </a:ln>
          <a:effectLst/>
        </c:spPr>
      </c:pivotFmt>
      <c:pivotFmt>
        <c:idx val="50"/>
        <c:spPr>
          <a:solidFill>
            <a:schemeClr val="dk1">
              <a:tint val="88500"/>
            </a:schemeClr>
          </a:solidFill>
          <a:ln w="19050">
            <a:solidFill>
              <a:schemeClr val="lt1"/>
            </a:solidFill>
          </a:ln>
          <a:effectLst/>
        </c:spPr>
      </c:pivotFmt>
      <c:pivotFmt>
        <c:idx val="51"/>
        <c:spPr>
          <a:solidFill>
            <a:schemeClr val="dk1">
              <a:tint val="88500"/>
            </a:schemeClr>
          </a:solidFill>
          <a:ln w="19050">
            <a:solidFill>
              <a:schemeClr val="lt1"/>
            </a:solidFill>
          </a:ln>
          <a:effectLst/>
        </c:spPr>
      </c:pivotFmt>
      <c:pivotFmt>
        <c:idx val="52"/>
        <c:spPr>
          <a:solidFill>
            <a:schemeClr val="dk1">
              <a:tint val="88500"/>
            </a:schemeClr>
          </a:solidFill>
          <a:ln w="19050">
            <a:solidFill>
              <a:schemeClr val="lt1"/>
            </a:solidFill>
          </a:ln>
          <a:effectLst/>
        </c:spPr>
      </c:pivotFmt>
      <c:pivotFmt>
        <c:idx val="53"/>
        <c:spPr>
          <a:solidFill>
            <a:schemeClr val="dk1">
              <a:tint val="88500"/>
            </a:schemeClr>
          </a:solidFill>
          <a:ln w="19050">
            <a:solidFill>
              <a:schemeClr val="lt1"/>
            </a:solidFill>
          </a:ln>
          <a:effectLst/>
        </c:spPr>
      </c:pivotFmt>
      <c:pivotFmt>
        <c:idx val="54"/>
        <c:spPr>
          <a:solidFill>
            <a:schemeClr val="dk1">
              <a:tint val="88500"/>
            </a:schemeClr>
          </a:solidFill>
          <a:ln w="19050">
            <a:solidFill>
              <a:schemeClr val="lt1"/>
            </a:solidFill>
          </a:ln>
          <a:effectLst/>
        </c:spPr>
      </c:pivotFmt>
      <c:pivotFmt>
        <c:idx val="55"/>
        <c:spPr>
          <a:solidFill>
            <a:schemeClr val="dk1">
              <a:tint val="88500"/>
            </a:schemeClr>
          </a:solidFill>
          <a:ln w="19050">
            <a:solidFill>
              <a:schemeClr val="lt1"/>
            </a:solidFill>
          </a:ln>
          <a:effectLst/>
        </c:spPr>
      </c:pivotFmt>
      <c:pivotFmt>
        <c:idx val="56"/>
        <c:spPr>
          <a:solidFill>
            <a:schemeClr val="dk1">
              <a:tint val="88500"/>
            </a:schemeClr>
          </a:solidFill>
          <a:ln w="19050">
            <a:solidFill>
              <a:schemeClr val="lt1"/>
            </a:solidFill>
          </a:ln>
          <a:effectLst/>
        </c:spPr>
      </c:pivotFmt>
      <c:pivotFmt>
        <c:idx val="57"/>
        <c:spPr>
          <a:solidFill>
            <a:schemeClr val="dk1">
              <a:tint val="88500"/>
            </a:schemeClr>
          </a:solidFill>
          <a:ln w="19050">
            <a:solidFill>
              <a:schemeClr val="lt1"/>
            </a:solidFill>
          </a:ln>
          <a:effectLst/>
        </c:spPr>
      </c:pivotFmt>
      <c:pivotFmt>
        <c:idx val="58"/>
        <c:spPr>
          <a:solidFill>
            <a:schemeClr val="dk1">
              <a:tint val="88500"/>
            </a:schemeClr>
          </a:solidFill>
          <a:ln w="19050">
            <a:solidFill>
              <a:schemeClr val="lt1"/>
            </a:solidFill>
          </a:ln>
          <a:effectLst/>
        </c:spPr>
      </c:pivotFmt>
      <c:pivotFmt>
        <c:idx val="59"/>
        <c:spPr>
          <a:solidFill>
            <a:schemeClr val="dk1">
              <a:tint val="88500"/>
            </a:schemeClr>
          </a:solidFill>
          <a:ln w="19050">
            <a:solidFill>
              <a:schemeClr val="lt1"/>
            </a:solidFill>
          </a:ln>
          <a:effectLst/>
        </c:spPr>
      </c:pivotFmt>
      <c:pivotFmt>
        <c:idx val="60"/>
        <c:spPr>
          <a:solidFill>
            <a:schemeClr val="dk1">
              <a:tint val="88500"/>
            </a:schemeClr>
          </a:solidFill>
          <a:ln w="19050">
            <a:solidFill>
              <a:schemeClr val="lt1"/>
            </a:solidFill>
          </a:ln>
          <a:effectLst/>
        </c:spPr>
      </c:pivotFmt>
      <c:pivotFmt>
        <c:idx val="61"/>
        <c:spPr>
          <a:solidFill>
            <a:schemeClr val="dk1">
              <a:tint val="88500"/>
            </a:schemeClr>
          </a:solidFill>
          <a:ln w="19050">
            <a:solidFill>
              <a:schemeClr val="lt1"/>
            </a:solidFill>
          </a:ln>
          <a:effectLst/>
        </c:spPr>
      </c:pivotFmt>
    </c:pivotFmts>
    <c:plotArea>
      <c:layout/>
      <c:pieChart>
        <c:varyColors val="1"/>
        <c:ser>
          <c:idx val="0"/>
          <c:order val="0"/>
          <c:tx>
            <c:strRef>
              <c:f>TD_INST!$B$3</c:f>
              <c:strCache>
                <c:ptCount val="1"/>
                <c:pt idx="0">
                  <c:v>PORCENTAJE</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EE44-4EBA-B563-8CE07740B688}"/>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EE44-4EBA-B563-8CE07740B688}"/>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EE44-4EBA-B563-8CE07740B688}"/>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EE44-4EBA-B563-8CE07740B688}"/>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EE44-4EBA-B563-8CE07740B688}"/>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EE44-4EBA-B563-8CE07740B688}"/>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EE44-4EBA-B563-8CE07740B688}"/>
              </c:ext>
            </c:extLst>
          </c:dPt>
          <c:dPt>
            <c:idx val="7"/>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F-EE44-4EBA-B563-8CE07740B688}"/>
              </c:ext>
            </c:extLst>
          </c:dPt>
          <c:dPt>
            <c:idx val="8"/>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11-EE44-4EBA-B563-8CE07740B688}"/>
              </c:ext>
            </c:extLst>
          </c:dPt>
          <c:dPt>
            <c:idx val="9"/>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13-EE44-4EBA-B563-8CE07740B688}"/>
              </c:ext>
            </c:extLst>
          </c:dPt>
          <c:dPt>
            <c:idx val="10"/>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15-EE44-4EBA-B563-8CE07740B688}"/>
              </c:ext>
            </c:extLst>
          </c:dPt>
          <c:dPt>
            <c:idx val="11"/>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17-EE44-4EBA-B563-8CE07740B688}"/>
              </c:ext>
            </c:extLst>
          </c:dPt>
          <c:dPt>
            <c:idx val="12"/>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19-EE44-4EBA-B563-8CE07740B688}"/>
              </c:ext>
            </c:extLst>
          </c:dPt>
          <c:dPt>
            <c:idx val="13"/>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1B-EE44-4EBA-B563-8CE07740B688}"/>
              </c:ext>
            </c:extLst>
          </c:dPt>
          <c:dLbls>
            <c:dLbl>
              <c:idx val="6"/>
              <c:layout>
                <c:manualLayout>
                  <c:x val="9.5042558932469951E-3"/>
                  <c:y val="2.901440281240472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EE44-4EBA-B563-8CE07740B688}"/>
                </c:ext>
              </c:extLst>
            </c:dLbl>
            <c:dLbl>
              <c:idx val="9"/>
              <c:layout>
                <c:manualLayout>
                  <c:x val="-4.6389551773318057E-2"/>
                  <c:y val="-7.548365110397650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EE44-4EBA-B563-8CE07740B6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TD_INST!$A$4:$A$18</c:f>
              <c:strCache>
                <c:ptCount val="14"/>
                <c:pt idx="0">
                  <c:v>CECYTEY</c:v>
                </c:pt>
                <c:pt idx="1">
                  <c:v>CEEAV</c:v>
                </c:pt>
                <c:pt idx="2">
                  <c:v>CJ</c:v>
                </c:pt>
                <c:pt idx="3">
                  <c:v>DIF</c:v>
                </c:pt>
                <c:pt idx="4">
                  <c:v>ESAY</c:v>
                </c:pt>
                <c:pt idx="5">
                  <c:v>INSEJUPY</c:v>
                </c:pt>
                <c:pt idx="6">
                  <c:v>SEDESOL</c:v>
                </c:pt>
                <c:pt idx="7">
                  <c:v>SEFOET</c:v>
                </c:pt>
                <c:pt idx="8">
                  <c:v>SEGEY</c:v>
                </c:pt>
                <c:pt idx="9">
                  <c:v>SEMUJERES</c:v>
                </c:pt>
                <c:pt idx="10">
                  <c:v>SEPLAN</c:v>
                </c:pt>
                <c:pt idx="11">
                  <c:v>SGG</c:v>
                </c:pt>
                <c:pt idx="12">
                  <c:v>SSP</c:v>
                </c:pt>
                <c:pt idx="13">
                  <c:v>SSY</c:v>
                </c:pt>
              </c:strCache>
            </c:strRef>
          </c:cat>
          <c:val>
            <c:numRef>
              <c:f>TD_INST!$B$4:$B$18</c:f>
              <c:numCache>
                <c:formatCode>0.00%</c:formatCode>
                <c:ptCount val="14"/>
                <c:pt idx="0">
                  <c:v>8.9203654646699444E-3</c:v>
                </c:pt>
                <c:pt idx="1">
                  <c:v>4.7575282478239708E-2</c:v>
                </c:pt>
                <c:pt idx="2">
                  <c:v>3.1626750283829802E-2</c:v>
                </c:pt>
                <c:pt idx="3">
                  <c:v>9.7313077796399392E-3</c:v>
                </c:pt>
                <c:pt idx="4">
                  <c:v>2.7031410498999854E-2</c:v>
                </c:pt>
                <c:pt idx="5">
                  <c:v>1.3515705249499928E-3</c:v>
                </c:pt>
                <c:pt idx="6">
                  <c:v>4.4520733091852727E-2</c:v>
                </c:pt>
                <c:pt idx="7">
                  <c:v>5.9469103097799639E-2</c:v>
                </c:pt>
                <c:pt idx="8">
                  <c:v>8.1094231496999531E-3</c:v>
                </c:pt>
                <c:pt idx="9">
                  <c:v>0.67037898037519605</c:v>
                </c:pt>
                <c:pt idx="10">
                  <c:v>7.4606692977239588E-3</c:v>
                </c:pt>
                <c:pt idx="11">
                  <c:v>5.0386549170135707E-2</c:v>
                </c:pt>
                <c:pt idx="12">
                  <c:v>2.7031410498999854E-2</c:v>
                </c:pt>
                <c:pt idx="13">
                  <c:v>6.4064442882629637E-3</c:v>
                </c:pt>
              </c:numCache>
            </c:numRef>
          </c:val>
          <c:extLst>
            <c:ext xmlns:c16="http://schemas.microsoft.com/office/drawing/2014/chart" uri="{C3380CC4-5D6E-409C-BE32-E72D297353CC}">
              <c16:uniqueId val="{0000001C-EE44-4EBA-B563-8CE07740B688}"/>
            </c:ext>
          </c:extLst>
        </c:ser>
        <c:ser>
          <c:idx val="1"/>
          <c:order val="1"/>
          <c:tx>
            <c:strRef>
              <c:f>TD_INST!$C$3</c:f>
              <c:strCache>
                <c:ptCount val="1"/>
                <c:pt idx="0">
                  <c:v>MONTO</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1E-EE44-4EBA-B563-8CE07740B688}"/>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20-EE44-4EBA-B563-8CE07740B688}"/>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22-EE44-4EBA-B563-8CE07740B688}"/>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24-EE44-4EBA-B563-8CE07740B688}"/>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26-EE44-4EBA-B563-8CE07740B688}"/>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28-EE44-4EBA-B563-8CE07740B688}"/>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2A-EE44-4EBA-B563-8CE07740B688}"/>
              </c:ext>
            </c:extLst>
          </c:dPt>
          <c:dPt>
            <c:idx val="7"/>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2C-EE44-4EBA-B563-8CE07740B688}"/>
              </c:ext>
            </c:extLst>
          </c:dPt>
          <c:dPt>
            <c:idx val="8"/>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2E-EE44-4EBA-B563-8CE07740B688}"/>
              </c:ext>
            </c:extLst>
          </c:dPt>
          <c:dPt>
            <c:idx val="9"/>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30-EE44-4EBA-B563-8CE07740B688}"/>
              </c:ext>
            </c:extLst>
          </c:dPt>
          <c:dPt>
            <c:idx val="10"/>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32-EE44-4EBA-B563-8CE07740B688}"/>
              </c:ext>
            </c:extLst>
          </c:dPt>
          <c:dPt>
            <c:idx val="11"/>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34-EE44-4EBA-B563-8CE07740B688}"/>
              </c:ext>
            </c:extLst>
          </c:dPt>
          <c:dPt>
            <c:idx val="12"/>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36-EE44-4EBA-B563-8CE07740B688}"/>
              </c:ext>
            </c:extLst>
          </c:dPt>
          <c:dPt>
            <c:idx val="13"/>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38-EE44-4EBA-B563-8CE07740B6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TD_INST!$A$4:$A$18</c:f>
              <c:strCache>
                <c:ptCount val="14"/>
                <c:pt idx="0">
                  <c:v>CECYTEY</c:v>
                </c:pt>
                <c:pt idx="1">
                  <c:v>CEEAV</c:v>
                </c:pt>
                <c:pt idx="2">
                  <c:v>CJ</c:v>
                </c:pt>
                <c:pt idx="3">
                  <c:v>DIF</c:v>
                </c:pt>
                <c:pt idx="4">
                  <c:v>ESAY</c:v>
                </c:pt>
                <c:pt idx="5">
                  <c:v>INSEJUPY</c:v>
                </c:pt>
                <c:pt idx="6">
                  <c:v>SEDESOL</c:v>
                </c:pt>
                <c:pt idx="7">
                  <c:v>SEFOET</c:v>
                </c:pt>
                <c:pt idx="8">
                  <c:v>SEGEY</c:v>
                </c:pt>
                <c:pt idx="9">
                  <c:v>SEMUJERES</c:v>
                </c:pt>
                <c:pt idx="10">
                  <c:v>SEPLAN</c:v>
                </c:pt>
                <c:pt idx="11">
                  <c:v>SGG</c:v>
                </c:pt>
                <c:pt idx="12">
                  <c:v>SSP</c:v>
                </c:pt>
                <c:pt idx="13">
                  <c:v>SSY</c:v>
                </c:pt>
              </c:strCache>
            </c:strRef>
          </c:cat>
          <c:val>
            <c:numRef>
              <c:f>TD_INST!$C$4:$C$18</c:f>
              <c:numCache>
                <c:formatCode>_("$"* #,##0.00_);_("$"* \(#,##0.00\);_("$"* "-"??_);_(@_)</c:formatCode>
                <c:ptCount val="14"/>
                <c:pt idx="0">
                  <c:v>2831267.67</c:v>
                </c:pt>
                <c:pt idx="1">
                  <c:v>1057642.95</c:v>
                </c:pt>
                <c:pt idx="2">
                  <c:v>489150.08999999997</c:v>
                </c:pt>
                <c:pt idx="3">
                  <c:v>1228881.44</c:v>
                </c:pt>
                <c:pt idx="4">
                  <c:v>1069302</c:v>
                </c:pt>
                <c:pt idx="5">
                  <c:v>3819.4500000000012</c:v>
                </c:pt>
                <c:pt idx="6">
                  <c:v>2436400</c:v>
                </c:pt>
                <c:pt idx="7">
                  <c:v>500120</c:v>
                </c:pt>
                <c:pt idx="8">
                  <c:v>180000</c:v>
                </c:pt>
                <c:pt idx="9">
                  <c:v>76459020.200000003</c:v>
                </c:pt>
                <c:pt idx="10">
                  <c:v>1573.2</c:v>
                </c:pt>
                <c:pt idx="11">
                  <c:v>2742682.64</c:v>
                </c:pt>
                <c:pt idx="12">
                  <c:v>71268</c:v>
                </c:pt>
                <c:pt idx="13">
                  <c:v>3460105.5640000002</c:v>
                </c:pt>
              </c:numCache>
            </c:numRef>
          </c:val>
          <c:extLst>
            <c:ext xmlns:c16="http://schemas.microsoft.com/office/drawing/2014/chart" uri="{C3380CC4-5D6E-409C-BE32-E72D297353CC}">
              <c16:uniqueId val="{00000039-EE44-4EBA-B563-8CE07740B688}"/>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3382304267985619"/>
          <c:y val="9.2304620330719345E-2"/>
          <c:w val="0.15664179641430404"/>
          <c:h val="0.806542176457377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[Copia de 2. Base de datos DRS 2022 (Versión Final) 21.11.2021.xlsx]Grafica 1!TablaDinámica1</c:name>
    <c:fmtId val="-1"/>
  </c:pivotSource>
  <c:chart>
    <c:autoTitleDeleted val="1"/>
    <c:pivotFmts>
      <c:pivotFmt>
        <c:idx val="0"/>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
        <c:spPr>
          <a:solidFill>
            <a:schemeClr val="accent3"/>
          </a:solidFill>
          <a:ln w="19050">
            <a:solidFill>
              <a:schemeClr val="lt1"/>
            </a:solidFill>
          </a:ln>
          <a:effectLst/>
        </c:spPr>
        <c:dLbl>
          <c:idx val="0"/>
          <c:layout>
            <c:manualLayout>
              <c:x val="3.2948929159802305E-2"/>
              <c:y val="1.890873602726295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7083333333333331"/>
                  <c:h val="0.10024447304558894"/>
                </c:manualLayout>
              </c15:layout>
            </c:ext>
          </c:extLst>
        </c:dLbl>
      </c:pivotFmt>
      <c:pivotFmt>
        <c:idx val="2"/>
        <c:spPr>
          <a:solidFill>
            <a:schemeClr val="accent3"/>
          </a:solidFill>
          <a:ln w="19050">
            <a:solidFill>
              <a:schemeClr val="lt1"/>
            </a:solidFill>
          </a:ln>
          <a:effectLst/>
        </c:spPr>
        <c:dLbl>
          <c:idx val="0"/>
          <c:layout>
            <c:manualLayout>
              <c:x val="-6.809436711679577E-2"/>
              <c:y val="-0.2396824007540082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8749999999999998"/>
                  <c:h val="0.14343924598393212"/>
                </c:manualLayout>
              </c15:layout>
            </c:ext>
          </c:extLst>
        </c:dLbl>
      </c:pivotFmt>
      <c:pivotFmt>
        <c:idx val="3"/>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4"/>
        <c:spPr>
          <a:solidFill>
            <a:schemeClr val="accent3"/>
          </a:solidFill>
          <a:ln w="19050">
            <a:solidFill>
              <a:schemeClr val="lt1"/>
            </a:solidFill>
          </a:ln>
          <a:effectLst/>
        </c:spPr>
        <c:dLbl>
          <c:idx val="0"/>
          <c:layout>
            <c:manualLayout>
              <c:x val="-6.809436711679577E-2"/>
              <c:y val="-0.2396824007540082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8749999999999998"/>
                  <c:h val="0.14343924598393212"/>
                </c:manualLayout>
              </c15:layout>
            </c:ext>
          </c:extLst>
        </c:dLbl>
      </c:pivotFmt>
      <c:pivotFmt>
        <c:idx val="5"/>
        <c:spPr>
          <a:solidFill>
            <a:schemeClr val="accent3"/>
          </a:solidFill>
          <a:ln w="19050">
            <a:solidFill>
              <a:schemeClr val="lt1"/>
            </a:solidFill>
          </a:ln>
          <a:effectLst/>
        </c:spPr>
        <c:dLbl>
          <c:idx val="0"/>
          <c:layout>
            <c:manualLayout>
              <c:x val="3.2948929159802305E-2"/>
              <c:y val="1.890873602726295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7083333333333331"/>
                  <c:h val="0.10024447304558894"/>
                </c:manualLayout>
              </c15:layout>
            </c:ext>
          </c:extLst>
        </c:dLbl>
      </c:pivotFmt>
      <c:pivotFmt>
        <c:idx val="6"/>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7"/>
        <c:spPr>
          <a:solidFill>
            <a:schemeClr val="accent3"/>
          </a:solidFill>
          <a:ln w="19050">
            <a:solidFill>
              <a:schemeClr val="lt1"/>
            </a:solidFill>
          </a:ln>
          <a:effectLst/>
        </c:spPr>
        <c:dLbl>
          <c:idx val="0"/>
          <c:layout>
            <c:manualLayout>
              <c:x val="-6.809436711679577E-2"/>
              <c:y val="-0.2396824007540082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8749999999999998"/>
                  <c:h val="0.14343924598393212"/>
                </c:manualLayout>
              </c15:layout>
            </c:ext>
          </c:extLst>
        </c:dLbl>
      </c:pivotFmt>
      <c:pivotFmt>
        <c:idx val="8"/>
        <c:spPr>
          <a:solidFill>
            <a:schemeClr val="accent3"/>
          </a:solidFill>
          <a:ln w="19050">
            <a:solidFill>
              <a:schemeClr val="lt1"/>
            </a:solidFill>
          </a:ln>
          <a:effectLst/>
        </c:spPr>
        <c:dLbl>
          <c:idx val="0"/>
          <c:layout>
            <c:manualLayout>
              <c:x val="3.2948929159802305E-2"/>
              <c:y val="1.890873602726295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7083333333333331"/>
                  <c:h val="0.10024447304558894"/>
                </c:manualLayout>
              </c15:layout>
            </c:ext>
          </c:extLst>
        </c:dLbl>
      </c:pivotFmt>
    </c:pivotFmts>
    <c:plotArea>
      <c:layout>
        <c:manualLayout>
          <c:layoutTarget val="inner"/>
          <c:xMode val="edge"/>
          <c:yMode val="edge"/>
          <c:x val="0.23506933508311473"/>
          <c:y val="0.17256629444678609"/>
          <c:w val="0.50763910761154862"/>
          <c:h val="0.59576212495437286"/>
        </c:manualLayout>
      </c:layout>
      <c:pieChart>
        <c:varyColors val="1"/>
        <c:ser>
          <c:idx val="0"/>
          <c:order val="0"/>
          <c:tx>
            <c:strRef>
              <c:f>'Grafica 1'!$B$3</c:f>
              <c:strCache>
                <c:ptCount val="1"/>
                <c:pt idx="0">
                  <c:v>Total</c:v>
                </c:pt>
              </c:strCache>
            </c:strRef>
          </c:tx>
          <c:dPt>
            <c:idx val="0"/>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1-D8E0-42C8-AAC5-8C6D88F7C7A9}"/>
              </c:ext>
            </c:extLst>
          </c:dPt>
          <c:dPt>
            <c:idx val="1"/>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3-D8E0-42C8-AAC5-8C6D88F7C7A9}"/>
              </c:ext>
            </c:extLst>
          </c:dPt>
          <c:dLbls>
            <c:dLbl>
              <c:idx val="0"/>
              <c:layout>
                <c:manualLayout>
                  <c:x val="-6.809436711679577E-2"/>
                  <c:y val="-0.2396824007540082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8749999999999998"/>
                      <c:h val="0.14343924598393212"/>
                    </c:manualLayout>
                  </c15:layout>
                </c:ext>
                <c:ext xmlns:c16="http://schemas.microsoft.com/office/drawing/2014/chart" uri="{C3380CC4-5D6E-409C-BE32-E72D297353CC}">
                  <c16:uniqueId val="{00000001-D8E0-42C8-AAC5-8C6D88F7C7A9}"/>
                </c:ext>
              </c:extLst>
            </c:dLbl>
            <c:dLbl>
              <c:idx val="1"/>
              <c:layout>
                <c:manualLayout>
                  <c:x val="3.2948929159802305E-2"/>
                  <c:y val="1.8908736027262958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7083333333333331"/>
                      <c:h val="0.10024447304558894"/>
                    </c:manualLayout>
                  </c15:layout>
                </c:ext>
                <c:ext xmlns:c16="http://schemas.microsoft.com/office/drawing/2014/chart" uri="{C3380CC4-5D6E-409C-BE32-E72D297353CC}">
                  <c16:uniqueId val="{00000003-D8E0-42C8-AAC5-8C6D88F7C7A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1'!$A$4:$A$6</c:f>
              <c:strCache>
                <c:ptCount val="2"/>
                <c:pt idx="0">
                  <c:v>Resto del Presupuesto 2022</c:v>
                </c:pt>
                <c:pt idx="1">
                  <c:v>Inversión en Desarrollo rural sustentable 2022</c:v>
                </c:pt>
              </c:strCache>
            </c:strRef>
          </c:cat>
          <c:val>
            <c:numRef>
              <c:f>'Grafica 1'!$B$4:$B$6</c:f>
              <c:numCache>
                <c:formatCode>#,##0</c:formatCode>
                <c:ptCount val="2"/>
                <c:pt idx="0">
                  <c:v>42682708169</c:v>
                </c:pt>
                <c:pt idx="1">
                  <c:v>3355342152</c:v>
                </c:pt>
              </c:numCache>
            </c:numRef>
          </c:val>
          <c:extLst>
            <c:ext xmlns:c16="http://schemas.microsoft.com/office/drawing/2014/chart" uri="{C3380CC4-5D6E-409C-BE32-E72D297353CC}">
              <c16:uniqueId val="{00000004-D8E0-42C8-AAC5-8C6D88F7C7A9}"/>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7.2222222222222243E-2"/>
          <c:y val="0.80533102174023508"/>
          <c:w val="0.83888888888888913"/>
          <c:h val="0.1573912025640407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solidFill>
      <a:schemeClr val="bg1"/>
    </a:solidFill>
    <a:ln w="9525" cap="flat" cmpd="sng" algn="ctr">
      <a:noFill/>
      <a:round/>
    </a:ln>
    <a:effectLst/>
  </c:spPr>
  <c:txPr>
    <a:bodyPr/>
    <a:lstStyle/>
    <a:p>
      <a:pPr>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 2'!$A$14:$A$19</c:f>
              <c:strCache>
                <c:ptCount val="6"/>
                <c:pt idx="0">
                  <c:v>Social</c:v>
                </c:pt>
                <c:pt idx="1">
                  <c:v>Educativa</c:v>
                </c:pt>
                <c:pt idx="2">
                  <c:v>Salud</c:v>
                </c:pt>
                <c:pt idx="3">
                  <c:v>Administrativa</c:v>
                </c:pt>
                <c:pt idx="4">
                  <c:v>Competitividad</c:v>
                </c:pt>
                <c:pt idx="5">
                  <c:v>Otros</c:v>
                </c:pt>
              </c:strCache>
            </c:strRef>
          </c:cat>
          <c:val>
            <c:numRef>
              <c:f>'Grafica 2'!$B$14:$B$19</c:f>
              <c:numCache>
                <c:formatCode>#,##0</c:formatCode>
                <c:ptCount val="6"/>
                <c:pt idx="0">
                  <c:v>1297217321</c:v>
                </c:pt>
                <c:pt idx="1">
                  <c:v>1163651893</c:v>
                </c:pt>
                <c:pt idx="2">
                  <c:v>381274360</c:v>
                </c:pt>
                <c:pt idx="3">
                  <c:v>245986437</c:v>
                </c:pt>
                <c:pt idx="4">
                  <c:v>214488277</c:v>
                </c:pt>
                <c:pt idx="5">
                  <c:v>52723864</c:v>
                </c:pt>
              </c:numCache>
            </c:numRef>
          </c:val>
          <c:extLst>
            <c:ext xmlns:c16="http://schemas.microsoft.com/office/drawing/2014/chart" uri="{C3380CC4-5D6E-409C-BE32-E72D297353CC}">
              <c16:uniqueId val="{0000000C-4FAE-4C47-82EA-30B05CB8E2BE}"/>
            </c:ext>
          </c:extLst>
        </c:ser>
        <c:dLbls>
          <c:showLegendKey val="0"/>
          <c:showVal val="1"/>
          <c:showCatName val="0"/>
          <c:showSerName val="0"/>
          <c:showPercent val="0"/>
          <c:showBubbleSize val="0"/>
        </c:dLbls>
        <c:gapWidth val="219"/>
        <c:overlap val="-27"/>
        <c:axId val="346654976"/>
        <c:axId val="346656768"/>
      </c:barChart>
      <c:catAx>
        <c:axId val="34665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46656768"/>
        <c:crosses val="autoZero"/>
        <c:auto val="1"/>
        <c:lblAlgn val="ctr"/>
        <c:lblOffset val="100"/>
        <c:noMultiLvlLbl val="0"/>
      </c:catAx>
      <c:valAx>
        <c:axId val="346656768"/>
        <c:scaling>
          <c:orientation val="minMax"/>
        </c:scaling>
        <c:delete val="1"/>
        <c:axPos val="l"/>
        <c:numFmt formatCode="#,##0" sourceLinked="1"/>
        <c:majorTickMark val="none"/>
        <c:minorTickMark val="none"/>
        <c:tickLblPos val="none"/>
        <c:crossAx val="346654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1-D5F0-40C1-A806-94BDD5FE02A5}"/>
              </c:ext>
            </c:extLst>
          </c:dPt>
          <c:dPt>
            <c:idx val="1"/>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3-D5F0-40C1-A806-94BDD5FE02A5}"/>
              </c:ext>
            </c:extLst>
          </c:dPt>
          <c:dLbls>
            <c:dLbl>
              <c:idx val="0"/>
              <c:layout>
                <c:manualLayout>
                  <c:x val="-0.18075265239732369"/>
                  <c:y val="-0.24716553287981866"/>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3118535359136447"/>
                      <c:h val="0.20030234315948603"/>
                    </c:manualLayout>
                  </c15:layout>
                </c:ext>
                <c:ext xmlns:c16="http://schemas.microsoft.com/office/drawing/2014/chart" uri="{C3380CC4-5D6E-409C-BE32-E72D297353CC}">
                  <c16:uniqueId val="{00000001-D5F0-40C1-A806-94BDD5FE02A5}"/>
                </c:ext>
              </c:extLst>
            </c:dLbl>
            <c:dLbl>
              <c:idx val="1"/>
              <c:layout>
                <c:manualLayout>
                  <c:x val="2.1525862537128241E-2"/>
                  <c:y val="7.1882542623212947E-2"/>
                </c:manualLayout>
              </c:layout>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extLst>
                <c:ext xmlns:c15="http://schemas.microsoft.com/office/drawing/2012/chart" uri="{CE6537A1-D6FC-4f65-9D91-7224C49458BB}">
                  <c15:layout>
                    <c:manualLayout>
                      <c:w val="0.29530009888829045"/>
                      <c:h val="0.20030223109816983"/>
                    </c:manualLayout>
                  </c15:layout>
                </c:ext>
                <c:ext xmlns:c16="http://schemas.microsoft.com/office/drawing/2014/chart" uri="{C3380CC4-5D6E-409C-BE32-E72D297353CC}">
                  <c16:uniqueId val="{00000003-D5F0-40C1-A806-94BDD5FE02A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'TD TOT UBP'!$A$10:$A$11</c:f>
              <c:strCache>
                <c:ptCount val="2"/>
                <c:pt idx="0">
                  <c:v>Resto Presupuesto</c:v>
                </c:pt>
                <c:pt idx="1">
                  <c:v>Presupuesto destinado Etnia</c:v>
                </c:pt>
              </c:strCache>
            </c:strRef>
          </c:cat>
          <c:val>
            <c:numRef>
              <c:f>'TD TOT UBP'!$B$10:$B$11</c:f>
              <c:numCache>
                <c:formatCode>_-* #,##0_-;\-* #,##0_-;_-* "-"??_-;_-@_-</c:formatCode>
                <c:ptCount val="2"/>
                <c:pt idx="0">
                  <c:v>37127558242</c:v>
                </c:pt>
                <c:pt idx="1">
                  <c:v>8910492079</c:v>
                </c:pt>
              </c:numCache>
            </c:numRef>
          </c:val>
          <c:extLst>
            <c:ext xmlns:c16="http://schemas.microsoft.com/office/drawing/2014/chart" uri="{C3380CC4-5D6E-409C-BE32-E72D297353CC}">
              <c16:uniqueId val="{00000004-D5F0-40C1-A806-94BDD5FE02A5}"/>
            </c:ext>
          </c:extLst>
        </c:ser>
        <c:dLbls>
          <c:showLegendKey val="0"/>
          <c:showVal val="1"/>
          <c:showCatName val="1"/>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100" b="1">
          <a:solidFill>
            <a:schemeClr val="bg1"/>
          </a:solidFill>
          <a:latin typeface="Arial" panose="020B0604020202020204" pitchFamily="34" charset="0"/>
          <a:cs typeface="Arial" panose="020B0604020202020204" pitchFamily="34" charset="0"/>
        </a:defRPr>
      </a:pPr>
      <a:endParaRPr lang="es-MX"/>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[7. Anexo Transversal Etnia_Gráficas_22.11.21.xlsx]TD DER!TablaDinámica4</c:name>
    <c:fmtId val="-1"/>
  </c:pivotSource>
  <c:chart>
    <c:autoTitleDeleted val="1"/>
    <c:pivotFmts>
      <c:pivotFmt>
        <c:idx val="0"/>
        <c:spPr>
          <a:solidFill>
            <a:schemeClr val="dk1">
              <a:tint val="88500"/>
            </a:schemeClr>
          </a:solidFill>
          <a:ln>
            <a:noFill/>
          </a:ln>
          <a:effectLst/>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dk1">
              <a:tint val="88500"/>
            </a:schemeClr>
          </a:solidFill>
          <a:ln>
            <a:noFill/>
          </a:ln>
          <a:effectLst/>
        </c:spPr>
      </c:pivotFmt>
      <c:pivotFmt>
        <c:idx val="4"/>
        <c:spPr>
          <a:solidFill>
            <a:schemeClr val="dk1">
              <a:tint val="88500"/>
            </a:schemeClr>
          </a:solidFill>
          <a:ln>
            <a:noFill/>
          </a:ln>
          <a:effectLst/>
        </c:spPr>
      </c:pivotFmt>
      <c:pivotFmt>
        <c:idx val="5"/>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dk1">
              <a:tint val="88500"/>
            </a:schemeClr>
          </a:solidFill>
          <a:ln>
            <a:noFill/>
          </a:ln>
          <a:effectLst/>
        </c:spPr>
      </c:pivotFmt>
      <c:pivotFmt>
        <c:idx val="7"/>
        <c:spPr>
          <a:solidFill>
            <a:schemeClr val="dk1">
              <a:tint val="88500"/>
            </a:schemeClr>
          </a:solidFill>
          <a:ln>
            <a:noFill/>
          </a:ln>
          <a:effectLst/>
        </c:spPr>
      </c:pivotFmt>
      <c:pivotFmt>
        <c:idx val="8"/>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dk1">
              <a:tint val="88500"/>
            </a:schemeClr>
          </a:solidFill>
          <a:ln>
            <a:noFill/>
          </a:ln>
          <a:effectLst/>
        </c:spPr>
      </c:pivotFmt>
      <c:pivotFmt>
        <c:idx val="10"/>
        <c:spPr>
          <a:solidFill>
            <a:schemeClr val="dk1">
              <a:tint val="88500"/>
            </a:schemeClr>
          </a:solidFill>
          <a:ln>
            <a:noFill/>
          </a:ln>
          <a:effectLst/>
        </c:spPr>
      </c:pivotFmt>
      <c:pivotFmt>
        <c:idx val="11"/>
        <c:spPr>
          <a:solidFill>
            <a:schemeClr val="dk1">
              <a:tint val="88500"/>
            </a:schemeClr>
          </a:solidFill>
          <a:ln>
            <a:noFill/>
          </a:ln>
          <a:effectLst/>
        </c:spPr>
      </c:pivotFmt>
      <c:pivotFmt>
        <c:idx val="12"/>
        <c:spPr>
          <a:solidFill>
            <a:schemeClr val="dk1">
              <a:tint val="88500"/>
            </a:schemeClr>
          </a:solidFill>
          <a:ln>
            <a:noFill/>
          </a:ln>
          <a:effectLst/>
        </c:spPr>
      </c:pivotFmt>
      <c:pivotFmt>
        <c:idx val="13"/>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dk1">
              <a:tint val="88500"/>
            </a:schemeClr>
          </a:solidFill>
          <a:ln>
            <a:noFill/>
          </a:ln>
          <a:effectLst/>
        </c:spPr>
      </c:pivotFmt>
      <c:pivotFmt>
        <c:idx val="16"/>
        <c:spPr>
          <a:solidFill>
            <a:schemeClr val="dk1">
              <a:tint val="88500"/>
            </a:schemeClr>
          </a:solidFill>
          <a:ln>
            <a:noFill/>
          </a:ln>
          <a:effectLst/>
        </c:spPr>
      </c:pivotFmt>
      <c:pivotFmt>
        <c:idx val="17"/>
        <c:spPr>
          <a:solidFill>
            <a:schemeClr val="dk1">
              <a:tint val="88500"/>
            </a:schemeClr>
          </a:solidFill>
          <a:ln>
            <a:noFill/>
          </a:ln>
          <a:effectLst/>
        </c:spPr>
      </c:pivotFmt>
      <c:pivotFmt>
        <c:idx val="18"/>
        <c:spPr>
          <a:solidFill>
            <a:schemeClr val="dk1">
              <a:tint val="88500"/>
            </a:schemeClr>
          </a:solidFill>
          <a:ln>
            <a:noFill/>
          </a:ln>
          <a:effectLst/>
        </c:spPr>
      </c:pivotFmt>
      <c:pivotFmt>
        <c:idx val="19"/>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'TD DER'!$B$4</c:f>
              <c:strCache>
                <c:ptCount val="1"/>
                <c:pt idx="0">
                  <c:v>Total</c:v>
                </c:pt>
              </c:strCache>
            </c:strRef>
          </c:tx>
          <c:spPr>
            <a:solidFill>
              <a:schemeClr val="dk1">
                <a:tint val="88500"/>
              </a:schemeClr>
            </a:solidFill>
            <a:ln>
              <a:noFill/>
            </a:ln>
            <a:effectLst/>
          </c:spPr>
          <c:invertIfNegative val="0"/>
          <c:dLbls>
            <c:dLbl>
              <c:idx val="4"/>
              <c:layout>
                <c:manualLayout>
                  <c:x val="-0.12712847257729154"/>
                  <c:y val="0"/>
                </c:manualLayout>
              </c:layout>
              <c:numFmt formatCode="#,##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CCD-445C-A373-AEB420251A3A}"/>
                </c:ext>
              </c:extLst>
            </c:dLbl>
            <c:numFmt formatCode="#,##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'TD DER'!$A$5:$A$10</c:f>
              <c:strCache>
                <c:ptCount val="5"/>
                <c:pt idx="0">
                  <c:v>Derecho a la identidad social y cultural</c:v>
                </c:pt>
                <c:pt idx="1">
                  <c:v>Derecho a la tierra y a la utilización de recursos</c:v>
                </c:pt>
                <c:pt idx="2">
                  <c:v>Derecho a la igualdad</c:v>
                </c:pt>
                <c:pt idx="3">
                  <c:v>Derecho a la educación</c:v>
                </c:pt>
                <c:pt idx="4">
                  <c:v>Derecho al desarrollo</c:v>
                </c:pt>
              </c:strCache>
            </c:strRef>
          </c:cat>
          <c:val>
            <c:numRef>
              <c:f>'TD DER'!$B$5:$B$10</c:f>
              <c:numCache>
                <c:formatCode>_-* #,##0_-;\-* #,##0_-;_-* "-"??_-;_-@_-</c:formatCode>
                <c:ptCount val="5"/>
                <c:pt idx="0">
                  <c:v>52754742</c:v>
                </c:pt>
                <c:pt idx="1">
                  <c:v>193306844</c:v>
                </c:pt>
                <c:pt idx="2">
                  <c:v>695424761</c:v>
                </c:pt>
                <c:pt idx="3">
                  <c:v>1199322015</c:v>
                </c:pt>
                <c:pt idx="4">
                  <c:v>6769683717</c:v>
                </c:pt>
              </c:numCache>
            </c:numRef>
          </c:val>
          <c:extLst>
            <c:ext xmlns:c16="http://schemas.microsoft.com/office/drawing/2014/chart" uri="{C3380CC4-5D6E-409C-BE32-E72D297353CC}">
              <c16:uniqueId val="{0000000A-DCCD-445C-A373-AEB420251A3A}"/>
            </c:ext>
          </c:extLst>
        </c:ser>
        <c:dLbls>
          <c:showLegendKey val="0"/>
          <c:showVal val="1"/>
          <c:showCatName val="0"/>
          <c:showSerName val="0"/>
          <c:showPercent val="0"/>
          <c:showBubbleSize val="0"/>
        </c:dLbls>
        <c:gapWidth val="75"/>
        <c:axId val="346985216"/>
        <c:axId val="346986752"/>
      </c:barChart>
      <c:catAx>
        <c:axId val="3469852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
                <a:ea typeface="+mn-ea"/>
                <a:cs typeface="+mn-cs"/>
              </a:defRPr>
            </a:pPr>
            <a:endParaRPr lang="es-MX"/>
          </a:p>
        </c:txPr>
        <c:crossAx val="346986752"/>
        <c:crosses val="autoZero"/>
        <c:auto val="1"/>
        <c:lblAlgn val="ctr"/>
        <c:lblOffset val="100"/>
        <c:noMultiLvlLbl val="0"/>
      </c:catAx>
      <c:valAx>
        <c:axId val="346986752"/>
        <c:scaling>
          <c:orientation val="minMax"/>
        </c:scaling>
        <c:delete val="1"/>
        <c:axPos val="b"/>
        <c:numFmt formatCode="_-* #,##0_-;\-* #,##0_-;_-* &quot;-&quot;??_-;_-@_-" sourceLinked="1"/>
        <c:majorTickMark val="out"/>
        <c:minorTickMark val="none"/>
        <c:tickLblPos val="none"/>
        <c:crossAx val="346985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[7. Anexo Transversal Etnia_Gráficas_22.11.21.xlsx]TD G5 ESPC!TablaDinámica4</c:name>
    <c:fmtId val="-1"/>
  </c:pivotSource>
  <c:chart>
    <c:autoTitleDeleted val="1"/>
    <c:pivotFmts>
      <c:pivotFmt>
        <c:idx val="0"/>
        <c:spPr>
          <a:solidFill>
            <a:schemeClr val="accent3"/>
          </a:solidFill>
          <a:ln>
            <a:noFill/>
          </a:ln>
          <a:effectLst/>
        </c:spPr>
        <c:marker>
          <c:symbol val="none"/>
        </c:marker>
      </c:pivotFmt>
      <c:pivotFmt>
        <c:idx val="1"/>
        <c:spPr>
          <a:solidFill>
            <a:schemeClr val="accent3"/>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pivotFmt>
      <c:pivotFmt>
        <c:idx val="3"/>
        <c:spPr>
          <a:solidFill>
            <a:schemeClr val="accent3"/>
          </a:solidFill>
          <a:ln>
            <a:noFill/>
          </a:ln>
          <a:effectLst/>
        </c:spPr>
      </c:pivotFmt>
      <c:pivotFmt>
        <c:idx val="4"/>
        <c:spPr>
          <a:solidFill>
            <a:schemeClr val="accent3"/>
          </a:solidFill>
          <a:ln>
            <a:noFill/>
          </a:ln>
          <a:effectLst/>
        </c:spPr>
      </c:pivotFmt>
      <c:pivotFmt>
        <c:idx val="5"/>
        <c:spPr>
          <a:solidFill>
            <a:schemeClr val="accent3"/>
          </a:solidFill>
          <a:ln>
            <a:noFill/>
          </a:ln>
          <a:effectLst/>
        </c:spPr>
      </c:pivotFmt>
      <c:pivotFmt>
        <c:idx val="6"/>
        <c:spPr>
          <a:solidFill>
            <a:schemeClr val="accent3"/>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pivotFmt>
      <c:pivotFmt>
        <c:idx val="8"/>
        <c:spPr>
          <a:solidFill>
            <a:schemeClr val="accent3"/>
          </a:solidFill>
          <a:ln>
            <a:noFill/>
          </a:ln>
          <a:effectLst/>
        </c:spPr>
      </c:pivotFmt>
      <c:pivotFmt>
        <c:idx val="9"/>
        <c:spPr>
          <a:solidFill>
            <a:schemeClr val="accent3"/>
          </a:solidFill>
          <a:ln>
            <a:noFill/>
          </a:ln>
          <a:effectLst/>
        </c:spPr>
      </c:pivotFmt>
      <c:pivotFmt>
        <c:idx val="10"/>
        <c:spPr>
          <a:solidFill>
            <a:schemeClr val="accent3"/>
          </a:solidFill>
          <a:ln>
            <a:noFill/>
          </a:ln>
          <a:effectLst/>
        </c:spPr>
      </c:pivotFmt>
      <c:pivotFmt>
        <c:idx val="11"/>
        <c:spPr>
          <a:solidFill>
            <a:schemeClr val="accent3"/>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3"/>
          </a:solidFill>
          <a:ln>
            <a:noFill/>
          </a:ln>
          <a:effectLst/>
        </c:spPr>
      </c:pivotFmt>
      <c:pivotFmt>
        <c:idx val="13"/>
        <c:spPr>
          <a:solidFill>
            <a:schemeClr val="accent3"/>
          </a:solidFill>
          <a:ln>
            <a:noFill/>
          </a:ln>
          <a:effectLst/>
        </c:spPr>
      </c:pivotFmt>
      <c:pivotFmt>
        <c:idx val="14"/>
        <c:spPr>
          <a:solidFill>
            <a:schemeClr val="accent3"/>
          </a:solidFill>
          <a:ln>
            <a:noFill/>
          </a:ln>
          <a:effectLst/>
        </c:spPr>
      </c:pivotFmt>
      <c:pivotFmt>
        <c:idx val="15"/>
        <c:spPr>
          <a:solidFill>
            <a:schemeClr val="accent3"/>
          </a:solidFill>
          <a:ln>
            <a:noFill/>
          </a:ln>
          <a:effectLst/>
        </c:spPr>
      </c:pivotFmt>
    </c:pivotFmts>
    <c:plotArea>
      <c:layout/>
      <c:barChart>
        <c:barDir val="col"/>
        <c:grouping val="clustered"/>
        <c:varyColors val="0"/>
        <c:ser>
          <c:idx val="0"/>
          <c:order val="0"/>
          <c:tx>
            <c:strRef>
              <c:f>'TD G5 ESPC'!$B$4</c:f>
              <c:strCache>
                <c:ptCount val="1"/>
                <c:pt idx="0">
                  <c:v>Total</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'TD G5 ESPC'!$A$5:$A$9</c:f>
              <c:strCache>
                <c:ptCount val="4"/>
                <c:pt idx="0">
                  <c:v>Inversión Agéntica o indirecta</c:v>
                </c:pt>
                <c:pt idx="1">
                  <c:v>Inversión Específica o directa</c:v>
                </c:pt>
                <c:pt idx="2">
                  <c:v>Inversión en Bienes Públicos</c:v>
                </c:pt>
                <c:pt idx="3">
                  <c:v>Inversión Ampliada</c:v>
                </c:pt>
              </c:strCache>
            </c:strRef>
          </c:cat>
          <c:val>
            <c:numRef>
              <c:f>'TD G5 ESPC'!$B$5:$B$9</c:f>
              <c:numCache>
                <c:formatCode>_-* #,##0_-;\-* #,##0_-;_-* "-"??_-;_-@_-</c:formatCode>
                <c:ptCount val="4"/>
                <c:pt idx="0">
                  <c:v>4188909299</c:v>
                </c:pt>
                <c:pt idx="1">
                  <c:v>3885285025</c:v>
                </c:pt>
                <c:pt idx="2">
                  <c:v>813686292</c:v>
                </c:pt>
                <c:pt idx="3">
                  <c:v>22611463</c:v>
                </c:pt>
              </c:numCache>
            </c:numRef>
          </c:val>
          <c:extLst>
            <c:ext xmlns:c16="http://schemas.microsoft.com/office/drawing/2014/chart" uri="{C3380CC4-5D6E-409C-BE32-E72D297353CC}">
              <c16:uniqueId val="{00000008-332E-46AB-A19F-03970CDA510C}"/>
            </c:ext>
          </c:extLst>
        </c:ser>
        <c:dLbls>
          <c:showLegendKey val="0"/>
          <c:showVal val="1"/>
          <c:showCatName val="0"/>
          <c:showSerName val="0"/>
          <c:showPercent val="0"/>
          <c:showBubbleSize val="0"/>
        </c:dLbls>
        <c:gapWidth val="219"/>
        <c:overlap val="-27"/>
        <c:axId val="346713472"/>
        <c:axId val="346727552"/>
      </c:barChart>
      <c:catAx>
        <c:axId val="34671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
                <a:ea typeface="+mn-ea"/>
                <a:cs typeface="+mn-cs"/>
              </a:defRPr>
            </a:pPr>
            <a:endParaRPr lang="es-MX"/>
          </a:p>
        </c:txPr>
        <c:crossAx val="346727552"/>
        <c:crosses val="autoZero"/>
        <c:auto val="1"/>
        <c:lblAlgn val="ctr"/>
        <c:lblOffset val="100"/>
        <c:noMultiLvlLbl val="0"/>
      </c:catAx>
      <c:valAx>
        <c:axId val="346727552"/>
        <c:scaling>
          <c:orientation val="minMax"/>
        </c:scaling>
        <c:delete val="1"/>
        <c:axPos val="l"/>
        <c:majorGridlines>
          <c:spPr>
            <a:ln w="9525" cap="flat" cmpd="sng" algn="ctr">
              <a:noFill/>
              <a:round/>
            </a:ln>
            <a:effectLst/>
          </c:spPr>
        </c:majorGridlines>
        <c:numFmt formatCode="_-* #,##0_-;\-* #,##0_-;_-* &quot;-&quot;??_-;_-@_-" sourceLinked="1"/>
        <c:majorTickMark val="none"/>
        <c:minorTickMark val="none"/>
        <c:tickLblPos val="none"/>
        <c:crossAx val="346713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[1.0 infancia temprana 2022-17Nov-5.40pm.xlsx]Tabla 2!TablaDinámica7</c:name>
    <c:fmtId val="-1"/>
  </c:pivotSource>
  <c:chart>
    <c:autoTitleDeleted val="1"/>
    <c:pivotFmts>
      <c:pivotFmt>
        <c:idx val="0"/>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E58C4"/>
          </a:solidFill>
        </c:spPr>
        <c:dLbl>
          <c:idx val="0"/>
          <c:layout>
            <c:manualLayout>
              <c:x val="1.8630037047368903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4F81BD"/>
          </a:solidFill>
        </c:spPr>
      </c:pivotFmt>
      <c:pivotFmt>
        <c:idx val="5"/>
        <c:spPr>
          <a:solidFill>
            <a:srgbClr val="121D56"/>
          </a:solidFill>
        </c:spPr>
      </c:pivotFmt>
      <c:pivotFmt>
        <c:idx val="6"/>
        <c:spPr>
          <a:solidFill>
            <a:srgbClr val="1A98C0"/>
          </a:solidFill>
        </c:spPr>
      </c:pivotFmt>
      <c:pivotFmt>
        <c:idx val="7"/>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121D56"/>
          </a:solidFill>
        </c:spPr>
      </c:pivotFmt>
      <c:pivotFmt>
        <c:idx val="9"/>
        <c:spPr>
          <a:solidFill>
            <a:srgbClr val="0E58C4"/>
          </a:solidFill>
        </c:spPr>
        <c:dLbl>
          <c:idx val="0"/>
          <c:layout>
            <c:manualLayout>
              <c:x val="1.8630037047368903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4F81BD"/>
          </a:solidFill>
        </c:spPr>
      </c:pivotFmt>
      <c:pivotFmt>
        <c:idx val="11"/>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2'!$F$5</c:f>
              <c:strCache>
                <c:ptCount val="1"/>
                <c:pt idx="0">
                  <c:v>Total</c:v>
                </c:pt>
              </c:strCache>
            </c:strRef>
          </c:tx>
          <c:spPr>
            <a:solidFill>
              <a:srgbClr val="002060"/>
            </a:solidFill>
          </c:spPr>
          <c:invertIfNegative val="0"/>
          <c:dPt>
            <c:idx val="0"/>
            <c:invertIfNegative val="0"/>
            <c:bubble3D val="0"/>
            <c:spPr>
              <a:solidFill>
                <a:schemeClr val="tx1">
                  <a:lumMod val="95000"/>
                  <a:lumOff val="5000"/>
                </a:schemeClr>
              </a:solidFill>
            </c:spPr>
            <c:extLst>
              <c:ext xmlns:c16="http://schemas.microsoft.com/office/drawing/2014/chart" uri="{C3380CC4-5D6E-409C-BE32-E72D297353CC}">
                <c16:uniqueId val="{00000001-9EFB-4897-9484-91E00447E4E6}"/>
              </c:ext>
            </c:extLst>
          </c:dPt>
          <c:dPt>
            <c:idx val="1"/>
            <c:invertIfNegative val="0"/>
            <c:bubble3D val="0"/>
            <c:spPr>
              <a:solidFill>
                <a:schemeClr val="tx1">
                  <a:lumMod val="85000"/>
                  <a:lumOff val="15000"/>
                </a:schemeClr>
              </a:solidFill>
            </c:spPr>
            <c:extLst>
              <c:ext xmlns:c16="http://schemas.microsoft.com/office/drawing/2014/chart" uri="{C3380CC4-5D6E-409C-BE32-E72D297353CC}">
                <c16:uniqueId val="{00000003-9EFB-4897-9484-91E00447E4E6}"/>
              </c:ext>
            </c:extLst>
          </c:dPt>
          <c:dPt>
            <c:idx val="2"/>
            <c:invertIfNegative val="0"/>
            <c:bubble3D val="0"/>
            <c:spPr>
              <a:solidFill>
                <a:schemeClr val="bg1">
                  <a:lumMod val="85000"/>
                </a:schemeClr>
              </a:solidFill>
            </c:spPr>
            <c:extLst>
              <c:ext xmlns:c16="http://schemas.microsoft.com/office/drawing/2014/chart" uri="{C3380CC4-5D6E-409C-BE32-E72D297353CC}">
                <c16:uniqueId val="{00000005-9EFB-4897-9484-91E00447E4E6}"/>
              </c:ext>
            </c:extLst>
          </c:dPt>
          <c:dPt>
            <c:idx val="3"/>
            <c:invertIfNegative val="0"/>
            <c:bubble3D val="0"/>
            <c:spPr>
              <a:solidFill>
                <a:schemeClr val="bg1">
                  <a:lumMod val="50000"/>
                </a:schemeClr>
              </a:solidFill>
            </c:spPr>
            <c:extLst>
              <c:ext xmlns:c16="http://schemas.microsoft.com/office/drawing/2014/chart" uri="{C3380CC4-5D6E-409C-BE32-E72D297353CC}">
                <c16:uniqueId val="{00000007-9EFB-4897-9484-91E00447E4E6}"/>
              </c:ext>
            </c:extLst>
          </c:dPt>
          <c:dLbls>
            <c:dLbl>
              <c:idx val="3"/>
              <c:layout/>
              <c:tx>
                <c:rich>
                  <a:bodyPr/>
                  <a:lstStyle/>
                  <a:p>
                    <a:r>
                      <a:rPr lang="en-US" sz="1000" b="0" i="0" u="none" strike="noStrike" baseline="0">
                        <a:effectLst/>
                      </a:rPr>
                      <a:t>762,143,164</a:t>
                    </a:r>
                    <a:r>
                      <a:rPr lang="en-US" sz="10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EFB-4897-9484-91E00447E4E6}"/>
                </c:ext>
              </c:extLst>
            </c:dLbl>
            <c:spPr>
              <a:noFill/>
              <a:ln>
                <a:noFill/>
              </a:ln>
              <a:effectLst/>
            </c:spPr>
            <c:txPr>
              <a:bodyPr/>
              <a:lstStyle/>
              <a:p>
                <a:pPr>
                  <a:defRPr>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'Tabla 2'!$E$6:$E$10</c:f>
              <c:strCache>
                <c:ptCount val="4"/>
                <c:pt idx="0">
                  <c:v>1 - Inversión Específica o directa</c:v>
                </c:pt>
                <c:pt idx="1">
                  <c:v>2 - Inversión Agéntica o indirecta</c:v>
                </c:pt>
                <c:pt idx="2">
                  <c:v>3 - Inversión en Bienes Públicos</c:v>
                </c:pt>
                <c:pt idx="3">
                  <c:v>4 - Inversión Ampliada</c:v>
                </c:pt>
              </c:strCache>
            </c:strRef>
          </c:cat>
          <c:val>
            <c:numRef>
              <c:f>'Tabla 2'!$F$6:$F$10</c:f>
              <c:numCache>
                <c:formatCode>#,##0</c:formatCode>
                <c:ptCount val="4"/>
                <c:pt idx="0">
                  <c:v>273952521</c:v>
                </c:pt>
                <c:pt idx="1">
                  <c:v>2643671252</c:v>
                </c:pt>
                <c:pt idx="2">
                  <c:v>209057139</c:v>
                </c:pt>
                <c:pt idx="3">
                  <c:v>886818020.08999991</c:v>
                </c:pt>
              </c:numCache>
            </c:numRef>
          </c:val>
          <c:extLst>
            <c:ext xmlns:c16="http://schemas.microsoft.com/office/drawing/2014/chart" uri="{C3380CC4-5D6E-409C-BE32-E72D297353CC}">
              <c16:uniqueId val="{00000008-9EFB-4897-9484-91E00447E4E6}"/>
            </c:ext>
          </c:extLst>
        </c:ser>
        <c:dLbls>
          <c:showLegendKey val="0"/>
          <c:showVal val="1"/>
          <c:showCatName val="0"/>
          <c:showSerName val="0"/>
          <c:showPercent val="0"/>
          <c:showBubbleSize val="0"/>
        </c:dLbls>
        <c:gapWidth val="150"/>
        <c:axId val="129367424"/>
        <c:axId val="177063040"/>
      </c:barChart>
      <c:catAx>
        <c:axId val="129367424"/>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MX"/>
          </a:p>
        </c:txPr>
        <c:crossAx val="177063040"/>
        <c:crosses val="autoZero"/>
        <c:auto val="1"/>
        <c:lblAlgn val="ctr"/>
        <c:lblOffset val="100"/>
        <c:noMultiLvlLbl val="0"/>
      </c:catAx>
      <c:valAx>
        <c:axId val="177063040"/>
        <c:scaling>
          <c:orientation val="minMax"/>
        </c:scaling>
        <c:delete val="1"/>
        <c:axPos val="l"/>
        <c:numFmt formatCode="#,##0" sourceLinked="1"/>
        <c:majorTickMark val="out"/>
        <c:minorTickMark val="none"/>
        <c:tickLblPos val="none"/>
        <c:crossAx val="129367424"/>
        <c:crosses val="autoZero"/>
        <c:crossBetween val="between"/>
      </c:valAx>
    </c:plotArea>
    <c:plotVisOnly val="1"/>
    <c:dispBlanksAs val="gap"/>
    <c:showDLblsOverMax val="0"/>
  </c:chart>
  <c:spPr>
    <a:solidFill>
      <a:schemeClr val="lt1"/>
    </a:solidFill>
    <a:ln w="25400" cap="flat" cmpd="sng" algn="ctr">
      <a:solidFill>
        <a:srgbClr val="EDEDED"/>
      </a:solidFill>
      <a:prstDash val="solid"/>
    </a:ln>
    <a:effectLst/>
  </c:spPr>
  <c:txPr>
    <a:bodyPr/>
    <a:lstStyle/>
    <a:p>
      <a:pPr>
        <a:defRPr>
          <a:solidFill>
            <a:schemeClr val="dk1"/>
          </a:solidFill>
          <a:latin typeface="+mn-lt"/>
          <a:ea typeface="+mn-ea"/>
          <a:cs typeface="+mn-cs"/>
        </a:defRPr>
      </a:pPr>
      <a:endParaRPr lang="es-MX"/>
    </a:p>
  </c:txPr>
  <c:externalData r:id="rId2">
    <c:autoUpdate val="0"/>
  </c:externalData>
  <c:extLst>
    <c:ext xmlns:c14="http://schemas.microsoft.com/office/drawing/2007/8/2/chart" uri="{781A3756-C4B2-4CAC-9D66-4F8BD8637D16}">
      <c14:pivotOptions>
        <c14:dropZoneFilter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[Anexo Infancia 2022-22nov-Toda la UBP11525.xlsx]Grafica 1!TablaDinámica2</c:name>
    <c:fmtId val="-1"/>
  </c:pivotSource>
  <c:chart>
    <c:autoTitleDeleted val="1"/>
    <c:pivotFmts>
      <c:pivotFmt>
        <c:idx val="0"/>
        <c:dLbl>
          <c:idx val="0"/>
          <c:dLblPos val="bestFit"/>
          <c:showLegendKey val="0"/>
          <c:showVal val="1"/>
          <c:showCatName val="0"/>
          <c:showSerName val="0"/>
          <c:showPercent val="1"/>
          <c:showBubbleSize val="0"/>
          <c:extLst>
            <c:ext xmlns:c15="http://schemas.microsoft.com/office/drawing/2012/chart" uri="{CE6537A1-D6FC-4f65-9D91-7224C49458BB}"/>
          </c:extLst>
        </c:dLbl>
      </c:pivotFmt>
      <c:pivotFmt>
        <c:idx val="1"/>
        <c:dLbl>
          <c:idx val="0"/>
          <c:layout>
            <c:manualLayout>
              <c:x val="-6.3105792853234574E-2"/>
              <c:y val="6.8856943894421235E-2"/>
            </c:manualLayout>
          </c:layout>
          <c:dLblPos val="bestFit"/>
          <c:showLegendKey val="0"/>
          <c:showVal val="1"/>
          <c:showCatName val="0"/>
          <c:showSerName val="0"/>
          <c:showPercent val="1"/>
          <c:showBubbleSize val="0"/>
          <c:extLst>
            <c:ext xmlns:c15="http://schemas.microsoft.com/office/drawing/2012/chart" uri="{CE6537A1-D6FC-4f65-9D91-7224C49458BB}"/>
          </c:extLst>
        </c:dLbl>
      </c:pivotFmt>
      <c:pivotFmt>
        <c:idx val="2"/>
        <c:dLbl>
          <c:idx val="0"/>
          <c:layout>
            <c:manualLayout>
              <c:x val="-0.10047465732701952"/>
              <c:y val="-0.18019604280864293"/>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3377398759612344"/>
              <c:y val="0.12562667047108672"/>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0127606010981552"/>
                  <c:h val="0.12297258588366945"/>
                </c:manualLayout>
              </c15:layout>
            </c:ext>
          </c:extLst>
        </c:dLbl>
      </c:pivotFmt>
      <c:pivotFmt>
        <c:idx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75E-2"/>
              <c:y val="0.16586377004079308"/>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686370112789065"/>
                  <c:h val="0.11429414176073394"/>
                </c:manualLayout>
              </c15:layout>
            </c:ext>
          </c:extLst>
        </c:dLbl>
      </c:pivotFmt>
      <c:pivotFmt>
        <c:idx val="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7"/>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766993587450061"/>
                  <c:h val="0.14264617692618731"/>
                </c:manualLayout>
              </c15:layout>
            </c:ext>
          </c:extLst>
        </c:dLbl>
      </c:pivotFmt>
      <c:pivotFmt>
        <c:idx val="8"/>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7"/>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766993587450061"/>
                  <c:h val="0.14264617692618731"/>
                </c:manualLayout>
              </c15:layout>
            </c:ext>
          </c:extLst>
        </c:dLbl>
      </c:pivotFmt>
      <c:pivotFmt>
        <c:idx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75E-2"/>
              <c:y val="0.16586377004079308"/>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6686370112789065"/>
                  <c:h val="0.11429414176073394"/>
                </c:manualLayout>
              </c15:layout>
            </c:ext>
          </c:extLst>
        </c:dLbl>
      </c:pivotFmt>
      <c:pivotFmt>
        <c:idx val="1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1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1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1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1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1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1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18"/>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1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s>
    <c:plotArea>
      <c:layout>
        <c:manualLayout>
          <c:layoutTarget val="inner"/>
          <c:xMode val="edge"/>
          <c:yMode val="edge"/>
          <c:x val="0.30479599141016461"/>
          <c:y val="6.6576073152146337E-2"/>
          <c:w val="0.28277495842192041"/>
          <c:h val="0.84034332401998169"/>
        </c:manualLayout>
      </c:layout>
      <c:pieChart>
        <c:varyColors val="1"/>
        <c:ser>
          <c:idx val="0"/>
          <c:order val="0"/>
          <c:tx>
            <c:strRef>
              <c:f>'Grafica 1'!$B$3</c:f>
              <c:strCache>
                <c:ptCount val="1"/>
                <c:pt idx="0">
                  <c:v>Total</c:v>
                </c:pt>
              </c:strCache>
            </c:strRef>
          </c:tx>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06D-4DB8-A59F-AB134827BAFD}"/>
              </c:ext>
            </c:extLst>
          </c:dPt>
          <c:dPt>
            <c:idx val="1"/>
            <c:bubble3D val="0"/>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06D-4DB8-A59F-AB134827BAFD}"/>
              </c:ext>
            </c:extLst>
          </c:dPt>
          <c:dLbls>
            <c:dLbl>
              <c:idx val="0"/>
              <c:layout>
                <c:manualLayout>
                  <c:x val="0.12278450268343326"/>
                  <c:y val="8.7883728190363865E-3"/>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3073"/>
                        <a:gd name="adj2" fmla="val -2211"/>
                        <a:gd name="adj3" fmla="val -81106"/>
                        <a:gd name="adj4" fmla="val -61188"/>
                      </a:avLst>
                    </a:prstGeom>
                  </c15:spPr>
                  <c15:layout/>
                </c:ext>
                <c:ext xmlns:c16="http://schemas.microsoft.com/office/drawing/2014/chart" uri="{C3380CC4-5D6E-409C-BE32-E72D297353CC}">
                  <c16:uniqueId val="{00000001-106D-4DB8-A59F-AB134827BAFD}"/>
                </c:ext>
              </c:extLst>
            </c:dLbl>
            <c:dLbl>
              <c:idx val="1"/>
              <c:layout>
                <c:manualLayout>
                  <c:x val="-0.12927844670705171"/>
                  <c:y val="-3.1318001549365801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93997"/>
                        <a:gd name="adj2" fmla="val 97522"/>
                        <a:gd name="adj3" fmla="val 181766"/>
                        <a:gd name="adj4" fmla="val 176117"/>
                      </a:avLst>
                    </a:prstGeom>
                  </c15:spPr>
                  <c15:layout/>
                </c:ext>
                <c:ext xmlns:c16="http://schemas.microsoft.com/office/drawing/2014/chart" uri="{C3380CC4-5D6E-409C-BE32-E72D297353CC}">
                  <c16:uniqueId val="{00000003-106D-4DB8-A59F-AB134827BAFD}"/>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borderCallout1">
                    <a:avLst/>
                  </a:prstGeom>
                </c15:spPr>
              </c:ext>
            </c:extLst>
          </c:dLbls>
          <c:cat>
            <c:strRef>
              <c:f>'Grafica 1'!$A$4:$A$5</c:f>
              <c:strCache>
                <c:ptCount val="2"/>
                <c:pt idx="0">
                  <c:v>Resto del Presupuesto 2022</c:v>
                </c:pt>
                <c:pt idx="1">
                  <c:v>Inversión en Infancia 2022</c:v>
                </c:pt>
              </c:strCache>
            </c:strRef>
          </c:cat>
          <c:val>
            <c:numRef>
              <c:f>'Grafica 1'!$B$4:$B$5</c:f>
              <c:numCache>
                <c:formatCode>#,##0</c:formatCode>
                <c:ptCount val="2"/>
                <c:pt idx="0">
                  <c:v>31585829428</c:v>
                </c:pt>
                <c:pt idx="1">
                  <c:v>14452220893</c:v>
                </c:pt>
              </c:numCache>
            </c:numRef>
          </c:val>
          <c:extLst>
            <c:ext xmlns:c16="http://schemas.microsoft.com/office/drawing/2014/chart" uri="{C3380CC4-5D6E-409C-BE32-E72D297353CC}">
              <c16:uniqueId val="{00000004-106D-4DB8-A59F-AB134827BAFD}"/>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235152797216492"/>
          <c:y val="7.1515025379536828E-2"/>
          <c:w val="0.25424345701699069"/>
          <c:h val="0.304840265010926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[Anexo Infancia 2022-22nov-Toda la UBP11525.xlsx]Grafica 2-Derechos!TablaDinámica2</c:name>
    <c:fmtId val="-1"/>
  </c:pivotSource>
  <c:chart>
    <c:autoTitleDeleted val="1"/>
    <c:pivotFmts>
      <c:pivotFmt>
        <c:idx val="0"/>
        <c:spPr>
          <a:solidFill>
            <a:schemeClr val="accent3"/>
          </a:solidFill>
          <a:ln>
            <a:noFill/>
          </a:ln>
          <a:effectLst/>
        </c:spPr>
        <c:marker>
          <c:symbol val="none"/>
        </c:marker>
      </c:pivotFmt>
      <c:pivotFmt>
        <c:idx val="1"/>
        <c:spPr>
          <a:solidFill>
            <a:schemeClr val="accent3"/>
          </a:solidFill>
          <a:ln>
            <a:noFill/>
          </a:ln>
          <a:effectLst/>
        </c:spPr>
        <c:marker>
          <c:symbol val="none"/>
        </c:marker>
      </c:pivotFmt>
      <c:pivotFmt>
        <c:idx val="2"/>
        <c:spPr>
          <a:solidFill>
            <a:schemeClr val="accent3"/>
          </a:solidFill>
          <a:ln>
            <a:noFill/>
          </a:ln>
          <a:effectLst/>
        </c:spPr>
        <c:marker>
          <c:symbol val="none"/>
        </c:marker>
      </c:pivotFmt>
      <c:pivotFmt>
        <c:idx val="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4"/>
        <c:spPr>
          <a:solidFill>
            <a:schemeClr val="accent3"/>
          </a:solidFill>
          <a:ln>
            <a:noFill/>
          </a:ln>
          <a:effectLst/>
        </c:spPr>
        <c:dLbl>
          <c:idx val="0"/>
          <c:layout>
            <c:manualLayout>
              <c:x val="4.2393700787401588E-2"/>
              <c:y val="0.1180034266550013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5"/>
        <c:spPr>
          <a:solidFill>
            <a:schemeClr val="accent3"/>
          </a:solidFill>
          <a:ln>
            <a:noFill/>
          </a:ln>
          <a:effectLst/>
        </c:spPr>
        <c:dLbl>
          <c:idx val="0"/>
          <c:layout>
            <c:manualLayout>
              <c:x val="7.0224956255468068E-2"/>
              <c:y val="-6.207093904928552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accent3"/>
          </a:solidFill>
          <a:ln>
            <a:noFill/>
          </a:ln>
          <a:effectLst/>
        </c:spPr>
        <c:dLbl>
          <c:idx val="0"/>
          <c:layout>
            <c:manualLayout>
              <c:x val="4.6860673665791774E-2"/>
              <c:y val="-7.823162729658793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dLbl>
          <c:idx val="0"/>
          <c:layout>
            <c:manualLayout>
              <c:x val="-6.4709992236885908E-2"/>
              <c:y val="-0.1196155588148017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9"/>
        <c:spPr>
          <a:solidFill>
            <a:schemeClr val="accent3"/>
          </a:solidFill>
          <a:ln>
            <a:noFill/>
          </a:ln>
          <a:effectLst/>
        </c:spPr>
        <c:dLbl>
          <c:idx val="0"/>
          <c:layout>
            <c:manualLayout>
              <c:x val="-6.470999223688590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0"/>
        <c:spPr>
          <a:solidFill>
            <a:schemeClr val="accent3"/>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1"/>
        <c:spPr>
          <a:solidFill>
            <a:schemeClr val="accent3"/>
          </a:solidFill>
          <a:ln>
            <a:noFill/>
          </a:ln>
          <a:effectLst/>
        </c:spPr>
        <c:dLbl>
          <c:idx val="0"/>
          <c:layout>
            <c:manualLayout>
              <c:x val="7.0224956255468068E-2"/>
              <c:y val="-6.207093904928552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2"/>
        <c:spPr>
          <a:solidFill>
            <a:schemeClr val="accent3"/>
          </a:solidFill>
          <a:ln>
            <a:noFill/>
          </a:ln>
          <a:effectLst/>
        </c:spPr>
        <c:dLbl>
          <c:idx val="0"/>
          <c:layout>
            <c:manualLayout>
              <c:x val="4.2393700787401588E-2"/>
              <c:y val="0.1180034266550013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3"/>
        <c:spPr>
          <a:solidFill>
            <a:schemeClr val="accent3"/>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4"/>
        <c:spPr>
          <a:solidFill>
            <a:schemeClr val="accent3"/>
          </a:solidFill>
          <a:ln>
            <a:noFill/>
          </a:ln>
          <a:effectLst/>
        </c:spPr>
        <c:dLbl>
          <c:idx val="0"/>
          <c:layout>
            <c:manualLayout>
              <c:x val="-6.470999223688590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5"/>
        <c:spPr>
          <a:solidFill>
            <a:schemeClr val="accent3"/>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6"/>
        <c:spPr>
          <a:solidFill>
            <a:schemeClr val="accent3"/>
          </a:solidFill>
          <a:ln>
            <a:noFill/>
          </a:ln>
          <a:effectLst/>
        </c:spPr>
        <c:dLbl>
          <c:idx val="0"/>
          <c:layout>
            <c:manualLayout>
              <c:x val="7.0224956255468068E-2"/>
              <c:y val="-6.207093904928552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7"/>
        <c:spPr>
          <a:solidFill>
            <a:schemeClr val="accent3"/>
          </a:solidFill>
          <a:ln>
            <a:noFill/>
          </a:ln>
          <a:effectLst/>
        </c:spPr>
        <c:dLbl>
          <c:idx val="0"/>
          <c:layout>
            <c:manualLayout>
              <c:x val="4.2393700787401588E-2"/>
              <c:y val="0.1180034266550013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8"/>
        <c:spPr>
          <a:solidFill>
            <a:schemeClr val="accent3"/>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9"/>
        <c:spPr>
          <a:solidFill>
            <a:schemeClr val="accent3"/>
          </a:solidFill>
          <a:ln>
            <a:noFill/>
          </a:ln>
          <a:effectLst/>
        </c:spPr>
        <c:dLbl>
          <c:idx val="0"/>
          <c:layout>
            <c:manualLayout>
              <c:x val="-6.470999223688590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20"/>
        <c:spPr>
          <a:solidFill>
            <a:schemeClr val="accent3"/>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21"/>
        <c:spPr>
          <a:solidFill>
            <a:schemeClr val="accent3"/>
          </a:solidFill>
          <a:ln>
            <a:noFill/>
          </a:ln>
          <a:effectLst/>
        </c:spPr>
        <c:dLbl>
          <c:idx val="0"/>
          <c:layout>
            <c:manualLayout>
              <c:x val="7.0224956255468068E-2"/>
              <c:y val="-6.207093904928552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22"/>
        <c:spPr>
          <a:solidFill>
            <a:schemeClr val="accent3"/>
          </a:solidFill>
          <a:ln>
            <a:noFill/>
          </a:ln>
          <a:effectLst/>
        </c:spPr>
        <c:dLbl>
          <c:idx val="0"/>
          <c:layout>
            <c:manualLayout>
              <c:x val="4.2393700787401588E-2"/>
              <c:y val="0.1180034266550013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'Grafica 2-Derechos'!$B$4</c:f>
              <c:strCache>
                <c:ptCount val="1"/>
                <c:pt idx="0">
                  <c:v>Total</c:v>
                </c:pt>
              </c:strCache>
            </c:strRef>
          </c:tx>
          <c:spPr>
            <a:scene3d>
              <a:camera prst="orthographicFront"/>
              <a:lightRig rig="threePt" dir="t"/>
            </a:scene3d>
            <a:sp3d>
              <a:bevelT w="63500" h="25400"/>
            </a:sp3d>
          </c:spPr>
          <c:dPt>
            <c:idx val="0"/>
            <c:bubble3D val="0"/>
            <c:spPr>
              <a:solidFill>
                <a:schemeClr val="accent3">
                  <a:shade val="580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1-B25C-4F19-AA8A-C4B922567CAD}"/>
              </c:ext>
            </c:extLst>
          </c:dPt>
          <c:dPt>
            <c:idx val="1"/>
            <c:bubble3D val="0"/>
            <c:spPr>
              <a:solidFill>
                <a:schemeClr val="accent3">
                  <a:shade val="860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3-B25C-4F19-AA8A-C4B922567CAD}"/>
              </c:ext>
            </c:extLst>
          </c:dPt>
          <c:dPt>
            <c:idx val="2"/>
            <c:bubble3D val="0"/>
            <c:spPr>
              <a:solidFill>
                <a:schemeClr val="accent3">
                  <a:tint val="860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5-B25C-4F19-AA8A-C4B922567CAD}"/>
              </c:ext>
            </c:extLst>
          </c:dPt>
          <c:dPt>
            <c:idx val="3"/>
            <c:bubble3D val="0"/>
            <c:spPr>
              <a:solidFill>
                <a:schemeClr val="accent3">
                  <a:tint val="580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7-B25C-4F19-AA8A-C4B922567CAD}"/>
              </c:ext>
            </c:extLst>
          </c:dPt>
          <c:dLbls>
            <c:dLbl>
              <c:idx val="0"/>
              <c:layout>
                <c:manualLayout>
                  <c:x val="-6.4709992236885908E-2"/>
                  <c:y val="-0.11961555881480178"/>
                </c:manualLayout>
              </c:layout>
              <c:tx>
                <c:rich>
                  <a:bodyPr/>
                  <a:lstStyle/>
                  <a:p>
                    <a:fld id="{173B1BF1-548A-4DA0-99BC-B8E1C8F073BD}" type="CATEGORYNAME">
                      <a:rPr lang="en-US"/>
                      <a:pPr/>
                      <a:t>[NOMBRE DE CATEGORÍA]</a:t>
                    </a:fld>
                    <a:r>
                      <a:rPr lang="en-US" baseline="0"/>
                      <a:t> $</a:t>
                    </a:r>
                    <a:fld id="{798D0AC2-E9F6-42F6-B004-1F19C0A48216}" type="VALUE">
                      <a:rPr lang="en-US" baseline="0"/>
                      <a:pPr/>
                      <a:t>[VALOR]</a:t>
                    </a:fld>
                    <a:endParaRPr lang="en-US" baseline="0"/>
                  </a:p>
                  <a:p>
                    <a:r>
                      <a:rPr lang="en-US" baseline="0"/>
                      <a:t> </a:t>
                    </a:r>
                    <a:fld id="{E72596B9-D45B-45A6-BFDA-C3A15DA1FFF8}"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B25C-4F19-AA8A-C4B922567CAD}"/>
                </c:ext>
              </c:extLst>
            </c:dLbl>
            <c:dLbl>
              <c:idx val="1"/>
              <c:layout>
                <c:manualLayout>
                  <c:x val="4.6860673665791774E-2"/>
                  <c:y val="-7.8231627296587933E-2"/>
                </c:manualLayout>
              </c:layout>
              <c:tx>
                <c:rich>
                  <a:bodyPr/>
                  <a:lstStyle/>
                  <a:p>
                    <a:fld id="{29F7FF68-2F9A-4CF6-804A-A931FDD1335A}" type="CATEGORYNAME">
                      <a:rPr lang="en-US"/>
                      <a:pPr/>
                      <a:t>[NOMBRE DE CATEGORÍA]</a:t>
                    </a:fld>
                    <a:endParaRPr lang="en-US" baseline="0"/>
                  </a:p>
                  <a:p>
                    <a:r>
                      <a:rPr lang="en-US" baseline="0"/>
                      <a:t>$</a:t>
                    </a:r>
                    <a:fld id="{865E8163-71F6-4CA4-9AFD-1DAAD43E1FE3}" type="VALUE">
                      <a:rPr lang="en-US" baseline="0"/>
                      <a:pPr/>
                      <a:t>[VALOR]</a:t>
                    </a:fld>
                    <a:r>
                      <a:rPr lang="en-US" baseline="0"/>
                      <a:t> </a:t>
                    </a:r>
                    <a:fld id="{873B87F7-FB2F-4AE1-8D6A-9EAD5F98748F}"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25C-4F19-AA8A-C4B922567CAD}"/>
                </c:ext>
              </c:extLst>
            </c:dLbl>
            <c:dLbl>
              <c:idx val="2"/>
              <c:layout>
                <c:manualLayout>
                  <c:x val="7.0224956255468068E-2"/>
                  <c:y val="-6.2070939049285526E-2"/>
                </c:manualLayout>
              </c:layout>
              <c:tx>
                <c:rich>
                  <a:bodyPr/>
                  <a:lstStyle/>
                  <a:p>
                    <a:fld id="{5356A1BD-DCA7-4296-8887-464762F5B538}" type="CATEGORYNAME">
                      <a:rPr lang="en-US"/>
                      <a:pPr/>
                      <a:t>[NOMBRE DE CATEGORÍA]</a:t>
                    </a:fld>
                    <a:endParaRPr lang="en-US" baseline="0"/>
                  </a:p>
                  <a:p>
                    <a:r>
                      <a:rPr lang="en-US" baseline="0"/>
                      <a:t> $</a:t>
                    </a:r>
                    <a:fld id="{0AB5CBE2-1A5A-4C09-B849-B0E705F00A54}" type="VALUE">
                      <a:rPr lang="en-US" baseline="0"/>
                      <a:pPr/>
                      <a:t>[VALOR]</a:t>
                    </a:fld>
                    <a:r>
                      <a:rPr lang="en-US" baseline="0"/>
                      <a:t> </a:t>
                    </a:r>
                    <a:fld id="{51DE2A68-A3BD-4870-819B-98CAB8F9FFF1}"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B25C-4F19-AA8A-C4B922567CAD}"/>
                </c:ext>
              </c:extLst>
            </c:dLbl>
            <c:dLbl>
              <c:idx val="3"/>
              <c:layout>
                <c:manualLayout>
                  <c:x val="4.2393700787401588E-2"/>
                  <c:y val="0.11800342665500139"/>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7CED4A5F-433E-46F9-B8C9-EE908A2937A8}" type="CATEGORYNAME">
                      <a:rPr lang="en-US"/>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[NOMBRE DE CATEGORÍA]</a:t>
                    </a:fld>
                    <a:endParaRPr lang="en-US"/>
                  </a:p>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a:t>
                    </a:r>
                    <a:fld id="{4FF2DD1F-1EF7-49DD-9A51-752650188F99}" type="VALUE">
                      <a:rPr lang="en-US"/>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[VALOR]</a:t>
                    </a:fld>
                    <a:endParaRPr lang="en-US"/>
                  </a:p>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 </a:t>
                    </a:r>
                    <a:fld id="{3BF50B58-410C-4403-9CD3-3DCA0378E023}" type="PERCENTAGE">
                      <a:rPr lang="en-US"/>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[PORCENTAJE]</a:t>
                    </a:fld>
                    <a:endParaRPr lang="en-US"/>
                  </a:p>
                </c:rich>
              </c:tx>
              <c:numFmt formatCode="0.000%" sourceLinked="0"/>
              <c:spPr>
                <a:noFill/>
                <a:ln>
                  <a:solidFill>
                    <a:srgbClr val="A6A6A6"/>
                  </a:solidFill>
                </a:ln>
                <a:effectLst/>
              </c:spPr>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B25C-4F19-AA8A-C4B922567CAD}"/>
                </c:ext>
              </c:extLst>
            </c:dLbl>
            <c:numFmt formatCode="0.00%" sourceLinked="0"/>
            <c:spPr>
              <a:noFill/>
              <a:ln>
                <a:solidFill>
                  <a:srgbClr val="A6A6A6"/>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rgbClr val="A6A6A6"/>
                  </a:solidFill>
                  <a:round/>
                </a:ln>
                <a:effectLst/>
              </c:spPr>
            </c:leaderLines>
            <c:extLst>
              <c:ext xmlns:c15="http://schemas.microsoft.com/office/drawing/2012/chart" uri="{CE6537A1-D6FC-4f65-9D91-7224C49458BB}"/>
            </c:extLst>
          </c:dLbls>
          <c:cat>
            <c:strRef>
              <c:f>'Grafica 2-Derechos'!$A$5:$A$8</c:f>
              <c:strCache>
                <c:ptCount val="4"/>
                <c:pt idx="0">
                  <c:v>Desarrollo</c:v>
                </c:pt>
                <c:pt idx="1">
                  <c:v>Supervivencia</c:v>
                </c:pt>
                <c:pt idx="2">
                  <c:v>Protección</c:v>
                </c:pt>
                <c:pt idx="3">
                  <c:v>Participación</c:v>
                </c:pt>
              </c:strCache>
            </c:strRef>
          </c:cat>
          <c:val>
            <c:numRef>
              <c:f>'Grafica 2-Derechos'!$B$5:$B$8</c:f>
              <c:numCache>
                <c:formatCode>#,##0</c:formatCode>
                <c:ptCount val="4"/>
                <c:pt idx="0">
                  <c:v>10055204425</c:v>
                </c:pt>
                <c:pt idx="1">
                  <c:v>4161278776</c:v>
                </c:pt>
                <c:pt idx="2">
                  <c:v>233735624</c:v>
                </c:pt>
                <c:pt idx="3">
                  <c:v>2002068</c:v>
                </c:pt>
              </c:numCache>
            </c:numRef>
          </c:val>
          <c:extLst>
            <c:ext xmlns:c16="http://schemas.microsoft.com/office/drawing/2014/chart" uri="{C3380CC4-5D6E-409C-BE32-E72D297353CC}">
              <c16:uniqueId val="{00000008-B25C-4F19-AA8A-C4B922567CAD}"/>
            </c:ext>
          </c:extLst>
        </c:ser>
        <c:dLbls>
          <c:showLegendKey val="0"/>
          <c:showVal val="1"/>
          <c:showCatName val="0"/>
          <c:showSerName val="0"/>
          <c:showPercent val="0"/>
          <c:showBubbleSize val="0"/>
          <c:showLeaderLines val="1"/>
        </c:dLbls>
        <c:firstSliceAng val="114"/>
      </c:pieChart>
      <c:spPr>
        <a:noFill/>
        <a:ln w="25400">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a:softEdge rad="31750"/>
    </a:effectLst>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[Anexo Infancia 2022-22nov-Toda la UBP11525.xlsx]Tabla 4- Espeificidad!TablaDinámica2</c:name>
    <c:fmtId val="-1"/>
  </c:pivotSource>
  <c:chart>
    <c:autoTitleDeleted val="1"/>
    <c:pivotFmts>
      <c:pivotFmt>
        <c:idx val="0"/>
        <c:spPr>
          <a:solidFill>
            <a:schemeClr val="accent3"/>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3"/>
          </a:solidFill>
          <a:ln w="19050">
            <a:solidFill>
              <a:schemeClr val="lt1"/>
            </a:solidFill>
          </a:ln>
          <a:effectLst/>
        </c:spPr>
        <c:dLbl>
          <c:idx val="0"/>
          <c:layout>
            <c:manualLayout>
              <c:x val="4.4266404199475189E-2"/>
              <c:y val="8.29141149023042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12A54E38-EED3-4D2A-979F-35FA02039C31}"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0191663B-93A4-4084-B1DA-FD2E236BFACD}"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D2828C31-A51E-412B-B2D3-D9E7801E53FB}"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6987510936132986"/>
                  <c:h val="0.28682888597258677"/>
                </c:manualLayout>
              </c15:layout>
              <c15:dlblFieldTable/>
              <c15:showDataLabelsRange val="0"/>
            </c:ext>
          </c:extLst>
        </c:dLbl>
      </c:pivotFmt>
      <c:pivotFmt>
        <c:idx val="2"/>
        <c:spPr>
          <a:solidFill>
            <a:schemeClr val="accent3"/>
          </a:solidFill>
          <a:ln w="19050">
            <a:solidFill>
              <a:schemeClr val="lt1"/>
            </a:solidFill>
          </a:ln>
          <a:effectLst/>
        </c:spPr>
        <c:dLbl>
          <c:idx val="0"/>
          <c:layout>
            <c:manualLayout>
              <c:x val="-8.6889545056868023E-2"/>
              <c:y val="-5.9728419364246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5C963DED-7EFA-4D53-8535-658BA79B3400}"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9468C49E-1B0A-4014-8D1B-F33756F15AB3}"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983F4B36-3E44-408B-9B5B-E30E92069AD9}"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5244444444444447"/>
                  <c:h val="0.22201407115777194"/>
                </c:manualLayout>
              </c15:layout>
              <c15:dlblFieldTable/>
              <c15:showDataLabelsRange val="0"/>
            </c:ext>
          </c:extLst>
        </c:dLbl>
      </c:pivotFmt>
      <c:pivotFmt>
        <c:idx val="3"/>
        <c:spPr>
          <a:solidFill>
            <a:schemeClr val="accent3"/>
          </a:solidFill>
          <a:ln w="19050">
            <a:solidFill>
              <a:schemeClr val="lt1"/>
            </a:solidFill>
          </a:ln>
          <a:effectLst/>
        </c:spPr>
        <c:dLbl>
          <c:idx val="0"/>
          <c:layout>
            <c:manualLayout>
              <c:x val="5.606889763779517E-2"/>
              <c:y val="0.1712314085739283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32382345-2546-43B4-BA58-12BE064E5463}" type="CATEGORYNAME">
                  <a:rPr lang="en-US"/>
                  <a:pPr>
                    <a:defRPr sz="900" b="1" i="0" u="none" strike="noStrike" kern="1200" baseline="0">
                      <a:solidFill>
                        <a:schemeClr val="tx1"/>
                      </a:solidFill>
                      <a:latin typeface="+mn-lt"/>
                      <a:ea typeface="+mn-ea"/>
                      <a:cs typeface="+mn-cs"/>
                    </a:defRPr>
                  </a:pPr>
                  <a:t>[NOMBRE DE CATEGORÍA]</a:t>
                </a:fld>
                <a:r>
                  <a:rPr lang="en-US" baseline="0"/>
                  <a:t>, </a:t>
                </a:r>
                <a:fld id="{D6D87A72-1CE8-49B8-890D-D20CC04C5759}" type="VALUE">
                  <a:rPr lang="en-US" baseline="0"/>
                  <a:pPr>
                    <a:defRPr sz="900" b="1" i="0" u="none" strike="noStrike" kern="1200" baseline="0">
                      <a:solidFill>
                        <a:schemeClr val="tx1"/>
                      </a:solidFill>
                      <a:latin typeface="+mn-lt"/>
                      <a:ea typeface="+mn-ea"/>
                      <a:cs typeface="+mn-cs"/>
                    </a:defRPr>
                  </a:pPr>
                  <a:t>[VALOR]</a:t>
                </a:fld>
                <a:r>
                  <a:rPr lang="en-US" baseline="0"/>
                  <a:t>, </a:t>
                </a:r>
              </a:p>
              <a:p>
                <a:pPr>
                  <a:defRPr sz="900" b="1" i="0" u="none" strike="noStrike" kern="1200" baseline="0">
                    <a:solidFill>
                      <a:schemeClr val="tx1"/>
                    </a:solidFill>
                    <a:latin typeface="+mn-lt"/>
                    <a:ea typeface="+mn-ea"/>
                    <a:cs typeface="+mn-cs"/>
                  </a:defRPr>
                </a:pPr>
                <a:fld id="{2DDFB24F-1F26-47D7-BF5C-D86F17EDAAA5}" type="PERCENTAGE">
                  <a:rPr lang="en-US" baseline="0"/>
                  <a:pPr>
                    <a:defRPr sz="900" b="1" i="0" u="none" strike="noStrike" kern="1200" baseline="0">
                      <a:solidFill>
                        <a:schemeClr val="tx1"/>
                      </a:solidFill>
                      <a:latin typeface="+mn-lt"/>
                      <a:ea typeface="+mn-ea"/>
                      <a:cs typeface="+mn-cs"/>
                    </a:defRPr>
                  </a:pPr>
                  <a:t>[PORCENTAJE]</a:t>
                </a:fld>
                <a:endParaRPr lang="es-MX"/>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4"/>
        <c:spPr>
          <a:solidFill>
            <a:schemeClr val="accent3"/>
          </a:solidFill>
          <a:ln w="19050">
            <a:solidFill>
              <a:schemeClr val="lt1"/>
            </a:solidFill>
          </a:ln>
          <a:effectLst/>
        </c:spPr>
        <c:dLbl>
          <c:idx val="0"/>
          <c:layout>
            <c:manualLayout>
              <c:x val="-4.8654855643044601E-2"/>
              <c:y val="-0.2109259259259259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5"/>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6"/>
        <c:spPr>
          <a:solidFill>
            <a:schemeClr val="accent3"/>
          </a:solidFill>
          <a:ln w="19050">
            <a:solidFill>
              <a:schemeClr val="lt1"/>
            </a:solidFill>
          </a:ln>
          <a:effectLst/>
        </c:spPr>
        <c:dLbl>
          <c:idx val="0"/>
          <c:layout>
            <c:manualLayout>
              <c:x val="-4.8654855643044601E-2"/>
              <c:y val="-0.2109259259259259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7"/>
        <c:spPr>
          <a:solidFill>
            <a:schemeClr val="accent3"/>
          </a:solidFill>
          <a:ln w="19050">
            <a:solidFill>
              <a:schemeClr val="lt1"/>
            </a:solidFill>
          </a:ln>
          <a:effectLst/>
        </c:spPr>
        <c:dLbl>
          <c:idx val="0"/>
          <c:layout>
            <c:manualLayout>
              <c:x val="-8.6889545056868023E-2"/>
              <c:y val="-5.9728419364246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5C963DED-7EFA-4D53-8535-658BA79B3400}"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9468C49E-1B0A-4014-8D1B-F33756F15AB3}"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983F4B36-3E44-408B-9B5B-E30E92069AD9}"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5244444444444447"/>
                  <c:h val="0.22201407115777194"/>
                </c:manualLayout>
              </c15:layout>
              <c15:dlblFieldTable/>
              <c15:showDataLabelsRange val="0"/>
            </c:ext>
          </c:extLst>
        </c:dLbl>
      </c:pivotFmt>
      <c:pivotFmt>
        <c:idx val="8"/>
        <c:spPr>
          <a:solidFill>
            <a:schemeClr val="accent3"/>
          </a:solidFill>
          <a:ln w="19050">
            <a:solidFill>
              <a:schemeClr val="lt1"/>
            </a:solidFill>
          </a:ln>
          <a:effectLst/>
        </c:spPr>
        <c:dLbl>
          <c:idx val="0"/>
          <c:layout>
            <c:manualLayout>
              <c:x val="4.4266404199475189E-2"/>
              <c:y val="8.29141149023042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12A54E38-EED3-4D2A-979F-35FA02039C31}"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0191663B-93A4-4084-B1DA-FD2E236BFACD}"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D2828C31-A51E-412B-B2D3-D9E7801E53FB}"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6987510936132986"/>
                  <c:h val="0.28682888597258677"/>
                </c:manualLayout>
              </c15:layout>
              <c15:dlblFieldTable/>
              <c15:showDataLabelsRange val="0"/>
            </c:ext>
          </c:extLst>
        </c:dLbl>
      </c:pivotFmt>
      <c:pivotFmt>
        <c:idx val="9"/>
        <c:spPr>
          <a:solidFill>
            <a:schemeClr val="accent3"/>
          </a:solidFill>
          <a:ln w="19050">
            <a:solidFill>
              <a:schemeClr val="lt1"/>
            </a:solidFill>
          </a:ln>
          <a:effectLst/>
        </c:spPr>
        <c:dLbl>
          <c:idx val="0"/>
          <c:layout>
            <c:manualLayout>
              <c:x val="5.606889763779517E-2"/>
              <c:y val="0.1712314085739283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32382345-2546-43B4-BA58-12BE064E5463}" type="CATEGORYNAME">
                  <a:rPr lang="en-US"/>
                  <a:pPr>
                    <a:defRPr sz="900" b="1" i="0" u="none" strike="noStrike" kern="1200" baseline="0">
                      <a:solidFill>
                        <a:schemeClr val="tx1"/>
                      </a:solidFill>
                      <a:latin typeface="+mn-lt"/>
                      <a:ea typeface="+mn-ea"/>
                      <a:cs typeface="+mn-cs"/>
                    </a:defRPr>
                  </a:pPr>
                  <a:t>[NOMBRE DE CATEGORÍA]</a:t>
                </a:fld>
                <a:r>
                  <a:rPr lang="en-US" baseline="0"/>
                  <a:t>, </a:t>
                </a:r>
                <a:fld id="{D6D87A72-1CE8-49B8-890D-D20CC04C5759}" type="VALUE">
                  <a:rPr lang="en-US" baseline="0"/>
                  <a:pPr>
                    <a:defRPr sz="900" b="1" i="0" u="none" strike="noStrike" kern="1200" baseline="0">
                      <a:solidFill>
                        <a:schemeClr val="tx1"/>
                      </a:solidFill>
                      <a:latin typeface="+mn-lt"/>
                      <a:ea typeface="+mn-ea"/>
                      <a:cs typeface="+mn-cs"/>
                    </a:defRPr>
                  </a:pPr>
                  <a:t>[VALOR]</a:t>
                </a:fld>
                <a:r>
                  <a:rPr lang="en-US" baseline="0"/>
                  <a:t>, </a:t>
                </a:r>
              </a:p>
              <a:p>
                <a:pPr>
                  <a:defRPr sz="900" b="1" i="0" u="none" strike="noStrike" kern="1200" baseline="0">
                    <a:solidFill>
                      <a:schemeClr val="tx1"/>
                    </a:solidFill>
                    <a:latin typeface="+mn-lt"/>
                    <a:ea typeface="+mn-ea"/>
                    <a:cs typeface="+mn-cs"/>
                  </a:defRPr>
                </a:pPr>
                <a:fld id="{2DDFB24F-1F26-47D7-BF5C-D86F17EDAAA5}" type="PERCENTAGE">
                  <a:rPr lang="en-US" baseline="0"/>
                  <a:pPr>
                    <a:defRPr sz="900" b="1" i="0" u="none" strike="noStrike" kern="1200" baseline="0">
                      <a:solidFill>
                        <a:schemeClr val="tx1"/>
                      </a:solidFill>
                      <a:latin typeface="+mn-lt"/>
                      <a:ea typeface="+mn-ea"/>
                      <a:cs typeface="+mn-cs"/>
                    </a:defRPr>
                  </a:pPr>
                  <a:t>[PORCENTAJE]</a:t>
                </a:fld>
                <a:endParaRPr lang="es-MX"/>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0"/>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1"/>
        <c:spPr>
          <a:solidFill>
            <a:schemeClr val="accent3"/>
          </a:solidFill>
          <a:ln w="19050">
            <a:solidFill>
              <a:schemeClr val="lt1"/>
            </a:solidFill>
          </a:ln>
          <a:effectLst/>
        </c:spPr>
        <c:dLbl>
          <c:idx val="0"/>
          <c:layout>
            <c:manualLayout>
              <c:x val="-4.8654855643044601E-2"/>
              <c:y val="-0.2109259259259259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2"/>
        <c:spPr>
          <a:solidFill>
            <a:schemeClr val="accent3"/>
          </a:solidFill>
          <a:ln w="19050">
            <a:solidFill>
              <a:schemeClr val="lt1"/>
            </a:solidFill>
          </a:ln>
          <a:effectLst/>
        </c:spPr>
        <c:dLbl>
          <c:idx val="0"/>
          <c:layout>
            <c:manualLayout>
              <c:x val="-8.6889545056868023E-2"/>
              <c:y val="-5.9728419364246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5C963DED-7EFA-4D53-8535-658BA79B3400}"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9468C49E-1B0A-4014-8D1B-F33756F15AB3}"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983F4B36-3E44-408B-9B5B-E30E92069AD9}"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5244444444444447"/>
                  <c:h val="0.22201407115777194"/>
                </c:manualLayout>
              </c15:layout>
              <c15:dlblFieldTable/>
              <c15:showDataLabelsRange val="0"/>
            </c:ext>
          </c:extLst>
        </c:dLbl>
      </c:pivotFmt>
      <c:pivotFmt>
        <c:idx val="13"/>
        <c:spPr>
          <a:solidFill>
            <a:schemeClr val="accent3"/>
          </a:solidFill>
          <a:ln w="19050">
            <a:solidFill>
              <a:schemeClr val="lt1"/>
            </a:solidFill>
          </a:ln>
          <a:effectLst/>
        </c:spPr>
        <c:dLbl>
          <c:idx val="0"/>
          <c:layout>
            <c:manualLayout>
              <c:x val="4.4266404199475189E-2"/>
              <c:y val="8.29141149023042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12A54E38-EED3-4D2A-979F-35FA02039C31}"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0191663B-93A4-4084-B1DA-FD2E236BFACD}"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D2828C31-A51E-412B-B2D3-D9E7801E53FB}"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6987510936132986"/>
                  <c:h val="0.28682888597258677"/>
                </c:manualLayout>
              </c15:layout>
              <c15:dlblFieldTable/>
              <c15:showDataLabelsRange val="0"/>
            </c:ext>
          </c:extLst>
        </c:dLbl>
      </c:pivotFmt>
      <c:pivotFmt>
        <c:idx val="14"/>
        <c:spPr>
          <a:solidFill>
            <a:schemeClr val="accent3"/>
          </a:solidFill>
          <a:ln w="19050">
            <a:solidFill>
              <a:schemeClr val="lt1"/>
            </a:solidFill>
          </a:ln>
          <a:effectLst/>
        </c:spPr>
        <c:dLbl>
          <c:idx val="0"/>
          <c:layout>
            <c:manualLayout>
              <c:x val="5.606889763779517E-2"/>
              <c:y val="0.1712314085739283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32382345-2546-43B4-BA58-12BE064E5463}" type="CATEGORYNAME">
                  <a:rPr lang="en-US"/>
                  <a:pPr>
                    <a:defRPr sz="900" b="1" i="0" u="none" strike="noStrike" kern="1200" baseline="0">
                      <a:solidFill>
                        <a:schemeClr val="tx1"/>
                      </a:solidFill>
                      <a:latin typeface="+mn-lt"/>
                      <a:ea typeface="+mn-ea"/>
                      <a:cs typeface="+mn-cs"/>
                    </a:defRPr>
                  </a:pPr>
                  <a:t>[NOMBRE DE CATEGORÍA]</a:t>
                </a:fld>
                <a:r>
                  <a:rPr lang="en-US" baseline="0"/>
                  <a:t>, </a:t>
                </a:r>
                <a:fld id="{D6D87A72-1CE8-49B8-890D-D20CC04C5759}" type="VALUE">
                  <a:rPr lang="en-US" baseline="0"/>
                  <a:pPr>
                    <a:defRPr sz="900" b="1" i="0" u="none" strike="noStrike" kern="1200" baseline="0">
                      <a:solidFill>
                        <a:schemeClr val="tx1"/>
                      </a:solidFill>
                      <a:latin typeface="+mn-lt"/>
                      <a:ea typeface="+mn-ea"/>
                      <a:cs typeface="+mn-cs"/>
                    </a:defRPr>
                  </a:pPr>
                  <a:t>[VALOR]</a:t>
                </a:fld>
                <a:r>
                  <a:rPr lang="en-US" baseline="0"/>
                  <a:t>, </a:t>
                </a:r>
              </a:p>
              <a:p>
                <a:pPr>
                  <a:defRPr sz="900" b="1" i="0" u="none" strike="noStrike" kern="1200" baseline="0">
                    <a:solidFill>
                      <a:schemeClr val="tx1"/>
                    </a:solidFill>
                    <a:latin typeface="+mn-lt"/>
                    <a:ea typeface="+mn-ea"/>
                    <a:cs typeface="+mn-cs"/>
                  </a:defRPr>
                </a:pPr>
                <a:fld id="{2DDFB24F-1F26-47D7-BF5C-D86F17EDAAA5}" type="PERCENTAGE">
                  <a:rPr lang="en-US" baseline="0"/>
                  <a:pPr>
                    <a:defRPr sz="900" b="1" i="0" u="none" strike="noStrike" kern="1200" baseline="0">
                      <a:solidFill>
                        <a:schemeClr val="tx1"/>
                      </a:solidFill>
                      <a:latin typeface="+mn-lt"/>
                      <a:ea typeface="+mn-ea"/>
                      <a:cs typeface="+mn-cs"/>
                    </a:defRPr>
                  </a:pPr>
                  <a:t>[PORCENTAJE]</a:t>
                </a:fld>
                <a:endParaRPr lang="es-MX"/>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
        <c:idx val="15"/>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6"/>
        <c:spPr>
          <a:solidFill>
            <a:schemeClr val="accent3"/>
          </a:solidFill>
          <a:ln w="19050">
            <a:solidFill>
              <a:schemeClr val="lt1"/>
            </a:solidFill>
          </a:ln>
          <a:effectLst/>
        </c:spPr>
        <c:dLbl>
          <c:idx val="0"/>
          <c:layout>
            <c:manualLayout>
              <c:x val="-4.8654855643044601E-2"/>
              <c:y val="-0.2109259259259259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extLst>
        </c:dLbl>
      </c:pivotFmt>
      <c:pivotFmt>
        <c:idx val="17"/>
        <c:spPr>
          <a:solidFill>
            <a:schemeClr val="accent3"/>
          </a:solidFill>
          <a:ln w="19050">
            <a:solidFill>
              <a:schemeClr val="lt1"/>
            </a:solidFill>
          </a:ln>
          <a:effectLst/>
        </c:spPr>
        <c:dLbl>
          <c:idx val="0"/>
          <c:layout>
            <c:manualLayout>
              <c:x val="-8.6889545056868023E-2"/>
              <c:y val="-5.9728419364246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5C963DED-7EFA-4D53-8535-658BA79B3400}"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9468C49E-1B0A-4014-8D1B-F33756F15AB3}"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983F4B36-3E44-408B-9B5B-E30E92069AD9}"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5244444444444447"/>
                  <c:h val="0.22201407115777194"/>
                </c:manualLayout>
              </c15:layout>
              <c15:dlblFieldTable/>
              <c15:showDataLabelsRange val="0"/>
            </c:ext>
          </c:extLst>
        </c:dLbl>
      </c:pivotFmt>
      <c:pivotFmt>
        <c:idx val="18"/>
        <c:spPr>
          <a:solidFill>
            <a:schemeClr val="accent3"/>
          </a:solidFill>
          <a:ln w="19050">
            <a:solidFill>
              <a:schemeClr val="lt1"/>
            </a:solidFill>
          </a:ln>
          <a:effectLst/>
        </c:spPr>
        <c:dLbl>
          <c:idx val="0"/>
          <c:layout>
            <c:manualLayout>
              <c:x val="4.4266404199475189E-2"/>
              <c:y val="8.29141149023042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12A54E38-EED3-4D2A-979F-35FA02039C31}"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0191663B-93A4-4084-B1DA-FD2E236BFACD}"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D2828C31-A51E-412B-B2D3-D9E7801E53FB}"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26987510936132986"/>
                  <c:h val="0.28682888597258677"/>
                </c:manualLayout>
              </c15:layout>
              <c15:dlblFieldTable/>
              <c15:showDataLabelsRange val="0"/>
            </c:ext>
          </c:extLst>
        </c:dLbl>
      </c:pivotFmt>
      <c:pivotFmt>
        <c:idx val="19"/>
        <c:spPr>
          <a:solidFill>
            <a:schemeClr val="accent3"/>
          </a:solidFill>
          <a:ln w="19050">
            <a:solidFill>
              <a:schemeClr val="lt1"/>
            </a:solidFill>
          </a:ln>
          <a:effectLst/>
        </c:spPr>
        <c:dLbl>
          <c:idx val="0"/>
          <c:layout>
            <c:manualLayout>
              <c:x val="5.606889763779517E-2"/>
              <c:y val="0.1712314085739283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32382345-2546-43B4-BA58-12BE064E5463}" type="CATEGORYNAME">
                  <a:rPr lang="en-US"/>
                  <a:pPr>
                    <a:defRPr sz="900" b="1" i="0" u="none" strike="noStrike" kern="1200" baseline="0">
                      <a:solidFill>
                        <a:schemeClr val="tx1"/>
                      </a:solidFill>
                      <a:latin typeface="+mn-lt"/>
                      <a:ea typeface="+mn-ea"/>
                      <a:cs typeface="+mn-cs"/>
                    </a:defRPr>
                  </a:pPr>
                  <a:t>[NOMBRE DE CATEGORÍA]</a:t>
                </a:fld>
                <a:r>
                  <a:rPr lang="en-US" baseline="0"/>
                  <a:t>, </a:t>
                </a:r>
                <a:fld id="{D6D87A72-1CE8-49B8-890D-D20CC04C5759}" type="VALUE">
                  <a:rPr lang="en-US" baseline="0"/>
                  <a:pPr>
                    <a:defRPr sz="900" b="1" i="0" u="none" strike="noStrike" kern="1200" baseline="0">
                      <a:solidFill>
                        <a:schemeClr val="tx1"/>
                      </a:solidFill>
                      <a:latin typeface="+mn-lt"/>
                      <a:ea typeface="+mn-ea"/>
                      <a:cs typeface="+mn-cs"/>
                    </a:defRPr>
                  </a:pPr>
                  <a:t>[VALOR]</a:t>
                </a:fld>
                <a:r>
                  <a:rPr lang="en-US" baseline="0"/>
                  <a:t>, </a:t>
                </a:r>
              </a:p>
              <a:p>
                <a:pPr>
                  <a:defRPr sz="900" b="1" i="0" u="none" strike="noStrike" kern="1200" baseline="0">
                    <a:solidFill>
                      <a:schemeClr val="tx1"/>
                    </a:solidFill>
                    <a:latin typeface="+mn-lt"/>
                    <a:ea typeface="+mn-ea"/>
                    <a:cs typeface="+mn-cs"/>
                  </a:defRPr>
                </a:pPr>
                <a:fld id="{2DDFB24F-1F26-47D7-BF5C-D86F17EDAAA5}" type="PERCENTAGE">
                  <a:rPr lang="en-US" baseline="0"/>
                  <a:pPr>
                    <a:defRPr sz="900" b="1" i="0" u="none" strike="noStrike" kern="1200" baseline="0">
                      <a:solidFill>
                        <a:schemeClr val="tx1"/>
                      </a:solidFill>
                      <a:latin typeface="+mn-lt"/>
                      <a:ea typeface="+mn-ea"/>
                      <a:cs typeface="+mn-cs"/>
                    </a:defRPr>
                  </a:pPr>
                  <a:t>[PORCENTAJE]</a:t>
                </a:fld>
                <a:endParaRPr lang="es-MX"/>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pivotFmt>
    </c:pivotFmts>
    <c:plotArea>
      <c:layout>
        <c:manualLayout>
          <c:layoutTarget val="inner"/>
          <c:xMode val="edge"/>
          <c:yMode val="edge"/>
          <c:x val="0.28350272399019238"/>
          <c:y val="6.6984216659016299E-2"/>
          <c:w val="0.38912162602468614"/>
          <c:h val="0.87500017654743878"/>
        </c:manualLayout>
      </c:layout>
      <c:pieChart>
        <c:varyColors val="1"/>
        <c:ser>
          <c:idx val="0"/>
          <c:order val="0"/>
          <c:tx>
            <c:strRef>
              <c:f>'Tabla 4- Espeificidad'!$B$3</c:f>
              <c:strCache>
                <c:ptCount val="1"/>
                <c:pt idx="0">
                  <c:v>Total</c:v>
                </c:pt>
              </c:strCache>
            </c:strRef>
          </c:tx>
          <c:spPr>
            <a:scene3d>
              <a:camera prst="orthographicFront"/>
              <a:lightRig rig="threePt" dir="t"/>
            </a:scene3d>
            <a:sp3d>
              <a:bevelT w="63500" h="25400"/>
            </a:sp3d>
          </c:spPr>
          <c:dPt>
            <c:idx val="0"/>
            <c:bubble3D val="0"/>
            <c:spPr>
              <a:solidFill>
                <a:schemeClr val="accent3">
                  <a:shade val="58000"/>
                </a:schemeClr>
              </a:solidFill>
              <a:ln w="19050">
                <a:solidFill>
                  <a:schemeClr val="lt1"/>
                </a:solidFill>
              </a:ln>
              <a:effectLst/>
              <a:scene3d>
                <a:camera prst="orthographicFront"/>
                <a:lightRig rig="threePt" dir="t"/>
              </a:scene3d>
              <a:sp3d>
                <a:bevelT w="63500" h="25400"/>
              </a:sp3d>
            </c:spPr>
            <c:extLst>
              <c:ext xmlns:c16="http://schemas.microsoft.com/office/drawing/2014/chart" uri="{C3380CC4-5D6E-409C-BE32-E72D297353CC}">
                <c16:uniqueId val="{00000001-BBF8-40F6-90E8-7E596875726F}"/>
              </c:ext>
            </c:extLst>
          </c:dPt>
          <c:dPt>
            <c:idx val="1"/>
            <c:bubble3D val="0"/>
            <c:spPr>
              <a:solidFill>
                <a:schemeClr val="accent3">
                  <a:shade val="86000"/>
                </a:schemeClr>
              </a:solidFill>
              <a:ln w="19050">
                <a:solidFill>
                  <a:schemeClr val="lt1"/>
                </a:solidFill>
              </a:ln>
              <a:effectLst/>
              <a:scene3d>
                <a:camera prst="orthographicFront"/>
                <a:lightRig rig="threePt" dir="t"/>
              </a:scene3d>
              <a:sp3d>
                <a:bevelT w="63500" h="25400"/>
              </a:sp3d>
            </c:spPr>
            <c:extLst>
              <c:ext xmlns:c16="http://schemas.microsoft.com/office/drawing/2014/chart" uri="{C3380CC4-5D6E-409C-BE32-E72D297353CC}">
                <c16:uniqueId val="{00000003-BBF8-40F6-90E8-7E596875726F}"/>
              </c:ext>
            </c:extLst>
          </c:dPt>
          <c:dPt>
            <c:idx val="2"/>
            <c:bubble3D val="0"/>
            <c:spPr>
              <a:solidFill>
                <a:schemeClr val="accent3">
                  <a:tint val="86000"/>
                </a:schemeClr>
              </a:solidFill>
              <a:ln w="19050">
                <a:solidFill>
                  <a:schemeClr val="lt1"/>
                </a:solidFill>
              </a:ln>
              <a:effectLst/>
              <a:scene3d>
                <a:camera prst="orthographicFront"/>
                <a:lightRig rig="threePt" dir="t"/>
              </a:scene3d>
              <a:sp3d>
                <a:bevelT w="63500" h="25400"/>
              </a:sp3d>
            </c:spPr>
            <c:extLst>
              <c:ext xmlns:c16="http://schemas.microsoft.com/office/drawing/2014/chart" uri="{C3380CC4-5D6E-409C-BE32-E72D297353CC}">
                <c16:uniqueId val="{00000005-BBF8-40F6-90E8-7E596875726F}"/>
              </c:ext>
            </c:extLst>
          </c:dPt>
          <c:dPt>
            <c:idx val="3"/>
            <c:bubble3D val="0"/>
            <c:spPr>
              <a:solidFill>
                <a:schemeClr val="accent3">
                  <a:tint val="58000"/>
                </a:schemeClr>
              </a:solidFill>
              <a:ln w="19050">
                <a:solidFill>
                  <a:schemeClr val="lt1"/>
                </a:solidFill>
              </a:ln>
              <a:effectLst/>
              <a:scene3d>
                <a:camera prst="orthographicFront"/>
                <a:lightRig rig="threePt" dir="t"/>
              </a:scene3d>
              <a:sp3d>
                <a:bevelT w="63500" h="25400"/>
              </a:sp3d>
            </c:spPr>
            <c:extLst>
              <c:ext xmlns:c16="http://schemas.microsoft.com/office/drawing/2014/chart" uri="{C3380CC4-5D6E-409C-BE32-E72D297353CC}">
                <c16:uniqueId val="{00000007-BBF8-40F6-90E8-7E596875726F}"/>
              </c:ext>
            </c:extLst>
          </c:dPt>
          <c:dLbls>
            <c:dLbl>
              <c:idx val="0"/>
              <c:layout>
                <c:manualLayout>
                  <c:x val="-0.10270780318882641"/>
                  <c:y val="-0.15935630803997039"/>
                </c:manualLayout>
              </c:layout>
              <c:tx>
                <c:rich>
                  <a:bodyPr/>
                  <a:lstStyle/>
                  <a:p>
                    <a:fld id="{BBABA680-4166-4081-9A38-902766642659}" type="CATEGORYNAME">
                      <a:rPr lang="en-US"/>
                      <a:pPr/>
                      <a:t>[NOMBRE DE CATEGORÍA]</a:t>
                    </a:fld>
                    <a:r>
                      <a:rPr lang="en-US"/>
                      <a:t>, $</a:t>
                    </a:r>
                    <a:fld id="{28C7A455-60D4-409E-BCAE-76C8C3531AA6}" type="VALUE">
                      <a:rPr lang="en-US"/>
                      <a:pPr/>
                      <a:t>[VALOR]</a:t>
                    </a:fld>
                    <a:endParaRPr lang="en-US"/>
                  </a:p>
                  <a:p>
                    <a:fld id="{6EF9B8E1-691D-4DCE-A90B-548901EB5AF4}" type="PERCENTAGE">
                      <a:rPr lang="en-US"/>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layout>
                    <c:manualLayout>
                      <c:w val="0.18104504810066552"/>
                      <c:h val="0.16883408071748879"/>
                    </c:manualLayout>
                  </c15:layout>
                  <c15:dlblFieldTable/>
                  <c15:showDataLabelsRange val="0"/>
                </c:ext>
                <c:ext xmlns:c16="http://schemas.microsoft.com/office/drawing/2014/chart" uri="{C3380CC4-5D6E-409C-BE32-E72D297353CC}">
                  <c16:uniqueId val="{00000001-BBF8-40F6-90E8-7E596875726F}"/>
                </c:ext>
              </c:extLst>
            </c:dLbl>
            <c:dLbl>
              <c:idx val="1"/>
              <c:layout>
                <c:manualLayout>
                  <c:x val="7.854489801099121E-2"/>
                  <c:y val="2.0179363206467651E-2"/>
                </c:manualLayout>
              </c:layout>
              <c:tx>
                <c:rich>
                  <a:bodyPr/>
                  <a:lstStyle/>
                  <a:p>
                    <a:fld id="{5C963DED-7EFA-4D53-8535-658BA79B3400}" type="CATEGORYNAME">
                      <a:rPr lang="en-US"/>
                      <a:pPr/>
                      <a:t>[NOMBRE DE CATEGORÍA]</a:t>
                    </a:fld>
                    <a:endParaRPr lang="en-US"/>
                  </a:p>
                  <a:p>
                    <a:r>
                      <a:rPr lang="en-US"/>
                      <a:t>$</a:t>
                    </a:r>
                    <a:fld id="{9468C49E-1B0A-4014-8D1B-F33756F15AB3}" type="VALUE">
                      <a:rPr lang="en-US"/>
                      <a:pPr/>
                      <a:t>[VALOR]</a:t>
                    </a:fld>
                    <a:endParaRPr lang="en-US"/>
                  </a:p>
                  <a:p>
                    <a:r>
                      <a:rPr lang="en-US"/>
                      <a:t> </a:t>
                    </a:r>
                    <a:fld id="{983F4B36-3E44-408B-9B5B-E30E92069AD9}" type="PERCENTAGE">
                      <a:rPr lang="en-US"/>
                      <a:pPr/>
                      <a:t>[PORCENTAJE]</a:t>
                    </a:fld>
                    <a:endParaRPr lang="en-US"/>
                  </a:p>
                </c:rich>
              </c:tx>
              <c:dLblPos val="bestFit"/>
              <c:showLegendKey val="0"/>
              <c:showVal val="1"/>
              <c:showCatName val="1"/>
              <c:showSerName val="0"/>
              <c:showPercent val="1"/>
              <c:showBubbleSize val="0"/>
              <c:extLst>
                <c:ext xmlns:c15="http://schemas.microsoft.com/office/drawing/2012/chart" uri="{CE6537A1-D6FC-4f65-9D91-7224C49458BB}">
                  <c15:layout>
                    <c:manualLayout>
                      <c:w val="0.19461216016858199"/>
                      <c:h val="0.19062391864694042"/>
                    </c:manualLayout>
                  </c15:layout>
                  <c15:dlblFieldTable/>
                  <c15:showDataLabelsRange val="0"/>
                </c:ext>
                <c:ext xmlns:c16="http://schemas.microsoft.com/office/drawing/2014/chart" uri="{C3380CC4-5D6E-409C-BE32-E72D297353CC}">
                  <c16:uniqueId val="{00000003-BBF8-40F6-90E8-7E596875726F}"/>
                </c:ext>
              </c:extLst>
            </c:dLbl>
            <c:dLbl>
              <c:idx val="2"/>
              <c:layout>
                <c:manualLayout>
                  <c:x val="5.3240405972286672E-2"/>
                  <c:y val="-2.9825041488648008E-2"/>
                </c:manualLayout>
              </c:layout>
              <c:tx>
                <c:rich>
                  <a:bodyPr/>
                  <a:lstStyle/>
                  <a:p>
                    <a:fld id="{12A54E38-EED3-4D2A-979F-35FA02039C31}" type="CATEGORYNAME">
                      <a:rPr lang="en-US"/>
                      <a:pPr/>
                      <a:t>[NOMBRE DE CATEGORÍA]</a:t>
                    </a:fld>
                    <a:r>
                      <a:rPr lang="en-US"/>
                      <a:t> $</a:t>
                    </a:r>
                    <a:fld id="{0191663B-93A4-4084-B1DA-FD2E236BFACD}" type="VALUE">
                      <a:rPr lang="en-US"/>
                      <a:pPr/>
                      <a:t>[VALOR]</a:t>
                    </a:fld>
                    <a:endParaRPr lang="en-US"/>
                  </a:p>
                  <a:p>
                    <a:r>
                      <a:rPr lang="en-US"/>
                      <a:t> </a:t>
                    </a:r>
                    <a:fld id="{D2828C31-A51E-412B-B2D3-D9E7801E53FB}" type="PERCENTAGE">
                      <a:rPr lang="en-US"/>
                      <a:pPr/>
                      <a:t>[PORCENTAJE]</a:t>
                    </a:fld>
                    <a:endParaRPr lang="en-US"/>
                  </a:p>
                </c:rich>
              </c:tx>
              <c:dLblPos val="bestFit"/>
              <c:showLegendKey val="0"/>
              <c:showVal val="1"/>
              <c:showCatName val="1"/>
              <c:showSerName val="0"/>
              <c:showPercent val="1"/>
              <c:showBubbleSize val="0"/>
              <c:extLst>
                <c:ext xmlns:c15="http://schemas.microsoft.com/office/drawing/2012/chart" uri="{CE6537A1-D6FC-4f65-9D91-7224C49458BB}">
                  <c15:layout>
                    <c:manualLayout>
                      <c:w val="0.21603130449256211"/>
                      <c:h val="0.17472123159492953"/>
                    </c:manualLayout>
                  </c15:layout>
                  <c15:dlblFieldTable/>
                  <c15:showDataLabelsRange val="0"/>
                </c:ext>
                <c:ext xmlns:c16="http://schemas.microsoft.com/office/drawing/2014/chart" uri="{C3380CC4-5D6E-409C-BE32-E72D297353CC}">
                  <c16:uniqueId val="{00000005-BBF8-40F6-90E8-7E596875726F}"/>
                </c:ext>
              </c:extLst>
            </c:dLbl>
            <c:dLbl>
              <c:idx val="3"/>
              <c:layout>
                <c:manualLayout>
                  <c:x val="6.603998149461042E-2"/>
                  <c:y val="0.18468432337213464"/>
                </c:manualLayout>
              </c:layout>
              <c:tx>
                <c:rich>
                  <a:bodyPr/>
                  <a:lstStyle/>
                  <a:p>
                    <a:fld id="{32382345-2546-43B4-BA58-12BE064E5463}" type="CATEGORYNAME">
                      <a:rPr lang="en-US"/>
                      <a:pPr/>
                      <a:t>[NOMBRE DE CATEGORÍA]</a:t>
                    </a:fld>
                    <a:r>
                      <a:rPr lang="en-US"/>
                      <a:t> $</a:t>
                    </a:r>
                    <a:fld id="{D6D87A72-1CE8-49B8-890D-D20CC04C5759}" type="VALUE">
                      <a:rPr lang="en-US"/>
                      <a:pPr/>
                      <a:t>[VALOR]</a:t>
                    </a:fld>
                    <a:r>
                      <a:rPr lang="en-US"/>
                      <a:t> </a:t>
                    </a:r>
                  </a:p>
                  <a:p>
                    <a:fld id="{2DDFB24F-1F26-47D7-BF5C-D86F17EDAAA5}" type="PERCENTAGE">
                      <a:rPr lang="en-US"/>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layout>
                    <c:manualLayout>
                      <c:w val="0.16169109582211585"/>
                      <c:h val="0.18228699551569508"/>
                    </c:manualLayout>
                  </c15:layout>
                  <c15:dlblFieldTable/>
                  <c15:showDataLabelsRange val="0"/>
                </c:ext>
                <c:ext xmlns:c16="http://schemas.microsoft.com/office/drawing/2014/chart" uri="{C3380CC4-5D6E-409C-BE32-E72D297353CC}">
                  <c16:uniqueId val="{00000007-BBF8-40F6-90E8-7E596875726F}"/>
                </c:ext>
              </c:extLst>
            </c:dLbl>
            <c:numFmt formatCode="0.00%" sourceLinked="0"/>
            <c:spPr>
              <a:noFill/>
              <a:ln>
                <a:solidFill>
                  <a:srgbClr val="A6A6A6"/>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rgbClr val="A6A6A6"/>
                  </a:solidFill>
                  <a:round/>
                </a:ln>
                <a:effectLst/>
              </c:spPr>
            </c:leaderLines>
            <c:extLst>
              <c:ext xmlns:c15="http://schemas.microsoft.com/office/drawing/2012/chart" uri="{CE6537A1-D6FC-4f65-9D91-7224C49458BB}"/>
            </c:extLst>
          </c:dLbls>
          <c:cat>
            <c:strRef>
              <c:f>'Tabla 4- Espeificidad'!$A$4:$A$8</c:f>
              <c:strCache>
                <c:ptCount val="4"/>
                <c:pt idx="0">
                  <c:v>Agéntica o indirecta</c:v>
                </c:pt>
                <c:pt idx="1">
                  <c:v>Ampliada</c:v>
                </c:pt>
                <c:pt idx="2">
                  <c:v>Específica o directa</c:v>
                </c:pt>
                <c:pt idx="3">
                  <c:v>Bienes Públicos</c:v>
                </c:pt>
              </c:strCache>
            </c:strRef>
          </c:cat>
          <c:val>
            <c:numRef>
              <c:f>'Tabla 4- Espeificidad'!$B$4:$B$8</c:f>
              <c:numCache>
                <c:formatCode>#,##0</c:formatCode>
                <c:ptCount val="4"/>
                <c:pt idx="0">
                  <c:v>9767237667</c:v>
                </c:pt>
                <c:pt idx="1">
                  <c:v>3565243954</c:v>
                </c:pt>
                <c:pt idx="2">
                  <c:v>711724922</c:v>
                </c:pt>
                <c:pt idx="3">
                  <c:v>408014350</c:v>
                </c:pt>
              </c:numCache>
            </c:numRef>
          </c:val>
          <c:extLst>
            <c:ext xmlns:c16="http://schemas.microsoft.com/office/drawing/2014/chart" uri="{C3380CC4-5D6E-409C-BE32-E72D297353CC}">
              <c16:uniqueId val="{00000008-BBF8-40F6-90E8-7E596875726F}"/>
            </c:ext>
          </c:extLst>
        </c:ser>
        <c:dLbls>
          <c:showLegendKey val="0"/>
          <c:showVal val="1"/>
          <c:showCatName val="0"/>
          <c:showSerName val="0"/>
          <c:showPercent val="0"/>
          <c:showBubbleSize val="0"/>
          <c:showLeaderLines val="1"/>
        </c:dLbls>
        <c:firstSliceAng val="117"/>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[1.2 Base de datos Anexo Jóvenes 2022.xlsx]Grafica 1!TablaDinámica2</c:name>
    <c:fmtId val="-1"/>
  </c:pivotSource>
  <c:chart>
    <c:autoTitleDeleted val="1"/>
    <c:pivotFmts>
      <c:pivotFmt>
        <c:idx val="0"/>
        <c:dLbl>
          <c:idx val="0"/>
          <c:dLblPos val="bestFit"/>
          <c:showLegendKey val="0"/>
          <c:showVal val="1"/>
          <c:showCatName val="0"/>
          <c:showSerName val="0"/>
          <c:showPercent val="1"/>
          <c:showBubbleSize val="0"/>
          <c:extLst>
            <c:ext xmlns:c15="http://schemas.microsoft.com/office/drawing/2012/chart" uri="{CE6537A1-D6FC-4f65-9D91-7224C49458BB}"/>
          </c:extLst>
        </c:dLbl>
      </c:pivotFmt>
      <c:pivotFmt>
        <c:idx val="1"/>
        <c:dLbl>
          <c:idx val="0"/>
          <c:layout>
            <c:manualLayout>
              <c:x val="-6.3105792853234574E-2"/>
              <c:y val="6.8856943894421235E-2"/>
            </c:manualLayout>
          </c:layout>
          <c:dLblPos val="bestFit"/>
          <c:showLegendKey val="0"/>
          <c:showVal val="1"/>
          <c:showCatName val="0"/>
          <c:showSerName val="0"/>
          <c:showPercent val="1"/>
          <c:showBubbleSize val="0"/>
          <c:extLst>
            <c:ext xmlns:c15="http://schemas.microsoft.com/office/drawing/2012/chart" uri="{CE6537A1-D6FC-4f65-9D91-7224C49458BB}"/>
          </c:extLst>
        </c:dLbl>
      </c:pivotFmt>
      <c:pivotFmt>
        <c:idx val="2"/>
        <c:dLbl>
          <c:idx val="0"/>
          <c:layout>
            <c:manualLayout>
              <c:x val="-0.10047465732701952"/>
              <c:y val="-0.18019604280864293"/>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4"/>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2"/>
              <c:y val="0.12562662135061514"/>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5"/>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25"/>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6"/>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7"/>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25"/>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8"/>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2"/>
              <c:y val="0.12562662135061514"/>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
        <c:idx val="9"/>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0"/>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25"/>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1"/>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2"/>
              <c:y val="0.12562662135061514"/>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c:ext xmlns:c15="http://schemas.microsoft.com/office/drawing/2012/chart" uri="{CE6537A1-D6FC-4f65-9D91-7224C49458BB}">
              <c15:layout>
                <c:manualLayout>
                  <c:w val="0.23997532794709273"/>
                  <c:h val="0.12297248764272641"/>
                </c:manualLayout>
              </c15:layout>
            </c:ext>
          </c:extLst>
        </c:dLbl>
      </c:pivotFmt>
    </c:pivotFmts>
    <c:plotArea>
      <c:layout>
        <c:manualLayout>
          <c:layoutTarget val="inner"/>
          <c:xMode val="edge"/>
          <c:yMode val="edge"/>
          <c:x val="0.26475781436411355"/>
          <c:y val="0.22550988662058788"/>
          <c:w val="0.48715054380077105"/>
          <c:h val="0.6056777233554469"/>
        </c:manualLayout>
      </c:layout>
      <c:pieChart>
        <c:varyColors val="1"/>
        <c:ser>
          <c:idx val="0"/>
          <c:order val="0"/>
          <c:tx>
            <c:strRef>
              <c:f>'Grafica 1'!$B$3</c:f>
              <c:strCache>
                <c:ptCount val="1"/>
                <c:pt idx="0">
                  <c:v>Total</c:v>
                </c:pt>
              </c:strCache>
            </c:strRef>
          </c:tx>
          <c:dPt>
            <c:idx val="0"/>
            <c:bubble3D val="0"/>
            <c:spPr>
              <a:solidFill>
                <a:srgbClr val="4B4B4B"/>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6A0-4A28-9633-20B496C19A63}"/>
              </c:ext>
            </c:extLst>
          </c:dPt>
          <c:dPt>
            <c:idx val="1"/>
            <c:bubble3D val="0"/>
            <c:spPr>
              <a:gradFill rotWithShape="1">
                <a:gsLst>
                  <a:gs pos="0">
                    <a:schemeClr val="dk1">
                      <a:tint val="55000"/>
                      <a:tint val="100000"/>
                      <a:shade val="100000"/>
                      <a:satMod val="130000"/>
                    </a:schemeClr>
                  </a:gs>
                  <a:gs pos="100000">
                    <a:schemeClr val="dk1">
                      <a:tint val="55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6A0-4A28-9633-20B496C19A63}"/>
              </c:ext>
            </c:extLst>
          </c:dPt>
          <c:dLbls>
            <c:dLbl>
              <c:idx val="0"/>
              <c:layout>
                <c:manualLayout>
                  <c:x val="-0.26013967004124483"/>
                  <c:y val="-0.26602819250445037"/>
                </c:manualLayout>
              </c:layout>
              <c:tx>
                <c:rich>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fld id="{B06537BC-400D-4473-A95D-A3C8C2F891C6}" type="VALUE">
                      <a:rPr lang="en-US" sz="1200" b="1" baseline="0">
                        <a:solidFill>
                          <a:schemeClr val="bg1"/>
                        </a:solidFill>
                      </a:rPr>
                      <a:pPr>
                        <a:defRPr sz="12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sz="1200" b="1" baseline="0">
                        <a:solidFill>
                          <a:schemeClr val="bg1"/>
                        </a:solidFill>
                      </a:rPr>
                      <a:t> </a:t>
                    </a:r>
                  </a:p>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sz="1200" b="1" baseline="0">
                        <a:solidFill>
                          <a:schemeClr val="bg1"/>
                        </a:solidFill>
                      </a:rPr>
                      <a:pPr>
                        <a:defRPr sz="12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showLegendKey val="1"/>
              <c:showVal val="1"/>
              <c:showCatName val="0"/>
              <c:showSerName val="1"/>
              <c:showPercent val="1"/>
              <c:showBubbleSize val="1"/>
              <c:extLst>
                <c:ext xmlns:c15="http://schemas.microsoft.com/office/drawing/2012/chart" uri="{CE6537A1-D6FC-4f65-9D91-7224C49458BB}">
                  <c15:layout>
                    <c:manualLayout>
                      <c:w val="0.29859710075445794"/>
                      <c:h val="0.23060836602700643"/>
                    </c:manualLayout>
                  </c15:layout>
                  <c15:dlblFieldTable/>
                  <c15:showDataLabelsRange val="0"/>
                </c:ext>
                <c:ext xmlns:c16="http://schemas.microsoft.com/office/drawing/2014/chart" uri="{C3380CC4-5D6E-409C-BE32-E72D297353CC}">
                  <c16:uniqueId val="{00000001-36A0-4A28-9633-20B496C19A63}"/>
                </c:ext>
              </c:extLst>
            </c:dLbl>
            <c:dLbl>
              <c:idx val="1"/>
              <c:layout>
                <c:manualLayout>
                  <c:x val="-4.616797900262469E-2"/>
                  <c:y val="7.4455955225556078E-2"/>
                </c:manualLayout>
              </c:layout>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fld id="{66D3C2E4-43E9-4326-B046-B20ACAE005EB}" type="VALUE">
                      <a:rPr lang="en-US" sz="1200"/>
                      <a:pPr>
                        <a:defRPr sz="12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sz="1200" baseline="0"/>
                      <a:t> </a:t>
                    </a:r>
                  </a:p>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fld id="{E96B3BCA-7340-49CE-867C-28EFBA07E0C9}" type="PERCENTAGE">
                      <a:rPr lang="en-US" sz="1200" baseline="0"/>
                      <a:pPr>
                        <a:defRPr sz="12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2399752871800116"/>
                      <c:h val="0.25157560498420384"/>
                    </c:manualLayout>
                  </c15:layout>
                  <c15:dlblFieldTable/>
                  <c15:showDataLabelsRange val="0"/>
                </c:ext>
                <c:ext xmlns:c16="http://schemas.microsoft.com/office/drawing/2014/chart" uri="{C3380CC4-5D6E-409C-BE32-E72D297353CC}">
                  <c16:uniqueId val="{00000003-36A0-4A28-9633-20B496C19A63}"/>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1'!$A$4:$A$5</c:f>
              <c:strCache>
                <c:ptCount val="2"/>
                <c:pt idx="0">
                  <c:v>Resto del Presupuesto 2022</c:v>
                </c:pt>
                <c:pt idx="1">
                  <c:v>Inversión en Jóvenes 2022</c:v>
                </c:pt>
              </c:strCache>
            </c:strRef>
          </c:cat>
          <c:val>
            <c:numRef>
              <c:f>'Grafica 1'!$B$4:$B$5</c:f>
              <c:numCache>
                <c:formatCode>#,##0</c:formatCode>
                <c:ptCount val="2"/>
                <c:pt idx="0">
                  <c:v>39589713170</c:v>
                </c:pt>
                <c:pt idx="1">
                  <c:v>6448337151</c:v>
                </c:pt>
              </c:numCache>
            </c:numRef>
          </c:val>
          <c:extLst>
            <c:ext xmlns:c16="http://schemas.microsoft.com/office/drawing/2014/chart" uri="{C3380CC4-5D6E-409C-BE32-E72D297353CC}">
              <c16:uniqueId val="{00000004-36A0-4A28-9633-20B496C19A63}"/>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10194413198350213"/>
          <c:y val="0.8633651394390367"/>
          <c:w val="0.78333333333333333"/>
          <c:h val="0.104777977555955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315269497001529E-2"/>
          <c:y val="7.8491768501751671E-2"/>
          <c:w val="0.43834133735645664"/>
          <c:h val="0.58231020957082169"/>
        </c:manualLayout>
      </c:layout>
      <c:pieChart>
        <c:varyColors val="1"/>
        <c:ser>
          <c:idx val="0"/>
          <c:order val="0"/>
          <c:tx>
            <c:strRef>
              <c:f>'Grafica 2'!$B$15</c:f>
              <c:strCache>
                <c:ptCount val="1"/>
                <c:pt idx="0">
                  <c:v>Costo</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7723-4B4E-B9C9-7146F97B0B95}"/>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7723-4B4E-B9C9-7146F97B0B95}"/>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7723-4B4E-B9C9-7146F97B0B95}"/>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7723-4B4E-B9C9-7146F97B0B95}"/>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7723-4B4E-B9C9-7146F97B0B95}"/>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7723-4B4E-B9C9-7146F97B0B95}"/>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7723-4B4E-B9C9-7146F97B0B95}"/>
              </c:ext>
            </c:extLst>
          </c:dPt>
          <c:dLbls>
            <c:dLbl>
              <c:idx val="0"/>
              <c:layout>
                <c:manualLayout>
                  <c:x val="0.16536969756688569"/>
                  <c:y val="0.17786053405930571"/>
                </c:manualLayout>
              </c:layout>
              <c:tx>
                <c:rich>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fld id="{F7F84A31-0E74-4075-8BD3-1BEE8DE423DD}" type="CATEGORYNAME">
                      <a:rPr lang="en-US">
                        <a:solidFill>
                          <a:schemeClr val="bg1"/>
                        </a:solidFill>
                      </a:rPr>
                      <a:pPr>
                        <a:defRPr sz="1000" b="0" i="0" u="none" strike="noStrike" kern="1200" baseline="0">
                          <a:solidFill>
                            <a:schemeClr val="bg1"/>
                          </a:solidFill>
                          <a:latin typeface="Arial" panose="020B0604020202020204" pitchFamily="34" charset="0"/>
                          <a:ea typeface="+mn-ea"/>
                          <a:cs typeface="Arial" panose="020B0604020202020204" pitchFamily="34" charset="0"/>
                        </a:defRPr>
                      </a:pPr>
                      <a:t>[NOMBRE DE CATEGORÍA]</a:t>
                    </a:fld>
                    <a:r>
                      <a:rPr lang="en-US">
                        <a:solidFill>
                          <a:schemeClr val="bg1"/>
                        </a:solidFill>
                      </a:rPr>
                      <a:t>, </a:t>
                    </a:r>
                    <a:fld id="{30A5A0D9-EAB7-4FAA-BD80-EAB7C047F267}" type="VALUE">
                      <a:rPr lang="en-US">
                        <a:solidFill>
                          <a:schemeClr val="bg1"/>
                        </a:solidFill>
                      </a:rPr>
                      <a:pPr>
                        <a:defRPr sz="1000" b="0"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a:solidFill>
                          <a:schemeClr val="bg1"/>
                        </a:solidFill>
                      </a:rPr>
                      <a:t> </a:t>
                    </a:r>
                    <a:fld id="{96405571-9B9F-4414-94BB-4024DF4A354E}" type="PERCENTAGE">
                      <a:rPr lang="en-US">
                        <a:solidFill>
                          <a:schemeClr val="bg1"/>
                        </a:solidFill>
                      </a:rPr>
                      <a:pPr>
                        <a:defRPr sz="1000" b="0"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n-US">
                      <a:solidFill>
                        <a:schemeClr val="bg1"/>
                      </a:solidFill>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7723-4B4E-B9C9-7146F97B0B95}"/>
                </c:ext>
              </c:extLst>
            </c:dLbl>
            <c:dLbl>
              <c:idx val="1"/>
              <c:layout>
                <c:manualLayout>
                  <c:x val="7.8922653697130099E-2"/>
                  <c:y val="-0.34580156341462742"/>
                </c:manualLayout>
              </c:layout>
              <c:tx>
                <c:rich>
                  <a:bodyPr/>
                  <a:lstStyle/>
                  <a:p>
                    <a:fld id="{083DD622-D746-4A1B-87C0-67F4D1A2014C}" type="CATEGORYNAME">
                      <a:rPr lang="en-US"/>
                      <a:pPr/>
                      <a:t>[NOMBRE DE CATEGORÍA]</a:t>
                    </a:fld>
                    <a:r>
                      <a:rPr lang="en-US" baseline="0"/>
                      <a:t>, </a:t>
                    </a:r>
                    <a:fld id="{A87FD28F-115C-4141-A0F9-7C702E1A8DB6}" type="VALUE">
                      <a:rPr lang="en-US" baseline="0"/>
                      <a:pPr/>
                      <a:t>[VALOR]</a:t>
                    </a:fld>
                    <a:r>
                      <a:rPr lang="en-US" baseline="0"/>
                      <a:t> </a:t>
                    </a:r>
                    <a:fld id="{D35EA236-E280-48B8-A5F7-91D5F9C085EE}"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7723-4B4E-B9C9-7146F97B0B95}"/>
                </c:ext>
              </c:extLst>
            </c:dLbl>
            <c:dLbl>
              <c:idx val="2"/>
              <c:layout>
                <c:manualLayout>
                  <c:x val="0.14535331615217317"/>
                  <c:y val="-0.29669035133940336"/>
                </c:manualLayout>
              </c:layout>
              <c:tx>
                <c:rich>
                  <a:bodyPr/>
                  <a:lstStyle/>
                  <a:p>
                    <a:fld id="{ECCE2334-C71F-4067-B4B8-B9F7CAE1A78C}" type="CATEGORYNAME">
                      <a:rPr lang="en-US"/>
                      <a:pPr/>
                      <a:t>[NOMBRE DE CATEGORÍA]</a:t>
                    </a:fld>
                    <a:r>
                      <a:rPr lang="en-US" baseline="0"/>
                      <a:t>, </a:t>
                    </a:r>
                    <a:fld id="{AB5476D5-76B0-4BF0-B7C9-105F9FB33465}" type="VALUE">
                      <a:rPr lang="en-US" baseline="0"/>
                      <a:pPr/>
                      <a:t>[VALOR]</a:t>
                    </a:fld>
                    <a:r>
                      <a:rPr lang="en-US" baseline="0"/>
                      <a:t> </a:t>
                    </a:r>
                    <a:fld id="{26A19BE3-8548-4EBD-A8F6-89A7BE3B46A6}"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7723-4B4E-B9C9-7146F97B0B95}"/>
                </c:ext>
              </c:extLst>
            </c:dLbl>
            <c:dLbl>
              <c:idx val="3"/>
              <c:layout>
                <c:manualLayout>
                  <c:x val="0.31480088017845653"/>
                  <c:y val="-0.18336389682497589"/>
                </c:manualLayout>
              </c:layout>
              <c:tx>
                <c:rich>
                  <a:bodyPr/>
                  <a:lstStyle/>
                  <a:p>
                    <a:fld id="{C741A01F-F6C4-4B67-9000-0B536B6B93BC}" type="CATEGORYNAME">
                      <a:rPr lang="en-US"/>
                      <a:pPr/>
                      <a:t>[NOMBRE DE CATEGORÍA]</a:t>
                    </a:fld>
                    <a:r>
                      <a:rPr lang="en-US"/>
                      <a:t>, </a:t>
                    </a:r>
                    <a:fld id="{9FAC1D96-AFFE-4AA7-A114-D3877D860A51}" type="VALUE">
                      <a:rPr lang="en-US"/>
                      <a:pPr/>
                      <a:t>[VALOR]</a:t>
                    </a:fld>
                    <a:endParaRPr lang="en-US"/>
                  </a:p>
                  <a:p>
                    <a:fld id="{C955D56E-CF4D-4513-B824-AE809A3E0A40}" type="PERCENTAGE">
                      <a:rPr lang="en-US"/>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layout>
                    <c:manualLayout>
                      <c:w val="0.21436658779721496"/>
                      <c:h val="0.19026178164296628"/>
                    </c:manualLayout>
                  </c15:layout>
                  <c15:dlblFieldTable/>
                  <c15:showDataLabelsRange val="0"/>
                </c:ext>
                <c:ext xmlns:c16="http://schemas.microsoft.com/office/drawing/2014/chart" uri="{C3380CC4-5D6E-409C-BE32-E72D297353CC}">
                  <c16:uniqueId val="{00000007-7723-4B4E-B9C9-7146F97B0B95}"/>
                </c:ext>
              </c:extLst>
            </c:dLbl>
            <c:dLbl>
              <c:idx val="4"/>
              <c:layout>
                <c:manualLayout>
                  <c:x val="0.39202406811217572"/>
                  <c:y val="-1.9688858855329793E-2"/>
                </c:manualLayout>
              </c:layout>
              <c:tx>
                <c:rich>
                  <a:bodyPr/>
                  <a:lstStyle/>
                  <a:p>
                    <a:fld id="{78F480A5-63D1-4027-AFA6-FFC2D5F7B075}" type="CATEGORYNAME">
                      <a:rPr lang="en-US"/>
                      <a:pPr/>
                      <a:t>[NOMBRE DE CATEGORÍA]</a:t>
                    </a:fld>
                    <a:r>
                      <a:rPr lang="en-US" baseline="0"/>
                      <a:t>, </a:t>
                    </a:r>
                    <a:fld id="{EFD9C3C4-959C-4E1B-99BB-DC1AB91618E5}" type="VALUE">
                      <a:rPr lang="en-US" baseline="0"/>
                      <a:pPr/>
                      <a:t>[VALOR]</a:t>
                    </a:fld>
                    <a:endParaRPr lang="en-US" baseline="0"/>
                  </a:p>
                  <a:p>
                    <a:fld id="{88523469-E119-4BBA-9D51-A783C0648520}" type="PERCENTAGE">
                      <a:rPr lang="en-US" baseline="0"/>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layout>
                    <c:manualLayout>
                      <c:w val="0.18982758620689652"/>
                      <c:h val="0.21723880597014925"/>
                    </c:manualLayout>
                  </c15:layout>
                  <c15:dlblFieldTable/>
                  <c15:showDataLabelsRange val="0"/>
                </c:ext>
                <c:ext xmlns:c16="http://schemas.microsoft.com/office/drawing/2014/chart" uri="{C3380CC4-5D6E-409C-BE32-E72D297353CC}">
                  <c16:uniqueId val="{00000009-7723-4B4E-B9C9-7146F97B0B95}"/>
                </c:ext>
              </c:extLst>
            </c:dLbl>
            <c:dLbl>
              <c:idx val="5"/>
              <c:layout>
                <c:manualLayout>
                  <c:x val="0.13590983333428036"/>
                  <c:y val="8.5389182182517509E-2"/>
                </c:manualLayout>
              </c:layout>
              <c:tx>
                <c:rich>
                  <a:bodyPr/>
                  <a:lstStyle/>
                  <a:p>
                    <a:fld id="{A39760FD-9ACF-499A-BD1C-87E0E039E1AA}" type="CATEGORYNAME">
                      <a:rPr lang="en-US"/>
                      <a:pPr/>
                      <a:t>[NOMBRE DE CATEGORÍA]</a:t>
                    </a:fld>
                    <a:r>
                      <a:rPr lang="en-US" baseline="0"/>
                      <a:t>, </a:t>
                    </a:r>
                  </a:p>
                  <a:p>
                    <a:fld id="{301AD54E-F516-4AAC-AA98-30A9A5B881EC}" type="VALUE">
                      <a:rPr lang="en-US" baseline="0"/>
                      <a:pPr/>
                      <a:t>[VALOR]</a:t>
                    </a:fld>
                    <a:endParaRPr lang="en-US" baseline="0"/>
                  </a:p>
                  <a:p>
                    <a:r>
                      <a:rPr lang="en-US" baseline="0"/>
                      <a:t> </a:t>
                    </a:r>
                    <a:fld id="{F4526046-9F30-4E02-AFB1-4998342DE0FA}"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5120595099592685"/>
                      <c:h val="0.20306367709181775"/>
                    </c:manualLayout>
                  </c15:layout>
                  <c15:dlblFieldTable/>
                  <c15:showDataLabelsRange val="0"/>
                </c:ext>
                <c:ext xmlns:c16="http://schemas.microsoft.com/office/drawing/2014/chart" uri="{C3380CC4-5D6E-409C-BE32-E72D297353CC}">
                  <c16:uniqueId val="{0000000B-7723-4B4E-B9C9-7146F97B0B95}"/>
                </c:ext>
              </c:extLst>
            </c:dLbl>
            <c:dLbl>
              <c:idx val="6"/>
              <c:layout>
                <c:manualLayout>
                  <c:x val="-0.20683129048524118"/>
                  <c:y val="9.2926754025149813E-2"/>
                </c:manualLayout>
              </c:layout>
              <c:tx>
                <c:rich>
                  <a:bodyPr/>
                  <a:lstStyle/>
                  <a:p>
                    <a:fld id="{6DDD790B-DFA5-476C-B06B-1A8F6CE40AF5}" type="CATEGORYNAME">
                      <a:rPr lang="en-US"/>
                      <a:pPr/>
                      <a:t>[NOMBRE DE CATEGORÍA]</a:t>
                    </a:fld>
                    <a:r>
                      <a:rPr lang="en-US" baseline="0"/>
                      <a:t>, </a:t>
                    </a:r>
                    <a:fld id="{7FB7FE95-547D-4088-98D5-60924A0805F2}" type="VALUE">
                      <a:rPr lang="en-US" baseline="0"/>
                      <a:pPr/>
                      <a:t>[VALOR]</a:t>
                    </a:fld>
                    <a:r>
                      <a:rPr lang="en-US" baseline="0"/>
                      <a:t> </a:t>
                    </a:r>
                    <a:fld id="{58BD00EF-45FA-4413-ACFC-19129597E740}"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1984963732981653"/>
                      <c:h val="0.22596779880126922"/>
                    </c:manualLayout>
                  </c15:layout>
                  <c15:dlblFieldTable/>
                  <c15:showDataLabelsRange val="0"/>
                </c:ext>
                <c:ext xmlns:c16="http://schemas.microsoft.com/office/drawing/2014/chart" uri="{C3380CC4-5D6E-409C-BE32-E72D297353CC}">
                  <c16:uniqueId val="{0000000D-7723-4B4E-B9C9-7146F97B0B9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2'!$A$16:$A$22</c:f>
              <c:strCache>
                <c:ptCount val="7"/>
                <c:pt idx="0">
                  <c:v>Educación</c:v>
                </c:pt>
                <c:pt idx="1">
                  <c:v>Salud</c:v>
                </c:pt>
                <c:pt idx="2">
                  <c:v>Vivienda</c:v>
                </c:pt>
                <c:pt idx="3">
                  <c:v>Asistencia social</c:v>
                </c:pt>
                <c:pt idx="4">
                  <c:v>Seguridad legal</c:v>
                </c:pt>
                <c:pt idx="5">
                  <c:v>Deporte, recreación y cultura</c:v>
                </c:pt>
                <c:pt idx="6">
                  <c:v>Otros</c:v>
                </c:pt>
              </c:strCache>
            </c:strRef>
          </c:cat>
          <c:val>
            <c:numRef>
              <c:f>'Grafica 2'!$B$16:$B$22</c:f>
              <c:numCache>
                <c:formatCode>#,##0</c:formatCode>
                <c:ptCount val="7"/>
                <c:pt idx="0">
                  <c:v>5287093382</c:v>
                </c:pt>
                <c:pt idx="1">
                  <c:v>360726598</c:v>
                </c:pt>
                <c:pt idx="2">
                  <c:v>349932839</c:v>
                </c:pt>
                <c:pt idx="3">
                  <c:v>285233245</c:v>
                </c:pt>
                <c:pt idx="4">
                  <c:v>78798912</c:v>
                </c:pt>
                <c:pt idx="5">
                  <c:v>66750991</c:v>
                </c:pt>
                <c:pt idx="6">
                  <c:v>19801184</c:v>
                </c:pt>
              </c:numCache>
            </c:numRef>
          </c:val>
          <c:extLst>
            <c:ext xmlns:c16="http://schemas.microsoft.com/office/drawing/2014/chart" uri="{C3380CC4-5D6E-409C-BE32-E72D297353CC}">
              <c16:uniqueId val="{0000000E-7723-4B4E-B9C9-7146F97B0B95}"/>
            </c:ext>
          </c:extLst>
        </c:ser>
        <c:dLbls>
          <c:showLegendKey val="0"/>
          <c:showVal val="1"/>
          <c:showCatName val="0"/>
          <c:showSerName val="0"/>
          <c:showPercent val="0"/>
          <c:showBubbleSize val="0"/>
          <c:showLeaderLines val="1"/>
        </c:dLbls>
        <c:firstSliceAng val="161"/>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[1.2 Base de datos Anexo Jóvenes 2022.xlsx]Grafica 3!TablaDinámica2</c:name>
    <c:fmtId val="-1"/>
  </c:pivotSource>
  <c:chart>
    <c:autoTitleDeleted val="1"/>
    <c:pivotFmts>
      <c:pivotFmt>
        <c:idx val="0"/>
        <c:spPr>
          <a:solidFill>
            <a:schemeClr val="accent3"/>
          </a:solidFill>
          <a:ln>
            <a:noFill/>
          </a:ln>
          <a:effectLst/>
        </c:spPr>
        <c:marker>
          <c:symbol val="none"/>
        </c:marker>
      </c:pivotFmt>
      <c:pivotFmt>
        <c:idx val="1"/>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pivotFmt>
      <c:pivotFmt>
        <c:idx val="3"/>
        <c:spPr>
          <a:solidFill>
            <a:schemeClr val="accent3"/>
          </a:solidFill>
          <a:ln>
            <a:noFill/>
          </a:ln>
          <a:effectLst/>
        </c:spPr>
      </c:pivotFmt>
      <c:pivotFmt>
        <c:idx val="4"/>
        <c:spPr>
          <a:solidFill>
            <a:schemeClr val="accent3"/>
          </a:solidFill>
          <a:ln>
            <a:noFill/>
          </a:ln>
          <a:effectLst/>
        </c:spPr>
      </c:pivotFmt>
      <c:pivotFmt>
        <c:idx val="5"/>
        <c:spPr>
          <a:solidFill>
            <a:schemeClr val="accent3"/>
          </a:solidFill>
          <a:ln>
            <a:noFill/>
          </a:ln>
          <a:effectLst/>
        </c:spPr>
      </c:pivotFmt>
      <c:pivotFmt>
        <c:idx val="6"/>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pivotFmt>
      <c:pivotFmt>
        <c:idx val="8"/>
        <c:spPr>
          <a:solidFill>
            <a:schemeClr val="accent3"/>
          </a:solidFill>
          <a:ln>
            <a:noFill/>
          </a:ln>
          <a:effectLst/>
        </c:spPr>
      </c:pivotFmt>
      <c:pivotFmt>
        <c:idx val="9"/>
        <c:spPr>
          <a:solidFill>
            <a:schemeClr val="accent3"/>
          </a:solidFill>
          <a:ln>
            <a:noFill/>
          </a:ln>
          <a:effectLst/>
        </c:spPr>
      </c:pivotFmt>
      <c:pivotFmt>
        <c:idx val="10"/>
        <c:spPr>
          <a:solidFill>
            <a:schemeClr val="accent3"/>
          </a:solidFill>
          <a:ln>
            <a:noFill/>
          </a:ln>
          <a:effectLst/>
        </c:spPr>
      </c:pivotFmt>
      <c:pivotFmt>
        <c:idx val="11"/>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3"/>
          </a:solidFill>
          <a:ln>
            <a:noFill/>
          </a:ln>
          <a:effectLst/>
        </c:spPr>
      </c:pivotFmt>
      <c:pivotFmt>
        <c:idx val="13"/>
        <c:spPr>
          <a:solidFill>
            <a:schemeClr val="accent3"/>
          </a:solidFill>
          <a:ln>
            <a:noFill/>
          </a:ln>
          <a:effectLst/>
        </c:spPr>
      </c:pivotFmt>
      <c:pivotFmt>
        <c:idx val="14"/>
        <c:spPr>
          <a:solidFill>
            <a:schemeClr val="accent3"/>
          </a:solidFill>
          <a:ln>
            <a:noFill/>
          </a:ln>
          <a:effectLst/>
        </c:spPr>
      </c:pivotFmt>
      <c:pivotFmt>
        <c:idx val="15"/>
        <c:spPr>
          <a:solidFill>
            <a:schemeClr val="accent3"/>
          </a:solidFill>
          <a:ln>
            <a:noFill/>
          </a:ln>
          <a:effectLst/>
        </c:spPr>
      </c:pivotFmt>
    </c:pivotFmts>
    <c:plotArea>
      <c:layout/>
      <c:barChart>
        <c:barDir val="col"/>
        <c:grouping val="clustered"/>
        <c:varyColors val="0"/>
        <c:ser>
          <c:idx val="0"/>
          <c:order val="0"/>
          <c:tx>
            <c:strRef>
              <c:f>'Grafica 3'!$B$4</c:f>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 3'!$A$5:$A$8</c:f>
              <c:strCache>
                <c:ptCount val="4"/>
                <c:pt idx="0">
                  <c:v>Agéntica o indirecta</c:v>
                </c:pt>
                <c:pt idx="1">
                  <c:v>Ampliada</c:v>
                </c:pt>
                <c:pt idx="2">
                  <c:v>Bienes Públicos</c:v>
                </c:pt>
                <c:pt idx="3">
                  <c:v>Específica o directa</c:v>
                </c:pt>
              </c:strCache>
            </c:strRef>
          </c:cat>
          <c:val>
            <c:numRef>
              <c:f>'Grafica 3'!$B$5:$B$8</c:f>
              <c:numCache>
                <c:formatCode>#,##0</c:formatCode>
                <c:ptCount val="4"/>
                <c:pt idx="0">
                  <c:v>5078290844</c:v>
                </c:pt>
                <c:pt idx="1">
                  <c:v>834616069</c:v>
                </c:pt>
                <c:pt idx="2">
                  <c:v>383586314</c:v>
                </c:pt>
                <c:pt idx="3">
                  <c:v>151843924</c:v>
                </c:pt>
              </c:numCache>
            </c:numRef>
          </c:val>
          <c:extLst>
            <c:ext xmlns:c16="http://schemas.microsoft.com/office/drawing/2014/chart" uri="{C3380CC4-5D6E-409C-BE32-E72D297353CC}">
              <c16:uniqueId val="{00000008-E3C7-482A-AB3D-2BDCDEA78F28}"/>
            </c:ext>
          </c:extLst>
        </c:ser>
        <c:dLbls>
          <c:showLegendKey val="0"/>
          <c:showVal val="0"/>
          <c:showCatName val="0"/>
          <c:showSerName val="0"/>
          <c:showPercent val="0"/>
          <c:showBubbleSize val="0"/>
        </c:dLbls>
        <c:gapWidth val="219"/>
        <c:overlap val="-27"/>
        <c:axId val="267643904"/>
        <c:axId val="267719424"/>
      </c:barChart>
      <c:catAx>
        <c:axId val="26764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67719424"/>
        <c:crosses val="autoZero"/>
        <c:auto val="1"/>
        <c:lblAlgn val="ctr"/>
        <c:lblOffset val="100"/>
        <c:noMultiLvlLbl val="0"/>
      </c:catAx>
      <c:valAx>
        <c:axId val="267719424"/>
        <c:scaling>
          <c:orientation val="minMax"/>
        </c:scaling>
        <c:delete val="1"/>
        <c:axPos val="l"/>
        <c:numFmt formatCode="#,##0" sourceLinked="1"/>
        <c:majorTickMark val="none"/>
        <c:minorTickMark val="none"/>
        <c:tickLblPos val="none"/>
        <c:crossAx val="267643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s-MX"/>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54742399464381"/>
          <c:y val="0.14823493265513726"/>
          <c:w val="0.4999730342216141"/>
          <c:h val="0.76626305742153544"/>
        </c:manualLayout>
      </c:layout>
      <c:pieChart>
        <c:varyColors val="1"/>
        <c:ser>
          <c:idx val="0"/>
          <c:order val="0"/>
          <c:tx>
            <c:strRef>
              <c:f>'Tabla 1 total'!$C$10</c:f>
              <c:strCache>
                <c:ptCount val="1"/>
                <c:pt idx="0">
                  <c:v>Porcentaje</c:v>
                </c:pt>
              </c:strCache>
            </c:strRef>
          </c:tx>
          <c:dPt>
            <c:idx val="0"/>
            <c:bubble3D val="0"/>
            <c:spPr>
              <a:solidFill>
                <a:schemeClr val="dk1">
                  <a:tint val="88500"/>
                </a:schemeClr>
              </a:solidFill>
              <a:ln>
                <a:noFill/>
              </a:ln>
              <a:effectLst/>
            </c:spPr>
            <c:extLst>
              <c:ext xmlns:c16="http://schemas.microsoft.com/office/drawing/2014/chart" uri="{C3380CC4-5D6E-409C-BE32-E72D297353CC}">
                <c16:uniqueId val="{00000000-31D7-4D6E-8429-D97FD8520D7D}"/>
              </c:ext>
            </c:extLst>
          </c:dPt>
          <c:dPt>
            <c:idx val="1"/>
            <c:bubble3D val="0"/>
            <c:spPr>
              <a:solidFill>
                <a:schemeClr val="dk1">
                  <a:tint val="55000"/>
                </a:schemeClr>
              </a:solidFill>
              <a:ln>
                <a:noFill/>
              </a:ln>
              <a:effectLst/>
            </c:spPr>
            <c:extLst>
              <c:ext xmlns:c16="http://schemas.microsoft.com/office/drawing/2014/chart" uri="{C3380CC4-5D6E-409C-BE32-E72D297353CC}">
                <c16:uniqueId val="{00000001-31D7-4D6E-8429-D97FD8520D7D}"/>
              </c:ext>
            </c:extLst>
          </c:dPt>
          <c:dLbls>
            <c:dLbl>
              <c:idx val="0"/>
              <c:layout>
                <c:manualLayout>
                  <c:x val="-2.107459061733514E-3"/>
                  <c:y val="5.10733373860414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1D7-4D6E-8429-D97FD8520D7D}"/>
                </c:ext>
              </c:extLst>
            </c:dLbl>
            <c:numFmt formatCode="0.0%" sourceLinked="0"/>
            <c:spPr>
              <a:noFill/>
              <a:ln w="25384">
                <a:noFill/>
              </a:ln>
            </c:spPr>
            <c:txPr>
              <a:bodyPr rot="0" spcFirstLastPara="1" vertOverflow="ellipsis" vert="horz" wrap="square" anchor="t" anchorCtr="1"/>
              <a:lstStyle/>
              <a:p>
                <a:pPr>
                  <a:defRPr sz="1199"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'Tabla 1 total'!$A$11:$A$12</c:f>
              <c:strCache>
                <c:ptCount val="2"/>
                <c:pt idx="0">
                  <c:v>Resto del presupuesto</c:v>
                </c:pt>
                <c:pt idx="1">
                  <c:v>Asignaciones presupuestales para la igualdad</c:v>
                </c:pt>
              </c:strCache>
            </c:strRef>
          </c:cat>
          <c:val>
            <c:numRef>
              <c:f>'Tabla 1 total'!$C$11:$C$12</c:f>
              <c:numCache>
                <c:formatCode>_-* #,##0.0_-;\-* #,##0.0_-;_-* "-"??_-;_-@_-</c:formatCode>
                <c:ptCount val="2"/>
                <c:pt idx="0">
                  <c:v>98.153805546699502</c:v>
                </c:pt>
                <c:pt idx="1">
                  <c:v>1.8461944533005106</c:v>
                </c:pt>
              </c:numCache>
            </c:numRef>
          </c:val>
          <c:extLst>
            <c:ext xmlns:c16="http://schemas.microsoft.com/office/drawing/2014/chart" uri="{C3380CC4-5D6E-409C-BE32-E72D297353CC}">
              <c16:uniqueId val="{00000002-31D7-4D6E-8429-D97FD8520D7D}"/>
            </c:ext>
          </c:extLst>
        </c:ser>
        <c:dLbls>
          <c:showLegendKey val="0"/>
          <c:showVal val="0"/>
          <c:showCatName val="0"/>
          <c:showSerName val="0"/>
          <c:showPercent val="0"/>
          <c:showBubbleSize val="0"/>
          <c:showLeaderLines val="0"/>
        </c:dLbls>
        <c:firstSliceAng val="77"/>
      </c:pieChart>
      <c:spPr>
        <a:noFill/>
        <a:ln w="25384">
          <a:noFill/>
        </a:ln>
      </c:spPr>
    </c:plotArea>
    <c:plotVisOnly val="1"/>
    <c:dispBlanksAs val="zero"/>
    <c:showDLblsOverMax val="0"/>
  </c:chart>
  <c:spPr>
    <a:solidFill>
      <a:schemeClr val="bg1"/>
    </a:solidFill>
    <a:ln w="6346" cap="flat" cmpd="sng" algn="ctr">
      <a:solidFill>
        <a:schemeClr val="tx1">
          <a:tint val="75000"/>
        </a:schemeClr>
      </a:solidFill>
      <a:prstDash val="solid"/>
      <a:round/>
    </a:ln>
    <a:effectLst/>
  </c:spPr>
  <c:txPr>
    <a:bodyPr/>
    <a:lstStyle/>
    <a:p>
      <a:pPr>
        <a:defRPr sz="1999">
          <a:latin typeface="Barlow Medium" panose="00000600000000000000" pitchFamily="2" charset="0"/>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ABA9C-E18B-446F-972A-5B7B0BD11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58006</Words>
  <Characters>319037</Characters>
  <Application>Microsoft Office Word</Application>
  <DocSecurity>0</DocSecurity>
  <Lines>2658</Lines>
  <Paragraphs>752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376291</CharactersWithSpaces>
  <SharedDoc>false</SharedDoc>
  <HLinks>
    <vt:vector size="42" baseType="variant">
      <vt:variant>
        <vt:i4>5636189</vt:i4>
      </vt:variant>
      <vt:variant>
        <vt:i4>18</vt:i4>
      </vt:variant>
      <vt:variant>
        <vt:i4>0</vt:i4>
      </vt:variant>
      <vt:variant>
        <vt:i4>5</vt:i4>
      </vt:variant>
      <vt:variant>
        <vt:lpwstr>https://www.yucatan.gob.mx/docs/transparencia/paquete_fiscal/2021/PPE/1_CGPE.pdf</vt:lpwstr>
      </vt:variant>
      <vt:variant>
        <vt:lpwstr/>
      </vt:variant>
      <vt:variant>
        <vt:i4>5767226</vt:i4>
      </vt:variant>
      <vt:variant>
        <vt:i4>15</vt:i4>
      </vt:variant>
      <vt:variant>
        <vt:i4>0</vt:i4>
      </vt:variant>
      <vt:variant>
        <vt:i4>5</vt:i4>
      </vt:variant>
      <vt:variant>
        <vt:lpwstr>https://www.cndh.org.mx/sites/default/files/doc/Programas/Indigenas/OtrasNormas/Estatal/Yucatan/Ley_PDCMYuc.pdf</vt:lpwstr>
      </vt:variant>
      <vt:variant>
        <vt:lpwstr/>
      </vt:variant>
      <vt:variant>
        <vt:i4>3604574</vt:i4>
      </vt:variant>
      <vt:variant>
        <vt:i4>12</vt:i4>
      </vt:variant>
      <vt:variant>
        <vt:i4>0</vt:i4>
      </vt:variant>
      <vt:variant>
        <vt:i4>5</vt:i4>
      </vt:variant>
      <vt:variant>
        <vt:lpwstr>https://www.un.org/esa/socdev/unpfii/documents/DRIPS_es.pdf</vt:lpwstr>
      </vt:variant>
      <vt:variant>
        <vt:lpwstr/>
      </vt:variant>
      <vt:variant>
        <vt:i4>196687</vt:i4>
      </vt:variant>
      <vt:variant>
        <vt:i4>9</vt:i4>
      </vt:variant>
      <vt:variant>
        <vt:i4>0</vt:i4>
      </vt:variant>
      <vt:variant>
        <vt:i4>5</vt:i4>
      </vt:variant>
      <vt:variant>
        <vt:lpwstr>http://www.mx.undp.org/content/mexico/es/home/post-2015/sdg-overview.html</vt:lpwstr>
      </vt:variant>
      <vt:variant>
        <vt:lpwstr/>
      </vt:variant>
      <vt:variant>
        <vt:i4>196687</vt:i4>
      </vt:variant>
      <vt:variant>
        <vt:i4>6</vt:i4>
      </vt:variant>
      <vt:variant>
        <vt:i4>0</vt:i4>
      </vt:variant>
      <vt:variant>
        <vt:i4>5</vt:i4>
      </vt:variant>
      <vt:variant>
        <vt:lpwstr>http://www.mx.undp.org/content/mexico/es/home/post-2015/sdg-overview.html</vt:lpwstr>
      </vt:variant>
      <vt:variant>
        <vt:lpwstr/>
      </vt:variant>
      <vt:variant>
        <vt:i4>5242971</vt:i4>
      </vt:variant>
      <vt:variant>
        <vt:i4>3</vt:i4>
      </vt:variant>
      <vt:variant>
        <vt:i4>0</vt:i4>
      </vt:variant>
      <vt:variant>
        <vt:i4>5</vt:i4>
      </vt:variant>
      <vt:variant>
        <vt:lpwstr>http://www.injuve.es/sites/default/files/ConvencionIberoamericana2005.pdf</vt:lpwstr>
      </vt:variant>
      <vt:variant>
        <vt:lpwstr/>
      </vt:variant>
      <vt:variant>
        <vt:i4>196687</vt:i4>
      </vt:variant>
      <vt:variant>
        <vt:i4>0</vt:i4>
      </vt:variant>
      <vt:variant>
        <vt:i4>0</vt:i4>
      </vt:variant>
      <vt:variant>
        <vt:i4>5</vt:i4>
      </vt:variant>
      <vt:variant>
        <vt:lpwstr>http://www.mx.undp.org/content/mexico/es/home/post-2015/sdg-overview.html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Janeth Castelan Prado</dc:creator>
  <cp:keywords/>
  <cp:lastModifiedBy>Delmy Cruz</cp:lastModifiedBy>
  <cp:revision>2</cp:revision>
  <cp:lastPrinted>2021-11-25T21:52:00Z</cp:lastPrinted>
  <dcterms:created xsi:type="dcterms:W3CDTF">2021-12-02T17:16:00Z</dcterms:created>
  <dcterms:modified xsi:type="dcterms:W3CDTF">2021-12-02T17:16:00Z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