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9" w:rsidRPr="004242D7" w:rsidRDefault="001412A4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(TEXTO ORIGINAL)</w:t>
      </w:r>
    </w:p>
    <w:p w:rsidR="004242D7" w:rsidRDefault="004242D7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 LA TASA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61.- El impuesto a que se refiere este capítulo, se calculará aplicando la tasa del 2% a la base señalada en el artículo 59 de esta Ley.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86" w:lineRule="auto"/>
        <w:rPr>
          <w:rFonts w:ascii="Arial" w:hAnsi="Arial" w:cs="Arial"/>
          <w:b/>
          <w:sz w:val="24"/>
          <w:szCs w:val="24"/>
        </w:rPr>
      </w:pPr>
      <w:r w:rsidRPr="004242D7">
        <w:rPr>
          <w:rFonts w:ascii="Arial" w:hAnsi="Arial" w:cs="Arial"/>
          <w:b/>
          <w:sz w:val="24"/>
          <w:szCs w:val="24"/>
        </w:rPr>
        <w:t xml:space="preserve">Se modifica quedando como </w:t>
      </w:r>
      <w:r w:rsidRPr="004242D7">
        <w:rPr>
          <w:rFonts w:ascii="Arial" w:hAnsi="Arial" w:cs="Arial"/>
          <w:b/>
          <w:sz w:val="24"/>
          <w:szCs w:val="24"/>
        </w:rPr>
        <w:t>sigue: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 LA TASA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61.- El impuesto a que se refiere este capítulo, se calculará aplicando la tasa del 2.5</w:t>
      </w:r>
      <w:r w:rsidR="004242D7" w:rsidRPr="004242D7">
        <w:rPr>
          <w:rFonts w:ascii="Arial" w:hAnsi="Arial" w:cs="Arial"/>
          <w:sz w:val="24"/>
          <w:szCs w:val="24"/>
        </w:rPr>
        <w:t xml:space="preserve"> </w:t>
      </w:r>
      <w:r w:rsidRPr="004242D7">
        <w:rPr>
          <w:rFonts w:ascii="Arial" w:hAnsi="Arial" w:cs="Arial"/>
          <w:sz w:val="24"/>
          <w:szCs w:val="24"/>
        </w:rPr>
        <w:t>% a la base señalada en el artículo 59 de esta Ley.</w:t>
      </w:r>
    </w:p>
    <w:p w:rsidR="004242D7" w:rsidRDefault="004242D7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(TEXTO ORIGINAL)</w:t>
      </w:r>
    </w:p>
    <w:p w:rsidR="004242D7" w:rsidRPr="004242D7" w:rsidRDefault="004242D7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CAPÍTULO VI </w:t>
      </w:r>
    </w:p>
    <w:p w:rsidR="004242D7" w:rsidRPr="004242D7" w:rsidRDefault="004242D7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De los Derechos por el Uso y Aprovechamiento de los </w:t>
      </w:r>
      <w:r w:rsidRPr="004242D7">
        <w:rPr>
          <w:rFonts w:ascii="Arial" w:hAnsi="Arial" w:cs="Arial"/>
          <w:sz w:val="24"/>
          <w:szCs w:val="24"/>
        </w:rPr>
        <w:t>Bienes de Dominio Público del Patrimonio Municipal</w:t>
      </w:r>
    </w:p>
    <w:p w:rsidR="004242D7" w:rsidRDefault="004242D7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 LA TASA Y DEL PAGO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86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102.- Los derechos de servicios de mercados y centrales de abasto se causarán y pagarán de conformidad con la siguiente tarifa: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numPr>
          <w:ilvl w:val="0"/>
          <w:numId w:val="2"/>
        </w:numPr>
        <w:shd w:val="clear" w:color="auto" w:fill="auto"/>
        <w:tabs>
          <w:tab w:val="left" w:pos="669"/>
          <w:tab w:val="left" w:pos="5851"/>
        </w:tabs>
        <w:spacing w:line="286" w:lineRule="auto"/>
        <w:ind w:firstLine="360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- Locatarios fijos</w:t>
      </w:r>
      <w:r w:rsidRPr="004242D7">
        <w:rPr>
          <w:rFonts w:ascii="Arial" w:hAnsi="Arial" w:cs="Arial"/>
          <w:sz w:val="24"/>
          <w:szCs w:val="24"/>
        </w:rPr>
        <w:tab/>
        <w:t>$ 50.00 mensuales.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numPr>
          <w:ilvl w:val="0"/>
          <w:numId w:val="2"/>
        </w:numPr>
        <w:shd w:val="clear" w:color="auto" w:fill="auto"/>
        <w:tabs>
          <w:tab w:val="left" w:pos="649"/>
          <w:tab w:val="left" w:pos="5851"/>
        </w:tabs>
        <w:spacing w:line="286" w:lineRule="auto"/>
        <w:ind w:firstLine="360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- Lo</w:t>
      </w:r>
      <w:r w:rsidRPr="004242D7">
        <w:rPr>
          <w:rFonts w:ascii="Arial" w:hAnsi="Arial" w:cs="Arial"/>
          <w:sz w:val="24"/>
          <w:szCs w:val="24"/>
        </w:rPr>
        <w:t>catarios semifijos</w:t>
      </w:r>
      <w:r w:rsidRPr="004242D7">
        <w:rPr>
          <w:rFonts w:ascii="Arial" w:hAnsi="Arial" w:cs="Arial"/>
          <w:sz w:val="24"/>
          <w:szCs w:val="24"/>
        </w:rPr>
        <w:tab/>
        <w:t>$ 50.00 diario.</w:t>
      </w:r>
    </w:p>
    <w:p w:rsidR="004242D7" w:rsidRDefault="004242D7" w:rsidP="004242D7">
      <w:pPr>
        <w:pStyle w:val="Textoindependiente"/>
        <w:shd w:val="clear" w:color="auto" w:fill="auto"/>
        <w:spacing w:line="286" w:lineRule="auto"/>
        <w:rPr>
          <w:rFonts w:ascii="Arial" w:eastAsia="Arial Unicode MS" w:hAnsi="Arial" w:cs="Arial"/>
          <w:sz w:val="24"/>
          <w:szCs w:val="24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86" w:lineRule="auto"/>
        <w:rPr>
          <w:rFonts w:ascii="Arial" w:hAnsi="Arial" w:cs="Arial"/>
          <w:b/>
          <w:sz w:val="24"/>
          <w:szCs w:val="24"/>
        </w:rPr>
      </w:pPr>
      <w:r w:rsidRPr="004242D7">
        <w:rPr>
          <w:rFonts w:ascii="Arial" w:hAnsi="Arial" w:cs="Arial"/>
          <w:b/>
          <w:sz w:val="24"/>
          <w:szCs w:val="24"/>
        </w:rPr>
        <w:t>Se modifica quedando como sigue: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Default="001412A4">
      <w:pPr>
        <w:pStyle w:val="Textoindependiente"/>
        <w:shd w:val="clear" w:color="auto" w:fill="auto"/>
        <w:spacing w:line="288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CAPÍTULO VI </w:t>
      </w:r>
    </w:p>
    <w:p w:rsidR="004242D7" w:rsidRPr="004242D7" w:rsidRDefault="004242D7">
      <w:pPr>
        <w:pStyle w:val="Textoindependiente"/>
        <w:shd w:val="clear" w:color="auto" w:fill="auto"/>
        <w:spacing w:line="288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88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 los Derechos por el Uso y Aprovechamiento de los Bienes de Dominio Público del Patrimonio Municipal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spacing w:line="288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 LA TASA Y DEL PAGO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spacing w:line="295" w:lineRule="auto"/>
        <w:ind w:firstLine="360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Artículo 102.- Los derechos de servicios de </w:t>
      </w:r>
      <w:r w:rsidRPr="004242D7">
        <w:rPr>
          <w:rFonts w:ascii="Arial" w:hAnsi="Arial" w:cs="Arial"/>
          <w:sz w:val="24"/>
          <w:szCs w:val="24"/>
        </w:rPr>
        <w:t>mercados y centrales de abasto se causarán y pagarán de conformidad con la siguiente tarifa: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numPr>
          <w:ilvl w:val="0"/>
          <w:numId w:val="3"/>
        </w:numPr>
        <w:shd w:val="clear" w:color="auto" w:fill="auto"/>
        <w:tabs>
          <w:tab w:val="left" w:pos="796"/>
          <w:tab w:val="left" w:pos="5851"/>
        </w:tabs>
        <w:spacing w:line="286" w:lineRule="auto"/>
        <w:ind w:firstLine="360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- Locatarios fijos</w:t>
      </w:r>
      <w:r w:rsidRPr="004242D7">
        <w:rPr>
          <w:rFonts w:ascii="Arial" w:hAnsi="Arial" w:cs="Arial"/>
          <w:sz w:val="24"/>
          <w:szCs w:val="24"/>
        </w:rPr>
        <w:tab/>
        <w:t>0.6 UMA mensual.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numPr>
          <w:ilvl w:val="0"/>
          <w:numId w:val="3"/>
        </w:numPr>
        <w:shd w:val="clear" w:color="auto" w:fill="auto"/>
        <w:tabs>
          <w:tab w:val="left" w:pos="844"/>
          <w:tab w:val="left" w:pos="5851"/>
        </w:tabs>
        <w:spacing w:line="286" w:lineRule="auto"/>
        <w:ind w:firstLine="360"/>
        <w:rPr>
          <w:rFonts w:ascii="Arial" w:hAnsi="Arial" w:cs="Arial"/>
          <w:sz w:val="24"/>
          <w:szCs w:val="24"/>
        </w:rPr>
        <w:sectPr w:rsidR="00816D59" w:rsidRPr="004242D7" w:rsidSect="004242D7">
          <w:pgSz w:w="12240" w:h="20160"/>
          <w:pgMar w:top="1417" w:right="1701" w:bottom="1417" w:left="1701" w:header="2609" w:footer="2609" w:gutter="0"/>
          <w:cols w:space="720"/>
          <w:noEndnote/>
          <w:docGrid w:linePitch="360"/>
        </w:sectPr>
      </w:pPr>
      <w:r w:rsidRPr="004242D7">
        <w:rPr>
          <w:rFonts w:ascii="Arial" w:hAnsi="Arial" w:cs="Arial"/>
          <w:sz w:val="24"/>
          <w:szCs w:val="24"/>
        </w:rPr>
        <w:t>- Locatarios semifijos</w:t>
      </w:r>
      <w:r w:rsidRPr="004242D7">
        <w:rPr>
          <w:rFonts w:ascii="Arial" w:hAnsi="Arial" w:cs="Arial"/>
          <w:sz w:val="24"/>
          <w:szCs w:val="24"/>
        </w:rPr>
        <w:tab/>
        <w:t>1 UMA diario.</w:t>
      </w:r>
    </w:p>
    <w:p w:rsidR="004242D7" w:rsidRDefault="004242D7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</w:p>
    <w:p w:rsidR="00816D59" w:rsidRDefault="001412A4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(TEXTO ORIGINAL)</w:t>
      </w:r>
      <w:bookmarkEnd w:id="0"/>
      <w:bookmarkEnd w:id="1"/>
    </w:p>
    <w:p w:rsidR="004242D7" w:rsidRPr="004242D7" w:rsidRDefault="004242D7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16D59" w:rsidRDefault="001412A4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  <w:r w:rsidRPr="004242D7">
        <w:rPr>
          <w:rFonts w:ascii="Arial" w:hAnsi="Arial" w:cs="Arial"/>
          <w:sz w:val="24"/>
          <w:szCs w:val="24"/>
        </w:rPr>
        <w:t>CAPÍTULO VIII Derechos por Licencias y Permisos</w:t>
      </w:r>
      <w:bookmarkEnd w:id="2"/>
      <w:bookmarkEnd w:id="3"/>
    </w:p>
    <w:p w:rsidR="004242D7" w:rsidRPr="004242D7" w:rsidRDefault="004242D7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16D59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</w:t>
      </w:r>
      <w:r w:rsidRPr="004242D7">
        <w:rPr>
          <w:rFonts w:ascii="Arial" w:hAnsi="Arial" w:cs="Arial"/>
          <w:sz w:val="24"/>
          <w:szCs w:val="24"/>
        </w:rPr>
        <w:t>culo 113.- La tarifa que se cobrará para el otorgamiento de licencias para el funcionamiento de establecimientos con giros relacionados con la venta de bebidas alcohólicas, será la siguiente:</w:t>
      </w:r>
    </w:p>
    <w:p w:rsidR="004242D7" w:rsidRDefault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p w:rsidR="004242D7" w:rsidRPr="004242D7" w:rsidRDefault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421"/>
        <w:gridCol w:w="1999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00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Concepto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Expedición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Revalidación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638"/>
        </w:trPr>
        <w:tc>
          <w:tcPr>
            <w:tcW w:w="4800" w:type="dxa"/>
            <w:shd w:val="clear" w:color="auto" w:fill="FFFFFF"/>
          </w:tcPr>
          <w:p w:rsidR="00816D59" w:rsidRPr="004242D7" w:rsidRDefault="004242D7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I.-</w:t>
            </w:r>
            <w:r w:rsidR="001412A4" w:rsidRPr="004242D7">
              <w:rPr>
                <w:rFonts w:ascii="Arial" w:hAnsi="Arial" w:cs="Arial"/>
                <w:sz w:val="24"/>
                <w:szCs w:val="24"/>
              </w:rPr>
              <w:t xml:space="preserve"> Vinaterías o licorerías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II.- Expendios de cerveza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II</w:t>
            </w:r>
            <w:r w:rsidR="004242D7">
              <w:rPr>
                <w:rFonts w:ascii="Arial" w:hAnsi="Arial" w:cs="Arial"/>
                <w:sz w:val="24"/>
                <w:szCs w:val="24"/>
              </w:rPr>
              <w:t>I.</w:t>
            </w:r>
            <w:r w:rsidRPr="004242D7">
              <w:rPr>
                <w:rFonts w:ascii="Arial" w:hAnsi="Arial" w:cs="Arial"/>
                <w:sz w:val="24"/>
                <w:szCs w:val="24"/>
              </w:rPr>
              <w:t>- Supermercados con departamento de licores</w:t>
            </w:r>
          </w:p>
          <w:p w:rsidR="00816D59" w:rsidRPr="004242D7" w:rsidRDefault="001412A4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568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- Minisúper con venta de bebidas alcohólicas</w:t>
            </w:r>
          </w:p>
          <w:p w:rsidR="00816D59" w:rsidRPr="004242D7" w:rsidRDefault="001412A4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546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- Centros nocturnos y discotecas</w:t>
            </w:r>
          </w:p>
          <w:p w:rsidR="00816D59" w:rsidRPr="004242D7" w:rsidRDefault="001412A4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582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- Cantinas y bares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VIL- Clubes sociales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VIIL- Salones de baile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IX.- Restaurantes, hoteles y moteles</w:t>
            </w:r>
          </w:p>
        </w:tc>
        <w:tc>
          <w:tcPr>
            <w:tcW w:w="1421" w:type="dxa"/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$50,000</w:t>
            </w:r>
          </w:p>
        </w:tc>
        <w:tc>
          <w:tcPr>
            <w:tcW w:w="1999" w:type="dxa"/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$4,000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$4,000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$4,000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$2,000</w:t>
            </w:r>
          </w:p>
        </w:tc>
      </w:tr>
    </w:tbl>
    <w:p w:rsidR="00816D59" w:rsidRPr="004242D7" w:rsidRDefault="001412A4" w:rsidP="004242D7">
      <w:pPr>
        <w:pStyle w:val="Tablecaption0"/>
        <w:shd w:val="clear" w:color="auto" w:fill="auto"/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4242D7">
        <w:rPr>
          <w:rFonts w:ascii="Arial" w:eastAsia="Calibri" w:hAnsi="Arial" w:cs="Arial"/>
          <w:b/>
          <w:sz w:val="24"/>
          <w:szCs w:val="24"/>
        </w:rPr>
        <w:t>Se modifica quedando como sigue:</w:t>
      </w:r>
    </w:p>
    <w:p w:rsidR="004242D7" w:rsidRPr="004242D7" w:rsidRDefault="004242D7">
      <w:pPr>
        <w:pStyle w:val="Tablecaption0"/>
        <w:shd w:val="clear" w:color="auto" w:fill="auto"/>
        <w:spacing w:line="240" w:lineRule="auto"/>
        <w:ind w:left="146"/>
        <w:rPr>
          <w:rFonts w:ascii="Arial" w:hAnsi="Arial" w:cs="Arial"/>
          <w:sz w:val="24"/>
          <w:szCs w:val="24"/>
        </w:rPr>
      </w:pPr>
    </w:p>
    <w:p w:rsidR="004242D7" w:rsidRDefault="001412A4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4" w:name="bookmark4"/>
      <w:bookmarkStart w:id="5" w:name="bookmark5"/>
      <w:r w:rsidRPr="004242D7">
        <w:rPr>
          <w:rFonts w:ascii="Arial" w:hAnsi="Arial" w:cs="Arial"/>
          <w:sz w:val="24"/>
          <w:szCs w:val="24"/>
        </w:rPr>
        <w:t xml:space="preserve">CAPÍTULO VIII </w:t>
      </w:r>
    </w:p>
    <w:p w:rsidR="004242D7" w:rsidRDefault="004242D7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16D59" w:rsidRDefault="001412A4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Derechos por Licencias y Permisos</w:t>
      </w:r>
      <w:bookmarkEnd w:id="4"/>
      <w:bookmarkEnd w:id="5"/>
    </w:p>
    <w:p w:rsidR="004242D7" w:rsidRPr="004242D7" w:rsidRDefault="004242D7">
      <w:pPr>
        <w:pStyle w:val="Heading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9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113.- La tarifa que se cobrará</w:t>
      </w:r>
      <w:r w:rsidRPr="004242D7">
        <w:rPr>
          <w:rFonts w:ascii="Arial" w:hAnsi="Arial" w:cs="Arial"/>
          <w:sz w:val="24"/>
          <w:szCs w:val="24"/>
        </w:rPr>
        <w:t xml:space="preserve"> para el otorgamiento de licencias para el funcionamiento de establecimientos con giros relacionados con la venta de bebidas alcohólicas, será la siguiente: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1579"/>
        <w:gridCol w:w="1822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21" w:type="dxa"/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Concepto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Expedición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Revalidación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638"/>
        </w:trPr>
        <w:tc>
          <w:tcPr>
            <w:tcW w:w="5021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L- Vinaterías o licorerías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IL- Expendios de cerveza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IIL- </w:t>
            </w:r>
            <w:r w:rsidRPr="004242D7">
              <w:rPr>
                <w:rFonts w:ascii="Arial" w:hAnsi="Arial" w:cs="Arial"/>
                <w:sz w:val="24"/>
                <w:szCs w:val="24"/>
              </w:rPr>
              <w:t>Supermercados con departamento de licores</w:t>
            </w:r>
          </w:p>
          <w:p w:rsidR="00816D59" w:rsidRPr="004242D7" w:rsidRDefault="001412A4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750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- Minisúper con venta de bebidas alcohólicas</w:t>
            </w:r>
          </w:p>
          <w:p w:rsidR="00816D59" w:rsidRPr="004242D7" w:rsidRDefault="001412A4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729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- Centros nocturnos y discotecas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VL- Cantinas y bares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VIL- Clubes sociales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VIIL- Salones de baile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IX.- Restaurantes, hoteles y moteles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4242D7">
              <w:rPr>
                <w:rFonts w:ascii="Arial" w:hAnsi="Arial" w:cs="Arial"/>
                <w:sz w:val="24"/>
                <w:szCs w:val="24"/>
              </w:rPr>
              <w:t>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600 UMAS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70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70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70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35 UMAS</w:t>
            </w:r>
          </w:p>
        </w:tc>
      </w:tr>
    </w:tbl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893"/>
        <w:rPr>
          <w:rFonts w:ascii="Arial" w:eastAsia="Calibri" w:hAnsi="Arial" w:cs="Arial"/>
          <w:sz w:val="24"/>
          <w:szCs w:val="24"/>
        </w:rPr>
      </w:pPr>
    </w:p>
    <w:p w:rsidR="004242D7" w:rsidRDefault="004242D7" w:rsidP="004242D7">
      <w:pPr>
        <w:pStyle w:val="Tablecaption0"/>
        <w:shd w:val="clear" w:color="auto" w:fill="auto"/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16D59" w:rsidRPr="004242D7" w:rsidRDefault="001412A4" w:rsidP="004242D7">
      <w:pPr>
        <w:pStyle w:val="Tablecaption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4242D7">
        <w:rPr>
          <w:rFonts w:ascii="Arial" w:eastAsia="Calibri" w:hAnsi="Arial" w:cs="Arial"/>
          <w:b/>
          <w:sz w:val="24"/>
          <w:szCs w:val="24"/>
        </w:rPr>
        <w:t>(TEXTO ORIGINAL)</w:t>
      </w:r>
    </w:p>
    <w:p w:rsidR="004242D7" w:rsidRDefault="004242D7">
      <w:pPr>
        <w:pStyle w:val="Textoindependiente"/>
        <w:shd w:val="clear" w:color="auto" w:fill="auto"/>
        <w:spacing w:line="271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71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Artículo 114 - Por el otorgamiento de los permisos para luz y sonido, bailes populares y </w:t>
      </w:r>
      <w:r w:rsidRPr="004242D7">
        <w:rPr>
          <w:rFonts w:ascii="Arial" w:hAnsi="Arial" w:cs="Arial"/>
          <w:sz w:val="24"/>
          <w:szCs w:val="24"/>
        </w:rPr>
        <w:t>verbenas se causarán y pagarán derecho de $ 300.00 por evento.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Heading10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bookmarkStart w:id="6" w:name="bookmark6"/>
      <w:bookmarkStart w:id="7" w:name="bookmark7"/>
      <w:r w:rsidRPr="004242D7">
        <w:rPr>
          <w:rFonts w:ascii="Arial" w:hAnsi="Arial" w:cs="Arial"/>
          <w:b/>
          <w:sz w:val="24"/>
          <w:szCs w:val="24"/>
        </w:rPr>
        <w:t>Se modifica quedando como sigue:</w:t>
      </w:r>
      <w:bookmarkEnd w:id="6"/>
      <w:bookmarkEnd w:id="7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114.</w:t>
      </w:r>
      <w:r w:rsidR="004242D7">
        <w:rPr>
          <w:rFonts w:ascii="Arial" w:hAnsi="Arial" w:cs="Arial"/>
          <w:sz w:val="24"/>
          <w:szCs w:val="24"/>
        </w:rPr>
        <w:t>-</w:t>
      </w:r>
      <w:r w:rsidRPr="004242D7">
        <w:rPr>
          <w:rFonts w:ascii="Arial" w:hAnsi="Arial" w:cs="Arial"/>
          <w:sz w:val="24"/>
          <w:szCs w:val="24"/>
        </w:rPr>
        <w:t xml:space="preserve"> Por el otorgamiento de los permisos para luz y sonido, bailes populares y verbenas se </w:t>
      </w:r>
      <w:r w:rsidR="004242D7" w:rsidRPr="004242D7">
        <w:rPr>
          <w:rFonts w:ascii="Arial" w:hAnsi="Arial" w:cs="Arial"/>
          <w:sz w:val="24"/>
          <w:szCs w:val="24"/>
        </w:rPr>
        <w:t>causarán, y</w:t>
      </w:r>
      <w:r w:rsidRPr="004242D7">
        <w:rPr>
          <w:rFonts w:ascii="Arial" w:hAnsi="Arial" w:cs="Arial"/>
          <w:sz w:val="24"/>
          <w:szCs w:val="24"/>
        </w:rPr>
        <w:t xml:space="preserve"> pagarán derecho de 4 UMAS por evento.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Heading10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bookmarkStart w:id="8" w:name="bookmark8"/>
      <w:bookmarkStart w:id="9" w:name="bookmark9"/>
      <w:r w:rsidRPr="004242D7">
        <w:rPr>
          <w:rFonts w:ascii="Arial" w:hAnsi="Arial" w:cs="Arial"/>
          <w:b/>
          <w:sz w:val="24"/>
          <w:szCs w:val="24"/>
        </w:rPr>
        <w:t>(TEXTO</w:t>
      </w:r>
      <w:r w:rsidRPr="004242D7">
        <w:rPr>
          <w:rFonts w:ascii="Arial" w:hAnsi="Arial" w:cs="Arial"/>
          <w:b/>
          <w:sz w:val="24"/>
          <w:szCs w:val="24"/>
        </w:rPr>
        <w:t xml:space="preserve"> ORIGINAL)</w:t>
      </w:r>
      <w:bookmarkEnd w:id="8"/>
      <w:bookmarkEnd w:id="9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1412A4">
      <w:pPr>
        <w:pStyle w:val="Textoindependiente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116.- Todos los establecimientos, negocios y/o empresas en general, sean estas comerciales, industriales, de servicios, o cualquier otro giro, que no estén relacionadas con la venta de bebidas alcohólicas, deberán:</w:t>
      </w:r>
    </w:p>
    <w:p w:rsidR="00816D59" w:rsidRPr="004242D7" w:rsidRDefault="00816D59" w:rsidP="001412A4">
      <w:pPr>
        <w:jc w:val="both"/>
        <w:rPr>
          <w:rFonts w:ascii="Arial" w:hAnsi="Arial" w:cs="Arial"/>
        </w:rPr>
      </w:pPr>
    </w:p>
    <w:p w:rsidR="00816D59" w:rsidRPr="004242D7" w:rsidRDefault="001412A4" w:rsidP="001412A4">
      <w:pPr>
        <w:pStyle w:val="Textoindependiente"/>
        <w:shd w:val="clear" w:color="auto" w:fill="auto"/>
        <w:tabs>
          <w:tab w:val="left" w:pos="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</w:t>
      </w:r>
      <w:r w:rsidRPr="004242D7">
        <w:rPr>
          <w:rFonts w:ascii="Arial" w:hAnsi="Arial" w:cs="Arial"/>
          <w:sz w:val="24"/>
          <w:szCs w:val="24"/>
        </w:rPr>
        <w:t xml:space="preserve">Pagar por única </w:t>
      </w:r>
      <w:r w:rsidRPr="004242D7">
        <w:rPr>
          <w:rFonts w:ascii="Arial" w:hAnsi="Arial" w:cs="Arial"/>
          <w:sz w:val="24"/>
          <w:szCs w:val="24"/>
        </w:rPr>
        <w:t>vez el derecho para el otorgamiento de la correspondiente autorización del uso del suelo y funcionamiento, este deberá ser cubierto hasta 30 días posteriores al inicio de actividades.</w:t>
      </w:r>
    </w:p>
    <w:p w:rsidR="001412A4" w:rsidRDefault="001412A4" w:rsidP="001412A4">
      <w:pPr>
        <w:pStyle w:val="Textoindependiente"/>
        <w:shd w:val="clear" w:color="auto" w:fill="auto"/>
        <w:tabs>
          <w:tab w:val="left" w:pos="580"/>
        </w:tabs>
        <w:jc w:val="both"/>
        <w:rPr>
          <w:rFonts w:ascii="Arial" w:eastAsia="Arial Unicode MS" w:hAnsi="Arial" w:cs="Arial"/>
          <w:sz w:val="24"/>
          <w:szCs w:val="24"/>
        </w:rPr>
      </w:pPr>
    </w:p>
    <w:p w:rsidR="00816D59" w:rsidRPr="004242D7" w:rsidRDefault="001412A4" w:rsidP="001412A4">
      <w:pPr>
        <w:pStyle w:val="Textoindependiente"/>
        <w:shd w:val="clear" w:color="auto" w:fill="auto"/>
        <w:tabs>
          <w:tab w:val="left" w:pos="5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</w:t>
      </w:r>
      <w:r w:rsidRPr="004242D7">
        <w:rPr>
          <w:rFonts w:ascii="Arial" w:hAnsi="Arial" w:cs="Arial"/>
          <w:sz w:val="24"/>
          <w:szCs w:val="24"/>
        </w:rPr>
        <w:t>Pagar anualmente el derecho correspondiente a la renovación dentro de</w:t>
      </w:r>
      <w:r w:rsidRPr="004242D7">
        <w:rPr>
          <w:rFonts w:ascii="Arial" w:hAnsi="Arial" w:cs="Arial"/>
          <w:sz w:val="24"/>
          <w:szCs w:val="24"/>
        </w:rPr>
        <w:t xml:space="preserve"> los primeros 60 días de cada año.</w:t>
      </w:r>
    </w:p>
    <w:p w:rsidR="00816D59" w:rsidRPr="004242D7" w:rsidRDefault="00816D59" w:rsidP="001412A4">
      <w:pPr>
        <w:jc w:val="both"/>
        <w:rPr>
          <w:rFonts w:ascii="Arial" w:hAnsi="Arial" w:cs="Arial"/>
        </w:rPr>
      </w:pPr>
    </w:p>
    <w:p w:rsidR="00816D59" w:rsidRPr="004242D7" w:rsidRDefault="001412A4" w:rsidP="001412A4">
      <w:pPr>
        <w:pStyle w:val="Textoindependiente"/>
        <w:shd w:val="clear" w:color="auto" w:fill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r w:rsidRPr="004242D7">
        <w:rPr>
          <w:rFonts w:ascii="Arial" w:hAnsi="Arial" w:cs="Arial"/>
          <w:sz w:val="24"/>
          <w:szCs w:val="24"/>
        </w:rPr>
        <w:t>La tasa se determinara con base en el siguiente cuadro de categorización de los giros comerciales, tasados en salarios mínimos para su cobro.</w:t>
      </w:r>
    </w:p>
    <w:p w:rsidR="00816D59" w:rsidRPr="004242D7" w:rsidRDefault="00816D59">
      <w:pPr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587"/>
        <w:gridCol w:w="2712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</w:t>
            </w:r>
          </w:p>
          <w:p w:rsidR="00816D59" w:rsidRPr="004242D7" w:rsidRDefault="001412A4">
            <w:pPr>
              <w:pStyle w:val="Other0"/>
              <w:shd w:val="clear" w:color="auto" w:fill="auto"/>
              <w:tabs>
                <w:tab w:val="left" w:pos="215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comerciales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ENTO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Micros establecimientos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5 S.M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 S.M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8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Expendios de pan, Tortillas, Refrescos, Paletas, Helados, De flores, Loncherías, Taquerías, Torterías, Cocinas económicas, Talabarterías, Tendejón, Miscelánea, Bisutería, Regalos, </w:t>
            </w:r>
            <w:r w:rsidRPr="004242D7">
              <w:rPr>
                <w:rFonts w:ascii="Arial" w:hAnsi="Arial" w:cs="Arial"/>
                <w:sz w:val="24"/>
                <w:szCs w:val="24"/>
              </w:rPr>
              <w:t>Bonetería, Avíos para costura, Novedades, Venta de plásticos, Peleterías, Compra-venta de sintéticos, ciber café, Taller de reparación de computadoras, Peluquerías, Estéticas, Sastrerías, Puestos de venta de revistas, periódicos, mesas de mercado en genera</w:t>
            </w:r>
            <w:r w:rsidRPr="004242D7">
              <w:rPr>
                <w:rFonts w:ascii="Arial" w:hAnsi="Arial" w:cs="Arial"/>
                <w:sz w:val="24"/>
                <w:szCs w:val="24"/>
              </w:rPr>
              <w:t>l, Carpinterías, Dulcerías, Taller de. Reparaciones de electrodomésticos, Mudanzas y Fletes, Centros de Foto-estudio y de grabaciones, filmaciones, Fruterías y verdulerías, Cremería y salchichonería, acuarios, billares, Relojerías, Gimnasios.</w:t>
            </w:r>
          </w:p>
        </w:tc>
      </w:tr>
    </w:tbl>
    <w:p w:rsidR="00816D59" w:rsidRPr="004242D7" w:rsidRDefault="00816D59">
      <w:pPr>
        <w:spacing w:after="279" w:line="1" w:lineRule="exact"/>
        <w:rPr>
          <w:rFonts w:ascii="Arial" w:hAnsi="Arial" w:cs="Arial"/>
        </w:rPr>
      </w:pPr>
    </w:p>
    <w:p w:rsidR="00816D59" w:rsidRPr="004242D7" w:rsidRDefault="00816D59">
      <w:pPr>
        <w:spacing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2539"/>
        <w:gridCol w:w="2681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66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giros, comerciales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Pequeños establecimientos</w:t>
            </w:r>
          </w:p>
          <w:p w:rsidR="00816D59" w:rsidRPr="004242D7" w:rsidRDefault="001412A4">
            <w:pPr>
              <w:pStyle w:val="Other0"/>
              <w:shd w:val="clear" w:color="auto" w:fill="auto"/>
              <w:tabs>
                <w:tab w:val="left" w:leader="underscore" w:pos="94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ab/>
              <w:t xml:space="preserve"> ..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mbria" w:hAnsi="Arial" w:cs="Arial"/>
                <w:sz w:val="24"/>
                <w:szCs w:val="24"/>
              </w:rPr>
              <w:t>10 S.M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989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2.5 S.M.</w:t>
            </w:r>
          </w:p>
        </w:tc>
      </w:tr>
    </w:tbl>
    <w:p w:rsidR="00816D59" w:rsidRPr="004242D7" w:rsidRDefault="00816D59">
      <w:pPr>
        <w:rPr>
          <w:rFonts w:ascii="Arial" w:hAnsi="Arial" w:cs="Arial"/>
        </w:rPr>
        <w:sectPr w:rsidR="00816D59" w:rsidRPr="004242D7" w:rsidSect="004242D7">
          <w:pgSz w:w="12240" w:h="20160"/>
          <w:pgMar w:top="1417" w:right="1701" w:bottom="1417" w:left="1701" w:header="2493" w:footer="249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2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Tienda de abarrotes, Tienda de Regalos, Fonda, Cafetería, Carnicerías, Pescaderías</w:t>
            </w:r>
            <w:r w:rsidRPr="004242D7">
              <w:rPr>
                <w:rFonts w:ascii="Arial" w:hAnsi="Arial" w:cs="Arial"/>
                <w:sz w:val="24"/>
                <w:szCs w:val="24"/>
              </w:rPr>
              <w:t xml:space="preserve"> y pollerías, Taller y expendio de artesanías, Zapaterías, Tlapalerías, Ferreterías y pintura, Imprentas, Papelerías, librerías y centros de copiado, Video juegos, Ópticas, Lavanderías, Talleres Automotrices, Mecánicos, Hojalatería, Eléctrico, Refaccionari</w:t>
            </w:r>
            <w:r w:rsidRPr="004242D7">
              <w:rPr>
                <w:rFonts w:ascii="Arial" w:hAnsi="Arial" w:cs="Arial"/>
                <w:sz w:val="24"/>
                <w:szCs w:val="24"/>
              </w:rPr>
              <w:t>as y accesorios. Herrerías, Tornería, Llanteras, Vulcanizadoras, Tienda de Ropa, Rentadoras de Ropa, Sub agencias de refrescos. Venta de Equipos Celulares, Salas de Fiestas Infantiles, Alimentos Balanceados y cereales, Vidrios y aluminios, Video clubs en g</w:t>
            </w:r>
            <w:r w:rsidRPr="004242D7">
              <w:rPr>
                <w:rFonts w:ascii="Arial" w:hAnsi="Arial" w:cs="Arial"/>
                <w:sz w:val="24"/>
                <w:szCs w:val="24"/>
              </w:rPr>
              <w:t>eneral, Academias de Estudios Complementarios, Molino-Tortillería, Talleres de costura.</w:t>
            </w:r>
          </w:p>
        </w:tc>
      </w:tr>
    </w:tbl>
    <w:p w:rsidR="00816D59" w:rsidRPr="004242D7" w:rsidRDefault="00816D59">
      <w:pPr>
        <w:spacing w:after="57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587"/>
        <w:gridCol w:w="2712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4242D7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 de los giros comerciales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DE.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Medianos establecimientos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331"/>
                <w:tab w:val="left" w:pos="96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20 S.M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6 S.M.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83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Mini súper, </w:t>
            </w:r>
            <w:r w:rsidRPr="004242D7">
              <w:rPr>
                <w:rFonts w:ascii="Arial" w:hAnsi="Arial" w:cs="Arial"/>
                <w:sz w:val="24"/>
                <w:szCs w:val="24"/>
              </w:rPr>
              <w:t>Mudanzas, Lavadero de Vehículos, Cafetería-Restaurante. Farmacias, Boticas, Veterinarias y similares, Panadería (artesanal). Estacionamientos, Agencias de Refrescos, Joyerías en general, Ferrotlapalería. y Material Eléctrico, Tiendas de materiales de const</w:t>
            </w:r>
            <w:r w:rsidRPr="004242D7">
              <w:rPr>
                <w:rFonts w:ascii="Arial" w:hAnsi="Arial" w:cs="Arial"/>
                <w:sz w:val="24"/>
                <w:szCs w:val="24"/>
              </w:rPr>
              <w:t>rucción en general. Centro de Servicios Varios. Oficinas y consultorios de servicios profesionales.</w:t>
            </w:r>
          </w:p>
        </w:tc>
      </w:tr>
    </w:tbl>
    <w:p w:rsidR="00816D59" w:rsidRPr="004242D7" w:rsidRDefault="00816D59">
      <w:pPr>
        <w:spacing w:after="57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2640"/>
        <w:gridCol w:w="130"/>
        <w:gridCol w:w="2432"/>
      </w:tblGrid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Categorízación de los giros comerciales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Establecimiento Grande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50 S.M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12.5 S.M.</w:t>
            </w:r>
          </w:p>
        </w:tc>
      </w:tr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86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Súper, </w:t>
            </w:r>
            <w:r w:rsidRPr="004242D7">
              <w:rPr>
                <w:rFonts w:ascii="Arial" w:hAnsi="Arial" w:cs="Arial"/>
                <w:sz w:val="24"/>
                <w:szCs w:val="24"/>
              </w:rPr>
              <w:t>panadería (Fábrica), Centros de Servicio Automotriz, Servicios para eventos sociales. Salones de Eventos Sociales. Bodegas de Almacenamiento de cualquier producto en general. Compra venta de motos y bicicletas. Compra venta de automóviles. Salas de velació</w:t>
            </w:r>
            <w:r w:rsidRPr="004242D7">
              <w:rPr>
                <w:rFonts w:ascii="Arial" w:hAnsi="Arial" w:cs="Arial"/>
                <w:sz w:val="24"/>
                <w:szCs w:val="24"/>
              </w:rPr>
              <w:t>n y servicios funerarios. Fábricas y maquiladoras de hasta 15 empleados.</w:t>
            </w:r>
          </w:p>
        </w:tc>
      </w:tr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816D59">
            <w:pPr>
              <w:rPr>
                <w:rFonts w:ascii="Arial" w:hAnsi="Arial" w:cs="Arial"/>
              </w:rPr>
            </w:pPr>
          </w:p>
        </w:tc>
      </w:tr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4242D7" w:rsidP="004242D7">
            <w:pPr>
              <w:pStyle w:val="Other0"/>
              <w:shd w:val="clear" w:color="auto" w:fill="auto"/>
              <w:tabs>
                <w:tab w:val="left" w:pos="1648"/>
                <w:tab w:val="left" w:pos="2409"/>
              </w:tabs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 de los giros comerciales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 FUNCIONAMIENTO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 w:rsidTr="00C41C3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EMPRESA COMERCIAL, INDUSTRIAL O DE SERVICIO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100 S.M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40 S.M.</w:t>
            </w:r>
          </w:p>
        </w:tc>
      </w:tr>
    </w:tbl>
    <w:p w:rsidR="00816D59" w:rsidRPr="004242D7" w:rsidRDefault="00816D59">
      <w:pPr>
        <w:rPr>
          <w:rFonts w:ascii="Arial" w:hAnsi="Arial" w:cs="Arial"/>
        </w:rPr>
        <w:sectPr w:rsidR="00816D59" w:rsidRPr="004242D7" w:rsidSect="004242D7">
          <w:pgSz w:w="12240" w:h="20160"/>
          <w:pgMar w:top="1417" w:right="1701" w:bottom="1417" w:left="1701" w:header="2366" w:footer="236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Hoteles. Posadas y hospedajes. Clínicas y hospitales. Casa de cambio. Cinemas. Escuelas particulares. Fábricas y maquiladoras de hasta 20 empleados. Mueblería y Artículos para el hogar.</w:t>
            </w:r>
          </w:p>
        </w:tc>
      </w:tr>
    </w:tbl>
    <w:p w:rsidR="00816D59" w:rsidRPr="004242D7" w:rsidRDefault="00816D59">
      <w:pPr>
        <w:spacing w:after="29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698"/>
        <w:gridCol w:w="2688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4242D7" w:rsidP="004242D7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 de los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>giros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comerciales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 w:rsidP="004242D7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  <w:r w:rsidR="004242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MEDIANA EMPRESA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COMERCIAL, INDUSTRIAL O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 SERVICIO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250 S.M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100 S.M.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Bancos. Gasolineras. Fábricas de blocks e insumos para construcción. Gaseras. Agencias de automóviles nuevos. Fábricas y </w:t>
            </w:r>
            <w:r w:rsidRPr="004242D7">
              <w:rPr>
                <w:rFonts w:ascii="Arial" w:hAnsi="Arial" w:cs="Arial"/>
                <w:sz w:val="24"/>
                <w:szCs w:val="24"/>
              </w:rPr>
              <w:t>maquiladoras de hasta 50 empleados. Tienda de Artículos electrodomésticos, muebles y línea blanca.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816D59">
            <w:pPr>
              <w:rPr>
                <w:rFonts w:ascii="Arial" w:hAnsi="Arial" w:cs="Arial"/>
              </w:rPr>
            </w:pP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 de los giros 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comerciales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62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 FUNCIONAMIENTO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GRAN EMPRESA COMERCIAL, INDUSTRIAL O DE </w:t>
            </w:r>
            <w:r w:rsidRPr="004242D7">
              <w:rPr>
                <w:rFonts w:ascii="Arial" w:hAnsi="Arial" w:cs="Arial"/>
                <w:sz w:val="24"/>
                <w:szCs w:val="24"/>
              </w:rPr>
              <w:t>SERVICIO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500 S.M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200 S.M.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 w:rsidP="004242D7">
            <w:pPr>
              <w:pStyle w:val="Other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Súper mercado y/o Tienda Departamental, Sistemas de comunicación por cable. Fábricas y maquiladoras industriales.</w:t>
            </w:r>
          </w:p>
        </w:tc>
      </w:tr>
    </w:tbl>
    <w:p w:rsidR="00816D59" w:rsidRPr="004242D7" w:rsidRDefault="00816D59">
      <w:pPr>
        <w:spacing w:after="299" w:line="1" w:lineRule="exact"/>
        <w:rPr>
          <w:rFonts w:ascii="Arial" w:hAnsi="Arial" w:cs="Arial"/>
        </w:rPr>
      </w:pP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Con el objeto de fomentar el desarrollo empresarial, comercial, industrial y de servicios entre los ciudadanos e </w:t>
      </w:r>
      <w:r w:rsidRPr="004242D7">
        <w:rPr>
          <w:rFonts w:ascii="Arial" w:hAnsi="Arial" w:cs="Arial"/>
          <w:sz w:val="24"/>
          <w:szCs w:val="24"/>
        </w:rPr>
        <w:t>incentivar sus inversiones, toda aquella persona física o moral que demuestre fehacientemente su vecindad en este municipio, por ese simple hecho gozara de un 40% de descuento en el pago de las tarifas descritas en la tabla anterior.</w:t>
      </w:r>
    </w:p>
    <w:p w:rsidR="00816D59" w:rsidRPr="004242D7" w:rsidRDefault="00816D59">
      <w:pPr>
        <w:rPr>
          <w:rFonts w:ascii="Arial" w:hAnsi="Arial" w:cs="Arial"/>
          <w:b/>
        </w:rPr>
      </w:pPr>
    </w:p>
    <w:p w:rsidR="00816D59" w:rsidRPr="004242D7" w:rsidRDefault="001412A4">
      <w:pPr>
        <w:pStyle w:val="Heading10"/>
        <w:keepNext/>
        <w:keepLines/>
        <w:shd w:val="clear" w:color="auto" w:fill="auto"/>
        <w:spacing w:line="264" w:lineRule="auto"/>
        <w:rPr>
          <w:rFonts w:ascii="Arial" w:hAnsi="Arial" w:cs="Arial"/>
          <w:b/>
          <w:sz w:val="24"/>
          <w:szCs w:val="24"/>
        </w:rPr>
      </w:pPr>
      <w:bookmarkStart w:id="10" w:name="bookmark10"/>
      <w:bookmarkStart w:id="11" w:name="bookmark11"/>
      <w:r w:rsidRPr="004242D7">
        <w:rPr>
          <w:rFonts w:ascii="Arial" w:hAnsi="Arial" w:cs="Arial"/>
          <w:b/>
          <w:sz w:val="24"/>
          <w:szCs w:val="24"/>
        </w:rPr>
        <w:t xml:space="preserve">Se modifica quedando </w:t>
      </w:r>
      <w:r w:rsidRPr="004242D7">
        <w:rPr>
          <w:rFonts w:ascii="Arial" w:hAnsi="Arial" w:cs="Arial"/>
          <w:b/>
          <w:sz w:val="24"/>
          <w:szCs w:val="24"/>
        </w:rPr>
        <w:t>como sigue:</w:t>
      </w:r>
      <w:bookmarkEnd w:id="10"/>
      <w:bookmarkEnd w:id="11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eastAsia="Calibri" w:hAnsi="Arial" w:cs="Arial"/>
          <w:sz w:val="24"/>
          <w:szCs w:val="24"/>
        </w:rPr>
        <w:t xml:space="preserve">Artículo 116.- </w:t>
      </w:r>
      <w:r w:rsidRPr="004242D7">
        <w:rPr>
          <w:rFonts w:ascii="Arial" w:hAnsi="Arial" w:cs="Arial"/>
          <w:sz w:val="24"/>
          <w:szCs w:val="24"/>
        </w:rPr>
        <w:t>Todos los establecimientos, negocios y/o empresas en general, sean estas comerciales, industriales, de servicios, o cualquier otro giro, que no estén relacionadas con la venta de bebidas alcohólicas, deberán: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Default="001412A4">
      <w:pPr>
        <w:pStyle w:val="Textoindependiente"/>
        <w:shd w:val="clear" w:color="auto" w:fill="auto"/>
        <w:spacing w:line="29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I.- Pagar por </w:t>
      </w:r>
      <w:r w:rsidRPr="004242D7">
        <w:rPr>
          <w:rFonts w:ascii="Arial" w:hAnsi="Arial" w:cs="Arial"/>
          <w:sz w:val="24"/>
          <w:szCs w:val="24"/>
        </w:rPr>
        <w:t>única vez el derecho para el otorgamiento de la correspondiente autorización del uso del suelo y funcionamiento, este deberá ser cubierto hasta 30 días posteriores al inicio de actividades.</w:t>
      </w:r>
    </w:p>
    <w:p w:rsidR="004242D7" w:rsidRPr="004242D7" w:rsidRDefault="004242D7">
      <w:pPr>
        <w:pStyle w:val="Textoindependiente"/>
        <w:shd w:val="clear" w:color="auto" w:fill="auto"/>
        <w:spacing w:line="293" w:lineRule="auto"/>
        <w:rPr>
          <w:rFonts w:ascii="Arial" w:hAnsi="Arial" w:cs="Arial"/>
          <w:sz w:val="24"/>
          <w:szCs w:val="24"/>
        </w:rPr>
      </w:pPr>
    </w:p>
    <w:p w:rsidR="00816D59" w:rsidRDefault="001412A4" w:rsidP="004242D7">
      <w:pPr>
        <w:pStyle w:val="Textoindependiente"/>
        <w:shd w:val="clear" w:color="auto" w:fill="auto"/>
        <w:spacing w:line="293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II.- Pagar anualmente el derecho correspondiente a la renovación d</w:t>
      </w:r>
      <w:r w:rsidRPr="004242D7">
        <w:rPr>
          <w:rFonts w:ascii="Arial" w:hAnsi="Arial" w:cs="Arial"/>
          <w:sz w:val="24"/>
          <w:szCs w:val="24"/>
        </w:rPr>
        <w:t>entro de l</w:t>
      </w:r>
      <w:r w:rsidR="004242D7">
        <w:rPr>
          <w:rFonts w:ascii="Arial" w:hAnsi="Arial" w:cs="Arial"/>
          <w:sz w:val="24"/>
          <w:szCs w:val="24"/>
        </w:rPr>
        <w:t>os primeros 60 días de cada año.</w:t>
      </w:r>
    </w:p>
    <w:p w:rsidR="004242D7" w:rsidRPr="004242D7" w:rsidRDefault="004242D7" w:rsidP="004242D7">
      <w:pPr>
        <w:pStyle w:val="Textoindependiente"/>
        <w:shd w:val="clear" w:color="auto" w:fill="auto"/>
        <w:spacing w:line="293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83" w:lineRule="auto"/>
        <w:rPr>
          <w:rFonts w:ascii="Arial" w:hAnsi="Arial" w:cs="Arial"/>
          <w:sz w:val="24"/>
          <w:szCs w:val="24"/>
        </w:rPr>
        <w:sectPr w:rsidR="00816D59" w:rsidRPr="004242D7" w:rsidSect="004242D7">
          <w:pgSz w:w="12240" w:h="20160"/>
          <w:pgMar w:top="1417" w:right="1701" w:bottom="1417" w:left="1701" w:header="2442" w:footer="2442" w:gutter="0"/>
          <w:cols w:space="720"/>
          <w:noEndnote/>
          <w:docGrid w:linePitch="360"/>
        </w:sectPr>
      </w:pPr>
      <w:r w:rsidRPr="004242D7">
        <w:rPr>
          <w:rFonts w:ascii="Arial" w:eastAsia="Calibri" w:hAnsi="Arial" w:cs="Arial"/>
          <w:sz w:val="24"/>
          <w:szCs w:val="24"/>
        </w:rPr>
        <w:t xml:space="preserve">III.- </w:t>
      </w:r>
      <w:r w:rsidRPr="004242D7">
        <w:rPr>
          <w:rFonts w:ascii="Arial" w:hAnsi="Arial" w:cs="Arial"/>
          <w:sz w:val="24"/>
          <w:szCs w:val="24"/>
        </w:rPr>
        <w:t>La tasa se determinará con base en el siguiente cuadro de categorización de los giros comerciales, tasados en salarios mínimos para su cobro.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587"/>
        <w:gridCol w:w="2712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4242D7">
            <w:pPr>
              <w:pStyle w:val="Other0"/>
              <w:shd w:val="clear" w:color="auto" w:fill="auto"/>
              <w:tabs>
                <w:tab w:val="left" w:pos="1975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 los giros comerciales.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 FUNCIONAMIENTO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Micros establecimientos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10 UMAS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4 UMAS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2654"/>
        </w:trPr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Expendios de pan, Tortillas, Refrescos, Paletas, Helados, De flores, Loncherías, Taquerías., Torterías, Cocinas económicas, Talabarterías, Tendejón, </w:t>
            </w:r>
            <w:r w:rsidRPr="004242D7">
              <w:rPr>
                <w:rFonts w:ascii="Arial" w:hAnsi="Arial" w:cs="Arial"/>
                <w:sz w:val="24"/>
                <w:szCs w:val="24"/>
              </w:rPr>
              <w:t>Miscelánea, Bisutería, Regalos, Bonetería, Avíos para costura, Novedades, Venta de plásticos, Peleterías, Compra-venta de sintéticos, ciber café, Taller de reparación de computadoras, Peluquerías, Estéticas, Sastrerías, Puestos de venta de revistas, periód</w:t>
            </w:r>
            <w:r w:rsidRPr="004242D7">
              <w:rPr>
                <w:rFonts w:ascii="Arial" w:hAnsi="Arial" w:cs="Arial"/>
                <w:sz w:val="24"/>
                <w:szCs w:val="24"/>
              </w:rPr>
              <w:t>icos, mesas de mercado en general, Carpinterías, Dulcerías, Taller de Reparaciones de electrodomésticos, Mudanzas y Fletes, Centros de Foto-estudio y de grabaciones, filmaciones, Fruterías y verdulerías, Cremería y salchichonería, acuarios, billares, Reloj</w:t>
            </w:r>
            <w:r w:rsidRPr="004242D7">
              <w:rPr>
                <w:rFonts w:ascii="Arial" w:hAnsi="Arial" w:cs="Arial"/>
                <w:sz w:val="24"/>
                <w:szCs w:val="24"/>
              </w:rPr>
              <w:t>erías, Gimnasios.</w:t>
            </w:r>
          </w:p>
        </w:tc>
      </w:tr>
    </w:tbl>
    <w:p w:rsidR="00816D59" w:rsidRPr="004242D7" w:rsidRDefault="00816D59">
      <w:pPr>
        <w:spacing w:after="25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587"/>
        <w:gridCol w:w="2717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4242D7">
            <w:pPr>
              <w:pStyle w:val="Other0"/>
              <w:shd w:val="clear" w:color="auto" w:fill="auto"/>
              <w:tabs>
                <w:tab w:val="left" w:pos="2282"/>
                <w:tab w:val="left" w:pos="2532"/>
              </w:tabs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 xml:space="preserve"> de los giros comerciales</w:t>
            </w:r>
            <w:r w:rsidR="001412A4" w:rsidRPr="004242D7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 w:rsidP="004242D7">
            <w:pPr>
              <w:pStyle w:val="Other0"/>
              <w:shd w:val="clear" w:color="auto" w:fill="auto"/>
              <w:spacing w:line="262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  <w:r w:rsidR="004242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DERECHO DE RENOVACIÓN 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Pequeños establecimientos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15 UMA</w:t>
            </w:r>
            <w:r w:rsidR="004242D7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255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5 UMAS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816D59" w:rsidRPr="004242D7" w:rsidRDefault="00816D59">
            <w:pPr>
              <w:rPr>
                <w:rFonts w:ascii="Arial" w:hAnsi="Arial" w:cs="Arial"/>
              </w:rPr>
            </w:pP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2856"/>
        </w:trPr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Tienda de abarrotes, Tienda de Regalos, Fonda, Cafetería, Carnicerías, Pescaderías y </w:t>
            </w:r>
            <w:r w:rsidRPr="004242D7">
              <w:rPr>
                <w:rFonts w:ascii="Arial" w:hAnsi="Arial" w:cs="Arial"/>
                <w:sz w:val="24"/>
                <w:szCs w:val="24"/>
              </w:rPr>
              <w:t xml:space="preserve">pollerías, Taller y expendio de artesanías, Zapaterías, Tlapalerías, Ferreterías y pintura, Imprentas, Papelerías, librerías y centros de copiado, Video juegos, Ópticas, Lavanderías, Talleres Automotrices, Mecánicos, Hojalatería, Eléctrico, Refaccionarias </w:t>
            </w:r>
            <w:r w:rsidRPr="004242D7">
              <w:rPr>
                <w:rFonts w:ascii="Arial" w:hAnsi="Arial" w:cs="Arial"/>
                <w:sz w:val="24"/>
                <w:szCs w:val="24"/>
              </w:rPr>
              <w:t>y accesorios. Herrerías, Tornería, Llanteras, Vulcanizadoras, Tienda de Ropa, Rentadoras de Ropa, Sub agencias de refrescos. Venta de Equipos Celulares, Salas de Fiestas Infantiles, Alimentos Balanceados y cereales, Vidrios y aluminios, Video clubs en gene</w:t>
            </w:r>
            <w:r w:rsidRPr="004242D7">
              <w:rPr>
                <w:rFonts w:ascii="Arial" w:hAnsi="Arial" w:cs="Arial"/>
                <w:sz w:val="24"/>
                <w:szCs w:val="24"/>
              </w:rPr>
              <w:t>ral, Academias de Estudios Complementarios, Molino-Tortillería, Talleres de costura.</w:t>
            </w:r>
          </w:p>
        </w:tc>
      </w:tr>
    </w:tbl>
    <w:p w:rsidR="00816D59" w:rsidRPr="004242D7" w:rsidRDefault="00816D59">
      <w:pPr>
        <w:spacing w:after="11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2582"/>
        <w:gridCol w:w="2731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 comerciales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 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Medianos establecimientos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57.6 UMAS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17 UMAS</w:t>
            </w:r>
          </w:p>
          <w:p w:rsidR="00816D59" w:rsidRPr="004242D7" w:rsidRDefault="00816D59">
            <w:pPr>
              <w:rPr>
                <w:rFonts w:ascii="Arial" w:hAnsi="Arial" w:cs="Arial"/>
              </w:rPr>
            </w:pP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Mini súper, </w:t>
            </w:r>
            <w:r w:rsidRPr="004242D7">
              <w:rPr>
                <w:rFonts w:ascii="Arial" w:hAnsi="Arial" w:cs="Arial"/>
                <w:sz w:val="24"/>
                <w:szCs w:val="24"/>
              </w:rPr>
              <w:t xml:space="preserve">Mudanzas, Lavadero de Vehículos, Cafetería-Restaurante. Farmacias, Boticas, Veterinarias y similares, Panadería (artesanal). Estacionamientos, Agencias de Refrescos, Joyerías en general, </w:t>
            </w:r>
            <w:r w:rsidR="004242D7" w:rsidRPr="004242D7">
              <w:rPr>
                <w:rFonts w:ascii="Arial" w:hAnsi="Arial" w:cs="Arial"/>
                <w:sz w:val="24"/>
                <w:szCs w:val="24"/>
              </w:rPr>
              <w:t>Ferrotlapalería</w:t>
            </w:r>
            <w:r w:rsidRPr="004242D7">
              <w:rPr>
                <w:rFonts w:ascii="Arial" w:hAnsi="Arial" w:cs="Arial"/>
                <w:sz w:val="24"/>
                <w:szCs w:val="24"/>
              </w:rPr>
              <w:t xml:space="preserve"> y Material Eléctrico, Tiendas de materiales de const</w:t>
            </w:r>
            <w:r w:rsidRPr="004242D7">
              <w:rPr>
                <w:rFonts w:ascii="Arial" w:hAnsi="Arial" w:cs="Arial"/>
                <w:sz w:val="24"/>
                <w:szCs w:val="24"/>
              </w:rPr>
              <w:t>rucción en general Centro de Servicios Varios. Oficinas y consultorios de servidos profesionales.</w:t>
            </w:r>
            <w:r w:rsidRPr="004242D7">
              <w:rPr>
                <w:rFonts w:ascii="Arial" w:hAnsi="Arial" w:cs="Arial"/>
                <w:sz w:val="24"/>
                <w:szCs w:val="24"/>
              </w:rPr>
              <w:tab/>
            </w:r>
            <w:r w:rsidRPr="004242D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816D59" w:rsidRPr="004242D7" w:rsidRDefault="00816D59">
      <w:pPr>
        <w:rPr>
          <w:rFonts w:ascii="Arial" w:hAnsi="Arial" w:cs="Arial"/>
        </w:rPr>
        <w:sectPr w:rsidR="00816D59" w:rsidRPr="004242D7" w:rsidSect="004242D7">
          <w:pgSz w:w="12240" w:h="20160"/>
          <w:pgMar w:top="1417" w:right="1701" w:bottom="1417" w:left="1701" w:header="2378" w:footer="237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693"/>
        <w:gridCol w:w="2698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1476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 comerciales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 FUNCIONAMIENTO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Establecimiento Grande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86.4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UMAS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20 UMAS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Súper, panadería (Fábrica), Centros de Servicio Automotriz, Servicios para eventos sociales. Salones de Eventos Sociales. Bodegas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hAnsi="Arial" w:cs="Arial"/>
                <w:sz w:val="24"/>
                <w:szCs w:val="24"/>
              </w:rPr>
              <w:t xml:space="preserve">Almacenamiento de cualquier producto en general. Compra venta de motos y bicicletas. Compra venta de </w:t>
            </w:r>
            <w:r w:rsidRPr="004242D7">
              <w:rPr>
                <w:rFonts w:ascii="Arial" w:hAnsi="Arial" w:cs="Arial"/>
                <w:sz w:val="24"/>
                <w:szCs w:val="24"/>
              </w:rPr>
              <w:t>automóviles. Salas de velación y servicios funerarios. Fábricas y maquiladoras de hasta 15 empleados.</w:t>
            </w:r>
          </w:p>
        </w:tc>
      </w:tr>
    </w:tbl>
    <w:p w:rsidR="00816D59" w:rsidRPr="004242D7" w:rsidRDefault="00816D59">
      <w:pPr>
        <w:spacing w:after="27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702"/>
        <w:gridCol w:w="2674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 comerciales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14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EMPRESA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COMERCIAL</w:t>
            </w:r>
          </w:p>
          <w:p w:rsidR="00816D59" w:rsidRPr="004242D7" w:rsidRDefault="001412A4" w:rsidP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INDUSTRIAL O 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SERVICIO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115.1 UMAS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50 UMAS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>Hoteles. Posadas y hospedajes. Clínicas y hospitales. Casa de cambio. Cinemas. Escuelas particulares. Fábricas y maquiladoras de hasta 20 empleados. Mueblería y Artículos para el hogar.</w:t>
            </w:r>
          </w:p>
        </w:tc>
      </w:tr>
    </w:tbl>
    <w:p w:rsidR="00816D59" w:rsidRPr="004242D7" w:rsidRDefault="00816D59">
      <w:pPr>
        <w:spacing w:after="27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707"/>
        <w:gridCol w:w="2674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tabs>
                <w:tab w:val="left" w:pos="2203"/>
              </w:tabs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Categorización  de los giros comerciales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>FUNCIONAMIENTO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MEDIANA EMPRESA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COMERCIAL, INDUSTRIAL O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 SERVICIO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345.3 UMAS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115.1 UMA</w:t>
            </w:r>
          </w:p>
          <w:p w:rsidR="00816D59" w:rsidRPr="004242D7" w:rsidRDefault="00816D59">
            <w:pPr>
              <w:rPr>
                <w:rFonts w:ascii="Arial" w:hAnsi="Arial" w:cs="Arial"/>
              </w:rPr>
            </w:pP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8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Bancos. Gasolineras. Fábricas de blocks e insumos para construcción. Gaseras. Agencias de automóviles nuevos. </w:t>
            </w:r>
            <w:r w:rsidRPr="004242D7">
              <w:rPr>
                <w:rFonts w:ascii="Arial" w:hAnsi="Arial" w:cs="Arial"/>
                <w:sz w:val="24"/>
                <w:szCs w:val="24"/>
              </w:rPr>
              <w:t>Fábricas y maquiladoras de hasta 50 empleados. Tienda de Artículos electrodomésticos, muebles y línea blanca.</w:t>
            </w:r>
          </w:p>
        </w:tc>
      </w:tr>
    </w:tbl>
    <w:p w:rsidR="00816D59" w:rsidRPr="004242D7" w:rsidRDefault="00816D59">
      <w:pPr>
        <w:spacing w:after="279" w:line="1" w:lineRule="exact"/>
        <w:rPr>
          <w:rFonts w:ascii="Arial" w:hAnsi="Arial" w:cs="Arial"/>
        </w:r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2698"/>
        <w:gridCol w:w="2726"/>
      </w:tblGrid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Categorización de los giros comerciales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DE INICIO DE FUNCIONAMIENTO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DERECHO DÉ RENOVACIÓN</w:t>
            </w:r>
          </w:p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ANUAL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6D59" w:rsidRPr="004242D7" w:rsidRDefault="001412A4">
            <w:pPr>
              <w:pStyle w:val="Other0"/>
              <w:shd w:val="clear" w:color="auto" w:fill="auto"/>
              <w:spacing w:line="262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GRAN EMPRESA COMERCIAL, INDUSTRIAL O DE</w:t>
            </w: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 SERVICIO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600 UMAS</w:t>
            </w:r>
          </w:p>
          <w:p w:rsidR="00816D59" w:rsidRPr="004242D7" w:rsidRDefault="001412A4">
            <w:pPr>
              <w:pStyle w:val="Other0"/>
              <w:shd w:val="clear" w:color="auto" w:fill="auto"/>
              <w:tabs>
                <w:tab w:val="left" w:pos="1501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D59" w:rsidRPr="004242D7" w:rsidRDefault="001412A4">
            <w:pPr>
              <w:pStyle w:val="Other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eastAsia="Calibri" w:hAnsi="Arial" w:cs="Arial"/>
                <w:sz w:val="24"/>
                <w:szCs w:val="24"/>
              </w:rPr>
              <w:t>230.2 UMAS</w:t>
            </w:r>
          </w:p>
        </w:tc>
      </w:tr>
      <w:tr w:rsidR="00816D59" w:rsidRPr="004242D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D59" w:rsidRPr="004242D7" w:rsidRDefault="001412A4" w:rsidP="001412A4">
            <w:pPr>
              <w:pStyle w:val="Other0"/>
              <w:shd w:val="clear" w:color="auto" w:fill="auto"/>
              <w:spacing w:line="29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2D7">
              <w:rPr>
                <w:rFonts w:ascii="Arial" w:hAnsi="Arial" w:cs="Arial"/>
                <w:sz w:val="24"/>
                <w:szCs w:val="24"/>
              </w:rPr>
              <w:t xml:space="preserve">Súper mercado y/o Tienda Departamental, Sistemas de comunicación por cable. Fábricas y maquiladoras industriales, sistemas de telefonía celular, distribución, comercialización de paneles solares, instalación de torres de </w:t>
            </w:r>
            <w:r w:rsidRPr="004242D7">
              <w:rPr>
                <w:rFonts w:ascii="Arial" w:hAnsi="Arial" w:cs="Arial"/>
                <w:sz w:val="24"/>
                <w:szCs w:val="24"/>
              </w:rPr>
              <w:t>energía eólica (unidad) instalación de antenas de telefonía celular.</w:t>
            </w:r>
          </w:p>
        </w:tc>
      </w:tr>
    </w:tbl>
    <w:p w:rsidR="004242D7" w:rsidRDefault="004242D7">
      <w:pPr>
        <w:pStyle w:val="Tablecaption0"/>
        <w:shd w:val="clear" w:color="auto" w:fill="auto"/>
        <w:spacing w:line="240" w:lineRule="auto"/>
        <w:ind w:left="3221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221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221"/>
        <w:rPr>
          <w:rFonts w:ascii="Arial" w:eastAsia="Calibri" w:hAnsi="Arial" w:cs="Arial"/>
          <w:sz w:val="24"/>
          <w:szCs w:val="24"/>
        </w:rPr>
      </w:pPr>
    </w:p>
    <w:p w:rsidR="004242D7" w:rsidRDefault="004242D7">
      <w:pPr>
        <w:pStyle w:val="Tablecaption0"/>
        <w:shd w:val="clear" w:color="auto" w:fill="auto"/>
        <w:spacing w:line="240" w:lineRule="auto"/>
        <w:ind w:left="3221"/>
        <w:rPr>
          <w:rFonts w:ascii="Arial" w:eastAsia="Calibri" w:hAnsi="Arial" w:cs="Arial"/>
          <w:sz w:val="24"/>
          <w:szCs w:val="24"/>
        </w:rPr>
      </w:pPr>
    </w:p>
    <w:p w:rsidR="004242D7" w:rsidRPr="004242D7" w:rsidRDefault="001412A4" w:rsidP="004242D7">
      <w:pPr>
        <w:pStyle w:val="Tablecaption0"/>
        <w:shd w:val="clear" w:color="auto" w:fill="auto"/>
        <w:spacing w:line="240" w:lineRule="auto"/>
        <w:rPr>
          <w:rFonts w:ascii="Arial" w:eastAsia="Calibri" w:hAnsi="Arial" w:cs="Arial"/>
          <w:b/>
          <w:sz w:val="24"/>
          <w:szCs w:val="24"/>
        </w:rPr>
      </w:pPr>
      <w:bookmarkStart w:id="12" w:name="_GoBack"/>
      <w:bookmarkEnd w:id="12"/>
      <w:r w:rsidRPr="004242D7">
        <w:rPr>
          <w:rFonts w:ascii="Arial" w:eastAsia="Calibri" w:hAnsi="Arial" w:cs="Arial"/>
          <w:b/>
          <w:sz w:val="24"/>
          <w:szCs w:val="24"/>
        </w:rPr>
        <w:t>(TEXTO ORIGINAL)</w:t>
      </w:r>
    </w:p>
    <w:p w:rsidR="004242D7" w:rsidRDefault="004242D7" w:rsidP="004242D7">
      <w:pPr>
        <w:pStyle w:val="Tablecaption0"/>
        <w:shd w:val="clear" w:color="auto" w:fill="auto"/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16D59" w:rsidRPr="004242D7" w:rsidRDefault="001412A4" w:rsidP="004242D7">
      <w:pPr>
        <w:pStyle w:val="Tablecaption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eastAsia="Calibri" w:hAnsi="Arial" w:cs="Arial"/>
          <w:sz w:val="24"/>
          <w:szCs w:val="24"/>
        </w:rPr>
        <w:t xml:space="preserve">Artículo </w:t>
      </w:r>
      <w:r w:rsidRPr="004242D7">
        <w:rPr>
          <w:rFonts w:ascii="Arial" w:hAnsi="Arial" w:cs="Arial"/>
          <w:sz w:val="24"/>
          <w:szCs w:val="24"/>
        </w:rPr>
        <w:t xml:space="preserve">117.- Quedan obligados al pago de derechos todas aquellas personas físicas o morales que deseen instalar equipos para proporcionar servicios </w:t>
      </w:r>
      <w:r w:rsidRPr="004242D7">
        <w:rPr>
          <w:rFonts w:ascii="Arial" w:hAnsi="Arial" w:cs="Arial"/>
          <w:sz w:val="24"/>
          <w:szCs w:val="24"/>
        </w:rPr>
        <w:t>de televisión por cable, pagando a la Tesorería del H. Ayuntamiento una cuota de $ 25,000.00.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Heading10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bookmarkStart w:id="13" w:name="bookmark12"/>
      <w:bookmarkStart w:id="14" w:name="bookmark13"/>
      <w:r w:rsidRPr="004242D7">
        <w:rPr>
          <w:rFonts w:ascii="Arial" w:hAnsi="Arial" w:cs="Arial"/>
          <w:b/>
          <w:sz w:val="24"/>
          <w:szCs w:val="24"/>
        </w:rPr>
        <w:t>Se modifica quedando co</w:t>
      </w:r>
      <w:r w:rsidR="004242D7" w:rsidRPr="004242D7">
        <w:rPr>
          <w:rFonts w:ascii="Arial" w:hAnsi="Arial" w:cs="Arial"/>
          <w:b/>
          <w:sz w:val="24"/>
          <w:szCs w:val="24"/>
        </w:rPr>
        <w:t>m</w:t>
      </w:r>
      <w:r w:rsidRPr="004242D7">
        <w:rPr>
          <w:rFonts w:ascii="Arial" w:hAnsi="Arial" w:cs="Arial"/>
          <w:b/>
          <w:sz w:val="24"/>
          <w:szCs w:val="24"/>
        </w:rPr>
        <w:t>o</w:t>
      </w:r>
      <w:r w:rsidR="004242D7" w:rsidRPr="004242D7">
        <w:rPr>
          <w:rFonts w:ascii="Arial" w:hAnsi="Arial" w:cs="Arial"/>
          <w:b/>
          <w:sz w:val="24"/>
          <w:szCs w:val="24"/>
        </w:rPr>
        <w:t xml:space="preserve"> </w:t>
      </w:r>
      <w:r w:rsidRPr="004242D7">
        <w:rPr>
          <w:rFonts w:ascii="Arial" w:hAnsi="Arial" w:cs="Arial"/>
          <w:b/>
          <w:sz w:val="24"/>
          <w:szCs w:val="24"/>
        </w:rPr>
        <w:t>sigue:</w:t>
      </w:r>
      <w:bookmarkEnd w:id="13"/>
      <w:bookmarkEnd w:id="14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Artículo 117.- Quedan obligados al pago de derechos todas aquellas personas físicas o morales que deseen instalar equipos para proporcionar </w:t>
      </w:r>
      <w:r w:rsidRPr="004242D7">
        <w:rPr>
          <w:rFonts w:ascii="Arial" w:hAnsi="Arial" w:cs="Arial"/>
          <w:sz w:val="24"/>
          <w:szCs w:val="24"/>
          <w:lang w:val="en-US" w:eastAsia="en-US" w:bidi="en-US"/>
        </w:rPr>
        <w:t xml:space="preserve">servicios.de </w:t>
      </w:r>
      <w:r w:rsidRPr="004242D7">
        <w:rPr>
          <w:rFonts w:ascii="Arial" w:hAnsi="Arial" w:cs="Arial"/>
          <w:sz w:val="24"/>
          <w:szCs w:val="24"/>
        </w:rPr>
        <w:t>televisión por cable, pagando a la Tesorería del H. Ayuntamiento una cuota de 300 UMAS.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Heading10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bookmarkStart w:id="15" w:name="bookmark14"/>
      <w:bookmarkStart w:id="16" w:name="bookmark15"/>
      <w:r w:rsidRPr="004242D7">
        <w:rPr>
          <w:rFonts w:ascii="Arial" w:hAnsi="Arial" w:cs="Arial"/>
          <w:b/>
          <w:sz w:val="24"/>
          <w:szCs w:val="24"/>
        </w:rPr>
        <w:t>(TEXTO ORIGINA</w:t>
      </w:r>
      <w:r w:rsidRPr="004242D7">
        <w:rPr>
          <w:rFonts w:ascii="Arial" w:hAnsi="Arial" w:cs="Arial"/>
          <w:b/>
          <w:sz w:val="24"/>
          <w:szCs w:val="24"/>
        </w:rPr>
        <w:t>L)</w:t>
      </w:r>
      <w:bookmarkEnd w:id="15"/>
      <w:bookmarkEnd w:id="16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CAPITULO IX </w:t>
      </w: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Derechos por Servicio de Panteones</w:t>
      </w:r>
    </w:p>
    <w:p w:rsidR="004242D7" w:rsidRDefault="004242D7">
      <w:pPr>
        <w:pStyle w:val="Textoindependiente"/>
        <w:shd w:val="clear" w:color="auto" w:fill="auto"/>
        <w:spacing w:line="262" w:lineRule="auto"/>
        <w:rPr>
          <w:rFonts w:ascii="Arial" w:eastAsia="Calibri" w:hAnsi="Arial" w:cs="Arial"/>
          <w:sz w:val="24"/>
          <w:szCs w:val="24"/>
        </w:rPr>
      </w:pPr>
    </w:p>
    <w:p w:rsidR="00816D59" w:rsidRPr="004242D7" w:rsidRDefault="001412A4">
      <w:pPr>
        <w:pStyle w:val="Textoindependiente"/>
        <w:shd w:val="clear" w:color="auto" w:fill="auto"/>
        <w:spacing w:line="262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eastAsia="Calibri" w:hAnsi="Arial" w:cs="Arial"/>
          <w:sz w:val="24"/>
          <w:szCs w:val="24"/>
        </w:rPr>
        <w:t xml:space="preserve">Artículo </w:t>
      </w:r>
      <w:r w:rsidRPr="004242D7">
        <w:rPr>
          <w:rFonts w:ascii="Arial" w:hAnsi="Arial" w:cs="Arial"/>
          <w:sz w:val="24"/>
          <w:szCs w:val="24"/>
        </w:rPr>
        <w:t>122.- Los derechos a que se refiere este capítulo se causarán y pagarán de conformidad con la siguiente tarifa:</w:t>
      </w:r>
    </w:p>
    <w:p w:rsidR="004242D7" w:rsidRPr="004242D7" w:rsidRDefault="004242D7" w:rsidP="004242D7">
      <w:pPr>
        <w:pStyle w:val="Textoindependiente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 w:rsidP="004242D7">
      <w:pPr>
        <w:pStyle w:val="Textoindependiente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I.- </w:t>
      </w:r>
      <w:r w:rsidRPr="004242D7">
        <w:rPr>
          <w:rFonts w:ascii="Arial" w:hAnsi="Arial" w:cs="Arial"/>
          <w:sz w:val="24"/>
          <w:szCs w:val="24"/>
        </w:rPr>
        <w:t>Inhumaciones en fosas y criptas ADULTOS:</w:t>
      </w:r>
    </w:p>
    <w:p w:rsidR="00816D59" w:rsidRPr="004242D7" w:rsidRDefault="00816D59">
      <w:pPr>
        <w:rPr>
          <w:rFonts w:ascii="Arial" w:eastAsia="Segoe UI" w:hAnsi="Arial" w:cs="Arial"/>
        </w:rPr>
      </w:pPr>
    </w:p>
    <w:p w:rsidR="00816D59" w:rsidRPr="004242D7" w:rsidRDefault="004242D7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412A4" w:rsidRPr="004242D7">
        <w:rPr>
          <w:rFonts w:ascii="Arial" w:hAnsi="Arial" w:cs="Arial"/>
          <w:sz w:val="24"/>
          <w:szCs w:val="24"/>
        </w:rPr>
        <w:t>Por temporalidad de 3 años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2A4" w:rsidRPr="004242D7">
        <w:rPr>
          <w:rFonts w:ascii="Arial" w:hAnsi="Arial" w:cs="Arial"/>
          <w:sz w:val="24"/>
          <w:szCs w:val="24"/>
        </w:rPr>
        <w:t>$ 500.00</w:t>
      </w:r>
    </w:p>
    <w:p w:rsidR="00816D59" w:rsidRPr="004242D7" w:rsidRDefault="004242D7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412A4" w:rsidRPr="004242D7">
        <w:rPr>
          <w:rFonts w:ascii="Arial" w:hAnsi="Arial" w:cs="Arial"/>
          <w:sz w:val="24"/>
          <w:szCs w:val="24"/>
        </w:rPr>
        <w:t>Adquirida a perpetuidad</w:t>
      </w:r>
      <w:r w:rsidR="001412A4" w:rsidRPr="004242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2A4" w:rsidRPr="004242D7">
        <w:rPr>
          <w:rFonts w:ascii="Arial" w:hAnsi="Arial" w:cs="Arial"/>
          <w:sz w:val="24"/>
          <w:szCs w:val="24"/>
        </w:rPr>
        <w:t>$</w:t>
      </w:r>
      <w:r w:rsidR="001412A4" w:rsidRPr="004242D7">
        <w:rPr>
          <w:rFonts w:ascii="Arial" w:hAnsi="Arial" w:cs="Arial"/>
          <w:sz w:val="24"/>
          <w:szCs w:val="24"/>
        </w:rPr>
        <w:t>2,750.00</w:t>
      </w:r>
    </w:p>
    <w:p w:rsidR="00816D59" w:rsidRPr="004242D7" w:rsidRDefault="004242D7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412A4" w:rsidRPr="004242D7">
        <w:rPr>
          <w:rFonts w:ascii="Arial" w:hAnsi="Arial" w:cs="Arial"/>
          <w:sz w:val="24"/>
          <w:szCs w:val="24"/>
        </w:rPr>
        <w:t>Refrendo por depósitos de restos a 3 años</w:t>
      </w:r>
      <w:r w:rsidR="001412A4" w:rsidRPr="004242D7">
        <w:rPr>
          <w:rFonts w:ascii="Arial" w:hAnsi="Arial" w:cs="Arial"/>
          <w:sz w:val="24"/>
          <w:szCs w:val="24"/>
        </w:rPr>
        <w:tab/>
        <w:t>$ 250.00</w:t>
      </w:r>
    </w:p>
    <w:p w:rsidR="004242D7" w:rsidRDefault="004242D7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p w:rsidR="00816D59" w:rsidRDefault="001412A4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En las fosas o criptas para niños, las tarifas aplicadas a cada uno de los</w:t>
      </w:r>
      <w:r w:rsidRPr="004242D7">
        <w:rPr>
          <w:rFonts w:ascii="Arial" w:hAnsi="Arial" w:cs="Arial"/>
          <w:sz w:val="24"/>
          <w:szCs w:val="24"/>
        </w:rPr>
        <w:t xml:space="preserve"> conceptos serán el 50%de las aplicadas para adultos.</w:t>
      </w:r>
    </w:p>
    <w:p w:rsidR="004242D7" w:rsidRPr="004242D7" w:rsidRDefault="004242D7" w:rsidP="004242D7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p w:rsidR="004242D7" w:rsidRDefault="004242D7" w:rsidP="004242D7">
      <w:pPr>
        <w:pStyle w:val="Textoindependiente"/>
        <w:shd w:val="clear" w:color="auto" w:fill="auto"/>
        <w:tabs>
          <w:tab w:val="left" w:pos="675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</w:t>
      </w:r>
      <w:r w:rsidR="001412A4" w:rsidRPr="004242D7">
        <w:rPr>
          <w:rFonts w:ascii="Arial" w:hAnsi="Arial" w:cs="Arial"/>
          <w:sz w:val="24"/>
          <w:szCs w:val="24"/>
        </w:rPr>
        <w:t xml:space="preserve">Permiso de construcción de cripta o </w:t>
      </w:r>
      <w:r w:rsidR="001412A4" w:rsidRPr="004242D7">
        <w:rPr>
          <w:rFonts w:ascii="Arial" w:hAnsi="Arial" w:cs="Arial"/>
          <w:sz w:val="24"/>
          <w:szCs w:val="24"/>
        </w:rPr>
        <w:t>bóveda en los</w:t>
      </w:r>
      <w:r w:rsidR="001412A4" w:rsidRPr="004242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1412A4" w:rsidRPr="004242D7">
        <w:rPr>
          <w:rFonts w:ascii="Arial" w:hAnsi="Arial" w:cs="Arial"/>
          <w:sz w:val="24"/>
          <w:szCs w:val="24"/>
        </w:rPr>
        <w:t>250.00</w:t>
      </w:r>
    </w:p>
    <w:p w:rsidR="00816D59" w:rsidRPr="004242D7" w:rsidRDefault="004242D7" w:rsidP="004242D7">
      <w:pPr>
        <w:pStyle w:val="Textoindependiente"/>
        <w:shd w:val="clear" w:color="auto" w:fill="auto"/>
        <w:tabs>
          <w:tab w:val="left" w:pos="675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r w:rsidR="001412A4" w:rsidRPr="004242D7">
        <w:rPr>
          <w:rFonts w:ascii="Arial" w:hAnsi="Arial" w:cs="Arial"/>
          <w:sz w:val="24"/>
          <w:szCs w:val="24"/>
        </w:rPr>
        <w:t>Exhumación después de transcurrido el término de Ley.</w:t>
      </w:r>
      <w:r w:rsidR="001412A4" w:rsidRPr="004242D7">
        <w:rPr>
          <w:rFonts w:ascii="Arial" w:hAnsi="Arial" w:cs="Arial"/>
          <w:sz w:val="24"/>
          <w:szCs w:val="24"/>
        </w:rPr>
        <w:tab/>
        <w:t>$ 250.00</w:t>
      </w:r>
    </w:p>
    <w:p w:rsidR="004242D7" w:rsidRDefault="004242D7" w:rsidP="004242D7">
      <w:pPr>
        <w:pStyle w:val="Textoindependiente"/>
        <w:shd w:val="clear" w:color="auto" w:fill="auto"/>
        <w:tabs>
          <w:tab w:val="left" w:pos="681"/>
          <w:tab w:val="left" w:pos="675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</w:t>
      </w:r>
      <w:r w:rsidR="001412A4" w:rsidRPr="004242D7">
        <w:rPr>
          <w:rFonts w:ascii="Arial" w:hAnsi="Arial" w:cs="Arial"/>
          <w:sz w:val="24"/>
          <w:szCs w:val="24"/>
        </w:rPr>
        <w:t>A solicitud del interesado anualmente por mantenimiento se</w:t>
      </w:r>
      <w:r w:rsidR="001412A4" w:rsidRPr="004242D7">
        <w:rPr>
          <w:rFonts w:ascii="Arial" w:hAnsi="Arial" w:cs="Arial"/>
          <w:sz w:val="24"/>
          <w:szCs w:val="24"/>
        </w:rPr>
        <w:t xml:space="preserve"> pagará</w:t>
      </w:r>
    </w:p>
    <w:p w:rsidR="004242D7" w:rsidRDefault="004242D7" w:rsidP="004242D7">
      <w:pPr>
        <w:pStyle w:val="Textoindependiente"/>
        <w:shd w:val="clear" w:color="auto" w:fill="auto"/>
        <w:tabs>
          <w:tab w:val="left" w:pos="681"/>
          <w:tab w:val="left" w:pos="675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2D7">
        <w:rPr>
          <w:rFonts w:ascii="Arial" w:hAnsi="Arial" w:cs="Arial"/>
          <w:sz w:val="24"/>
          <w:szCs w:val="24"/>
        </w:rPr>
        <w:t>$ 50.00</w:t>
      </w:r>
    </w:p>
    <w:p w:rsidR="00816D59" w:rsidRPr="004242D7" w:rsidRDefault="004242D7" w:rsidP="004242D7">
      <w:pPr>
        <w:pStyle w:val="Textoindependiente"/>
        <w:shd w:val="clear" w:color="auto" w:fill="auto"/>
        <w:tabs>
          <w:tab w:val="left" w:pos="681"/>
          <w:tab w:val="left" w:pos="675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</w:t>
      </w:r>
      <w:r w:rsidR="001412A4" w:rsidRPr="004242D7">
        <w:rPr>
          <w:rFonts w:ascii="Arial" w:hAnsi="Arial" w:cs="Arial"/>
          <w:sz w:val="24"/>
          <w:szCs w:val="24"/>
        </w:rPr>
        <w:t>Por cada año adicional ya transcurrido el periodo de temporalidad de tres años se pagará l</w:t>
      </w:r>
      <w:r w:rsidR="001412A4" w:rsidRPr="004242D7">
        <w:rPr>
          <w:rFonts w:ascii="Arial" w:hAnsi="Arial" w:cs="Arial"/>
          <w:sz w:val="24"/>
          <w:szCs w:val="24"/>
        </w:rPr>
        <w:t>a cantidad d</w:t>
      </w:r>
      <w:r>
        <w:rPr>
          <w:rFonts w:ascii="Arial" w:hAnsi="Arial" w:cs="Arial"/>
          <w:sz w:val="24"/>
          <w:szCs w:val="24"/>
        </w:rPr>
        <w:t>e</w:t>
      </w:r>
      <w:r w:rsidR="001412A4" w:rsidRPr="004242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1412A4" w:rsidRPr="004242D7">
        <w:rPr>
          <w:rFonts w:ascii="Arial" w:hAnsi="Arial" w:cs="Arial"/>
          <w:sz w:val="24"/>
          <w:szCs w:val="24"/>
        </w:rPr>
        <w:t>$ 300.00</w:t>
      </w:r>
    </w:p>
    <w:p w:rsidR="00816D59" w:rsidRDefault="00816D59">
      <w:pPr>
        <w:rPr>
          <w:rFonts w:ascii="Arial" w:hAnsi="Arial" w:cs="Arial"/>
        </w:rPr>
      </w:pPr>
    </w:p>
    <w:p w:rsidR="004242D7" w:rsidRPr="004242D7" w:rsidRDefault="004242D7">
      <w:pPr>
        <w:rPr>
          <w:rFonts w:ascii="Arial" w:hAnsi="Arial" w:cs="Arial"/>
        </w:rPr>
      </w:pPr>
    </w:p>
    <w:p w:rsidR="00816D59" w:rsidRPr="004242D7" w:rsidRDefault="001412A4" w:rsidP="004242D7">
      <w:pPr>
        <w:pStyle w:val="Heading10"/>
        <w:keepNext/>
        <w:keepLines/>
        <w:shd w:val="clear" w:color="auto" w:fill="auto"/>
        <w:rPr>
          <w:rFonts w:ascii="Arial" w:hAnsi="Arial" w:cs="Arial"/>
          <w:b/>
          <w:sz w:val="24"/>
          <w:szCs w:val="24"/>
        </w:rPr>
      </w:pPr>
      <w:bookmarkStart w:id="17" w:name="bookmark16"/>
      <w:bookmarkStart w:id="18" w:name="bookmark17"/>
      <w:r w:rsidRPr="004242D7">
        <w:rPr>
          <w:rFonts w:ascii="Arial" w:hAnsi="Arial" w:cs="Arial"/>
          <w:b/>
          <w:sz w:val="24"/>
          <w:szCs w:val="24"/>
        </w:rPr>
        <w:t>Se modifica quedando como sigue:</w:t>
      </w:r>
      <w:bookmarkEnd w:id="17"/>
      <w:bookmarkEnd w:id="18"/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CAPÍTULO IX 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Derechos por Servicio de Panteones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C41C34">
      <w:pPr>
        <w:pStyle w:val="Textoindependiente"/>
        <w:shd w:val="clear" w:color="auto" w:fill="auto"/>
        <w:spacing w:line="288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eastAsia="Calibri" w:hAnsi="Arial" w:cs="Arial"/>
          <w:sz w:val="24"/>
          <w:szCs w:val="24"/>
        </w:rPr>
        <w:t xml:space="preserve">Artículo 122.- </w:t>
      </w:r>
      <w:r w:rsidRPr="004242D7">
        <w:rPr>
          <w:rFonts w:ascii="Arial" w:hAnsi="Arial" w:cs="Arial"/>
          <w:sz w:val="24"/>
          <w:szCs w:val="24"/>
        </w:rPr>
        <w:t>Los derechos a que se refiere este capítulo se causarán y pagarán</w:t>
      </w:r>
      <w:r w:rsidR="00C41C34">
        <w:rPr>
          <w:rFonts w:ascii="Arial" w:hAnsi="Arial" w:cs="Arial"/>
          <w:sz w:val="24"/>
          <w:szCs w:val="24"/>
        </w:rPr>
        <w:t xml:space="preserve"> </w:t>
      </w:r>
      <w:r w:rsidRPr="004242D7">
        <w:rPr>
          <w:rFonts w:ascii="Arial" w:hAnsi="Arial" w:cs="Arial"/>
          <w:sz w:val="24"/>
          <w:szCs w:val="24"/>
        </w:rPr>
        <w:t>de conformidad con la siguiente tarifa: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C41C34">
      <w:pPr>
        <w:pStyle w:val="Textoindependiente"/>
        <w:shd w:val="clear" w:color="auto" w:fill="auto"/>
        <w:spacing w:line="257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eastAsia="Calibri" w:hAnsi="Arial" w:cs="Arial"/>
          <w:sz w:val="24"/>
          <w:szCs w:val="24"/>
        </w:rPr>
        <w:t xml:space="preserve">I.- </w:t>
      </w:r>
      <w:r w:rsidRPr="004242D7">
        <w:rPr>
          <w:rFonts w:ascii="Arial" w:hAnsi="Arial" w:cs="Arial"/>
          <w:sz w:val="24"/>
          <w:szCs w:val="24"/>
        </w:rPr>
        <w:t xml:space="preserve">Inhumaciones en </w:t>
      </w:r>
      <w:r w:rsidRPr="004242D7">
        <w:rPr>
          <w:rFonts w:ascii="Arial" w:hAnsi="Arial" w:cs="Arial"/>
          <w:sz w:val="24"/>
          <w:szCs w:val="24"/>
        </w:rPr>
        <w:t>fosas y criptas:</w:t>
      </w:r>
    </w:p>
    <w:p w:rsidR="00C41C34" w:rsidRDefault="00C41C34" w:rsidP="00C41C34">
      <w:pPr>
        <w:pStyle w:val="Textoindependiente"/>
        <w:shd w:val="clear" w:color="auto" w:fill="auto"/>
        <w:tabs>
          <w:tab w:val="left" w:pos="1694"/>
          <w:tab w:val="left" w:pos="6094"/>
        </w:tabs>
        <w:spacing w:line="257" w:lineRule="auto"/>
        <w:rPr>
          <w:rFonts w:ascii="Arial" w:hAnsi="Arial" w:cs="Arial"/>
          <w:sz w:val="24"/>
          <w:szCs w:val="24"/>
        </w:rPr>
      </w:pPr>
    </w:p>
    <w:p w:rsidR="00816D59" w:rsidRPr="004242D7" w:rsidRDefault="00C41C34" w:rsidP="00C41C34">
      <w:pPr>
        <w:pStyle w:val="Textoindependiente"/>
        <w:shd w:val="clear" w:color="auto" w:fill="auto"/>
        <w:tabs>
          <w:tab w:val="left" w:pos="1694"/>
          <w:tab w:val="left" w:pos="6094"/>
        </w:tabs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412A4" w:rsidRPr="004242D7">
        <w:rPr>
          <w:rFonts w:ascii="Arial" w:hAnsi="Arial" w:cs="Arial"/>
          <w:sz w:val="24"/>
          <w:szCs w:val="24"/>
        </w:rPr>
        <w:t>Por temporalidad de 3 años</w:t>
      </w:r>
      <w:r w:rsidR="001412A4" w:rsidRPr="004242D7">
        <w:rPr>
          <w:rFonts w:ascii="Arial" w:hAnsi="Arial" w:cs="Arial"/>
          <w:sz w:val="24"/>
          <w:szCs w:val="24"/>
        </w:rPr>
        <w:tab/>
        <w:t>51.8 UMAS</w:t>
      </w:r>
    </w:p>
    <w:p w:rsidR="00816D59" w:rsidRPr="004242D7" w:rsidRDefault="00C41C34" w:rsidP="00C41C34">
      <w:pPr>
        <w:pStyle w:val="Heading10"/>
        <w:keepNext/>
        <w:keepLines/>
        <w:shd w:val="clear" w:color="auto" w:fill="auto"/>
        <w:tabs>
          <w:tab w:val="left" w:pos="1706"/>
        </w:tabs>
        <w:rPr>
          <w:rFonts w:ascii="Arial" w:hAnsi="Arial" w:cs="Arial"/>
          <w:sz w:val="24"/>
          <w:szCs w:val="24"/>
        </w:rPr>
      </w:pPr>
      <w:bookmarkStart w:id="19" w:name="bookmark18"/>
      <w:bookmarkStart w:id="20" w:name="bookmark19"/>
      <w:r>
        <w:rPr>
          <w:rFonts w:ascii="Arial" w:hAnsi="Arial" w:cs="Arial"/>
          <w:sz w:val="24"/>
          <w:szCs w:val="24"/>
        </w:rPr>
        <w:t xml:space="preserve">b) </w:t>
      </w:r>
      <w:r w:rsidR="001412A4" w:rsidRPr="004242D7">
        <w:rPr>
          <w:rFonts w:ascii="Arial" w:hAnsi="Arial" w:cs="Arial"/>
          <w:sz w:val="24"/>
          <w:szCs w:val="24"/>
        </w:rPr>
        <w:t>SE DEROGA</w:t>
      </w:r>
      <w:bookmarkEnd w:id="19"/>
      <w:bookmarkEnd w:id="20"/>
    </w:p>
    <w:p w:rsidR="00816D59" w:rsidRPr="004242D7" w:rsidRDefault="00C41C34" w:rsidP="00C41C34">
      <w:pPr>
        <w:pStyle w:val="Heading10"/>
        <w:keepNext/>
        <w:keepLines/>
        <w:shd w:val="clear" w:color="auto" w:fill="auto"/>
        <w:tabs>
          <w:tab w:val="left" w:pos="1706"/>
        </w:tabs>
        <w:rPr>
          <w:rFonts w:ascii="Arial" w:hAnsi="Arial" w:cs="Arial"/>
          <w:sz w:val="24"/>
          <w:szCs w:val="24"/>
        </w:rPr>
      </w:pPr>
      <w:bookmarkStart w:id="21" w:name="bookmark20"/>
      <w:bookmarkStart w:id="22" w:name="bookmark21"/>
      <w:r>
        <w:rPr>
          <w:rFonts w:ascii="Arial" w:hAnsi="Arial" w:cs="Arial"/>
          <w:sz w:val="24"/>
          <w:szCs w:val="24"/>
        </w:rPr>
        <w:t xml:space="preserve">c) </w:t>
      </w:r>
      <w:r w:rsidR="001412A4" w:rsidRPr="004242D7">
        <w:rPr>
          <w:rFonts w:ascii="Arial" w:hAnsi="Arial" w:cs="Arial"/>
          <w:sz w:val="24"/>
          <w:szCs w:val="24"/>
        </w:rPr>
        <w:t>SE DEROGA</w:t>
      </w:r>
      <w:bookmarkEnd w:id="21"/>
      <w:bookmarkEnd w:id="22"/>
    </w:p>
    <w:p w:rsidR="00C41C34" w:rsidRDefault="00C41C34" w:rsidP="00C41C34">
      <w:pPr>
        <w:pStyle w:val="Textoindependiente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C41C34" w:rsidRDefault="001412A4" w:rsidP="00C41C34">
      <w:pPr>
        <w:pStyle w:val="Textoindependiente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II.- Permiso de construcción de cripta o bóveda en los</w:t>
      </w:r>
      <w:r w:rsidR="00C15559">
        <w:rPr>
          <w:rFonts w:ascii="Arial" w:hAnsi="Arial" w:cs="Arial"/>
          <w:sz w:val="24"/>
          <w:szCs w:val="24"/>
        </w:rPr>
        <w:t xml:space="preserve"> </w:t>
      </w:r>
      <w:r w:rsidR="00C41C34">
        <w:rPr>
          <w:rFonts w:ascii="Arial" w:hAnsi="Arial" w:cs="Arial"/>
          <w:sz w:val="24"/>
          <w:szCs w:val="24"/>
        </w:rPr>
        <w:t xml:space="preserve"> </w:t>
      </w:r>
      <w:r w:rsidR="00C41C34" w:rsidRPr="004242D7">
        <w:rPr>
          <w:rFonts w:ascii="Arial" w:hAnsi="Arial" w:cs="Arial"/>
          <w:sz w:val="24"/>
          <w:szCs w:val="24"/>
        </w:rPr>
        <w:tab/>
      </w:r>
      <w:r w:rsidR="00C15559">
        <w:rPr>
          <w:rFonts w:ascii="Arial" w:hAnsi="Arial" w:cs="Arial"/>
          <w:sz w:val="24"/>
          <w:szCs w:val="24"/>
        </w:rPr>
        <w:t>3 UMAS</w:t>
      </w:r>
    </w:p>
    <w:p w:rsidR="00816D59" w:rsidRPr="004242D7" w:rsidRDefault="00C41C34" w:rsidP="00C41C34">
      <w:pPr>
        <w:pStyle w:val="Textoindependiente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12A4" w:rsidRPr="004242D7">
        <w:rPr>
          <w:rFonts w:ascii="Arial" w:hAnsi="Arial" w:cs="Arial"/>
          <w:sz w:val="24"/>
          <w:szCs w:val="24"/>
        </w:rPr>
        <w:t xml:space="preserve">II.- </w:t>
      </w:r>
      <w:r w:rsidR="001412A4" w:rsidRPr="004242D7">
        <w:rPr>
          <w:rFonts w:ascii="Arial" w:hAnsi="Arial" w:cs="Arial"/>
          <w:sz w:val="24"/>
          <w:szCs w:val="24"/>
        </w:rPr>
        <w:t>Exhumación después de transcurrido el término de Ley.</w:t>
      </w:r>
      <w:r w:rsidR="001412A4" w:rsidRPr="004242D7">
        <w:rPr>
          <w:rFonts w:ascii="Arial" w:hAnsi="Arial" w:cs="Arial"/>
          <w:sz w:val="24"/>
          <w:szCs w:val="24"/>
        </w:rPr>
        <w:tab/>
        <w:t>3 UMAS</w:t>
      </w:r>
    </w:p>
    <w:p w:rsidR="00816D59" w:rsidRPr="004242D7" w:rsidRDefault="00C15559" w:rsidP="00C15559">
      <w:pPr>
        <w:pStyle w:val="Textoindependiente"/>
        <w:shd w:val="clear" w:color="auto" w:fill="auto"/>
        <w:tabs>
          <w:tab w:val="left" w:pos="409"/>
          <w:tab w:val="left" w:pos="6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</w:t>
      </w:r>
      <w:r w:rsidR="001412A4" w:rsidRPr="004242D7">
        <w:rPr>
          <w:rFonts w:ascii="Arial" w:hAnsi="Arial" w:cs="Arial"/>
          <w:sz w:val="24"/>
          <w:szCs w:val="24"/>
        </w:rPr>
        <w:t xml:space="preserve"> Anualmente se pagara una cuota p</w:t>
      </w:r>
      <w:r w:rsidR="001412A4" w:rsidRPr="004242D7">
        <w:rPr>
          <w:rFonts w:ascii="Arial" w:hAnsi="Arial" w:cs="Arial"/>
          <w:sz w:val="24"/>
          <w:szCs w:val="24"/>
        </w:rPr>
        <w:t>or mantenimiento de</w:t>
      </w:r>
      <w:r w:rsidR="001412A4" w:rsidRPr="004242D7">
        <w:rPr>
          <w:rFonts w:ascii="Arial" w:hAnsi="Arial" w:cs="Arial"/>
          <w:sz w:val="24"/>
          <w:szCs w:val="24"/>
        </w:rPr>
        <w:tab/>
        <w:t>1 UMA</w:t>
      </w:r>
      <w:r>
        <w:rPr>
          <w:rFonts w:ascii="Arial" w:hAnsi="Arial" w:cs="Arial"/>
          <w:sz w:val="24"/>
          <w:szCs w:val="24"/>
        </w:rPr>
        <w:t>.</w:t>
      </w:r>
    </w:p>
    <w:p w:rsidR="00816D59" w:rsidRPr="004242D7" w:rsidRDefault="00C15559" w:rsidP="00C15559">
      <w:pPr>
        <w:pStyle w:val="Textoindependiente"/>
        <w:shd w:val="clear" w:color="auto" w:fill="auto"/>
        <w:tabs>
          <w:tab w:val="left" w:pos="4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</w:t>
      </w:r>
      <w:r w:rsidR="001412A4" w:rsidRPr="004242D7">
        <w:rPr>
          <w:rFonts w:ascii="Arial" w:hAnsi="Arial" w:cs="Arial"/>
          <w:sz w:val="24"/>
          <w:szCs w:val="24"/>
        </w:rPr>
        <w:t>Por cada año adicional ya transcurrido del periodo de temporalidad de tres años se pagará la cantidad de: 17.3 UMAS, sin que este pueda exceder de 6 años</w:t>
      </w:r>
      <w:r>
        <w:rPr>
          <w:rFonts w:ascii="Arial" w:hAnsi="Arial" w:cs="Arial"/>
          <w:sz w:val="24"/>
          <w:szCs w:val="24"/>
        </w:rPr>
        <w:t>.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C15559" w:rsidRDefault="001412A4">
      <w:pPr>
        <w:pStyle w:val="Textoindependiente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C15559">
        <w:rPr>
          <w:rFonts w:ascii="Arial" w:hAnsi="Arial" w:cs="Arial"/>
          <w:b/>
          <w:sz w:val="24"/>
          <w:szCs w:val="24"/>
        </w:rPr>
        <w:t>(TEXTO ORIGINAL)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CAPÍTULO X </w:t>
      </w: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Derechos por Servicios de Vigilancia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Default="001412A4" w:rsidP="00C41C34">
      <w:pPr>
        <w:pStyle w:val="Textoindependiente"/>
        <w:shd w:val="clear" w:color="auto" w:fill="auto"/>
        <w:spacing w:line="271" w:lineRule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123.- Son sujetos obligados al pago de este derecho las personas físicas o morales que soliciten este servicio de acuerdo con la siguiente tarifa:</w:t>
      </w:r>
    </w:p>
    <w:p w:rsidR="00C15559" w:rsidRPr="004242D7" w:rsidRDefault="00C15559" w:rsidP="00C41C34">
      <w:pPr>
        <w:pStyle w:val="Textoindependiente"/>
        <w:shd w:val="clear" w:color="auto" w:fill="auto"/>
        <w:spacing w:line="271" w:lineRule="auto"/>
        <w:rPr>
          <w:rFonts w:ascii="Arial" w:hAnsi="Arial" w:cs="Arial"/>
          <w:sz w:val="24"/>
          <w:szCs w:val="24"/>
        </w:rPr>
      </w:pPr>
    </w:p>
    <w:p w:rsidR="00816D59" w:rsidRPr="004242D7" w:rsidRDefault="001412A4" w:rsidP="00C15559">
      <w:pPr>
        <w:pStyle w:val="Textoindependiente"/>
        <w:shd w:val="clear" w:color="auto" w:fill="auto"/>
        <w:tabs>
          <w:tab w:val="left" w:pos="609"/>
          <w:tab w:val="left" w:pos="4616"/>
        </w:tabs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I.-</w:t>
      </w:r>
      <w:r w:rsidR="00C15559">
        <w:rPr>
          <w:rFonts w:ascii="Arial" w:hAnsi="Arial" w:cs="Arial"/>
          <w:sz w:val="24"/>
          <w:szCs w:val="24"/>
        </w:rPr>
        <w:t xml:space="preserve"> </w:t>
      </w:r>
      <w:r w:rsidRPr="004242D7">
        <w:rPr>
          <w:rFonts w:ascii="Arial" w:hAnsi="Arial" w:cs="Arial"/>
          <w:sz w:val="24"/>
          <w:szCs w:val="24"/>
        </w:rPr>
        <w:t>Por turno de servicio</w:t>
      </w:r>
      <w:r w:rsidRPr="004242D7">
        <w:rPr>
          <w:rFonts w:ascii="Arial" w:hAnsi="Arial" w:cs="Arial"/>
          <w:sz w:val="24"/>
          <w:szCs w:val="24"/>
        </w:rPr>
        <w:tab/>
        <w:t>$ 100.00 por cada elemento</w:t>
      </w:r>
    </w:p>
    <w:p w:rsidR="00816D59" w:rsidRPr="004242D7" w:rsidRDefault="001412A4" w:rsidP="00C15559">
      <w:pPr>
        <w:pStyle w:val="Textoindependiente"/>
        <w:shd w:val="clear" w:color="auto" w:fill="auto"/>
        <w:tabs>
          <w:tab w:val="left" w:pos="609"/>
          <w:tab w:val="left" w:pos="4616"/>
        </w:tabs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II.-</w:t>
      </w:r>
      <w:r w:rsidRPr="004242D7">
        <w:rPr>
          <w:rFonts w:ascii="Arial" w:hAnsi="Arial" w:cs="Arial"/>
          <w:sz w:val="24"/>
          <w:szCs w:val="24"/>
        </w:rPr>
        <w:t>Por hora o fracción</w:t>
      </w:r>
      <w:r w:rsidRPr="004242D7">
        <w:rPr>
          <w:rFonts w:ascii="Arial" w:hAnsi="Arial" w:cs="Arial"/>
          <w:sz w:val="24"/>
          <w:szCs w:val="24"/>
        </w:rPr>
        <w:tab/>
        <w:t>$ 25.00 por cada eleme</w:t>
      </w:r>
      <w:r w:rsidRPr="004242D7">
        <w:rPr>
          <w:rFonts w:ascii="Arial" w:hAnsi="Arial" w:cs="Arial"/>
          <w:sz w:val="24"/>
          <w:szCs w:val="24"/>
        </w:rPr>
        <w:t>nto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El pago de este derecho se hará al momento de solicitar el servicio.</w:t>
      </w:r>
    </w:p>
    <w:p w:rsidR="00C15559" w:rsidRDefault="00C15559" w:rsidP="00C15559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p w:rsidR="00816D59" w:rsidRPr="00C15559" w:rsidRDefault="001412A4" w:rsidP="00C15559">
      <w:pPr>
        <w:pStyle w:val="Textoindependiente"/>
        <w:shd w:val="clear" w:color="auto" w:fill="auto"/>
        <w:rPr>
          <w:rFonts w:ascii="Arial" w:hAnsi="Arial" w:cs="Arial"/>
          <w:b/>
          <w:sz w:val="24"/>
          <w:szCs w:val="24"/>
        </w:rPr>
      </w:pPr>
      <w:r w:rsidRPr="00C15559">
        <w:rPr>
          <w:rFonts w:ascii="Arial" w:hAnsi="Arial" w:cs="Arial"/>
          <w:b/>
          <w:sz w:val="24"/>
          <w:szCs w:val="24"/>
        </w:rPr>
        <w:t>Se modifica quedando co</w:t>
      </w:r>
      <w:r w:rsidR="00C15559">
        <w:rPr>
          <w:rFonts w:ascii="Arial" w:hAnsi="Arial" w:cs="Arial"/>
          <w:b/>
          <w:sz w:val="24"/>
          <w:szCs w:val="24"/>
        </w:rPr>
        <w:t>m</w:t>
      </w:r>
      <w:r w:rsidRPr="00C15559">
        <w:rPr>
          <w:rFonts w:ascii="Arial" w:hAnsi="Arial" w:cs="Arial"/>
          <w:b/>
          <w:sz w:val="24"/>
          <w:szCs w:val="24"/>
        </w:rPr>
        <w:t>o sigue: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 xml:space="preserve">CAPÍTULO X </w:t>
      </w:r>
    </w:p>
    <w:p w:rsidR="00816D59" w:rsidRPr="004242D7" w:rsidRDefault="001412A4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Derechos por Servidos de Vigilancia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Default="001412A4" w:rsidP="00C15559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Artículo 123.- Son sujetos obligados al pago de este derecho las personas físicas</w:t>
      </w:r>
      <w:r w:rsidR="00C15559">
        <w:rPr>
          <w:rFonts w:ascii="Arial" w:hAnsi="Arial" w:cs="Arial"/>
          <w:sz w:val="24"/>
          <w:szCs w:val="24"/>
        </w:rPr>
        <w:t xml:space="preserve"> </w:t>
      </w:r>
      <w:r w:rsidRPr="004242D7">
        <w:rPr>
          <w:rFonts w:ascii="Arial" w:hAnsi="Arial" w:cs="Arial"/>
          <w:sz w:val="24"/>
          <w:szCs w:val="24"/>
        </w:rPr>
        <w:t>o morales que so</w:t>
      </w:r>
      <w:r w:rsidRPr="004242D7">
        <w:rPr>
          <w:rFonts w:ascii="Arial" w:hAnsi="Arial" w:cs="Arial"/>
          <w:sz w:val="24"/>
          <w:szCs w:val="24"/>
        </w:rPr>
        <w:t>liciten este servicio de acuerdo con la siguiente tarifa:</w:t>
      </w:r>
    </w:p>
    <w:p w:rsidR="00C15559" w:rsidRPr="004242D7" w:rsidRDefault="00C15559" w:rsidP="00C15559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</w:p>
    <w:p w:rsidR="00816D59" w:rsidRPr="004242D7" w:rsidRDefault="001412A4" w:rsidP="00C15559">
      <w:pPr>
        <w:pStyle w:val="Textoindependiente"/>
        <w:shd w:val="clear" w:color="auto" w:fill="auto"/>
        <w:tabs>
          <w:tab w:val="left" w:pos="4616"/>
        </w:tabs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I.- Por turno de servicio</w:t>
      </w:r>
      <w:r w:rsidRPr="004242D7">
        <w:rPr>
          <w:rFonts w:ascii="Arial" w:hAnsi="Arial" w:cs="Arial"/>
          <w:sz w:val="24"/>
          <w:szCs w:val="24"/>
        </w:rPr>
        <w:tab/>
        <w:t>2 UMAS por cada elemento</w:t>
      </w:r>
    </w:p>
    <w:p w:rsidR="00816D59" w:rsidRPr="004242D7" w:rsidRDefault="001412A4" w:rsidP="00C15559">
      <w:pPr>
        <w:pStyle w:val="Textoindependiente"/>
        <w:shd w:val="clear" w:color="auto" w:fill="auto"/>
        <w:tabs>
          <w:tab w:val="left" w:pos="3979"/>
          <w:tab w:val="left" w:pos="4616"/>
        </w:tabs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II.- Por hora o fracción</w:t>
      </w:r>
      <w:r w:rsidRPr="004242D7">
        <w:rPr>
          <w:rFonts w:ascii="Arial" w:hAnsi="Arial" w:cs="Arial"/>
          <w:sz w:val="24"/>
          <w:szCs w:val="24"/>
        </w:rPr>
        <w:tab/>
      </w:r>
      <w:r w:rsidRPr="004242D7">
        <w:rPr>
          <w:rFonts w:ascii="Arial" w:hAnsi="Arial" w:cs="Arial"/>
          <w:sz w:val="24"/>
          <w:szCs w:val="24"/>
        </w:rPr>
        <w:tab/>
        <w:t>0.3 UMAS por cada elemento</w:t>
      </w:r>
    </w:p>
    <w:p w:rsidR="00816D59" w:rsidRPr="004242D7" w:rsidRDefault="00816D59">
      <w:pPr>
        <w:rPr>
          <w:rFonts w:ascii="Arial" w:hAnsi="Arial" w:cs="Arial"/>
        </w:rPr>
      </w:pPr>
    </w:p>
    <w:p w:rsidR="00816D59" w:rsidRPr="004242D7" w:rsidRDefault="001412A4" w:rsidP="00C15559">
      <w:pPr>
        <w:pStyle w:val="Textoindependiente"/>
        <w:shd w:val="clear" w:color="auto" w:fill="auto"/>
        <w:rPr>
          <w:rFonts w:ascii="Arial" w:hAnsi="Arial" w:cs="Arial"/>
          <w:sz w:val="24"/>
          <w:szCs w:val="24"/>
        </w:rPr>
      </w:pPr>
      <w:r w:rsidRPr="004242D7">
        <w:rPr>
          <w:rFonts w:ascii="Arial" w:hAnsi="Arial" w:cs="Arial"/>
          <w:sz w:val="24"/>
          <w:szCs w:val="24"/>
        </w:rPr>
        <w:t>El pago de este derecho se hará al momento de solicitar el servicio.</w:t>
      </w:r>
    </w:p>
    <w:sectPr w:rsidR="00816D59" w:rsidRPr="004242D7" w:rsidSect="004242D7">
      <w:pgSz w:w="12240" w:h="20160"/>
      <w:pgMar w:top="1417" w:right="1701" w:bottom="1417" w:left="1701" w:header="2412" w:footer="24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12A4">
      <w:r>
        <w:separator/>
      </w:r>
    </w:p>
  </w:endnote>
  <w:endnote w:type="continuationSeparator" w:id="0">
    <w:p w:rsidR="00000000" w:rsidRDefault="001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9" w:rsidRDefault="00816D59"/>
  </w:footnote>
  <w:footnote w:type="continuationSeparator" w:id="0">
    <w:p w:rsidR="00816D59" w:rsidRDefault="00816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DE3"/>
    <w:multiLevelType w:val="multilevel"/>
    <w:tmpl w:val="DFA44DD8"/>
    <w:lvl w:ilvl="0">
      <w:start w:val="3"/>
      <w:numFmt w:val="upperRoman"/>
      <w:lvlText w:val="%1.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E26E9"/>
    <w:multiLevelType w:val="multilevel"/>
    <w:tmpl w:val="EFB0D05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E1D53"/>
    <w:multiLevelType w:val="multilevel"/>
    <w:tmpl w:val="6C8E04F4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00A06"/>
    <w:multiLevelType w:val="multilevel"/>
    <w:tmpl w:val="51B64910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259A8"/>
    <w:multiLevelType w:val="multilevel"/>
    <w:tmpl w:val="A392C4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0487F"/>
    <w:multiLevelType w:val="multilevel"/>
    <w:tmpl w:val="F2F41F32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9227B"/>
    <w:multiLevelType w:val="multilevel"/>
    <w:tmpl w:val="04B01682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A0FCC"/>
    <w:multiLevelType w:val="multilevel"/>
    <w:tmpl w:val="C0E83F8E"/>
    <w:lvl w:ilvl="0">
      <w:start w:val="1"/>
      <w:numFmt w:val="lowerLetter"/>
      <w:lvlText w:val="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360A08"/>
    <w:multiLevelType w:val="multilevel"/>
    <w:tmpl w:val="E834C000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B0AE3"/>
    <w:multiLevelType w:val="multilevel"/>
    <w:tmpl w:val="9790E37E"/>
    <w:lvl w:ilvl="0">
      <w:start w:val="4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9"/>
    <w:rsid w:val="001412A4"/>
    <w:rsid w:val="004242D7"/>
    <w:rsid w:val="00816D59"/>
    <w:rsid w:val="00C15559"/>
    <w:rsid w:val="00C41C34"/>
    <w:rsid w:val="00E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5C4CD-BF9E-4A7E-87CA-0EE125B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ther">
    <w:name w:val="Other_"/>
    <w:basedOn w:val="Fuentedeprrafopredeter"/>
    <w:link w:val="Oth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Fuentedeprrafopredeter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Fuentedeprrafopredeter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Fuentedeprrafopredeter"/>
    <w:link w:val="Tabl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Fuentedeprrafopredeter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6" w:lineRule="auto"/>
    </w:pPr>
    <w:rPr>
      <w:rFonts w:ascii="Segoe UI" w:eastAsia="Segoe UI" w:hAnsi="Segoe UI" w:cs="Segoe UI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38" w:lineRule="auto"/>
      <w:ind w:left="400" w:firstLine="440"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qFormat/>
    <w:pPr>
      <w:shd w:val="clear" w:color="auto" w:fill="FFFFFF"/>
      <w:spacing w:line="276" w:lineRule="auto"/>
    </w:pPr>
    <w:rPr>
      <w:rFonts w:ascii="Segoe UI" w:eastAsia="Segoe UI" w:hAnsi="Segoe UI" w:cs="Segoe U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7" w:lineRule="auto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6" w:lineRule="auto"/>
    </w:pPr>
    <w:rPr>
      <w:rFonts w:ascii="Segoe UI" w:eastAsia="Segoe UI" w:hAnsi="Segoe UI" w:cs="Segoe UI"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7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2340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</cp:lastModifiedBy>
  <cp:revision>5</cp:revision>
  <dcterms:created xsi:type="dcterms:W3CDTF">2020-11-26T22:21:00Z</dcterms:created>
  <dcterms:modified xsi:type="dcterms:W3CDTF">2020-11-26T22:46:00Z</dcterms:modified>
</cp:coreProperties>
</file>