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DEB" w:rsidRDefault="00550264">
      <w:pPr>
        <w:pBdr>
          <w:top w:val="nil"/>
          <w:left w:val="nil"/>
          <w:bottom w:val="nil"/>
          <w:right w:val="nil"/>
          <w:between w:val="nil"/>
        </w:pBdr>
        <w:spacing w:line="276" w:lineRule="auto"/>
        <w:jc w:val="right"/>
        <w:rPr>
          <w:rFonts w:ascii="Arial" w:eastAsia="Arial" w:hAnsi="Arial" w:cs="Arial"/>
          <w:b/>
        </w:rPr>
      </w:pPr>
      <w:r>
        <w:rPr>
          <w:rFonts w:ascii="Arial" w:eastAsia="Arial" w:hAnsi="Arial" w:cs="Arial"/>
          <w:b/>
        </w:rPr>
        <w:t>14 de noviembre de 2023, Tekax, Yucatán.</w:t>
      </w:r>
    </w:p>
    <w:p w:rsidR="00A76DEB" w:rsidRDefault="00550264">
      <w:pPr>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Ley de Ingresos del Municipio de Tekax</w:t>
      </w:r>
    </w:p>
    <w:p w:rsidR="00A76DEB" w:rsidRDefault="00550264">
      <w:pPr>
        <w:shd w:val="clear" w:color="auto" w:fill="FFFFFF"/>
        <w:spacing w:before="280" w:after="280"/>
        <w:jc w:val="center"/>
        <w:rPr>
          <w:rFonts w:ascii="Arial" w:eastAsia="Arial" w:hAnsi="Arial" w:cs="Arial"/>
          <w:b/>
        </w:rPr>
      </w:pPr>
      <w:r>
        <w:rPr>
          <w:rFonts w:ascii="Arial" w:eastAsia="Arial" w:hAnsi="Arial" w:cs="Arial"/>
          <w:b/>
        </w:rPr>
        <w:t>Título primero</w:t>
      </w:r>
      <w:r>
        <w:rPr>
          <w:rFonts w:ascii="Arial" w:eastAsia="Arial" w:hAnsi="Arial" w:cs="Arial"/>
          <w:b/>
        </w:rPr>
        <w:br/>
        <w:t>Disposiciones generales</w:t>
      </w:r>
    </w:p>
    <w:p w:rsidR="00A76DEB" w:rsidRDefault="00550264">
      <w:pPr>
        <w:shd w:val="clear" w:color="auto" w:fill="FFFFFF"/>
        <w:spacing w:before="280" w:after="280"/>
        <w:jc w:val="center"/>
        <w:rPr>
          <w:rFonts w:ascii="Arial" w:eastAsia="Arial" w:hAnsi="Arial" w:cs="Arial"/>
          <w:b/>
        </w:rPr>
      </w:pPr>
      <w:r>
        <w:rPr>
          <w:rFonts w:ascii="Arial" w:eastAsia="Arial" w:hAnsi="Arial" w:cs="Arial"/>
          <w:b/>
        </w:rPr>
        <w:t>Capítulo I</w:t>
      </w:r>
      <w:r>
        <w:rPr>
          <w:rFonts w:ascii="Arial" w:eastAsia="Arial" w:hAnsi="Arial" w:cs="Arial"/>
          <w:b/>
        </w:rPr>
        <w:br/>
        <w:t>Disposiciones preliminares</w:t>
      </w:r>
    </w:p>
    <w:p w:rsidR="00A76DEB" w:rsidRDefault="00550264">
      <w:pPr>
        <w:shd w:val="clear" w:color="auto" w:fill="FFFFFF"/>
        <w:tabs>
          <w:tab w:val="left" w:pos="228"/>
        </w:tabs>
        <w:spacing w:before="280" w:after="280"/>
        <w:rPr>
          <w:rFonts w:ascii="Arial" w:eastAsia="Arial" w:hAnsi="Arial" w:cs="Arial"/>
          <w:b/>
        </w:rPr>
      </w:pPr>
      <w:r>
        <w:rPr>
          <w:rFonts w:ascii="Arial" w:eastAsia="Arial" w:hAnsi="Arial" w:cs="Arial"/>
          <w:b/>
        </w:rPr>
        <w:t>Artículo 1. Objeto</w:t>
      </w:r>
    </w:p>
    <w:p w:rsidR="00A76DEB" w:rsidRDefault="00550264">
      <w:pPr>
        <w:shd w:val="clear" w:color="auto" w:fill="FFFFFF"/>
        <w:tabs>
          <w:tab w:val="left" w:pos="228"/>
        </w:tabs>
        <w:spacing w:before="280" w:after="280"/>
        <w:jc w:val="both"/>
        <w:rPr>
          <w:rFonts w:ascii="Arial" w:eastAsia="Arial" w:hAnsi="Arial" w:cs="Arial"/>
        </w:rPr>
      </w:pPr>
      <w:r>
        <w:rPr>
          <w:rFonts w:ascii="Arial" w:eastAsia="Arial" w:hAnsi="Arial" w:cs="Arial"/>
        </w:rPr>
        <w:t>Esta ley es de orden público y observancia general en el territorio del municipio de Tekax, y tiene por objeto establecer los conceptos por los que la Hacienda pública del ayuntamiento podrá percibir ingresos; definir el objeto, sujeto, base y época de pago de las contribuciones; y señalar los derechos, facultades y obligaciones de las autoridades fiscales y de los contribuyentes.</w:t>
      </w:r>
    </w:p>
    <w:p w:rsidR="00A76DEB" w:rsidRDefault="00550264">
      <w:pPr>
        <w:shd w:val="clear" w:color="auto" w:fill="FFFFFF"/>
        <w:spacing w:before="280" w:after="280"/>
        <w:jc w:val="both"/>
        <w:rPr>
          <w:rFonts w:ascii="Arial" w:eastAsia="Arial" w:hAnsi="Arial" w:cs="Arial"/>
          <w:b/>
        </w:rPr>
      </w:pPr>
      <w:r>
        <w:rPr>
          <w:rFonts w:ascii="Arial" w:eastAsia="Arial" w:hAnsi="Arial" w:cs="Arial"/>
          <w:b/>
        </w:rPr>
        <w:t>Artículo 2. Definiciones</w:t>
      </w:r>
    </w:p>
    <w:p w:rsidR="00A76DEB" w:rsidRDefault="00550264">
      <w:pPr>
        <w:shd w:val="clear" w:color="auto" w:fill="FFFFFF"/>
        <w:spacing w:before="280" w:after="280"/>
        <w:jc w:val="both"/>
        <w:rPr>
          <w:rFonts w:ascii="Arial" w:eastAsia="Arial" w:hAnsi="Arial" w:cs="Arial"/>
        </w:rPr>
      </w:pPr>
      <w:r>
        <w:rPr>
          <w:rFonts w:ascii="Arial" w:eastAsia="Arial" w:hAnsi="Arial" w:cs="Arial"/>
        </w:rPr>
        <w:t>Para los efectos de esta ley, se entenderá por:</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I. Autoridad recaudadora: la unidad administrativa del ayuntamiento, encargada de las funciones de recaudación de los créditos fiscales del municipio.</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II. Ayuntamiento: el Ayuntamiento del municipio de Tekax, Yucatán.</w:t>
      </w:r>
    </w:p>
    <w:p w:rsidR="00A76DEB" w:rsidRDefault="00550264">
      <w:pPr>
        <w:pStyle w:val="Ttulo6"/>
        <w:keepNext w:val="0"/>
        <w:keepLines w:val="0"/>
        <w:shd w:val="clear" w:color="auto" w:fill="FFFFFF"/>
        <w:tabs>
          <w:tab w:val="left" w:pos="417"/>
        </w:tabs>
        <w:spacing w:before="0" w:after="200"/>
        <w:ind w:firstLine="709"/>
        <w:jc w:val="both"/>
        <w:rPr>
          <w:rFonts w:ascii="Arial" w:eastAsia="Arial" w:hAnsi="Arial" w:cs="Arial"/>
          <w:b w:val="0"/>
          <w:sz w:val="24"/>
          <w:szCs w:val="24"/>
        </w:rPr>
      </w:pPr>
      <w:r>
        <w:rPr>
          <w:rFonts w:ascii="Arial" w:eastAsia="Arial" w:hAnsi="Arial" w:cs="Arial"/>
          <w:b w:val="0"/>
          <w:sz w:val="24"/>
          <w:szCs w:val="24"/>
        </w:rPr>
        <w:t>III. Dirección: la unidad administrativa del ayuntamiento, encargada de la administración de sus finanzas.</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IV. Municipio: el municipio de Tekax, Yucatán.</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V. UMA: el valor diario de la unidad de medida actualización, que estuviera vigente al momento en que se determine la contribución o crédito fiscal, en los términos de la Ley para Determinar el Valor de la Unidad de Medida y Actualización.</w:t>
      </w:r>
    </w:p>
    <w:p w:rsidR="00A76DEB" w:rsidRDefault="00550264">
      <w:pPr>
        <w:spacing w:before="280" w:after="280"/>
        <w:jc w:val="both"/>
        <w:rPr>
          <w:rFonts w:ascii="Arial" w:eastAsia="Arial" w:hAnsi="Arial" w:cs="Arial"/>
          <w:b/>
        </w:rPr>
      </w:pPr>
      <w:r>
        <w:rPr>
          <w:rFonts w:ascii="Arial" w:eastAsia="Arial" w:hAnsi="Arial" w:cs="Arial"/>
          <w:b/>
        </w:rPr>
        <w:t>Artículo 3. Ingresos del ayuntamiento</w:t>
      </w:r>
    </w:p>
    <w:p w:rsidR="00A76DEB" w:rsidRDefault="00550264">
      <w:pPr>
        <w:shd w:val="clear" w:color="auto" w:fill="FFFFFF"/>
        <w:tabs>
          <w:tab w:val="left" w:pos="228"/>
        </w:tabs>
        <w:spacing w:before="280" w:after="280"/>
        <w:jc w:val="both"/>
        <w:rPr>
          <w:rFonts w:ascii="Arial" w:eastAsia="Arial" w:hAnsi="Arial" w:cs="Arial"/>
        </w:rPr>
      </w:pPr>
      <w:r>
        <w:rPr>
          <w:rFonts w:ascii="Arial" w:eastAsia="Arial" w:hAnsi="Arial" w:cs="Arial"/>
        </w:rPr>
        <w:t>El ayuntamiento, para cubrir los gastos de su administración y demás obligaciones a su cargo, podrá percibir ingresos por los siguientes conceptos:</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I. Impuestos.</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II. Contribuciones especiales.</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III. Derechos.</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IV. Productos.</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V. Aprovechamientos.</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VI. Participaciones.</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VII. Aportaciones.</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VIII. Ingresos extraordinarios.</w:t>
      </w:r>
    </w:p>
    <w:p w:rsidR="00A76DEB" w:rsidRDefault="00550264">
      <w:pPr>
        <w:shd w:val="clear" w:color="auto" w:fill="FFFFFF"/>
        <w:tabs>
          <w:tab w:val="left" w:pos="417"/>
        </w:tabs>
        <w:spacing w:before="280" w:after="280"/>
        <w:jc w:val="both"/>
        <w:rPr>
          <w:rFonts w:ascii="Arial" w:eastAsia="Arial" w:hAnsi="Arial" w:cs="Arial"/>
          <w:b/>
        </w:rPr>
      </w:pPr>
      <w:r>
        <w:rPr>
          <w:rFonts w:ascii="Arial" w:eastAsia="Arial" w:hAnsi="Arial" w:cs="Arial"/>
          <w:b/>
        </w:rPr>
        <w:t>Artículo 4. Ordenamientos jurídicos fiscales y hacendarios</w:t>
      </w:r>
    </w:p>
    <w:p w:rsidR="00A76DEB" w:rsidRDefault="00550264">
      <w:pPr>
        <w:shd w:val="clear" w:color="auto" w:fill="FFFFFF"/>
        <w:tabs>
          <w:tab w:val="left" w:pos="417"/>
        </w:tabs>
        <w:spacing w:before="280" w:after="280"/>
        <w:jc w:val="both"/>
        <w:rPr>
          <w:rFonts w:ascii="Arial" w:eastAsia="Arial" w:hAnsi="Arial" w:cs="Arial"/>
        </w:rPr>
      </w:pPr>
      <w:r>
        <w:rPr>
          <w:rFonts w:ascii="Arial" w:eastAsia="Arial" w:hAnsi="Arial" w:cs="Arial"/>
        </w:rPr>
        <w:t>En materia fiscal y hacendaria serán aplicables, en lo que no se opongan a esta ley, los siguientes ordenamientos jurídicos:</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I. La ley de ingresos del municipio.</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II. El Código Fiscal del Estado de Yucatán.</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III. El Código Fiscal de la Federación.</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III. La Ley de Coordinación Fiscal federal.</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IV. La Ley de Coordinación Fiscal estatal.</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V. La Ley de Hacienda Municipal del Estado de Yucatán.</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VI. Los decretos que autoricen ingresos extraordinarios.</w:t>
      </w:r>
    </w:p>
    <w:p w:rsidR="00A76DEB" w:rsidRDefault="00550264">
      <w:pPr>
        <w:shd w:val="clear" w:color="auto" w:fill="FFFFFF"/>
        <w:tabs>
          <w:tab w:val="left" w:pos="417"/>
        </w:tabs>
        <w:spacing w:before="280" w:after="280"/>
        <w:ind w:firstLine="709"/>
        <w:jc w:val="both"/>
        <w:rPr>
          <w:rFonts w:ascii="Arial" w:eastAsia="Arial" w:hAnsi="Arial" w:cs="Arial"/>
        </w:rPr>
      </w:pPr>
      <w:r>
        <w:rPr>
          <w:rFonts w:ascii="Arial" w:eastAsia="Arial" w:hAnsi="Arial" w:cs="Arial"/>
        </w:rPr>
        <w:t>VII. Los reglamentos municipales y demás normativa federal, estatal y municipal que establezcan disposiciones en la materia.</w:t>
      </w:r>
    </w:p>
    <w:p w:rsidR="00A76DEB" w:rsidRDefault="00550264">
      <w:pPr>
        <w:shd w:val="clear" w:color="auto" w:fill="FFFFFF"/>
        <w:tabs>
          <w:tab w:val="left" w:pos="417"/>
        </w:tabs>
        <w:spacing w:before="280" w:after="280"/>
        <w:jc w:val="both"/>
        <w:rPr>
          <w:rFonts w:ascii="Arial" w:eastAsia="Arial" w:hAnsi="Arial" w:cs="Arial"/>
          <w:b/>
        </w:rPr>
      </w:pPr>
      <w:r>
        <w:rPr>
          <w:rFonts w:ascii="Arial" w:eastAsia="Arial" w:hAnsi="Arial" w:cs="Arial"/>
          <w:b/>
        </w:rPr>
        <w:t>Artículo 5. Ley de ingresos</w:t>
      </w:r>
    </w:p>
    <w:p w:rsidR="00A76DEB" w:rsidRDefault="00550264">
      <w:pPr>
        <w:shd w:val="clear" w:color="auto" w:fill="FFFFFF"/>
        <w:tabs>
          <w:tab w:val="left" w:pos="417"/>
        </w:tabs>
        <w:spacing w:before="280" w:after="280"/>
        <w:jc w:val="both"/>
        <w:rPr>
          <w:rFonts w:ascii="Arial" w:eastAsia="Arial" w:hAnsi="Arial" w:cs="Arial"/>
        </w:rPr>
      </w:pPr>
      <w:r>
        <w:rPr>
          <w:rFonts w:ascii="Arial" w:eastAsia="Arial" w:hAnsi="Arial" w:cs="Arial"/>
        </w:rPr>
        <w:t>La ley de ingresos del municipio contará con las estimaciones de ingresos que percibirá por cada ejercicio fiscal el ayuntamiento, y será publicada en el diario oficial del estado a más tardar el 31 de diciembre de cada año y entrará en vigor a partir del 1 de enero del año siguiente.</w:t>
      </w:r>
    </w:p>
    <w:p w:rsidR="00A76DEB" w:rsidRDefault="00550264">
      <w:pPr>
        <w:shd w:val="clear" w:color="auto" w:fill="FFFFFF"/>
        <w:spacing w:before="280" w:after="280"/>
        <w:jc w:val="both"/>
        <w:rPr>
          <w:rFonts w:ascii="Arial" w:eastAsia="Arial" w:hAnsi="Arial" w:cs="Arial"/>
        </w:rPr>
      </w:pPr>
      <w:r>
        <w:rPr>
          <w:rFonts w:ascii="Arial" w:eastAsia="Arial" w:hAnsi="Arial" w:cs="Arial"/>
        </w:rPr>
        <w:t>Las leyes de ingresos regirán durante el ejercicio fiscal para el cual fueron aprobadas. En caso de que las leyes de ingresos no sean aprobadas en los términos correspondientes, continuarán en vigor las leyes del ejercicio fiscal anterior, salvo que el Congreso del estado establezca una excepción.</w:t>
      </w:r>
    </w:p>
    <w:p w:rsidR="00A76DEB" w:rsidRDefault="00A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rPr>
      </w:pPr>
    </w:p>
    <w:p w:rsidR="00A76DEB" w:rsidRDefault="00A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rPr>
      </w:pPr>
    </w:p>
    <w:p w:rsidR="00A76DEB" w:rsidRDefault="005502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rPr>
      </w:pPr>
      <w:r>
        <w:rPr>
          <w:rFonts w:ascii="Arial" w:eastAsia="Arial" w:hAnsi="Arial" w:cs="Arial"/>
        </w:rPr>
        <w:t xml:space="preserve">El total de Ingresos para el ejercicio fiscal 2024 será de </w:t>
      </w:r>
      <w:r>
        <w:rPr>
          <w:rFonts w:ascii="Arial" w:eastAsia="Arial" w:hAnsi="Arial" w:cs="Arial"/>
          <w:b/>
        </w:rPr>
        <w:t xml:space="preserve">$ </w:t>
      </w:r>
      <w:r>
        <w:rPr>
          <w:rFonts w:ascii="Arial" w:eastAsia="Arial" w:hAnsi="Arial" w:cs="Arial"/>
          <w:b/>
          <w:sz w:val="22"/>
          <w:szCs w:val="22"/>
        </w:rPr>
        <w:t>275,451,784.61</w:t>
      </w:r>
    </w:p>
    <w:p w:rsidR="00A76DEB" w:rsidRDefault="00A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rPr>
      </w:pPr>
    </w:p>
    <w:p w:rsidR="00A76DEB" w:rsidRDefault="005502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rPr>
      </w:pPr>
      <w:r>
        <w:rPr>
          <w:rFonts w:ascii="Arial" w:eastAsia="Arial" w:hAnsi="Arial" w:cs="Arial"/>
        </w:rPr>
        <w:t>Los Ingresos que el Municipio percibirá durante el ejercicio fiscal 2024 serán los provenientes de los rubros, tipos y en las cantidades estimadas que a continuación se enumeran:</w:t>
      </w:r>
    </w:p>
    <w:p w:rsidR="00A76DEB" w:rsidRDefault="00A76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rPr>
      </w:pPr>
    </w:p>
    <w:tbl>
      <w:tblPr>
        <w:tblStyle w:val="afff8"/>
        <w:tblW w:w="878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7194"/>
        <w:gridCol w:w="243"/>
        <w:gridCol w:w="1351"/>
      </w:tblGrid>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highlight w:val="yellow"/>
              </w:rPr>
            </w:pPr>
            <w:r>
              <w:rPr>
                <w:rFonts w:ascii="Arial" w:eastAsia="Arial" w:hAnsi="Arial" w:cs="Arial"/>
                <w:b/>
                <w:highlight w:val="yellow"/>
              </w:rPr>
              <w:t>Total</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462"/>
                <w:tab w:val="left" w:pos="708"/>
                <w:tab w:val="left" w:pos="1416"/>
              </w:tabs>
              <w:spacing w:line="360" w:lineRule="auto"/>
              <w:jc w:val="right"/>
              <w:rPr>
                <w:rFonts w:ascii="Arial" w:eastAsia="Arial" w:hAnsi="Arial" w:cs="Arial"/>
              </w:rPr>
            </w:pPr>
            <w:r>
              <w:rPr>
                <w:rFonts w:ascii="Arial" w:eastAsia="Arial" w:hAnsi="Arial" w:cs="Arial"/>
                <w:b/>
              </w:rPr>
              <w:t>275,451,784.61</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1. Impuestos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919"/>
                <w:tab w:val="left" w:pos="1416"/>
              </w:tabs>
              <w:spacing w:line="360" w:lineRule="auto"/>
              <w:jc w:val="right"/>
              <w:rPr>
                <w:rFonts w:ascii="Arial" w:eastAsia="Arial" w:hAnsi="Arial" w:cs="Arial"/>
              </w:rPr>
            </w:pPr>
            <w:r>
              <w:rPr>
                <w:rFonts w:ascii="Arial" w:eastAsia="Arial" w:hAnsi="Arial" w:cs="Arial"/>
                <w:b/>
              </w:rPr>
              <w:t>71,839.00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b/>
              </w:rPr>
            </w:pPr>
            <w:r>
              <w:rPr>
                <w:rFonts w:ascii="Arial" w:eastAsia="Arial" w:hAnsi="Arial" w:cs="Arial"/>
                <w:b/>
              </w:rPr>
              <w:t>1.1. Impuestos sobre los Ingresos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919"/>
                <w:tab w:val="left" w:pos="1416"/>
              </w:tabs>
              <w:spacing w:line="360" w:lineRule="auto"/>
              <w:jc w:val="right"/>
              <w:rPr>
                <w:rFonts w:ascii="Arial" w:eastAsia="Arial" w:hAnsi="Arial" w:cs="Arial"/>
              </w:rPr>
            </w:pPr>
            <w:r>
              <w:rPr>
                <w:rFonts w:ascii="Arial" w:eastAsia="Arial" w:hAnsi="Arial" w:cs="Arial"/>
              </w:rPr>
              <w:t>71,839.00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1.1.1. Impuesto sobre espectáculos y diversiones públicas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919"/>
                <w:tab w:val="left" w:pos="1416"/>
              </w:tabs>
              <w:spacing w:line="360" w:lineRule="auto"/>
              <w:jc w:val="right"/>
              <w:rPr>
                <w:rFonts w:ascii="Arial" w:eastAsia="Arial" w:hAnsi="Arial" w:cs="Arial"/>
              </w:rPr>
            </w:pPr>
            <w:r>
              <w:rPr>
                <w:rFonts w:ascii="Arial" w:eastAsia="Arial" w:hAnsi="Arial" w:cs="Arial"/>
              </w:rPr>
              <w:t>71,839.00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1.2. Impuesto sobre la producción, el consumo y las transacciones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8"/>
                <w:tab w:val="left" w:pos="1416"/>
              </w:tabs>
              <w:spacing w:line="360" w:lineRule="auto"/>
              <w:jc w:val="right"/>
              <w:rPr>
                <w:rFonts w:ascii="Arial" w:eastAsia="Arial" w:hAnsi="Arial" w:cs="Arial"/>
              </w:rPr>
            </w:pPr>
            <w:r>
              <w:rPr>
                <w:rFonts w:ascii="Arial" w:eastAsia="Arial" w:hAnsi="Arial" w:cs="Arial"/>
                <w:b/>
              </w:rPr>
              <w:t>829,132.00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1.2.1. Impuesto sobre adquisición de bienes inmuebles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4"/>
                <w:tab w:val="left" w:pos="1416"/>
              </w:tabs>
              <w:spacing w:line="360" w:lineRule="auto"/>
              <w:jc w:val="right"/>
              <w:rPr>
                <w:rFonts w:ascii="Arial" w:eastAsia="Arial" w:hAnsi="Arial" w:cs="Arial"/>
              </w:rPr>
            </w:pPr>
            <w:r>
              <w:rPr>
                <w:rFonts w:ascii="Arial" w:eastAsia="Arial" w:hAnsi="Arial" w:cs="Arial"/>
              </w:rPr>
              <w:t>829,132.00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1.3. Impuestos sobre el Patrimonio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8"/>
                <w:tab w:val="left" w:pos="1416"/>
              </w:tabs>
              <w:spacing w:line="360" w:lineRule="auto"/>
              <w:jc w:val="right"/>
              <w:rPr>
                <w:rFonts w:ascii="Arial" w:eastAsia="Arial" w:hAnsi="Arial" w:cs="Arial"/>
              </w:rPr>
            </w:pPr>
            <w:r>
              <w:rPr>
                <w:rFonts w:ascii="Arial" w:eastAsia="Arial" w:hAnsi="Arial" w:cs="Arial"/>
                <w:b/>
              </w:rPr>
              <w:t>776,748.92</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1.3.1. Impuesto predial</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7"/>
                <w:tab w:val="left" w:pos="1416"/>
              </w:tabs>
              <w:spacing w:line="360" w:lineRule="auto"/>
              <w:jc w:val="right"/>
              <w:rPr>
                <w:rFonts w:ascii="Arial" w:eastAsia="Arial" w:hAnsi="Arial" w:cs="Arial"/>
              </w:rPr>
            </w:pPr>
            <w:r>
              <w:rPr>
                <w:rFonts w:ascii="Arial" w:eastAsia="Arial" w:hAnsi="Arial" w:cs="Arial"/>
              </w:rPr>
              <w:t>776748.92</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1.4. Accesorios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919"/>
                <w:tab w:val="left" w:pos="1416"/>
              </w:tabs>
              <w:spacing w:line="360" w:lineRule="auto"/>
              <w:jc w:val="right"/>
              <w:rPr>
                <w:rFonts w:ascii="Arial" w:eastAsia="Arial" w:hAnsi="Arial" w:cs="Arial"/>
              </w:rPr>
            </w:pPr>
            <w:r>
              <w:rPr>
                <w:rFonts w:ascii="Arial" w:eastAsia="Arial" w:hAnsi="Arial" w:cs="Arial"/>
                <w:b/>
              </w:rPr>
              <w:t>53,192.49</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1.4.1. Actualización de impuestos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1.4.2. Recargos de impuestos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919"/>
                <w:tab w:val="left" w:pos="1416"/>
              </w:tabs>
              <w:spacing w:line="360" w:lineRule="auto"/>
              <w:jc w:val="right"/>
              <w:rPr>
                <w:rFonts w:ascii="Arial" w:eastAsia="Arial" w:hAnsi="Arial" w:cs="Arial"/>
              </w:rPr>
            </w:pPr>
            <w:r>
              <w:rPr>
                <w:rFonts w:ascii="Arial" w:eastAsia="Arial" w:hAnsi="Arial" w:cs="Arial"/>
              </w:rPr>
              <w:t>53,192.49</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1.4.3. Multas de impuestos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1.4.4. Gastos de ejecución de impuestos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8"/>
                <w:tab w:val="left" w:pos="1416"/>
              </w:tabs>
              <w:spacing w:line="360" w:lineRule="auto"/>
              <w:jc w:val="right"/>
              <w:rPr>
                <w:rFonts w:ascii="Arial" w:eastAsia="Arial" w:hAnsi="Arial" w:cs="Arial"/>
              </w:rPr>
            </w:pPr>
            <w:r>
              <w:rPr>
                <w:rFonts w:ascii="Arial" w:eastAsia="Arial" w:hAnsi="Arial" w:cs="Arial"/>
              </w:rPr>
              <w:t>0.00</w:t>
            </w:r>
          </w:p>
        </w:tc>
      </w:tr>
      <w:tr w:rsidR="00A76DEB">
        <w:trPr>
          <w:trHeight w:val="877"/>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1.5. Impuestos no comprendidos en las fracciones de la Ley de Ingresos vigente, causados en ejercicios fiscales anteriores, pendientes de liquidación o pago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A76DEB">
            <w:pPr>
              <w:widowControl w:val="0"/>
              <w:spacing w:line="360" w:lineRule="auto"/>
              <w:rPr>
                <w:rFonts w:ascii="Arial" w:eastAsia="Arial" w:hAnsi="Arial" w:cs="Arial"/>
                <w:b/>
              </w:rPr>
            </w:pPr>
          </w:p>
          <w:p w:rsidR="00A76DEB" w:rsidRDefault="00A76DEB">
            <w:pPr>
              <w:widowControl w:val="0"/>
              <w:spacing w:line="360" w:lineRule="auto"/>
              <w:rPr>
                <w:rFonts w:ascii="Arial" w:eastAsia="Arial" w:hAnsi="Arial" w:cs="Arial"/>
                <w:b/>
              </w:rPr>
            </w:pPr>
          </w:p>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A76DEB">
            <w:pPr>
              <w:widowControl w:val="0"/>
              <w:tabs>
                <w:tab w:val="left" w:pos="1378"/>
                <w:tab w:val="left" w:pos="1416"/>
              </w:tabs>
              <w:spacing w:line="360" w:lineRule="auto"/>
              <w:jc w:val="right"/>
              <w:rPr>
                <w:rFonts w:ascii="Arial" w:eastAsia="Arial" w:hAnsi="Arial" w:cs="Arial"/>
                <w:b/>
              </w:rPr>
            </w:pPr>
          </w:p>
          <w:p w:rsidR="00A76DEB" w:rsidRDefault="00A76DEB">
            <w:pPr>
              <w:widowControl w:val="0"/>
              <w:tabs>
                <w:tab w:val="left" w:pos="1378"/>
                <w:tab w:val="left" w:pos="1416"/>
              </w:tabs>
              <w:spacing w:line="360" w:lineRule="auto"/>
              <w:jc w:val="right"/>
              <w:rPr>
                <w:rFonts w:ascii="Arial" w:eastAsia="Arial" w:hAnsi="Arial" w:cs="Arial"/>
                <w:b/>
              </w:rPr>
            </w:pPr>
          </w:p>
          <w:p w:rsidR="00A76DEB" w:rsidRDefault="00550264">
            <w:pPr>
              <w:widowControl w:val="0"/>
              <w:tabs>
                <w:tab w:val="left" w:pos="1378"/>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2. Cuotas y aportaciones de seguridad social</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80"/>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3. Contribuciones de mejoras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5"/>
                <w:tab w:val="left" w:pos="1416"/>
              </w:tabs>
              <w:spacing w:line="360" w:lineRule="auto"/>
              <w:jc w:val="right"/>
              <w:rPr>
                <w:rFonts w:ascii="Arial" w:eastAsia="Arial" w:hAnsi="Arial" w:cs="Arial"/>
              </w:rPr>
            </w:pPr>
            <w:r>
              <w:rPr>
                <w:rFonts w:ascii="Arial" w:eastAsia="Arial" w:hAnsi="Arial" w:cs="Arial"/>
                <w:b/>
              </w:rPr>
              <w:t>156,536.41</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3.1. Contribuciones de mejoras por obras públicas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8"/>
                <w:tab w:val="left" w:pos="1416"/>
              </w:tabs>
              <w:spacing w:line="360" w:lineRule="auto"/>
              <w:jc w:val="right"/>
              <w:rPr>
                <w:rFonts w:ascii="Arial" w:eastAsia="Arial" w:hAnsi="Arial" w:cs="Arial"/>
              </w:rPr>
            </w:pPr>
            <w:r>
              <w:rPr>
                <w:rFonts w:ascii="Arial" w:eastAsia="Arial" w:hAnsi="Arial" w:cs="Arial"/>
              </w:rPr>
              <w:t>156,536.41</w:t>
            </w:r>
          </w:p>
        </w:tc>
      </w:tr>
      <w:tr w:rsidR="00A76DEB">
        <w:trPr>
          <w:trHeight w:val="877"/>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3.2. Contribuciones de mejoras no comprendidas en las fracciones de la Ley de Ingresos causadas en ejercicios fiscales anteriores pendientes de liquidación o pago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A76DEB">
            <w:pPr>
              <w:widowControl w:val="0"/>
              <w:spacing w:line="360" w:lineRule="auto"/>
              <w:rPr>
                <w:rFonts w:ascii="Arial" w:eastAsia="Arial" w:hAnsi="Arial" w:cs="Arial"/>
                <w:b/>
              </w:rPr>
            </w:pPr>
          </w:p>
          <w:p w:rsidR="00A76DEB" w:rsidRDefault="00A76DEB">
            <w:pPr>
              <w:widowControl w:val="0"/>
              <w:spacing w:line="360" w:lineRule="auto"/>
              <w:rPr>
                <w:rFonts w:ascii="Arial" w:eastAsia="Arial" w:hAnsi="Arial" w:cs="Arial"/>
                <w:b/>
              </w:rPr>
            </w:pPr>
          </w:p>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A76DEB">
            <w:pPr>
              <w:widowControl w:val="0"/>
              <w:tabs>
                <w:tab w:val="left" w:pos="1378"/>
                <w:tab w:val="left" w:pos="1416"/>
              </w:tabs>
              <w:spacing w:line="360" w:lineRule="auto"/>
              <w:jc w:val="right"/>
              <w:rPr>
                <w:rFonts w:ascii="Arial" w:eastAsia="Arial" w:hAnsi="Arial" w:cs="Arial"/>
                <w:b/>
              </w:rPr>
            </w:pPr>
          </w:p>
          <w:p w:rsidR="00A76DEB" w:rsidRDefault="00A76DEB">
            <w:pPr>
              <w:widowControl w:val="0"/>
              <w:tabs>
                <w:tab w:val="left" w:pos="1378"/>
                <w:tab w:val="left" w:pos="1416"/>
              </w:tabs>
              <w:spacing w:line="360" w:lineRule="auto"/>
              <w:jc w:val="right"/>
              <w:rPr>
                <w:rFonts w:ascii="Arial" w:eastAsia="Arial" w:hAnsi="Arial" w:cs="Arial"/>
                <w:b/>
              </w:rPr>
            </w:pPr>
          </w:p>
          <w:p w:rsidR="00A76DEB" w:rsidRDefault="00550264">
            <w:pPr>
              <w:widowControl w:val="0"/>
              <w:tabs>
                <w:tab w:val="left" w:pos="1378"/>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4. Derechos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665"/>
                <w:tab w:val="left" w:pos="708"/>
                <w:tab w:val="left" w:pos="1416"/>
              </w:tabs>
              <w:spacing w:line="360" w:lineRule="auto"/>
              <w:jc w:val="right"/>
              <w:rPr>
                <w:rFonts w:ascii="Arial" w:eastAsia="Arial" w:hAnsi="Arial" w:cs="Arial"/>
                <w:b/>
              </w:rPr>
            </w:pPr>
            <w:r>
              <w:rPr>
                <w:rFonts w:ascii="Arial" w:eastAsia="Arial" w:hAnsi="Arial" w:cs="Arial"/>
                <w:b/>
              </w:rPr>
              <w:t>7,179,759.6</w:t>
            </w:r>
          </w:p>
        </w:tc>
      </w:tr>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4.1. Derechos por el uso, goce, aprovechamiento o explotación de bienes del dominio público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A76DEB">
            <w:pPr>
              <w:widowControl w:val="0"/>
              <w:spacing w:line="360" w:lineRule="auto"/>
              <w:rPr>
                <w:rFonts w:ascii="Arial" w:eastAsia="Arial" w:hAnsi="Arial" w:cs="Arial"/>
                <w:b/>
              </w:rPr>
            </w:pPr>
          </w:p>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A76DEB">
            <w:pPr>
              <w:widowControl w:val="0"/>
              <w:tabs>
                <w:tab w:val="left" w:pos="708"/>
                <w:tab w:val="left" w:pos="1416"/>
              </w:tabs>
              <w:spacing w:line="360" w:lineRule="auto"/>
              <w:jc w:val="right"/>
              <w:rPr>
                <w:rFonts w:ascii="Arial" w:eastAsia="Arial" w:hAnsi="Arial" w:cs="Arial"/>
              </w:rPr>
            </w:pPr>
          </w:p>
          <w:p w:rsidR="00A76DEB" w:rsidRDefault="00550264">
            <w:pPr>
              <w:widowControl w:val="0"/>
              <w:tabs>
                <w:tab w:val="left" w:pos="664"/>
                <w:tab w:val="left" w:pos="708"/>
                <w:tab w:val="left" w:pos="1416"/>
              </w:tabs>
              <w:spacing w:line="360" w:lineRule="auto"/>
              <w:jc w:val="right"/>
              <w:rPr>
                <w:rFonts w:ascii="Arial" w:eastAsia="Arial" w:hAnsi="Arial" w:cs="Arial"/>
              </w:rPr>
            </w:pPr>
            <w:r>
              <w:rPr>
                <w:rFonts w:ascii="Arial" w:eastAsia="Arial" w:hAnsi="Arial" w:cs="Arial"/>
                <w:b/>
              </w:rPr>
              <w:t>1,865,851.22</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4.1.1. Mercados y ambulantes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8"/>
                <w:tab w:val="left" w:pos="1416"/>
              </w:tabs>
              <w:spacing w:line="360" w:lineRule="auto"/>
              <w:jc w:val="right"/>
              <w:rPr>
                <w:rFonts w:ascii="Arial" w:eastAsia="Arial" w:hAnsi="Arial" w:cs="Arial"/>
              </w:rPr>
            </w:pPr>
            <w:r>
              <w:rPr>
                <w:rFonts w:ascii="Arial" w:eastAsia="Arial" w:hAnsi="Arial" w:cs="Arial"/>
              </w:rPr>
              <w:t>978,083.2</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4.1.2. Uso y aprovechamiento de panteones públicos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9"/>
                <w:tab w:val="left" w:pos="1416"/>
              </w:tabs>
              <w:spacing w:line="360" w:lineRule="auto"/>
              <w:jc w:val="right"/>
              <w:rPr>
                <w:rFonts w:ascii="Arial" w:eastAsia="Arial" w:hAnsi="Arial" w:cs="Arial"/>
              </w:rPr>
            </w:pPr>
            <w:r>
              <w:rPr>
                <w:rFonts w:ascii="Arial" w:eastAsia="Arial" w:hAnsi="Arial" w:cs="Arial"/>
              </w:rPr>
              <w:t>647,784.02</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4.1.3. Uso y aprovechamiento de las vías por vehículos de carga</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5"/>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4.1.4. Uso y aprovechamiento de otros bienes de dominio público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6"/>
                <w:tab w:val="left" w:pos="1416"/>
              </w:tabs>
              <w:spacing w:line="360" w:lineRule="auto"/>
              <w:jc w:val="right"/>
              <w:rPr>
                <w:rFonts w:ascii="Arial" w:eastAsia="Arial" w:hAnsi="Arial" w:cs="Arial"/>
              </w:rPr>
            </w:pPr>
            <w:r>
              <w:rPr>
                <w:rFonts w:ascii="Arial" w:eastAsia="Arial" w:hAnsi="Arial" w:cs="Arial"/>
              </w:rPr>
              <w:t>239,984.00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4.2. Derechos por prestación de servicios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665"/>
                <w:tab w:val="left" w:pos="708"/>
                <w:tab w:val="left" w:pos="1416"/>
              </w:tabs>
              <w:spacing w:line="360" w:lineRule="auto"/>
              <w:jc w:val="right"/>
              <w:rPr>
                <w:rFonts w:ascii="Arial" w:eastAsia="Arial" w:hAnsi="Arial" w:cs="Arial"/>
              </w:rPr>
            </w:pPr>
            <w:r>
              <w:rPr>
                <w:rFonts w:ascii="Arial" w:eastAsia="Arial" w:hAnsi="Arial" w:cs="Arial"/>
                <w:b/>
              </w:rPr>
              <w:t>5,308,608.38</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4.2.1. Agua potable y drenaje</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673"/>
                <w:tab w:val="left" w:pos="708"/>
                <w:tab w:val="left" w:pos="1416"/>
              </w:tabs>
              <w:spacing w:line="360" w:lineRule="auto"/>
              <w:jc w:val="right"/>
              <w:rPr>
                <w:rFonts w:ascii="Arial" w:eastAsia="Arial" w:hAnsi="Arial" w:cs="Arial"/>
              </w:rPr>
            </w:pPr>
            <w:r>
              <w:rPr>
                <w:rFonts w:ascii="Arial" w:eastAsia="Arial" w:hAnsi="Arial" w:cs="Arial"/>
              </w:rPr>
              <w:t>1,743,107.42</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4.2.2. Alumbrado público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6"/>
                <w:tab w:val="left" w:pos="1416"/>
              </w:tabs>
              <w:spacing w:line="360" w:lineRule="auto"/>
              <w:jc w:val="right"/>
              <w:rPr>
                <w:rFonts w:ascii="Arial" w:eastAsia="Arial" w:hAnsi="Arial" w:cs="Arial"/>
              </w:rPr>
            </w:pPr>
            <w:r>
              <w:rPr>
                <w:rFonts w:ascii="Arial" w:eastAsia="Arial" w:hAnsi="Arial" w:cs="Arial"/>
              </w:rPr>
              <w:t>695,400.28</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4.2.3. Recolección y traslado de residuos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6"/>
                <w:tab w:val="left" w:pos="1416"/>
              </w:tabs>
              <w:spacing w:line="360" w:lineRule="auto"/>
              <w:jc w:val="right"/>
              <w:rPr>
                <w:rFonts w:ascii="Arial" w:eastAsia="Arial" w:hAnsi="Arial" w:cs="Arial"/>
              </w:rPr>
            </w:pPr>
            <w:r>
              <w:rPr>
                <w:rFonts w:ascii="Arial" w:eastAsia="Arial" w:hAnsi="Arial" w:cs="Arial"/>
              </w:rPr>
              <w:t>627,653.56</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4.2.4. Limpia</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4.2.5. Licencias de funcionamiento y permisos temporales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672"/>
                <w:tab w:val="left" w:pos="708"/>
                <w:tab w:val="left" w:pos="1416"/>
              </w:tabs>
              <w:spacing w:line="360" w:lineRule="auto"/>
              <w:jc w:val="right"/>
              <w:rPr>
                <w:rFonts w:ascii="Arial" w:eastAsia="Arial" w:hAnsi="Arial" w:cs="Arial"/>
              </w:rPr>
            </w:pPr>
            <w:r>
              <w:rPr>
                <w:rFonts w:ascii="Arial" w:eastAsia="Arial" w:hAnsi="Arial" w:cs="Arial"/>
              </w:rPr>
              <w:t>1,162,759.71</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4.2.6. Permisos para instalar anuncios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919"/>
                <w:tab w:val="left" w:pos="1416"/>
              </w:tabs>
              <w:spacing w:line="360" w:lineRule="auto"/>
              <w:jc w:val="right"/>
              <w:rPr>
                <w:rFonts w:ascii="Arial" w:eastAsia="Arial" w:hAnsi="Arial" w:cs="Arial"/>
              </w:rPr>
            </w:pPr>
            <w:r>
              <w:rPr>
                <w:rFonts w:ascii="Arial" w:eastAsia="Arial" w:hAnsi="Arial" w:cs="Arial"/>
              </w:rPr>
              <w:t>23,341.2</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4.2.7. Desarrollo urbano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6"/>
                <w:tab w:val="left" w:pos="1416"/>
              </w:tabs>
              <w:spacing w:line="360" w:lineRule="auto"/>
              <w:jc w:val="right"/>
              <w:rPr>
                <w:rFonts w:ascii="Arial" w:eastAsia="Arial" w:hAnsi="Arial" w:cs="Arial"/>
              </w:rPr>
            </w:pPr>
            <w:r>
              <w:rPr>
                <w:rFonts w:ascii="Arial" w:eastAsia="Arial" w:hAnsi="Arial" w:cs="Arial"/>
              </w:rPr>
              <w:t>756,631.19</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4.2.8. Catastro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919"/>
                <w:tab w:val="left" w:pos="1416"/>
              </w:tabs>
              <w:spacing w:line="360" w:lineRule="auto"/>
              <w:jc w:val="right"/>
              <w:rPr>
                <w:rFonts w:ascii="Arial" w:eastAsia="Arial" w:hAnsi="Arial" w:cs="Arial"/>
              </w:rPr>
            </w:pPr>
            <w:r>
              <w:rPr>
                <w:rFonts w:ascii="Arial" w:eastAsia="Arial" w:hAnsi="Arial" w:cs="Arial"/>
              </w:rPr>
              <w:t>100,866.42</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4.2.9. Rastro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919"/>
                <w:tab w:val="left" w:pos="1416"/>
              </w:tabs>
              <w:spacing w:line="360" w:lineRule="auto"/>
              <w:jc w:val="right"/>
              <w:rPr>
                <w:rFonts w:ascii="Arial" w:eastAsia="Arial" w:hAnsi="Arial" w:cs="Arial"/>
              </w:rPr>
            </w:pPr>
            <w:r>
              <w:rPr>
                <w:rFonts w:ascii="Arial" w:eastAsia="Arial" w:hAnsi="Arial" w:cs="Arial"/>
              </w:rPr>
              <w:t>14,566.83</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4.2.10. Supervisión sanitaria de matanza de animales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5"/>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4.2.11. Vigilancia</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919"/>
                <w:tab w:val="left" w:pos="1416"/>
              </w:tabs>
              <w:spacing w:line="360" w:lineRule="auto"/>
              <w:jc w:val="right"/>
              <w:rPr>
                <w:rFonts w:ascii="Arial" w:eastAsia="Arial" w:hAnsi="Arial" w:cs="Arial"/>
              </w:rPr>
            </w:pPr>
            <w:r>
              <w:rPr>
                <w:rFonts w:ascii="Arial" w:eastAsia="Arial" w:hAnsi="Arial" w:cs="Arial"/>
              </w:rPr>
              <w:t>26,485.16</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4.2.12. Corralón y grúa</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6"/>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4.2.13. Protección civil</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020"/>
                <w:tab w:val="left" w:pos="1416"/>
              </w:tabs>
              <w:spacing w:line="360" w:lineRule="auto"/>
              <w:jc w:val="right"/>
              <w:rPr>
                <w:rFonts w:ascii="Arial" w:eastAsia="Arial" w:hAnsi="Arial" w:cs="Arial"/>
              </w:rPr>
            </w:pPr>
            <w:r>
              <w:rPr>
                <w:rFonts w:ascii="Arial" w:eastAsia="Arial" w:hAnsi="Arial" w:cs="Arial"/>
              </w:rPr>
              <w:t>8,123.62</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4.2.14. Servicios y permisos en materia de panteones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916"/>
                <w:tab w:val="left" w:pos="1416"/>
              </w:tabs>
              <w:spacing w:line="360" w:lineRule="auto"/>
              <w:jc w:val="right"/>
              <w:rPr>
                <w:rFonts w:ascii="Arial" w:eastAsia="Arial" w:hAnsi="Arial" w:cs="Arial"/>
              </w:rPr>
            </w:pPr>
            <w:r>
              <w:rPr>
                <w:rFonts w:ascii="Arial" w:eastAsia="Arial" w:hAnsi="Arial" w:cs="Arial"/>
              </w:rPr>
              <w:t>72,853.8</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4.2.15. Certificados y constancias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918"/>
                <w:tab w:val="left" w:pos="1416"/>
              </w:tabs>
              <w:spacing w:line="360" w:lineRule="auto"/>
              <w:jc w:val="right"/>
              <w:rPr>
                <w:rFonts w:ascii="Arial" w:eastAsia="Arial" w:hAnsi="Arial" w:cs="Arial"/>
              </w:rPr>
            </w:pPr>
            <w:r>
              <w:rPr>
                <w:rFonts w:ascii="Arial" w:eastAsia="Arial" w:hAnsi="Arial" w:cs="Arial"/>
              </w:rPr>
              <w:t>76,819.17</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4.2.16. Acceso a la información pública</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8"/>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4.2.17. Gaceta oficial</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9"/>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4.3. Otros derechos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919"/>
                <w:tab w:val="left" w:pos="1416"/>
              </w:tabs>
              <w:spacing w:line="360" w:lineRule="auto"/>
              <w:jc w:val="right"/>
              <w:rPr>
                <w:rFonts w:ascii="Arial" w:eastAsia="Arial" w:hAnsi="Arial" w:cs="Arial"/>
              </w:rPr>
            </w:pPr>
            <w:r>
              <w:rPr>
                <w:rFonts w:ascii="Arial" w:eastAsia="Arial" w:hAnsi="Arial" w:cs="Arial"/>
                <w:b/>
              </w:rPr>
              <w:t>53,000.00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4.4. Accesorios de derechos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4.4.1. Actualización de derechos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4.4.2. Recargos de derechos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6"/>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4.4.3. Multas de derechos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8"/>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4.4.4. Gastos de ejecución de derechos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3"/>
                <w:tab w:val="left" w:pos="1416"/>
              </w:tabs>
              <w:spacing w:line="360" w:lineRule="auto"/>
              <w:jc w:val="right"/>
              <w:rPr>
                <w:rFonts w:ascii="Arial" w:eastAsia="Arial" w:hAnsi="Arial" w:cs="Arial"/>
              </w:rPr>
            </w:pPr>
            <w:r>
              <w:rPr>
                <w:rFonts w:ascii="Arial" w:eastAsia="Arial" w:hAnsi="Arial" w:cs="Arial"/>
              </w:rPr>
              <w:t>0.00</w:t>
            </w:r>
          </w:p>
        </w:tc>
      </w:tr>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4.5. Derechos no comprendidos en la Ley de Ingresos vigente, causados en ejercicios fiscales anteriores pendientes de liquidación o pago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8"/>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5. Productos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8"/>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5.1. Productos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8"/>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5.9. Productos no comprendidos en la Ley de Ingresos vigente, causados en ejercicios fiscales anteriores pendientes de liquidación o pago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A76DEB">
            <w:pPr>
              <w:widowControl w:val="0"/>
              <w:spacing w:line="360" w:lineRule="auto"/>
              <w:rPr>
                <w:rFonts w:ascii="Arial" w:eastAsia="Arial" w:hAnsi="Arial" w:cs="Arial"/>
                <w:b/>
              </w:rPr>
            </w:pPr>
          </w:p>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A76DEB">
            <w:pPr>
              <w:widowControl w:val="0"/>
              <w:tabs>
                <w:tab w:val="left" w:pos="1378"/>
                <w:tab w:val="left" w:pos="1416"/>
              </w:tabs>
              <w:spacing w:line="360" w:lineRule="auto"/>
              <w:jc w:val="right"/>
              <w:rPr>
                <w:rFonts w:ascii="Arial" w:eastAsia="Arial" w:hAnsi="Arial" w:cs="Arial"/>
                <w:b/>
              </w:rPr>
            </w:pPr>
          </w:p>
          <w:p w:rsidR="00A76DEB" w:rsidRDefault="00550264">
            <w:pPr>
              <w:widowControl w:val="0"/>
              <w:tabs>
                <w:tab w:val="left" w:pos="1378"/>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6. Aprovechamientos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9"/>
                <w:tab w:val="left" w:pos="1416"/>
              </w:tabs>
              <w:spacing w:line="360" w:lineRule="auto"/>
              <w:jc w:val="right"/>
              <w:rPr>
                <w:rFonts w:ascii="Arial" w:eastAsia="Arial" w:hAnsi="Arial" w:cs="Arial"/>
              </w:rPr>
            </w:pPr>
            <w:r>
              <w:rPr>
                <w:rFonts w:ascii="Arial" w:eastAsia="Arial" w:hAnsi="Arial" w:cs="Arial"/>
                <w:b/>
              </w:rPr>
              <w:t>157,410.00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6.1. Aprovechamientos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8"/>
                <w:tab w:val="left" w:pos="1416"/>
              </w:tabs>
              <w:spacing w:line="360" w:lineRule="auto"/>
              <w:jc w:val="right"/>
              <w:rPr>
                <w:rFonts w:ascii="Arial" w:eastAsia="Arial" w:hAnsi="Arial" w:cs="Arial"/>
              </w:rPr>
            </w:pPr>
            <w:r>
              <w:rPr>
                <w:rFonts w:ascii="Arial" w:eastAsia="Arial" w:hAnsi="Arial" w:cs="Arial"/>
                <w:b/>
              </w:rPr>
              <w:t>157,410.00</w:t>
            </w:r>
          </w:p>
        </w:tc>
      </w:tr>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6.1.1. Multas por infracciones a las Leyes y reglamentos municipales y otros aplicables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A76DEB">
            <w:pPr>
              <w:widowControl w:val="0"/>
              <w:spacing w:line="360" w:lineRule="auto"/>
              <w:rPr>
                <w:rFonts w:ascii="Arial" w:eastAsia="Arial" w:hAnsi="Arial" w:cs="Arial"/>
              </w:rPr>
            </w:pPr>
          </w:p>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A76DEB">
            <w:pPr>
              <w:widowControl w:val="0"/>
              <w:tabs>
                <w:tab w:val="left" w:pos="818"/>
                <w:tab w:val="left" w:pos="1416"/>
              </w:tabs>
              <w:spacing w:line="360" w:lineRule="auto"/>
              <w:jc w:val="right"/>
              <w:rPr>
                <w:rFonts w:ascii="Arial" w:eastAsia="Arial" w:hAnsi="Arial" w:cs="Arial"/>
              </w:rPr>
            </w:pPr>
          </w:p>
          <w:p w:rsidR="00A76DEB" w:rsidRDefault="00550264">
            <w:pPr>
              <w:widowControl w:val="0"/>
              <w:tabs>
                <w:tab w:val="left" w:pos="818"/>
                <w:tab w:val="left" w:pos="1416"/>
              </w:tabs>
              <w:spacing w:line="360" w:lineRule="auto"/>
              <w:jc w:val="right"/>
              <w:rPr>
                <w:rFonts w:ascii="Arial" w:eastAsia="Arial" w:hAnsi="Arial" w:cs="Arial"/>
              </w:rPr>
            </w:pPr>
            <w:r>
              <w:rPr>
                <w:rFonts w:ascii="Arial" w:eastAsia="Arial" w:hAnsi="Arial" w:cs="Arial"/>
              </w:rPr>
              <w:t>157,410.00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6.1.2. Multas impuestas por autoridades federales, no fiscales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4"/>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6.1.3. Gastos de ejecución</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6.1.4. Aprovechamientos diversos de tipo corriente</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4"/>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6.2. Aprovechamientos patrimoniales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6.3. Accesorios de aprovechamientos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877"/>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6.9. Aprovechamientos no comprendidos en la Ley de Ingresos vigente, causados en ejercicios fiscales anteriores pendientes de liquidación o pago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A76DEB">
            <w:pPr>
              <w:widowControl w:val="0"/>
              <w:spacing w:line="360" w:lineRule="auto"/>
              <w:rPr>
                <w:rFonts w:ascii="Arial" w:eastAsia="Arial" w:hAnsi="Arial" w:cs="Arial"/>
                <w:b/>
              </w:rPr>
            </w:pPr>
          </w:p>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A76DEB">
            <w:pPr>
              <w:widowControl w:val="0"/>
              <w:tabs>
                <w:tab w:val="left" w:pos="1378"/>
                <w:tab w:val="left" w:pos="1416"/>
              </w:tabs>
              <w:spacing w:line="360" w:lineRule="auto"/>
              <w:jc w:val="right"/>
              <w:rPr>
                <w:rFonts w:ascii="Arial" w:eastAsia="Arial" w:hAnsi="Arial" w:cs="Arial"/>
                <w:b/>
              </w:rPr>
            </w:pPr>
          </w:p>
          <w:p w:rsidR="00A76DEB" w:rsidRDefault="00550264">
            <w:pPr>
              <w:widowControl w:val="0"/>
              <w:tabs>
                <w:tab w:val="left" w:pos="1378"/>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7. Ingresos por ventas de bienes y servicios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5"/>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877"/>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 xml:space="preserve">8. </w:t>
            </w:r>
            <w:r>
              <w:rPr>
                <w:rFonts w:ascii="Arial" w:eastAsia="Arial" w:hAnsi="Arial" w:cs="Arial"/>
                <w:b/>
                <w:highlight w:val="yellow"/>
              </w:rPr>
              <w:t>Participaciones</w:t>
            </w:r>
            <w:r>
              <w:rPr>
                <w:rFonts w:ascii="Arial" w:eastAsia="Arial" w:hAnsi="Arial" w:cs="Arial"/>
                <w:b/>
              </w:rPr>
              <w:t>, aportaciones y convenios, incentivos derivados de la colaboración fiscal y fondos distintos de aportaciones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A76DEB">
            <w:pPr>
              <w:widowControl w:val="0"/>
              <w:spacing w:line="360" w:lineRule="auto"/>
              <w:rPr>
                <w:rFonts w:ascii="Arial" w:eastAsia="Arial" w:hAnsi="Arial" w:cs="Arial"/>
                <w:b/>
              </w:rPr>
            </w:pPr>
          </w:p>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A76DEB">
            <w:pPr>
              <w:widowControl w:val="0"/>
              <w:tabs>
                <w:tab w:val="left" w:pos="459"/>
                <w:tab w:val="left" w:pos="708"/>
                <w:tab w:val="left" w:pos="1416"/>
              </w:tabs>
              <w:spacing w:line="360" w:lineRule="auto"/>
              <w:rPr>
                <w:rFonts w:ascii="Arial" w:eastAsia="Arial" w:hAnsi="Arial" w:cs="Arial"/>
                <w:b/>
              </w:rPr>
            </w:pPr>
          </w:p>
          <w:p w:rsidR="00A76DEB" w:rsidRDefault="00550264">
            <w:pPr>
              <w:widowControl w:val="0"/>
              <w:tabs>
                <w:tab w:val="left" w:pos="459"/>
                <w:tab w:val="left" w:pos="708"/>
                <w:tab w:val="left" w:pos="1416"/>
              </w:tabs>
              <w:spacing w:line="360" w:lineRule="auto"/>
              <w:jc w:val="right"/>
              <w:rPr>
                <w:rFonts w:ascii="Arial" w:eastAsia="Arial" w:hAnsi="Arial" w:cs="Arial"/>
              </w:rPr>
            </w:pPr>
            <w:r>
              <w:rPr>
                <w:rFonts w:ascii="Arial" w:eastAsia="Arial" w:hAnsi="Arial" w:cs="Arial"/>
              </w:rPr>
              <w:t>187,814,400.6</w:t>
            </w:r>
          </w:p>
        </w:tc>
      </w:tr>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8.1. Participaciones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565"/>
                <w:tab w:val="left" w:pos="708"/>
                <w:tab w:val="left" w:pos="1416"/>
              </w:tabs>
              <w:spacing w:line="360" w:lineRule="auto"/>
              <w:jc w:val="right"/>
              <w:rPr>
                <w:rFonts w:ascii="Arial" w:eastAsia="Arial" w:hAnsi="Arial" w:cs="Arial"/>
              </w:rPr>
            </w:pPr>
            <w:r>
              <w:rPr>
                <w:rFonts w:ascii="Arial" w:eastAsia="Arial" w:hAnsi="Arial" w:cs="Arial"/>
                <w:b/>
              </w:rPr>
              <w:t xml:space="preserve">76’921,228 </w:t>
            </w:r>
          </w:p>
        </w:tc>
      </w:tr>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8.1.1. Fondo General de Participaciones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572"/>
                <w:tab w:val="left" w:pos="708"/>
                <w:tab w:val="left" w:pos="1416"/>
              </w:tabs>
              <w:spacing w:line="360" w:lineRule="auto"/>
              <w:jc w:val="right"/>
              <w:rPr>
                <w:rFonts w:ascii="Arial" w:eastAsia="Arial" w:hAnsi="Arial" w:cs="Arial"/>
              </w:rPr>
            </w:pPr>
            <w:r>
              <w:rPr>
                <w:rFonts w:ascii="Arial" w:eastAsia="Arial" w:hAnsi="Arial" w:cs="Arial"/>
              </w:rPr>
              <w:t>37,059,119.23</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8.1.2. Fondo de Fiscalización y Recaudación</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5"/>
                <w:tab w:val="left" w:pos="1416"/>
              </w:tabs>
              <w:spacing w:line="360" w:lineRule="auto"/>
              <w:jc w:val="right"/>
              <w:rPr>
                <w:rFonts w:ascii="Arial" w:eastAsia="Arial" w:hAnsi="Arial" w:cs="Arial"/>
              </w:rPr>
            </w:pPr>
            <w:r>
              <w:rPr>
                <w:rFonts w:ascii="Arial" w:eastAsia="Arial" w:hAnsi="Arial" w:cs="Arial"/>
              </w:rPr>
              <w:t>0.80</w:t>
            </w:r>
          </w:p>
        </w:tc>
      </w:tr>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8.1.3. Fondo de Fomento Municipal</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574"/>
                <w:tab w:val="left" w:pos="708"/>
                <w:tab w:val="left" w:pos="1416"/>
              </w:tabs>
              <w:spacing w:line="360" w:lineRule="auto"/>
              <w:jc w:val="right"/>
              <w:rPr>
                <w:rFonts w:ascii="Arial" w:eastAsia="Arial" w:hAnsi="Arial" w:cs="Arial"/>
              </w:rPr>
            </w:pPr>
            <w:r>
              <w:rPr>
                <w:rFonts w:ascii="Arial" w:eastAsia="Arial" w:hAnsi="Arial" w:cs="Arial"/>
              </w:rPr>
              <w:t>17,268,068.06</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8.1.4. Impuesto especial sobre producción y servicios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6"/>
                <w:tab w:val="left" w:pos="1416"/>
              </w:tabs>
              <w:spacing w:line="360" w:lineRule="auto"/>
              <w:jc w:val="right"/>
              <w:rPr>
                <w:rFonts w:ascii="Arial" w:eastAsia="Arial" w:hAnsi="Arial" w:cs="Arial"/>
              </w:rPr>
            </w:pPr>
            <w:r>
              <w:rPr>
                <w:rFonts w:ascii="Arial" w:eastAsia="Arial" w:hAnsi="Arial" w:cs="Arial"/>
              </w:rPr>
              <w:t>0.80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8.1.5. Impuesto especial sobre la venta final de gasolina y diésel</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5"/>
                <w:tab w:val="left" w:pos="1416"/>
              </w:tabs>
              <w:spacing w:line="360" w:lineRule="auto"/>
              <w:jc w:val="right"/>
              <w:rPr>
                <w:rFonts w:ascii="Arial" w:eastAsia="Arial" w:hAnsi="Arial" w:cs="Arial"/>
              </w:rPr>
            </w:pPr>
            <w:r>
              <w:rPr>
                <w:rFonts w:ascii="Arial" w:eastAsia="Arial" w:hAnsi="Arial" w:cs="Arial"/>
              </w:rPr>
              <w:t>0.80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8.1.6. Tenencia o uso de vehículos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8"/>
                <w:tab w:val="left" w:pos="1416"/>
              </w:tabs>
              <w:spacing w:line="360" w:lineRule="auto"/>
              <w:jc w:val="right"/>
              <w:rPr>
                <w:rFonts w:ascii="Arial" w:eastAsia="Arial" w:hAnsi="Arial" w:cs="Arial"/>
              </w:rPr>
            </w:pPr>
            <w:r>
              <w:rPr>
                <w:rFonts w:ascii="Arial" w:eastAsia="Arial" w:hAnsi="Arial" w:cs="Arial"/>
              </w:rPr>
              <w:t>0.80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8.1.7. Impuesto sobre automóviles nuevos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6"/>
                <w:tab w:val="left" w:pos="1416"/>
              </w:tabs>
              <w:spacing w:line="360" w:lineRule="auto"/>
              <w:jc w:val="right"/>
              <w:rPr>
                <w:rFonts w:ascii="Arial" w:eastAsia="Arial" w:hAnsi="Arial" w:cs="Arial"/>
              </w:rPr>
            </w:pPr>
            <w:r>
              <w:rPr>
                <w:rFonts w:ascii="Arial" w:eastAsia="Arial" w:hAnsi="Arial" w:cs="Arial"/>
              </w:rPr>
              <w:t>0.80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8.1.8. Fondo de Compensación del Impuesto sobre Automóviles Nuevos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819"/>
                <w:tab w:val="left" w:pos="1416"/>
              </w:tabs>
              <w:spacing w:line="360" w:lineRule="auto"/>
              <w:jc w:val="right"/>
              <w:rPr>
                <w:rFonts w:ascii="Arial" w:eastAsia="Arial" w:hAnsi="Arial" w:cs="Arial"/>
              </w:rPr>
            </w:pPr>
            <w:r>
              <w:rPr>
                <w:rFonts w:ascii="Arial" w:eastAsia="Arial" w:hAnsi="Arial" w:cs="Arial"/>
              </w:rPr>
              <w:t>128,983.53</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8.1.9. Impuestos estatales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5"/>
                <w:tab w:val="left" w:pos="1416"/>
              </w:tabs>
              <w:spacing w:line="360" w:lineRule="auto"/>
              <w:jc w:val="right"/>
              <w:rPr>
                <w:rFonts w:ascii="Arial" w:eastAsia="Arial" w:hAnsi="Arial" w:cs="Arial"/>
              </w:rPr>
            </w:pPr>
            <w:r>
              <w:rPr>
                <w:rFonts w:ascii="Arial" w:eastAsia="Arial" w:hAnsi="Arial" w:cs="Arial"/>
              </w:rPr>
              <w:t>0.80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8.1.10. Fondo ISR</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291"/>
                <w:tab w:val="left" w:pos="1416"/>
              </w:tabs>
              <w:spacing w:line="360" w:lineRule="auto"/>
              <w:jc w:val="right"/>
              <w:rPr>
                <w:rFonts w:ascii="Arial" w:eastAsia="Arial" w:hAnsi="Arial" w:cs="Arial"/>
              </w:rPr>
            </w:pPr>
            <w:r>
              <w:rPr>
                <w:rFonts w:ascii="Arial" w:eastAsia="Arial" w:hAnsi="Arial" w:cs="Arial"/>
              </w:rPr>
              <w:t>0.00</w:t>
            </w:r>
          </w:p>
        </w:tc>
      </w:tr>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8.2. Aportaciones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A76DEB">
            <w:pPr>
              <w:widowControl w:val="0"/>
              <w:tabs>
                <w:tab w:val="left" w:pos="564"/>
                <w:tab w:val="left" w:pos="708"/>
                <w:tab w:val="left" w:pos="1416"/>
              </w:tabs>
              <w:spacing w:line="360" w:lineRule="auto"/>
              <w:jc w:val="right"/>
              <w:rPr>
                <w:rFonts w:ascii="Arial" w:eastAsia="Arial" w:hAnsi="Arial" w:cs="Arial"/>
              </w:rPr>
            </w:pPr>
          </w:p>
        </w:tc>
      </w:tr>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8.2.1. Fondo de Aportaciones para la Infraestructura Social Municipal</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A76DEB">
            <w:pPr>
              <w:widowControl w:val="0"/>
              <w:spacing w:line="360" w:lineRule="auto"/>
              <w:rPr>
                <w:rFonts w:ascii="Arial" w:eastAsia="Arial" w:hAnsi="Arial" w:cs="Arial"/>
              </w:rPr>
            </w:pP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574"/>
                <w:tab w:val="left" w:pos="708"/>
                <w:tab w:val="left" w:pos="1416"/>
              </w:tabs>
              <w:spacing w:line="360" w:lineRule="auto"/>
              <w:jc w:val="right"/>
              <w:rPr>
                <w:rFonts w:ascii="Arial" w:eastAsia="Arial" w:hAnsi="Arial" w:cs="Arial"/>
              </w:rPr>
            </w:pPr>
            <w:r>
              <w:rPr>
                <w:rFonts w:ascii="Arial" w:eastAsia="Arial" w:hAnsi="Arial" w:cs="Arial"/>
              </w:rPr>
              <w:t>$92’948,174</w:t>
            </w:r>
          </w:p>
        </w:tc>
      </w:tr>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8.2.2. Fondo de Aportaciones para el Fortalecimiento Municipal</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A76DEB">
            <w:pPr>
              <w:widowControl w:val="0"/>
              <w:spacing w:line="360" w:lineRule="auto"/>
              <w:rPr>
                <w:rFonts w:ascii="Arial" w:eastAsia="Arial" w:hAnsi="Arial" w:cs="Arial"/>
              </w:rPr>
            </w:pP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573"/>
                <w:tab w:val="left" w:pos="708"/>
                <w:tab w:val="left" w:pos="1416"/>
              </w:tabs>
              <w:spacing w:line="360" w:lineRule="auto"/>
              <w:rPr>
                <w:rFonts w:ascii="Arial" w:eastAsia="Arial" w:hAnsi="Arial" w:cs="Arial"/>
              </w:rPr>
            </w:pPr>
            <w:r>
              <w:rPr>
                <w:rFonts w:ascii="Arial" w:eastAsia="Arial" w:hAnsi="Arial" w:cs="Arial"/>
              </w:rPr>
              <w:t>$40’212,879</w:t>
            </w:r>
          </w:p>
        </w:tc>
      </w:tr>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highlight w:val="yellow"/>
              </w:rPr>
            </w:pPr>
            <w:r>
              <w:rPr>
                <w:rFonts w:ascii="Arial" w:eastAsia="Arial" w:hAnsi="Arial" w:cs="Arial"/>
                <w:b/>
              </w:rPr>
              <w:t xml:space="preserve">8.3. </w:t>
            </w:r>
            <w:r>
              <w:rPr>
                <w:rFonts w:ascii="Arial" w:eastAsia="Arial" w:hAnsi="Arial" w:cs="Arial"/>
                <w:b/>
                <w:highlight w:val="yellow"/>
              </w:rPr>
              <w:t>Convenios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563"/>
                <w:tab w:val="left" w:pos="708"/>
                <w:tab w:val="left" w:pos="1416"/>
              </w:tabs>
              <w:spacing w:line="360" w:lineRule="auto"/>
              <w:jc w:val="right"/>
              <w:rPr>
                <w:rFonts w:ascii="Arial" w:eastAsia="Arial" w:hAnsi="Arial" w:cs="Arial"/>
              </w:rPr>
            </w:pPr>
            <w:r>
              <w:rPr>
                <w:rFonts w:ascii="Arial" w:eastAsia="Arial" w:hAnsi="Arial" w:cs="Arial"/>
                <w:b/>
              </w:rPr>
              <w:t>22’949,000.00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8.3.1. Programa de Mejoramiento Urbano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675"/>
                <w:tab w:val="left" w:pos="708"/>
                <w:tab w:val="left" w:pos="1416"/>
              </w:tabs>
              <w:spacing w:line="360" w:lineRule="auto"/>
              <w:jc w:val="right"/>
              <w:rPr>
                <w:rFonts w:ascii="Arial" w:eastAsia="Arial" w:hAnsi="Arial" w:cs="Arial"/>
              </w:rPr>
            </w:pPr>
            <w:r>
              <w:rPr>
                <w:rFonts w:ascii="Arial" w:eastAsia="Arial" w:hAnsi="Arial" w:cs="Arial"/>
              </w:rPr>
              <w:t>4’240,000.00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8.3.2 Programa de Apoyo a la Vivienda</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675"/>
                <w:tab w:val="left" w:pos="708"/>
                <w:tab w:val="left" w:pos="1416"/>
              </w:tabs>
              <w:spacing w:line="360" w:lineRule="auto"/>
              <w:jc w:val="right"/>
              <w:rPr>
                <w:rFonts w:ascii="Arial" w:eastAsia="Arial" w:hAnsi="Arial" w:cs="Arial"/>
              </w:rPr>
            </w:pPr>
            <w:r>
              <w:rPr>
                <w:rFonts w:ascii="Arial" w:eastAsia="Arial" w:hAnsi="Arial" w:cs="Arial"/>
              </w:rPr>
              <w:t>6,731,000.00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8.3.3. Programa 3x1 para Migrantes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291"/>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8.3.4. Programa de Apoyos a las Personas en Estado de Necesidad</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291"/>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8.3.5. Programa de Cultura Física y Deporte</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291"/>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8.3.6. Programa de Prevención de Riesgos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29"/>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8.3.7. Programa de Apoyos a la Cultura</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6"/>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8.3.8 Programa de Mejoramiento a la Producción y Productividad Indígena</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rPr>
            </w:pPr>
            <w:r>
              <w:rPr>
                <w:rFonts w:ascii="Arial" w:eastAsia="Arial" w:hAnsi="Arial" w:cs="Arial"/>
              </w:rPr>
              <w:t>0.00</w:t>
            </w:r>
          </w:p>
        </w:tc>
      </w:tr>
      <w:tr w:rsidR="00A76DEB">
        <w:trPr>
          <w:trHeight w:val="550"/>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8.3.9 Programa de Fortalecimiento a la Transversalidad de la Perspectiva de Género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8.3.10. Fondo Nacional Emprendedor</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5"/>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8.3.11 Programa de Agua Potable, Drenaje y Tratamiento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673"/>
                <w:tab w:val="left" w:pos="708"/>
                <w:tab w:val="left" w:pos="1416"/>
              </w:tabs>
              <w:spacing w:line="360" w:lineRule="auto"/>
              <w:jc w:val="right"/>
              <w:rPr>
                <w:rFonts w:ascii="Arial" w:eastAsia="Arial" w:hAnsi="Arial" w:cs="Arial"/>
              </w:rPr>
            </w:pPr>
            <w:r>
              <w:rPr>
                <w:rFonts w:ascii="Arial" w:eastAsia="Arial" w:hAnsi="Arial" w:cs="Arial"/>
              </w:rPr>
              <w:t>6’678,000.00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8.3.12 PRODERMAGICO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8"/>
                <w:tab w:val="left" w:pos="1416"/>
              </w:tabs>
              <w:spacing w:line="360" w:lineRule="auto"/>
              <w:jc w:val="right"/>
              <w:rPr>
                <w:rFonts w:ascii="Arial" w:eastAsia="Arial" w:hAnsi="Arial" w:cs="Arial"/>
              </w:rPr>
            </w:pPr>
            <w:r>
              <w:rPr>
                <w:rFonts w:ascii="Arial" w:eastAsia="Arial" w:hAnsi="Arial" w:cs="Arial"/>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rPr>
              <w:t>8.3.13 Ramo 23</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677"/>
                <w:tab w:val="left" w:pos="708"/>
                <w:tab w:val="left" w:pos="1416"/>
              </w:tabs>
              <w:spacing w:line="360" w:lineRule="auto"/>
              <w:jc w:val="right"/>
              <w:rPr>
                <w:rFonts w:ascii="Arial" w:eastAsia="Arial" w:hAnsi="Arial" w:cs="Arial"/>
              </w:rPr>
            </w:pPr>
            <w:r>
              <w:rPr>
                <w:rFonts w:ascii="Arial" w:eastAsia="Arial" w:hAnsi="Arial" w:cs="Arial"/>
              </w:rPr>
              <w:t>5’300,000.00</w:t>
            </w:r>
          </w:p>
        </w:tc>
      </w:tr>
      <w:tr w:rsidR="00A76DEB">
        <w:trPr>
          <w:trHeight w:val="877"/>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9. Transferencias, asignaciones, subsidios y subvenciones, y pensiones y jubilaciones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A76DEB">
            <w:pPr>
              <w:widowControl w:val="0"/>
              <w:spacing w:line="360" w:lineRule="auto"/>
              <w:rPr>
                <w:rFonts w:ascii="Arial" w:eastAsia="Arial" w:hAnsi="Arial" w:cs="Arial"/>
                <w:b/>
              </w:rPr>
            </w:pPr>
          </w:p>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A76DEB">
            <w:pPr>
              <w:widowControl w:val="0"/>
              <w:tabs>
                <w:tab w:val="left" w:pos="564"/>
                <w:tab w:val="left" w:pos="708"/>
                <w:tab w:val="left" w:pos="1416"/>
              </w:tabs>
              <w:spacing w:line="360" w:lineRule="auto"/>
              <w:jc w:val="right"/>
              <w:rPr>
                <w:rFonts w:ascii="Arial" w:eastAsia="Arial" w:hAnsi="Arial" w:cs="Arial"/>
                <w:b/>
              </w:rPr>
            </w:pPr>
          </w:p>
          <w:p w:rsidR="00A76DEB" w:rsidRDefault="00550264">
            <w:pPr>
              <w:widowControl w:val="0"/>
              <w:tabs>
                <w:tab w:val="left" w:pos="564"/>
                <w:tab w:val="left" w:pos="708"/>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10. Ingresos derivados de financiamientos</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564"/>
                <w:tab w:val="left" w:pos="708"/>
                <w:tab w:val="left" w:pos="1416"/>
              </w:tabs>
              <w:spacing w:line="360" w:lineRule="auto"/>
              <w:jc w:val="right"/>
              <w:rPr>
                <w:rFonts w:ascii="Arial" w:eastAsia="Arial" w:hAnsi="Arial" w:cs="Arial"/>
              </w:rPr>
            </w:pPr>
            <w:r>
              <w:rPr>
                <w:rFonts w:ascii="Arial" w:eastAsia="Arial" w:hAnsi="Arial" w:cs="Arial"/>
                <w:b/>
              </w:rPr>
              <w:t>80’000,000.00</w:t>
            </w: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10.1. Endeudamiento interno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rPr>
            </w:pPr>
            <w:r>
              <w:rPr>
                <w:rFonts w:ascii="Arial" w:eastAsia="Arial" w:hAnsi="Arial" w:cs="Arial"/>
                <w:b/>
              </w:rPr>
              <w:t>0.00</w:t>
            </w:r>
          </w:p>
        </w:tc>
      </w:tr>
      <w:tr w:rsidR="00A76DEB">
        <w:trPr>
          <w:trHeight w:val="617"/>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10.2. Endeudamiento externo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b/>
              </w:rPr>
            </w:pPr>
            <w:r>
              <w:rPr>
                <w:rFonts w:ascii="Arial" w:eastAsia="Arial" w:hAnsi="Arial" w:cs="Arial"/>
                <w:b/>
              </w:rPr>
              <w:t>0.00</w:t>
            </w:r>
          </w:p>
          <w:p w:rsidR="00A76DEB" w:rsidRDefault="00A76DEB">
            <w:pPr>
              <w:widowControl w:val="0"/>
              <w:tabs>
                <w:tab w:val="left" w:pos="1377"/>
                <w:tab w:val="left" w:pos="1416"/>
              </w:tabs>
              <w:spacing w:line="360" w:lineRule="auto"/>
              <w:jc w:val="right"/>
              <w:rPr>
                <w:rFonts w:ascii="Arial" w:eastAsia="Arial" w:hAnsi="Arial" w:cs="Arial"/>
                <w:b/>
              </w:rPr>
            </w:pPr>
          </w:p>
        </w:tc>
      </w:tr>
      <w:tr w:rsidR="00A76DEB">
        <w:trPr>
          <w:trHeight w:val="223"/>
          <w:jc w:val="center"/>
        </w:trPr>
        <w:tc>
          <w:tcPr>
            <w:tcW w:w="7194"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rPr>
            </w:pPr>
            <w:r>
              <w:rPr>
                <w:rFonts w:ascii="Arial" w:eastAsia="Arial" w:hAnsi="Arial" w:cs="Arial"/>
                <w:b/>
              </w:rPr>
              <w:t>10.3. Financiamiento interno</w:t>
            </w:r>
          </w:p>
        </w:tc>
        <w:tc>
          <w:tcPr>
            <w:tcW w:w="243"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A76DEB" w:rsidRDefault="00550264">
            <w:pPr>
              <w:widowControl w:val="0"/>
              <w:spacing w:line="360" w:lineRule="auto"/>
              <w:rPr>
                <w:rFonts w:ascii="Arial" w:eastAsia="Arial" w:hAnsi="Arial" w:cs="Arial"/>
              </w:rPr>
            </w:pPr>
            <w:r>
              <w:rPr>
                <w:rFonts w:ascii="Arial" w:eastAsia="Arial" w:hAnsi="Arial" w:cs="Arial"/>
                <w:b/>
              </w:rPr>
              <w:t>$</w:t>
            </w:r>
          </w:p>
        </w:tc>
        <w:tc>
          <w:tcPr>
            <w:tcW w:w="1351"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A76DEB" w:rsidRDefault="00550264">
            <w:pPr>
              <w:widowControl w:val="0"/>
              <w:tabs>
                <w:tab w:val="left" w:pos="1377"/>
                <w:tab w:val="left" w:pos="1416"/>
              </w:tabs>
              <w:spacing w:line="360" w:lineRule="auto"/>
              <w:jc w:val="right"/>
              <w:rPr>
                <w:rFonts w:ascii="Arial" w:eastAsia="Arial" w:hAnsi="Arial" w:cs="Arial"/>
              </w:rPr>
            </w:pPr>
            <w:r>
              <w:rPr>
                <w:rFonts w:ascii="Arial" w:eastAsia="Arial" w:hAnsi="Arial" w:cs="Arial"/>
                <w:b/>
              </w:rPr>
              <w:t>0.00</w:t>
            </w:r>
          </w:p>
        </w:tc>
      </w:tr>
    </w:tbl>
    <w:p w:rsidR="00A76DEB" w:rsidRDefault="00A76DEB">
      <w:pPr>
        <w:shd w:val="clear" w:color="auto" w:fill="FFFFFF"/>
        <w:spacing w:before="280" w:after="280"/>
        <w:jc w:val="both"/>
        <w:rPr>
          <w:rFonts w:ascii="Arial" w:eastAsia="Arial" w:hAnsi="Arial" w:cs="Arial"/>
        </w:rPr>
      </w:pPr>
    </w:p>
    <w:p w:rsidR="00A76DEB" w:rsidRDefault="00550264">
      <w:pPr>
        <w:shd w:val="clear" w:color="auto" w:fill="FFFFFF"/>
        <w:tabs>
          <w:tab w:val="left" w:pos="417"/>
        </w:tabs>
        <w:spacing w:before="280" w:after="280"/>
        <w:jc w:val="both"/>
        <w:rPr>
          <w:rFonts w:ascii="Arial" w:eastAsia="Arial" w:hAnsi="Arial" w:cs="Arial"/>
          <w:b/>
        </w:rPr>
      </w:pPr>
      <w:r>
        <w:rPr>
          <w:rFonts w:ascii="Arial" w:eastAsia="Arial" w:hAnsi="Arial" w:cs="Arial"/>
          <w:b/>
        </w:rPr>
        <w:t>Artículo 6. Principio de legalidad</w:t>
      </w:r>
    </w:p>
    <w:p w:rsidR="00A76DEB" w:rsidRDefault="00550264">
      <w:pPr>
        <w:shd w:val="clear" w:color="auto" w:fill="FFFFFF"/>
        <w:tabs>
          <w:tab w:val="left" w:pos="417"/>
        </w:tabs>
        <w:spacing w:before="280" w:after="280"/>
        <w:jc w:val="both"/>
        <w:rPr>
          <w:rFonts w:ascii="Arial" w:eastAsia="Arial" w:hAnsi="Arial" w:cs="Arial"/>
        </w:rPr>
      </w:pPr>
      <w:r>
        <w:rPr>
          <w:rFonts w:ascii="Arial" w:eastAsia="Arial" w:hAnsi="Arial" w:cs="Arial"/>
        </w:rPr>
        <w:t>Las disposiciones normativas y los convenios celebrados por las autoridades fiscales deberán sujetarse a las disposiciones legales y normativas a que se refiere el artículo 4 de esta ley. En consecuencia, serán nulas de pleno derecho todas las disposiciones normativas expedidas y los convenios celebrados que las contravengan.</w:t>
      </w:r>
    </w:p>
    <w:p w:rsidR="00A76DEB" w:rsidRDefault="00550264">
      <w:pPr>
        <w:shd w:val="clear" w:color="auto" w:fill="FFFFFF"/>
        <w:spacing w:before="280" w:after="280"/>
        <w:jc w:val="both"/>
        <w:rPr>
          <w:rFonts w:ascii="Arial" w:eastAsia="Arial" w:hAnsi="Arial" w:cs="Arial"/>
          <w:b/>
        </w:rPr>
      </w:pPr>
      <w:r>
        <w:rPr>
          <w:rFonts w:ascii="Arial" w:eastAsia="Arial" w:hAnsi="Arial" w:cs="Arial"/>
          <w:b/>
        </w:rPr>
        <w:t xml:space="preserve">Artículo 7. Obligación de contribuir en los gastos públicos municipales </w:t>
      </w:r>
    </w:p>
    <w:p w:rsidR="00A76DEB" w:rsidRDefault="00550264">
      <w:pPr>
        <w:shd w:val="clear" w:color="auto" w:fill="FFFFFF"/>
        <w:spacing w:before="280" w:after="280"/>
        <w:jc w:val="both"/>
        <w:rPr>
          <w:rFonts w:ascii="Arial" w:eastAsia="Arial" w:hAnsi="Arial" w:cs="Arial"/>
        </w:rPr>
      </w:pPr>
      <w:r>
        <w:rPr>
          <w:rFonts w:ascii="Arial" w:eastAsia="Arial" w:hAnsi="Arial" w:cs="Arial"/>
        </w:rPr>
        <w:t>Las personas físicas y morales están obligadas a contribuir de forma proporcional y equitativa en los gastos públicos municipales, en los casos y términos previstos en esta ley, las leyes de ingresos del municipio y, en su caso, las demás leyes en materia fiscal aplicables.</w:t>
      </w:r>
    </w:p>
    <w:p w:rsidR="00A76DEB" w:rsidRDefault="00550264">
      <w:pPr>
        <w:shd w:val="clear" w:color="auto" w:fill="FFFFFF"/>
        <w:tabs>
          <w:tab w:val="left" w:pos="417"/>
        </w:tabs>
        <w:spacing w:before="280" w:after="280"/>
        <w:jc w:val="both"/>
        <w:rPr>
          <w:rFonts w:ascii="Arial" w:eastAsia="Arial" w:hAnsi="Arial" w:cs="Arial"/>
          <w:b/>
        </w:rPr>
      </w:pPr>
      <w:r>
        <w:rPr>
          <w:rFonts w:ascii="Arial" w:eastAsia="Arial" w:hAnsi="Arial" w:cs="Arial"/>
          <w:b/>
        </w:rPr>
        <w:t>Artículo 8. Aplicación estricta en materia fiscal</w:t>
      </w:r>
    </w:p>
    <w:p w:rsidR="00A76DEB" w:rsidRDefault="00550264">
      <w:pPr>
        <w:shd w:val="clear" w:color="auto" w:fill="FFFFFF"/>
        <w:tabs>
          <w:tab w:val="left" w:pos="417"/>
        </w:tabs>
        <w:spacing w:before="280" w:after="280"/>
        <w:jc w:val="both"/>
        <w:rPr>
          <w:rFonts w:ascii="Arial" w:eastAsia="Arial" w:hAnsi="Arial" w:cs="Arial"/>
        </w:rPr>
      </w:pPr>
      <w:r>
        <w:rPr>
          <w:rFonts w:ascii="Arial" w:eastAsia="Arial" w:hAnsi="Arial" w:cs="Arial"/>
        </w:rPr>
        <w:t>Las disposiciones fiscales que establezcan cargas a los particulares, sus exenciones, las infracciones y las sanciones serán de aplicación estricta. Se entenderá por disposiciones fiscales que establecen cargas, las que regulan lo relativo al sujeto, objeto, base, tasa o tarifa de las contribuciones fiscales.</w:t>
      </w:r>
    </w:p>
    <w:p w:rsidR="00A76DEB" w:rsidRDefault="00550264">
      <w:pPr>
        <w:shd w:val="clear" w:color="auto" w:fill="FFFFFF"/>
        <w:tabs>
          <w:tab w:val="left" w:pos="417"/>
        </w:tabs>
        <w:spacing w:before="280" w:after="280"/>
        <w:jc w:val="both"/>
        <w:rPr>
          <w:rFonts w:ascii="Arial" w:eastAsia="Arial" w:hAnsi="Arial" w:cs="Arial"/>
        </w:rPr>
      </w:pPr>
      <w:r>
        <w:rPr>
          <w:rFonts w:ascii="Arial" w:eastAsia="Arial" w:hAnsi="Arial" w:cs="Arial"/>
        </w:rPr>
        <w:t>Las disposiciones de esta ley distintas a las referidas al párrafo anterior podrán interpretarse aplicando cualquier método de interpretación jurídica.</w:t>
      </w:r>
    </w:p>
    <w:p w:rsidR="00A76DEB" w:rsidRDefault="00550264">
      <w:pPr>
        <w:shd w:val="clear" w:color="auto" w:fill="FFFFFF"/>
        <w:tabs>
          <w:tab w:val="left" w:pos="417"/>
        </w:tabs>
        <w:spacing w:before="280" w:after="280"/>
        <w:jc w:val="both"/>
        <w:rPr>
          <w:rFonts w:ascii="Arial" w:eastAsia="Arial" w:hAnsi="Arial" w:cs="Arial"/>
        </w:rPr>
      </w:pPr>
      <w:r>
        <w:rPr>
          <w:rFonts w:ascii="Arial" w:eastAsia="Arial" w:hAnsi="Arial" w:cs="Arial"/>
        </w:rPr>
        <w:t>La ignorancia de las disposiciones fiscales de observancia general no se podrá argumentar como excusa ni aprovechará a persona alguna.</w:t>
      </w:r>
    </w:p>
    <w:p w:rsidR="00A76DEB" w:rsidRDefault="00550264">
      <w:pPr>
        <w:shd w:val="clear" w:color="auto" w:fill="FFFFFF"/>
        <w:tabs>
          <w:tab w:val="left" w:pos="417"/>
        </w:tabs>
        <w:spacing w:before="280" w:after="280"/>
        <w:jc w:val="both"/>
        <w:rPr>
          <w:rFonts w:ascii="Arial" w:eastAsia="Arial" w:hAnsi="Arial" w:cs="Arial"/>
        </w:rPr>
      </w:pPr>
      <w:r>
        <w:rPr>
          <w:rFonts w:ascii="Arial" w:eastAsia="Arial" w:hAnsi="Arial" w:cs="Arial"/>
          <w:b/>
        </w:rPr>
        <w:t>Artículo 9. Supletoriedad</w:t>
      </w:r>
    </w:p>
    <w:p w:rsidR="00A76DEB" w:rsidRDefault="00550264">
      <w:pPr>
        <w:shd w:val="clear" w:color="auto" w:fill="FFFFFF"/>
        <w:tabs>
          <w:tab w:val="left" w:pos="417"/>
        </w:tabs>
        <w:spacing w:before="280" w:after="280"/>
        <w:jc w:val="both"/>
        <w:rPr>
          <w:rFonts w:ascii="Arial" w:eastAsia="Arial" w:hAnsi="Arial" w:cs="Arial"/>
        </w:rPr>
      </w:pPr>
      <w:r>
        <w:rPr>
          <w:rFonts w:ascii="Arial" w:eastAsia="Arial" w:hAnsi="Arial" w:cs="Arial"/>
        </w:rPr>
        <w:t>Las contribuciones se causarán, liquidarán y recaudarán en los términos de la Ley de Hacienda del Municipio de Tekax, y a falta de disposición expresa acerca del procedimiento, se aplicarán supletoriamente la ey de Hacienda Municipal del Estado de Yucatán, el Código Fiscal del Estado de Yucatán, y el Código Fiscal de la Federación.</w:t>
      </w:r>
    </w:p>
    <w:p w:rsidR="00A76DEB" w:rsidRDefault="00550264">
      <w:pPr>
        <w:shd w:val="clear" w:color="auto" w:fill="FFFFFF"/>
        <w:tabs>
          <w:tab w:val="left" w:pos="417"/>
        </w:tabs>
        <w:spacing w:before="280" w:after="280"/>
        <w:jc w:val="both"/>
        <w:rPr>
          <w:rFonts w:ascii="Arial" w:eastAsia="Arial" w:hAnsi="Arial" w:cs="Arial"/>
          <w:b/>
        </w:rPr>
      </w:pPr>
      <w:r>
        <w:rPr>
          <w:rFonts w:ascii="Arial" w:eastAsia="Arial" w:hAnsi="Arial" w:cs="Arial"/>
          <w:b/>
        </w:rPr>
        <w:t>Artículo 10.</w:t>
      </w:r>
    </w:p>
    <w:p w:rsidR="00A76DEB" w:rsidRDefault="00550264">
      <w:pPr>
        <w:shd w:val="clear" w:color="auto" w:fill="FFFFFF"/>
        <w:tabs>
          <w:tab w:val="left" w:pos="417"/>
        </w:tabs>
        <w:spacing w:before="280" w:after="280"/>
        <w:jc w:val="both"/>
        <w:rPr>
          <w:rFonts w:ascii="Arial" w:eastAsia="Arial" w:hAnsi="Arial" w:cs="Arial"/>
        </w:rPr>
      </w:pPr>
      <w:r>
        <w:rPr>
          <w:rFonts w:ascii="Arial" w:eastAsia="Arial" w:hAnsi="Arial" w:cs="Arial"/>
        </w:rPr>
        <w:t xml:space="preserve">El monto de las contribuciones o las devoluciones a cargo de la autoridad fiscal municipal se actualizarán por el transcurso del tiempo y con motivo de los cambios de precios en el país. Las cantidades actualizadas conservan la naturaleza jurídica que tenían antes de la actualización. </w:t>
      </w:r>
    </w:p>
    <w:p w:rsidR="00A76DEB" w:rsidRDefault="00550264">
      <w:pPr>
        <w:shd w:val="clear" w:color="auto" w:fill="FFFFFF"/>
        <w:tabs>
          <w:tab w:val="left" w:pos="417"/>
        </w:tabs>
        <w:spacing w:before="280" w:after="280"/>
        <w:jc w:val="both"/>
        <w:rPr>
          <w:rFonts w:ascii="Arial" w:eastAsia="Arial" w:hAnsi="Arial" w:cs="Arial"/>
        </w:rPr>
      </w:pPr>
      <w:r>
        <w:rPr>
          <w:rFonts w:ascii="Arial" w:eastAsia="Arial" w:hAnsi="Arial" w:cs="Arial"/>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A76DEB" w:rsidRDefault="00550264">
      <w:pPr>
        <w:shd w:val="clear" w:color="auto" w:fill="FFFFFF"/>
        <w:tabs>
          <w:tab w:val="left" w:pos="417"/>
        </w:tabs>
        <w:spacing w:before="280" w:after="280"/>
        <w:jc w:val="both"/>
        <w:rPr>
          <w:rFonts w:ascii="Arial" w:eastAsia="Arial" w:hAnsi="Arial" w:cs="Arial"/>
        </w:rPr>
      </w:pPr>
      <w:r>
        <w:rPr>
          <w:rFonts w:ascii="Arial" w:eastAsia="Arial" w:hAnsi="Arial" w:cs="Arial"/>
        </w:rPr>
        <w:t>Las contribuciones causadas en ejercicios fiscales anteriores, pendientes de liquidación o pago se determinarán de conformidad con las disposiciones legales que rigieron en la época en que se causaron.</w:t>
      </w:r>
    </w:p>
    <w:p w:rsidR="00A76DEB" w:rsidRDefault="00A76DEB">
      <w:pPr>
        <w:shd w:val="clear" w:color="auto" w:fill="FFFFFF"/>
        <w:tabs>
          <w:tab w:val="left" w:pos="417"/>
        </w:tabs>
        <w:spacing w:before="280" w:after="280"/>
        <w:jc w:val="both"/>
        <w:rPr>
          <w:rFonts w:ascii="Arial" w:eastAsia="Arial" w:hAnsi="Arial" w:cs="Arial"/>
        </w:rPr>
      </w:pPr>
    </w:p>
    <w:p w:rsidR="00A76DEB" w:rsidRDefault="00A76DEB">
      <w:pPr>
        <w:spacing w:after="200"/>
        <w:jc w:val="center"/>
        <w:rPr>
          <w:rFonts w:ascii="Arial" w:eastAsia="Arial" w:hAnsi="Arial" w:cs="Arial"/>
          <w:b/>
        </w:rPr>
      </w:pPr>
    </w:p>
    <w:p w:rsidR="00A76DEB" w:rsidRDefault="00550264">
      <w:pPr>
        <w:spacing w:after="200"/>
        <w:jc w:val="center"/>
        <w:rPr>
          <w:rFonts w:ascii="Arial" w:eastAsia="Arial" w:hAnsi="Arial" w:cs="Arial"/>
          <w:b/>
        </w:rPr>
      </w:pPr>
      <w:r>
        <w:rPr>
          <w:rFonts w:ascii="Arial" w:eastAsia="Arial" w:hAnsi="Arial" w:cs="Arial"/>
          <w:b/>
        </w:rPr>
        <w:t>ARTÍCULOS TRANSITORIOS</w:t>
      </w:r>
    </w:p>
    <w:p w:rsidR="00A76DEB" w:rsidRDefault="00550264">
      <w:pPr>
        <w:spacing w:after="200"/>
        <w:jc w:val="both"/>
        <w:rPr>
          <w:rFonts w:ascii="Arial" w:eastAsia="Arial" w:hAnsi="Arial" w:cs="Arial"/>
          <w:b/>
        </w:rPr>
      </w:pPr>
      <w:r>
        <w:rPr>
          <w:rFonts w:ascii="Arial" w:eastAsia="Arial" w:hAnsi="Arial" w:cs="Arial"/>
          <w:b/>
        </w:rPr>
        <w:t>Primero. Entrada en vigor</w:t>
      </w:r>
    </w:p>
    <w:p w:rsidR="00A76DEB" w:rsidRDefault="00550264">
      <w:pPr>
        <w:spacing w:after="200"/>
        <w:jc w:val="both"/>
        <w:rPr>
          <w:rFonts w:ascii="Arial" w:eastAsia="Arial" w:hAnsi="Arial" w:cs="Arial"/>
        </w:rPr>
      </w:pPr>
      <w:r>
        <w:rPr>
          <w:rFonts w:ascii="Arial" w:eastAsia="Arial" w:hAnsi="Arial" w:cs="Arial"/>
        </w:rPr>
        <w:t>Este decreto entrará en vigor el 1 de enero de 202</w:t>
      </w:r>
      <w:r w:rsidR="007B1E6E">
        <w:rPr>
          <w:rFonts w:ascii="Arial" w:eastAsia="Arial" w:hAnsi="Arial" w:cs="Arial"/>
        </w:rPr>
        <w:t>4</w:t>
      </w:r>
      <w:r>
        <w:rPr>
          <w:rFonts w:ascii="Arial" w:eastAsia="Arial" w:hAnsi="Arial" w:cs="Arial"/>
        </w:rPr>
        <w:t>, previa publicación en el diario oficial del estado.</w:t>
      </w:r>
    </w:p>
    <w:p w:rsidR="00A76DEB" w:rsidRDefault="00A76DE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2358" w:hanging="2358"/>
        <w:rPr>
          <w:rFonts w:ascii="Arial" w:eastAsia="Arial" w:hAnsi="Arial" w:cs="Arial"/>
          <w:b/>
        </w:rPr>
      </w:pPr>
    </w:p>
    <w:sectPr w:rsidR="00A76DEB">
      <w:headerReference w:type="default" r:id="rId8"/>
      <w:footerReference w:type="default" r:id="rId9"/>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0264" w:rsidRDefault="00550264">
      <w:r>
        <w:separator/>
      </w:r>
    </w:p>
  </w:endnote>
  <w:endnote w:type="continuationSeparator" w:id="0">
    <w:p w:rsidR="00550264" w:rsidRDefault="0055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DEB" w:rsidRDefault="00550264">
    <w:pPr>
      <w:pBdr>
        <w:top w:val="nil"/>
        <w:left w:val="nil"/>
        <w:bottom w:val="nil"/>
        <w:right w:val="nil"/>
        <w:between w:val="nil"/>
      </w:pBdr>
      <w:tabs>
        <w:tab w:val="right" w:pos="9020"/>
      </w:tabs>
      <w:jc w:val="right"/>
      <w:rPr>
        <w:color w:val="000000"/>
      </w:rPr>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0264" w:rsidRDefault="00550264">
      <w:r>
        <w:separator/>
      </w:r>
    </w:p>
  </w:footnote>
  <w:footnote w:type="continuationSeparator" w:id="0">
    <w:p w:rsidR="00550264" w:rsidRDefault="00550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DEB" w:rsidRDefault="00550264">
    <w:pPr>
      <w:spacing w:line="276" w:lineRule="auto"/>
      <w:jc w:val="center"/>
      <w:rPr>
        <w:rFonts w:ascii="Helvetica Neue" w:eastAsia="Helvetica Neue" w:hAnsi="Helvetica Neue" w:cs="Helvetica Neue"/>
        <w:color w:val="000000"/>
      </w:rPr>
    </w:pPr>
    <w:r>
      <w:rPr>
        <w:b/>
      </w:rPr>
      <w:t>H.AYUNTAMIENTO DE TEKAX 2021-2024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E57D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47738862">
    <w:abstractNumId w:val="0"/>
  </w:num>
  <w:num w:numId="2" w16cid:durableId="1828132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EB"/>
    <w:rsid w:val="00550264"/>
    <w:rsid w:val="007B1E6E"/>
    <w:rsid w:val="00A76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AF2DF88"/>
  <w15:docId w15:val="{AF8637DF-3505-1B45-81D3-175824DF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uiPriority w:val="9"/>
    <w:unhideWhenUsed/>
    <w:qFormat/>
    <w:pPr>
      <w:keepNext/>
      <w:keepLines/>
      <w:spacing w:before="220" w:after="40"/>
      <w:outlineLvl w:val="4"/>
    </w:pPr>
    <w:rPr>
      <w:b/>
      <w:sz w:val="22"/>
      <w:szCs w:val="22"/>
    </w:rPr>
  </w:style>
  <w:style w:type="paragraph" w:styleId="Ttulo6">
    <w:name w:val="heading 6"/>
    <w:basedOn w:val="Normal"/>
    <w:next w:val="Normal"/>
    <w:uiPriority w:val="9"/>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3">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Cuerpo">
    <w:name w:val="Cuerpo"/>
    <w:pPr>
      <w:spacing w:line="276" w:lineRule="auto"/>
    </w:pPr>
    <w:rPr>
      <w:rFonts w:ascii="Arial" w:eastAsia="Arial Unicode MS" w:hAnsi="Arial"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numbering" w:customStyle="1" w:styleId="Estiloimportado5">
    <w:name w:val="Estilo importado 5"/>
  </w:style>
  <w:style w:type="numbering" w:customStyle="1" w:styleId="Estiloimportado19">
    <w:name w:val="Estilo importado 1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15" w:type="dxa"/>
        <w:bottom w:w="0" w:type="dxa"/>
        <w:right w:w="115" w:type="dxa"/>
      </w:tblCellMar>
    </w:tblPr>
  </w:style>
  <w:style w:type="table" w:customStyle="1" w:styleId="a0">
    <w:basedOn w:val="TableNormal2"/>
    <w:tblPr>
      <w:tblStyleRowBandSize w:val="1"/>
      <w:tblStyleColBandSize w:val="1"/>
      <w:tblCellMar>
        <w:top w:w="0" w:type="dxa"/>
        <w:left w:w="115" w:type="dxa"/>
        <w:bottom w:w="0" w:type="dxa"/>
        <w:right w:w="115" w:type="dxa"/>
      </w:tblCellMar>
    </w:tblPr>
  </w:style>
  <w:style w:type="table" w:customStyle="1" w:styleId="a1">
    <w:basedOn w:val="TableNormal2"/>
    <w:tblPr>
      <w:tblStyleRowBandSize w:val="1"/>
      <w:tblStyleColBandSize w:val="1"/>
      <w:tblCellMar>
        <w:top w:w="0" w:type="dxa"/>
        <w:left w:w="115" w:type="dxa"/>
        <w:bottom w:w="0" w:type="dxa"/>
        <w:right w:w="115" w:type="dxa"/>
      </w:tblCellMar>
    </w:tblPr>
  </w:style>
  <w:style w:type="table" w:customStyle="1" w:styleId="a2">
    <w:basedOn w:val="TableNormal2"/>
    <w:tblPr>
      <w:tblStyleRowBandSize w:val="1"/>
      <w:tblStyleColBandSize w:val="1"/>
      <w:tblCellMar>
        <w:top w:w="0" w:type="dxa"/>
        <w:left w:w="115" w:type="dxa"/>
        <w:bottom w:w="0" w:type="dxa"/>
        <w:right w:w="115" w:type="dxa"/>
      </w:tblCellMar>
    </w:tblPr>
  </w:style>
  <w:style w:type="table" w:customStyle="1" w:styleId="a3">
    <w:basedOn w:val="TableNormal2"/>
    <w:tblPr>
      <w:tblStyleRowBandSize w:val="1"/>
      <w:tblStyleColBandSize w:val="1"/>
      <w:tblCellMar>
        <w:top w:w="0" w:type="dxa"/>
        <w:left w:w="115" w:type="dxa"/>
        <w:bottom w:w="0" w:type="dxa"/>
        <w:right w:w="115" w:type="dxa"/>
      </w:tblCellMar>
    </w:tblPr>
  </w:style>
  <w:style w:type="table" w:customStyle="1" w:styleId="a4">
    <w:basedOn w:val="TableNormal2"/>
    <w:tblPr>
      <w:tblStyleRowBandSize w:val="1"/>
      <w:tblStyleColBandSize w:val="1"/>
      <w:tblCellMar>
        <w:top w:w="0" w:type="dxa"/>
        <w:left w:w="115" w:type="dxa"/>
        <w:bottom w:w="0" w:type="dxa"/>
        <w:right w:w="115" w:type="dxa"/>
      </w:tblCellMar>
    </w:tblPr>
  </w:style>
  <w:style w:type="table" w:customStyle="1" w:styleId="a5">
    <w:basedOn w:val="TableNormal2"/>
    <w:tblPr>
      <w:tblStyleRowBandSize w:val="1"/>
      <w:tblStyleColBandSize w:val="1"/>
      <w:tblCellMar>
        <w:top w:w="0" w:type="dxa"/>
        <w:left w:w="115" w:type="dxa"/>
        <w:bottom w:w="0" w:type="dxa"/>
        <w:right w:w="115" w:type="dxa"/>
      </w:tblCellMar>
    </w:tblPr>
  </w:style>
  <w:style w:type="table" w:customStyle="1" w:styleId="a6">
    <w:basedOn w:val="TableNormal2"/>
    <w:tblPr>
      <w:tblStyleRowBandSize w:val="1"/>
      <w:tblStyleColBandSize w:val="1"/>
      <w:tblCellMar>
        <w:top w:w="0" w:type="dxa"/>
        <w:left w:w="115" w:type="dxa"/>
        <w:bottom w:w="0" w:type="dxa"/>
        <w:right w:w="115" w:type="dxa"/>
      </w:tblCellMar>
    </w:tblPr>
  </w:style>
  <w:style w:type="table" w:customStyle="1" w:styleId="a7">
    <w:basedOn w:val="TableNormal2"/>
    <w:tblPr>
      <w:tblStyleRowBandSize w:val="1"/>
      <w:tblStyleColBandSize w:val="1"/>
      <w:tblCellMar>
        <w:top w:w="0" w:type="dxa"/>
        <w:left w:w="115" w:type="dxa"/>
        <w:bottom w:w="0" w:type="dxa"/>
        <w:right w:w="115" w:type="dxa"/>
      </w:tblCellMar>
    </w:tblPr>
  </w:style>
  <w:style w:type="table" w:customStyle="1" w:styleId="a8">
    <w:basedOn w:val="TableNormal2"/>
    <w:tblPr>
      <w:tblStyleRowBandSize w:val="1"/>
      <w:tblStyleColBandSize w:val="1"/>
      <w:tblCellMar>
        <w:top w:w="0" w:type="dxa"/>
        <w:left w:w="115" w:type="dxa"/>
        <w:bottom w:w="0" w:type="dxa"/>
        <w:right w:w="115" w:type="dxa"/>
      </w:tblCellMar>
    </w:tblPr>
  </w:style>
  <w:style w:type="table" w:customStyle="1" w:styleId="a9">
    <w:basedOn w:val="TableNormal2"/>
    <w:tblPr>
      <w:tblStyleRowBandSize w:val="1"/>
      <w:tblStyleColBandSize w:val="1"/>
      <w:tblCellMar>
        <w:top w:w="0" w:type="dxa"/>
        <w:left w:w="115" w:type="dxa"/>
        <w:bottom w:w="0" w:type="dxa"/>
        <w:right w:w="115" w:type="dxa"/>
      </w:tblCellMar>
    </w:tblPr>
  </w:style>
  <w:style w:type="table" w:customStyle="1" w:styleId="aa">
    <w:basedOn w:val="TableNormal2"/>
    <w:tblPr>
      <w:tblStyleRowBandSize w:val="1"/>
      <w:tblStyleColBandSize w:val="1"/>
      <w:tblCellMar>
        <w:top w:w="0" w:type="dxa"/>
        <w:left w:w="115" w:type="dxa"/>
        <w:bottom w:w="0" w:type="dxa"/>
        <w:right w:w="115" w:type="dxa"/>
      </w:tblCellMar>
    </w:tblPr>
  </w:style>
  <w:style w:type="table" w:customStyle="1" w:styleId="ab">
    <w:basedOn w:val="TableNormal2"/>
    <w:tblPr>
      <w:tblStyleRowBandSize w:val="1"/>
      <w:tblStyleColBandSize w:val="1"/>
      <w:tblCellMar>
        <w:top w:w="0" w:type="dxa"/>
        <w:left w:w="115" w:type="dxa"/>
        <w:bottom w:w="0" w:type="dxa"/>
        <w:right w:w="115" w:type="dxa"/>
      </w:tblCellMar>
    </w:tblPr>
  </w:style>
  <w:style w:type="table" w:customStyle="1" w:styleId="ac">
    <w:basedOn w:val="TableNormal2"/>
    <w:tblPr>
      <w:tblStyleRowBandSize w:val="1"/>
      <w:tblStyleColBandSize w:val="1"/>
      <w:tblCellMar>
        <w:top w:w="0" w:type="dxa"/>
        <w:left w:w="115" w:type="dxa"/>
        <w:bottom w:w="0" w:type="dxa"/>
        <w:right w:w="115" w:type="dxa"/>
      </w:tblCellMar>
    </w:tblPr>
  </w:style>
  <w:style w:type="table" w:customStyle="1" w:styleId="ad">
    <w:basedOn w:val="TableNormal2"/>
    <w:tblPr>
      <w:tblStyleRowBandSize w:val="1"/>
      <w:tblStyleColBandSize w:val="1"/>
      <w:tblCellMar>
        <w:top w:w="0" w:type="dxa"/>
        <w:left w:w="115" w:type="dxa"/>
        <w:bottom w:w="0" w:type="dxa"/>
        <w:right w:w="115" w:type="dxa"/>
      </w:tblCellMar>
    </w:tblPr>
  </w:style>
  <w:style w:type="table" w:customStyle="1" w:styleId="ae">
    <w:basedOn w:val="TableNormal2"/>
    <w:tblPr>
      <w:tblStyleRowBandSize w:val="1"/>
      <w:tblStyleColBandSize w:val="1"/>
      <w:tblCellMar>
        <w:top w:w="0" w:type="dxa"/>
        <w:left w:w="115" w:type="dxa"/>
        <w:bottom w:w="0" w:type="dxa"/>
        <w:right w:w="115" w:type="dxa"/>
      </w:tblCellMar>
    </w:tblPr>
  </w:style>
  <w:style w:type="table" w:customStyle="1" w:styleId="af">
    <w:basedOn w:val="TableNormal2"/>
    <w:tblPr>
      <w:tblStyleRowBandSize w:val="1"/>
      <w:tblStyleColBandSize w:val="1"/>
      <w:tblCellMar>
        <w:top w:w="0" w:type="dxa"/>
        <w:left w:w="115" w:type="dxa"/>
        <w:bottom w:w="0" w:type="dxa"/>
        <w:right w:w="115" w:type="dxa"/>
      </w:tblCellMar>
    </w:tblPr>
  </w:style>
  <w:style w:type="table" w:customStyle="1" w:styleId="af0">
    <w:basedOn w:val="TableNormal2"/>
    <w:tblPr>
      <w:tblStyleRowBandSize w:val="1"/>
      <w:tblStyleColBandSize w:val="1"/>
      <w:tblCellMar>
        <w:top w:w="0" w:type="dxa"/>
        <w:left w:w="115" w:type="dxa"/>
        <w:bottom w:w="0" w:type="dxa"/>
        <w:right w:w="115" w:type="dxa"/>
      </w:tblCellMar>
    </w:tblPr>
  </w:style>
  <w:style w:type="table" w:customStyle="1" w:styleId="af1">
    <w:basedOn w:val="TableNormal2"/>
    <w:tblPr>
      <w:tblStyleRowBandSize w:val="1"/>
      <w:tblStyleColBandSize w:val="1"/>
      <w:tblCellMar>
        <w:top w:w="0" w:type="dxa"/>
        <w:left w:w="115" w:type="dxa"/>
        <w:bottom w:w="0" w:type="dxa"/>
        <w:right w:w="115" w:type="dxa"/>
      </w:tblCellMar>
    </w:tblPr>
  </w:style>
  <w:style w:type="table" w:customStyle="1" w:styleId="af2">
    <w:basedOn w:val="TableNormal2"/>
    <w:tblPr>
      <w:tblStyleRowBandSize w:val="1"/>
      <w:tblStyleColBandSize w:val="1"/>
      <w:tblCellMar>
        <w:top w:w="0" w:type="dxa"/>
        <w:left w:w="115" w:type="dxa"/>
        <w:bottom w:w="0" w:type="dxa"/>
        <w:right w:w="115" w:type="dxa"/>
      </w:tblCellMar>
    </w:tblPr>
  </w:style>
  <w:style w:type="table" w:customStyle="1" w:styleId="af3">
    <w:basedOn w:val="TableNormal2"/>
    <w:tblPr>
      <w:tblStyleRowBandSize w:val="1"/>
      <w:tblStyleColBandSize w:val="1"/>
      <w:tblCellMar>
        <w:top w:w="0" w:type="dxa"/>
        <w:left w:w="70" w:type="dxa"/>
        <w:bottom w:w="0" w:type="dxa"/>
        <w:right w:w="70" w:type="dxa"/>
      </w:tblCellMar>
    </w:tblPr>
  </w:style>
  <w:style w:type="table" w:customStyle="1" w:styleId="af4">
    <w:basedOn w:val="TableNormal2"/>
    <w:tblPr>
      <w:tblStyleRowBandSize w:val="1"/>
      <w:tblStyleColBandSize w:val="1"/>
      <w:tblCellMar>
        <w:top w:w="0" w:type="dxa"/>
        <w:left w:w="70" w:type="dxa"/>
        <w:bottom w:w="0" w:type="dxa"/>
        <w:right w:w="70" w:type="dxa"/>
      </w:tblCellMar>
    </w:tblPr>
  </w:style>
  <w:style w:type="table" w:customStyle="1" w:styleId="af5">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6">
    <w:basedOn w:val="TableNormal2"/>
    <w:tblPr>
      <w:tblStyleRowBandSize w:val="1"/>
      <w:tblStyleColBandSize w:val="1"/>
      <w:tblCellMar>
        <w:top w:w="0" w:type="dxa"/>
        <w:left w:w="108" w:type="dxa"/>
        <w:bottom w:w="0" w:type="dxa"/>
        <w:right w:w="108" w:type="dxa"/>
      </w:tblCellMar>
    </w:tblPr>
  </w:style>
  <w:style w:type="table" w:customStyle="1" w:styleId="af7">
    <w:basedOn w:val="TableNormal2"/>
    <w:tblPr>
      <w:tblStyleRowBandSize w:val="1"/>
      <w:tblStyleColBandSize w:val="1"/>
      <w:tblCellMar>
        <w:top w:w="0" w:type="dxa"/>
        <w:left w:w="108" w:type="dxa"/>
        <w:bottom w:w="0" w:type="dxa"/>
        <w:right w:w="108" w:type="dxa"/>
      </w:tblCellMar>
    </w:tblPr>
  </w:style>
  <w:style w:type="table" w:customStyle="1" w:styleId="af8">
    <w:basedOn w:val="TableNormal2"/>
    <w:tblPr>
      <w:tblStyleRowBandSize w:val="1"/>
      <w:tblStyleColBandSize w:val="1"/>
      <w:tblCellMar>
        <w:top w:w="0" w:type="dxa"/>
        <w:left w:w="108" w:type="dxa"/>
        <w:bottom w:w="0" w:type="dxa"/>
        <w:right w:w="108" w:type="dxa"/>
      </w:tblCellMar>
    </w:tblPr>
  </w:style>
  <w:style w:type="table" w:customStyle="1" w:styleId="af9">
    <w:basedOn w:val="TableNormal2"/>
    <w:tblPr>
      <w:tblStyleRowBandSize w:val="1"/>
      <w:tblStyleColBandSize w:val="1"/>
      <w:tblCellMar>
        <w:top w:w="0" w:type="dxa"/>
        <w:left w:w="108" w:type="dxa"/>
        <w:bottom w:w="0" w:type="dxa"/>
        <w:right w:w="108" w:type="dxa"/>
      </w:tblCellMar>
    </w:tblPr>
  </w:style>
  <w:style w:type="table" w:customStyle="1" w:styleId="afa">
    <w:basedOn w:val="TableNormal2"/>
    <w:tblPr>
      <w:tblStyleRowBandSize w:val="1"/>
      <w:tblStyleColBandSize w:val="1"/>
      <w:tblCellMar>
        <w:top w:w="0" w:type="dxa"/>
        <w:left w:w="108" w:type="dxa"/>
        <w:bottom w:w="0" w:type="dxa"/>
        <w:right w:w="108" w:type="dxa"/>
      </w:tblCellMar>
    </w:tblPr>
  </w:style>
  <w:style w:type="table" w:customStyle="1" w:styleId="afb">
    <w:basedOn w:val="TableNormal2"/>
    <w:tblPr>
      <w:tblStyleRowBandSize w:val="1"/>
      <w:tblStyleColBandSize w:val="1"/>
      <w:tblCellMar>
        <w:top w:w="0" w:type="dxa"/>
        <w:left w:w="108" w:type="dxa"/>
        <w:bottom w:w="0" w:type="dxa"/>
        <w:right w:w="108" w:type="dxa"/>
      </w:tblCellMar>
    </w:tblPr>
  </w:style>
  <w:style w:type="table" w:customStyle="1" w:styleId="afc">
    <w:basedOn w:val="TableNormal2"/>
    <w:tblPr>
      <w:tblStyleRowBandSize w:val="1"/>
      <w:tblStyleColBandSize w:val="1"/>
      <w:tblCellMar>
        <w:top w:w="0" w:type="dxa"/>
        <w:left w:w="115" w:type="dxa"/>
        <w:bottom w:w="0" w:type="dxa"/>
        <w:right w:w="115" w:type="dxa"/>
      </w:tblCellMar>
    </w:tblPr>
  </w:style>
  <w:style w:type="table" w:customStyle="1" w:styleId="afd">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e">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0">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1">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2">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3">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4">
    <w:basedOn w:val="TableNormal2"/>
    <w:tblPr>
      <w:tblStyleRowBandSize w:val="1"/>
      <w:tblStyleColBandSize w:val="1"/>
      <w:tblCellMar>
        <w:top w:w="0" w:type="dxa"/>
        <w:left w:w="108" w:type="dxa"/>
        <w:bottom w:w="0" w:type="dxa"/>
        <w:right w:w="108" w:type="dxa"/>
      </w:tblCellMar>
    </w:tblPr>
  </w:style>
  <w:style w:type="table" w:customStyle="1" w:styleId="aff5">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6">
    <w:basedOn w:val="TableNormal2"/>
    <w:tblPr>
      <w:tblStyleRowBandSize w:val="1"/>
      <w:tblStyleColBandSize w:val="1"/>
      <w:tblCellMar>
        <w:top w:w="0" w:type="dxa"/>
        <w:left w:w="108" w:type="dxa"/>
        <w:bottom w:w="0" w:type="dxa"/>
        <w:right w:w="108" w:type="dxa"/>
      </w:tblCellMar>
    </w:tblPr>
  </w:style>
  <w:style w:type="table" w:customStyle="1" w:styleId="aff7">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8">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9">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a">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b">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c">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d">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e">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0">
    <w:basedOn w:val="TableNormal2"/>
    <w:tblPr>
      <w:tblStyleRowBandSize w:val="1"/>
      <w:tblStyleColBandSize w:val="1"/>
      <w:tblCellMar>
        <w:top w:w="0" w:type="dxa"/>
        <w:left w:w="115" w:type="dxa"/>
        <w:bottom w:w="0" w:type="dxa"/>
        <w:right w:w="115" w:type="dxa"/>
      </w:tblCellMar>
    </w:tblPr>
  </w:style>
  <w:style w:type="table" w:customStyle="1" w:styleId="afff1">
    <w:basedOn w:val="TableNormal2"/>
    <w:tblPr>
      <w:tblStyleRowBandSize w:val="1"/>
      <w:tblStyleColBandSize w:val="1"/>
      <w:tblCellMar>
        <w:top w:w="0" w:type="dxa"/>
        <w:left w:w="115" w:type="dxa"/>
        <w:bottom w:w="0" w:type="dxa"/>
        <w:right w:w="115" w:type="dxa"/>
      </w:tblCellMar>
    </w:tblPr>
  </w:style>
  <w:style w:type="table" w:customStyle="1" w:styleId="afff2">
    <w:basedOn w:val="TableNormal2"/>
    <w:tblPr>
      <w:tblStyleRowBandSize w:val="1"/>
      <w:tblStyleColBandSize w:val="1"/>
      <w:tblCellMar>
        <w:top w:w="0" w:type="dxa"/>
        <w:left w:w="115" w:type="dxa"/>
        <w:bottom w:w="0" w:type="dxa"/>
        <w:right w:w="115" w:type="dxa"/>
      </w:tblCellMar>
    </w:tblPr>
  </w:style>
  <w:style w:type="table" w:customStyle="1" w:styleId="afff3">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4">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5">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6">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7">
    <w:basedOn w:val="TableNormal2"/>
    <w:tblPr>
      <w:tblStyleRowBandSize w:val="1"/>
      <w:tblStyleColBandSize w:val="1"/>
      <w:tblCellMar>
        <w:top w:w="0" w:type="dxa"/>
        <w:left w:w="115" w:type="dxa"/>
        <w:bottom w:w="0" w:type="dxa"/>
        <w:right w:w="115" w:type="dxa"/>
      </w:tblCellMar>
    </w:tblPr>
  </w:style>
  <w:style w:type="table" w:customStyle="1" w:styleId="afff8">
    <w:basedOn w:val="TableNormal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dI/nGZyNzFrmKcTygbiM/lKklA==">CgMxLjA4AHIhMVdNNjZEb3plRWlBeEhjaV9maWRnZWhKazRULW15Zmhu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1719</Words>
  <Characters>9455</Characters>
  <Application>Microsoft Office Word</Application>
  <DocSecurity>0</DocSecurity>
  <Lines>78</Lines>
  <Paragraphs>22</Paragraphs>
  <ScaleCrop>false</ScaleCrop>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albertomendezmex@gmail.com</cp:lastModifiedBy>
  <cp:revision>2</cp:revision>
  <dcterms:created xsi:type="dcterms:W3CDTF">2023-11-24T20:19:00Z</dcterms:created>
  <dcterms:modified xsi:type="dcterms:W3CDTF">2023-11-24T20:19:00Z</dcterms:modified>
</cp:coreProperties>
</file>