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13" w:rsidRPr="00572813" w:rsidRDefault="00572813" w:rsidP="00572813">
      <w:pPr>
        <w:spacing w:before="100" w:beforeAutospacing="1" w:after="100" w:afterAutospacing="1" w:line="240" w:lineRule="auto"/>
        <w:jc w:val="right"/>
        <w:rPr>
          <w:rFonts w:ascii="Arial" w:hAnsi="Arial" w:cs="Arial"/>
          <w:szCs w:val="24"/>
        </w:rPr>
      </w:pPr>
      <w:r w:rsidRPr="00572813">
        <w:rPr>
          <w:rFonts w:ascii="Arial" w:hAnsi="Arial" w:cs="Arial"/>
          <w:szCs w:val="24"/>
        </w:rPr>
        <w:t>Mérida, Yucatán, a 25 de noviembre de 2022</w:t>
      </w:r>
      <w:r w:rsidR="00C0453B">
        <w:rPr>
          <w:rFonts w:ascii="Arial" w:hAnsi="Arial" w:cs="Arial"/>
          <w:szCs w:val="24"/>
        </w:rPr>
        <w:t>.</w:t>
      </w:r>
    </w:p>
    <w:p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H. Congreso del Estado de Yucatán:</w:t>
      </w:r>
    </w:p>
    <w:p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Iniciativa para expedir la Ley de Ingresos del Estado de Yucatán para el Ejercicio Fiscal 2023</w:t>
      </w:r>
    </w:p>
    <w:p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Exposición de motivos</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La iniciativa para expedir la Ley de Ingresos del Estado de Yucatán tiene por objeto establecer los recursos que el estado, a través de diferentes rubros, estima percibir durante cierto ejercicio fiscal. </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La importancia de esta iniciativa radica en que la correcta determinación de los ingresos del ejercicio permite crear un balance presupuestario entre estos y los gastos previstos en el Presupuesto de Egresos del Gobierno del Estado de Yucatán para el Ejercicio Fiscal 2023.</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En este sentido, el proyecto de iniciativa que se somete a consideración constituye el instrumento jurídico que, en coordinación con las demás leyes fiscales federales y locales, establece la forma en la que el estado percibirá ingresos públicos durante el año 2023 para cumplir con sus funciones y para garantizar la continuación de bienes y servicios necesarios para los yucatecos.</w:t>
      </w:r>
    </w:p>
    <w:p w:rsid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Para realizar los cálculos, y las proyecciones, y establecer algunos de los riesgos relevantes de las finanzas públicas del estado, se tomaron en consideración, entre otras variables, las establecidas en los Criterios Generales de Política Económica para la Iniciativa de Ley de Ingresos y el Proyecto de Presupuesto de Egresos de la Federación correspondientes al ejercicio fiscal de 2023.</w:t>
      </w:r>
    </w:p>
    <w:p w:rsidR="0034235B" w:rsidRPr="00572813" w:rsidRDefault="0034235B" w:rsidP="00572813">
      <w:pPr>
        <w:spacing w:before="100" w:beforeAutospacing="1" w:after="100" w:afterAutospacing="1" w:line="240" w:lineRule="auto"/>
        <w:jc w:val="both"/>
        <w:rPr>
          <w:rFonts w:ascii="Arial" w:hAnsi="Arial" w:cs="Arial"/>
          <w:szCs w:val="24"/>
        </w:rPr>
      </w:pPr>
      <w:r w:rsidRPr="007A2384">
        <w:rPr>
          <w:rFonts w:ascii="Arial" w:hAnsi="Arial" w:cs="Arial"/>
          <w:szCs w:val="24"/>
        </w:rPr>
        <w:t>Para los efectos de esta exposición de motivos, las cifras referentes a los recursos financieros se señalan de manera redondeada y en millones de pesos. Esto, solo para facilitar su lectura y comprensión dentro del texto.</w:t>
      </w:r>
    </w:p>
    <w:p w:rsidR="00572813" w:rsidRPr="00572813" w:rsidRDefault="00572813" w:rsidP="00572813">
      <w:pPr>
        <w:spacing w:beforeAutospacing="1" w:afterAutospacing="1" w:line="240" w:lineRule="auto"/>
        <w:jc w:val="both"/>
        <w:rPr>
          <w:rFonts w:ascii="Arial" w:eastAsia="Times New Roman" w:hAnsi="Arial" w:cs="Arial"/>
          <w:b/>
          <w:bCs/>
          <w:szCs w:val="24"/>
          <w:lang w:val="es-ES_tradnl" w:eastAsia="es-ES_tradnl"/>
        </w:rPr>
      </w:pPr>
      <w:r w:rsidRPr="00572813">
        <w:rPr>
          <w:rFonts w:ascii="Arial" w:eastAsia="Times New Roman" w:hAnsi="Arial" w:cs="Arial"/>
          <w:b/>
          <w:bCs/>
          <w:szCs w:val="24"/>
          <w:lang w:val="es-ES_tradnl" w:eastAsia="es-ES_tradnl"/>
        </w:rPr>
        <w:t>1. Contexto económico estatal</w:t>
      </w:r>
    </w:p>
    <w:p w:rsidR="00572813" w:rsidRPr="00572813" w:rsidRDefault="00572813" w:rsidP="00572813">
      <w:pPr>
        <w:spacing w:before="100" w:beforeAutospacing="1" w:after="100" w:afterAutospacing="1" w:line="240" w:lineRule="auto"/>
        <w:jc w:val="both"/>
        <w:rPr>
          <w:rFonts w:ascii="Arial" w:eastAsia="Times New Roman" w:hAnsi="Arial" w:cs="Arial"/>
          <w:color w:val="000000"/>
          <w:szCs w:val="24"/>
          <w:lang w:eastAsia="en-US"/>
        </w:rPr>
      </w:pPr>
      <w:r w:rsidRPr="00572813">
        <w:rPr>
          <w:rFonts w:ascii="Arial" w:eastAsia="Times New Roman" w:hAnsi="Arial" w:cs="Arial"/>
          <w:color w:val="000000"/>
          <w:szCs w:val="24"/>
          <w:lang w:eastAsia="en-US"/>
        </w:rPr>
        <w:t>Como resultado de las políticas de reactivación y de la promoción económica que el gobierno estatal ha hecho a nivel nacional e internacional, en 2022, la economía del Estado de Yucatán continuó expandiéndose.</w:t>
      </w:r>
    </w:p>
    <w:p w:rsidR="00572813" w:rsidRPr="00572813" w:rsidRDefault="00572813" w:rsidP="00572813">
      <w:pPr>
        <w:spacing w:before="100" w:beforeAutospacing="1" w:after="100" w:afterAutospacing="1" w:line="240" w:lineRule="auto"/>
        <w:jc w:val="both"/>
        <w:rPr>
          <w:rFonts w:ascii="Arial" w:eastAsia="Times New Roman" w:hAnsi="Arial" w:cs="Arial"/>
          <w:color w:val="000000"/>
          <w:szCs w:val="24"/>
          <w:lang w:eastAsia="en-US"/>
        </w:rPr>
      </w:pPr>
      <w:r w:rsidRPr="00572813">
        <w:rPr>
          <w:rFonts w:ascii="Arial" w:eastAsia="Times New Roman" w:hAnsi="Arial" w:cs="Arial"/>
          <w:color w:val="000000"/>
          <w:szCs w:val="24"/>
          <w:lang w:eastAsia="en-US"/>
        </w:rPr>
        <w:lastRenderedPageBreak/>
        <w:t>Destaca que, desde el primer trimestre de 2021, la economía de Yucatán ya había recuperado el nivel que tenía previo a la pandemia. Y en 2022, la tendencia al alza de la actividad económica se ha mantenido, pese a la incertidumbre global ocasionada por la guerra entre Ucrania y Rusia.</w:t>
      </w:r>
    </w:p>
    <w:p w:rsidR="00572813" w:rsidRPr="00572813" w:rsidRDefault="00572813" w:rsidP="00572813">
      <w:pPr>
        <w:spacing w:before="100" w:beforeAutospacing="1" w:after="100" w:afterAutospacing="1" w:line="240" w:lineRule="auto"/>
        <w:jc w:val="both"/>
        <w:rPr>
          <w:rFonts w:ascii="Arial" w:eastAsia="Times New Roman" w:hAnsi="Arial" w:cs="Arial"/>
          <w:color w:val="000000"/>
          <w:szCs w:val="24"/>
          <w:lang w:eastAsia="en-US"/>
        </w:rPr>
      </w:pPr>
      <w:r w:rsidRPr="00572813">
        <w:rPr>
          <w:rFonts w:ascii="Arial" w:eastAsia="Times New Roman" w:hAnsi="Arial" w:cs="Arial"/>
          <w:color w:val="000000"/>
          <w:szCs w:val="24"/>
          <w:lang w:eastAsia="en-US"/>
        </w:rPr>
        <w:t xml:space="preserve">Este dinamismo económico se ha traducido en una generación histórica de empleo. En octubre de 2022, Yucatán generó 7,784 nuevos </w:t>
      </w:r>
      <w:r w:rsidR="0034235B" w:rsidRPr="00572813">
        <w:rPr>
          <w:rFonts w:ascii="Arial" w:eastAsia="Times New Roman" w:hAnsi="Arial" w:cs="Arial"/>
          <w:color w:val="000000"/>
          <w:szCs w:val="24"/>
          <w:lang w:eastAsia="en-US"/>
        </w:rPr>
        <w:t>empleos</w:t>
      </w:r>
      <w:r w:rsidR="0034235B">
        <w:rPr>
          <w:rStyle w:val="Refdenotaalpie"/>
          <w:rFonts w:ascii="Arial" w:eastAsia="Times New Roman" w:hAnsi="Arial" w:cs="Arial"/>
          <w:color w:val="000000"/>
          <w:szCs w:val="24"/>
          <w:lang w:eastAsia="en-US"/>
        </w:rPr>
        <w:footnoteReference w:id="3"/>
      </w:r>
      <w:r w:rsidRPr="00572813">
        <w:rPr>
          <w:rFonts w:ascii="Arial" w:eastAsia="Times New Roman" w:hAnsi="Arial" w:cs="Arial"/>
          <w:color w:val="000000"/>
          <w:szCs w:val="24"/>
          <w:lang w:eastAsia="en-US"/>
        </w:rPr>
        <w:t xml:space="preserve">, el número más alto de empleos generados en un mes, lo que permitió alcanzar un nuevo máximo histórico de </w:t>
      </w:r>
      <w:r w:rsidR="0034235B" w:rsidRPr="00572813">
        <w:rPr>
          <w:rFonts w:ascii="Arial" w:eastAsia="Times New Roman" w:hAnsi="Arial" w:cs="Arial"/>
          <w:color w:val="000000"/>
          <w:szCs w:val="24"/>
          <w:lang w:eastAsia="en-US"/>
        </w:rPr>
        <w:t>418 mil 066</w:t>
      </w:r>
      <w:r w:rsidR="0034235B">
        <w:rPr>
          <w:rStyle w:val="Refdenotaalpie"/>
          <w:rFonts w:ascii="Arial" w:eastAsia="Times New Roman" w:hAnsi="Arial" w:cs="Arial"/>
          <w:color w:val="000000"/>
          <w:szCs w:val="24"/>
          <w:lang w:eastAsia="en-US"/>
        </w:rPr>
        <w:footnoteReference w:id="4"/>
      </w:r>
      <w:r w:rsidRPr="00572813">
        <w:rPr>
          <w:rFonts w:ascii="Arial" w:eastAsia="Times New Roman" w:hAnsi="Arial" w:cs="Arial"/>
          <w:color w:val="000000"/>
          <w:szCs w:val="24"/>
          <w:lang w:eastAsia="en-US"/>
        </w:rPr>
        <w:t xml:space="preserve"> trabajadores asegurados ante el </w:t>
      </w:r>
      <w:r w:rsidR="009846A0">
        <w:rPr>
          <w:rFonts w:ascii="Arial" w:eastAsia="Times New Roman" w:hAnsi="Arial" w:cs="Arial"/>
          <w:color w:val="000000"/>
          <w:szCs w:val="24"/>
          <w:lang w:eastAsia="en-US"/>
        </w:rPr>
        <w:t>Instituto Mexicano del Seguro Social</w:t>
      </w:r>
      <w:r w:rsidRPr="00572813">
        <w:rPr>
          <w:rFonts w:ascii="Arial" w:eastAsia="Times New Roman" w:hAnsi="Arial" w:cs="Arial"/>
          <w:color w:val="000000"/>
          <w:szCs w:val="24"/>
          <w:lang w:eastAsia="en-US"/>
        </w:rPr>
        <w:t>. Con esto, Yucatán acumula 18 meses consecutivos generando empleos.</w:t>
      </w:r>
    </w:p>
    <w:p w:rsidR="00572813" w:rsidRPr="00572813" w:rsidRDefault="00572813" w:rsidP="00572813">
      <w:pPr>
        <w:spacing w:before="100" w:beforeAutospacing="1" w:after="100" w:afterAutospacing="1" w:line="240" w:lineRule="auto"/>
        <w:jc w:val="both"/>
        <w:rPr>
          <w:rFonts w:ascii="Arial" w:eastAsia="Times New Roman" w:hAnsi="Arial" w:cs="Arial"/>
          <w:color w:val="000000"/>
          <w:szCs w:val="24"/>
          <w:lang w:eastAsia="en-US"/>
        </w:rPr>
      </w:pPr>
      <w:r w:rsidRPr="00572813">
        <w:rPr>
          <w:rFonts w:ascii="Arial" w:eastAsia="Times New Roman" w:hAnsi="Arial" w:cs="Arial"/>
          <w:color w:val="000000"/>
          <w:szCs w:val="24"/>
          <w:lang w:eastAsia="en-US"/>
        </w:rPr>
        <w:t xml:space="preserve">La mayor actividad económica también se ha reflejado en mayores ingresos de los trabajadores del sector formal del estado, que crecieron 10.7% durante los primeros nueve meses de 2022. Este incremento fue mayor a la inflación </w:t>
      </w:r>
      <w:r w:rsidR="0034235B" w:rsidRPr="00572813">
        <w:rPr>
          <w:rFonts w:ascii="Arial" w:eastAsia="Times New Roman" w:hAnsi="Arial" w:cs="Arial"/>
          <w:color w:val="000000"/>
          <w:szCs w:val="24"/>
          <w:lang w:eastAsia="en-US"/>
        </w:rPr>
        <w:t>(8.4%)</w:t>
      </w:r>
      <w:r w:rsidR="0034235B">
        <w:rPr>
          <w:rStyle w:val="Refdenotaalpie"/>
          <w:rFonts w:ascii="Arial" w:eastAsia="Times New Roman" w:hAnsi="Arial" w:cs="Arial"/>
          <w:color w:val="000000"/>
          <w:szCs w:val="24"/>
          <w:lang w:eastAsia="en-US"/>
        </w:rPr>
        <w:footnoteReference w:id="5"/>
      </w:r>
      <w:r w:rsidRPr="00572813">
        <w:rPr>
          <w:rFonts w:ascii="Arial" w:eastAsia="Times New Roman" w:hAnsi="Arial" w:cs="Arial"/>
          <w:color w:val="000000"/>
          <w:szCs w:val="24"/>
          <w:lang w:eastAsia="en-US"/>
        </w:rPr>
        <w:t>, lo que ha permitido mantener el poder adquisitivo de las familias.</w:t>
      </w:r>
    </w:p>
    <w:p w:rsidR="00572813" w:rsidRPr="00572813" w:rsidRDefault="00572813" w:rsidP="00572813">
      <w:pPr>
        <w:spacing w:beforeAutospacing="1" w:afterAutospacing="1" w:line="240" w:lineRule="auto"/>
        <w:jc w:val="both"/>
        <w:rPr>
          <w:rFonts w:ascii="Arial" w:eastAsia="Times New Roman" w:hAnsi="Arial" w:cs="Arial"/>
          <w:b/>
          <w:bCs/>
          <w:szCs w:val="24"/>
          <w:lang w:val="es-ES_tradnl" w:eastAsia="es-ES_tradnl"/>
        </w:rPr>
      </w:pPr>
      <w:r w:rsidRPr="00572813">
        <w:rPr>
          <w:rFonts w:ascii="Arial" w:eastAsia="Times New Roman" w:hAnsi="Arial" w:cs="Arial"/>
          <w:b/>
          <w:bCs/>
          <w:szCs w:val="24"/>
          <w:lang w:val="es-ES_tradnl" w:eastAsia="es-ES_tradnl"/>
        </w:rPr>
        <w:t>2. Estimación de los ingresos al cierre del ejercicio fiscal 2022</w:t>
      </w:r>
    </w:p>
    <w:p w:rsidR="00572813" w:rsidRPr="00572813" w:rsidRDefault="00572813" w:rsidP="00B3697B">
      <w:pPr>
        <w:spacing w:before="100" w:beforeAutospacing="1" w:after="100" w:afterAutospacing="1" w:line="240" w:lineRule="auto"/>
        <w:jc w:val="both"/>
        <w:rPr>
          <w:rFonts w:ascii="Arial" w:eastAsia="Times New Roman" w:hAnsi="Arial" w:cs="Arial"/>
          <w:szCs w:val="24"/>
          <w:lang w:eastAsia="es-ES_tradnl"/>
        </w:rPr>
      </w:pPr>
      <w:r w:rsidRPr="00572813">
        <w:rPr>
          <w:rFonts w:ascii="Arial" w:eastAsia="Times New Roman" w:hAnsi="Arial" w:cs="Arial"/>
          <w:szCs w:val="24"/>
          <w:lang w:eastAsia="es-ES_tradnl"/>
        </w:rPr>
        <w:t>Para el ejercicio 2022 se presentó un paquete fiscal balanceado en el que se esperaba un total de $46,038 millones de pesos, de los cuales $3,402 millones de pesos serían recursos recaudados directamente por las entidades a través de los conceptos de Venta de Bienes y Servicios y Cuotas de Aportación de Seguridad Social. Los $42,636 millones de pesos restantes correspondieron a la expectativa de recaudación del sector centralizado, de los cuales $22,398 serían de origen no etiquetado (ingresos propios fiscales, Participaciones federales e incentivos de colaboración fiscal) y $20,237 millones de pesos, de origen etiquetado (convenios y subsidios federales, así como Aportaciones del Ramo 33).</w:t>
      </w:r>
    </w:p>
    <w:p w:rsidR="00572813" w:rsidRPr="00572813" w:rsidRDefault="00572813" w:rsidP="00572813">
      <w:pPr>
        <w:spacing w:beforeAutospacing="1" w:afterAutospacing="1" w:line="240" w:lineRule="auto"/>
        <w:jc w:val="both"/>
        <w:rPr>
          <w:rFonts w:ascii="Arial" w:eastAsia="Times New Roman" w:hAnsi="Arial" w:cs="Arial"/>
          <w:szCs w:val="24"/>
          <w:lang w:eastAsia="es-ES_tradnl"/>
        </w:rPr>
      </w:pPr>
      <w:r w:rsidRPr="00572813">
        <w:rPr>
          <w:rFonts w:ascii="Arial" w:eastAsia="Times New Roman" w:hAnsi="Arial" w:cs="Arial"/>
          <w:szCs w:val="24"/>
          <w:lang w:eastAsia="es-ES_tradnl"/>
        </w:rPr>
        <w:t xml:space="preserve">Tras el análisis de desempeño de la recaudación al tercer trimestre de 2022, se proyecta una recaudación de ingresos no etiquetados de $23,198 millones de pesos; es decir, $800 millones de pesos por encima de lo previsto en la Ley de Ingresos del Estado de Yucatán para el Ejercicio Fiscal 2022, principalmente debido al desempeño de la recaudación local y a una mejora en el coeficiente de distribución de las </w:t>
      </w:r>
      <w:r w:rsidRPr="00572813">
        <w:rPr>
          <w:rFonts w:ascii="Arial" w:eastAsia="Times New Roman" w:hAnsi="Arial" w:cs="Arial"/>
          <w:szCs w:val="24"/>
          <w:lang w:eastAsia="es-ES_tradnl"/>
        </w:rPr>
        <w:lastRenderedPageBreak/>
        <w:t xml:space="preserve">Participaciones del Ramo 28, a su vez derivado del crecimiento poblacional y esfuerzo recaudatorio de 2021. </w:t>
      </w:r>
    </w:p>
    <w:p w:rsidR="00572813" w:rsidRPr="00572813" w:rsidRDefault="00572813" w:rsidP="00572813">
      <w:pPr>
        <w:spacing w:beforeAutospacing="1" w:afterAutospacing="1" w:line="240" w:lineRule="auto"/>
        <w:jc w:val="both"/>
        <w:rPr>
          <w:rFonts w:ascii="Arial" w:eastAsia="Times New Roman" w:hAnsi="Arial" w:cs="Arial"/>
          <w:szCs w:val="24"/>
          <w:lang w:eastAsia="es-ES_tradnl"/>
        </w:rPr>
      </w:pPr>
      <w:r w:rsidRPr="00572813">
        <w:rPr>
          <w:rFonts w:ascii="Arial" w:eastAsia="Times New Roman" w:hAnsi="Arial" w:cs="Arial"/>
          <w:szCs w:val="24"/>
          <w:lang w:eastAsia="es-ES_tradnl"/>
        </w:rPr>
        <w:t>Con base en los convenios de descentralización vigentes y la publicación oficial de los acuerdos federales para las ministraciones del Ramo 33 en el ejercicio fiscal en curso, se estima que los recursos etiquetados al cierre del año serán de $20,617 mi</w:t>
      </w:r>
      <w:r w:rsidR="00F02A6D">
        <w:rPr>
          <w:rFonts w:ascii="Arial" w:eastAsia="Times New Roman" w:hAnsi="Arial" w:cs="Arial"/>
          <w:szCs w:val="24"/>
          <w:lang w:eastAsia="es-ES_tradnl"/>
        </w:rPr>
        <w:t>llones de pesos; es decir, $378</w:t>
      </w:r>
      <w:r w:rsidRPr="00572813">
        <w:rPr>
          <w:rFonts w:ascii="Arial" w:eastAsia="Times New Roman" w:hAnsi="Arial" w:cs="Arial"/>
          <w:szCs w:val="24"/>
          <w:lang w:eastAsia="es-ES_tradnl"/>
        </w:rPr>
        <w:t xml:space="preserve"> millones de pesos más que lo contemplado inicialmente en la Ley de Ingresos del ejercicio fiscal en curso. Lo anterior, debido principalmente a que, en el Presupuesto de Egresos de la Federación se confirmaron recursos adicionales a los previstos en el Proyecto de Presupuesto de Egresos Federal por $255 millones de pesos para el Fondo de Aportaciones para el Fortalecimiento de los Municipios. También se cuenta con recursos no previstos </w:t>
      </w:r>
      <w:r w:rsidRPr="00EF1B25">
        <w:rPr>
          <w:rFonts w:ascii="Arial" w:eastAsia="Times New Roman" w:hAnsi="Arial" w:cs="Arial"/>
          <w:szCs w:val="24"/>
          <w:lang w:eastAsia="es-ES_tradnl"/>
        </w:rPr>
        <w:t>en</w:t>
      </w:r>
      <w:r w:rsidR="00EF1B25" w:rsidRPr="00EF1B25">
        <w:rPr>
          <w:rFonts w:ascii="Arial" w:eastAsia="Times New Roman" w:hAnsi="Arial" w:cs="Arial"/>
          <w:szCs w:val="24"/>
          <w:lang w:eastAsia="es-ES_tradnl"/>
        </w:rPr>
        <w:t xml:space="preserve"> el</w:t>
      </w:r>
      <w:r w:rsidRPr="00EF1B25">
        <w:rPr>
          <w:rFonts w:ascii="Arial" w:eastAsia="Times New Roman" w:hAnsi="Arial" w:cs="Arial"/>
          <w:szCs w:val="24"/>
          <w:lang w:eastAsia="es-ES_tradnl"/>
        </w:rPr>
        <w:t xml:space="preserve"> paquete</w:t>
      </w:r>
      <w:r w:rsidR="00EF1B25">
        <w:rPr>
          <w:rFonts w:ascii="Arial" w:eastAsia="Times New Roman" w:hAnsi="Arial" w:cs="Arial"/>
          <w:szCs w:val="24"/>
          <w:lang w:eastAsia="es-ES_tradnl"/>
        </w:rPr>
        <w:t xml:space="preserve"> fiscal</w:t>
      </w:r>
      <w:r w:rsidRPr="00572813">
        <w:rPr>
          <w:rFonts w:ascii="Arial" w:eastAsia="Times New Roman" w:hAnsi="Arial" w:cs="Arial"/>
          <w:szCs w:val="24"/>
          <w:lang w:eastAsia="es-ES_tradnl"/>
        </w:rPr>
        <w:t>, como</w:t>
      </w:r>
      <w:r w:rsidR="00E424CA">
        <w:rPr>
          <w:rFonts w:ascii="Arial" w:eastAsia="Times New Roman" w:hAnsi="Arial" w:cs="Arial"/>
          <w:szCs w:val="24"/>
          <w:lang w:eastAsia="es-ES_tradnl"/>
        </w:rPr>
        <w:t xml:space="preserve"> de aproximadamente</w:t>
      </w:r>
      <w:r w:rsidRPr="00572813">
        <w:rPr>
          <w:rFonts w:ascii="Arial" w:eastAsia="Times New Roman" w:hAnsi="Arial" w:cs="Arial"/>
          <w:szCs w:val="24"/>
          <w:lang w:eastAsia="es-ES_tradnl"/>
        </w:rPr>
        <w:t xml:space="preserve"> $29 millones de pesos para la Implementación de la Reforma al Sistema de Justicia Laboral en el estado, entre otros.</w:t>
      </w:r>
    </w:p>
    <w:p w:rsidR="00572813" w:rsidRPr="00572813" w:rsidRDefault="00572813" w:rsidP="00572813">
      <w:pPr>
        <w:spacing w:beforeAutospacing="1" w:afterAutospacing="1" w:line="240" w:lineRule="auto"/>
        <w:jc w:val="both"/>
        <w:rPr>
          <w:rFonts w:ascii="Arial" w:eastAsia="Times New Roman" w:hAnsi="Arial" w:cs="Arial"/>
          <w:szCs w:val="24"/>
          <w:lang w:eastAsia="es-ES_tradnl"/>
        </w:rPr>
      </w:pPr>
      <w:r w:rsidRPr="00572813">
        <w:rPr>
          <w:rFonts w:ascii="Arial" w:eastAsia="Times New Roman" w:hAnsi="Arial" w:cs="Arial"/>
          <w:szCs w:val="24"/>
          <w:lang w:eastAsia="es-ES_tradnl"/>
        </w:rPr>
        <w:t xml:space="preserve">Excluyendo los recursos que recaudan directamente las entidades y los ingresos por disposiciones del financiamiento de largo plazo autorizado en 2022, se proyecta cerrar este ejercicio fiscal con una recaudación de $43,815 millones de pesos. </w:t>
      </w:r>
    </w:p>
    <w:p w:rsidR="00572813" w:rsidRPr="00572813" w:rsidRDefault="00572813" w:rsidP="00572813">
      <w:pPr>
        <w:spacing w:before="100" w:beforeAutospacing="1" w:after="100" w:afterAutospacing="1" w:line="240" w:lineRule="auto"/>
        <w:jc w:val="both"/>
        <w:rPr>
          <w:rFonts w:ascii="Arial" w:hAnsi="Arial" w:cs="Arial"/>
          <w:b/>
          <w:bCs/>
          <w:szCs w:val="24"/>
        </w:rPr>
      </w:pPr>
      <w:r w:rsidRPr="00572813">
        <w:rPr>
          <w:rFonts w:ascii="Arial" w:hAnsi="Arial" w:cs="Arial"/>
          <w:b/>
          <w:bCs/>
          <w:szCs w:val="24"/>
        </w:rPr>
        <w:t>3. Objetivos anuales, estrategias y metas</w:t>
      </w:r>
    </w:p>
    <w:p w:rsidR="00572813" w:rsidRPr="00EE354B" w:rsidRDefault="00572813" w:rsidP="00572813">
      <w:pPr>
        <w:spacing w:before="100" w:beforeAutospacing="1" w:after="100" w:afterAutospacing="1" w:line="240" w:lineRule="auto"/>
        <w:jc w:val="both"/>
        <w:rPr>
          <w:rFonts w:ascii="Arial" w:hAnsi="Arial" w:cs="Arial"/>
          <w:bCs/>
          <w:i/>
          <w:szCs w:val="24"/>
        </w:rPr>
      </w:pPr>
      <w:r w:rsidRPr="005040CD">
        <w:rPr>
          <w:rFonts w:ascii="Arial" w:hAnsi="Arial" w:cs="Arial"/>
          <w:bCs/>
          <w:i/>
          <w:szCs w:val="24"/>
        </w:rPr>
        <w:t>3.1.</w:t>
      </w:r>
      <w:r w:rsidRPr="00EE354B">
        <w:rPr>
          <w:rFonts w:ascii="Arial" w:hAnsi="Arial" w:cs="Arial"/>
          <w:bCs/>
          <w:i/>
          <w:szCs w:val="24"/>
        </w:rPr>
        <w:t xml:space="preserve"> Política de ingresos</w:t>
      </w:r>
    </w:p>
    <w:p w:rsidR="00572813" w:rsidRPr="00572813" w:rsidRDefault="00572813" w:rsidP="00572813">
      <w:pPr>
        <w:spacing w:before="100" w:beforeAutospacing="1" w:after="100" w:afterAutospacing="1" w:line="240" w:lineRule="auto"/>
        <w:jc w:val="both"/>
        <w:rPr>
          <w:rFonts w:ascii="Arial" w:hAnsi="Arial" w:cs="Arial"/>
          <w:szCs w:val="28"/>
        </w:rPr>
      </w:pPr>
      <w:r w:rsidRPr="00572813">
        <w:rPr>
          <w:rFonts w:ascii="Arial" w:hAnsi="Arial" w:cs="Arial"/>
          <w:szCs w:val="24"/>
        </w:rPr>
        <w:t xml:space="preserve">La política de ingresos está </w:t>
      </w:r>
      <w:r w:rsidRPr="00572813">
        <w:rPr>
          <w:rFonts w:ascii="Arial" w:hAnsi="Arial" w:cs="Arial"/>
          <w:szCs w:val="28"/>
        </w:rPr>
        <w:t>dirigida</w:t>
      </w:r>
      <w:r w:rsidRPr="00572813">
        <w:rPr>
          <w:rFonts w:ascii="Arial" w:hAnsi="Arial" w:cs="Arial"/>
          <w:szCs w:val="24"/>
        </w:rPr>
        <w:t xml:space="preserve"> a </w:t>
      </w:r>
      <w:r w:rsidRPr="00572813">
        <w:rPr>
          <w:rFonts w:ascii="Arial" w:hAnsi="Arial" w:cs="Arial"/>
          <w:szCs w:val="28"/>
        </w:rPr>
        <w:t>mantener unas finanzas públicas sanas, para el ejercicio fiscal 2023 y continuar contribuyendo</w:t>
      </w:r>
      <w:r w:rsidRPr="00572813">
        <w:rPr>
          <w:rFonts w:ascii="Arial" w:hAnsi="Arial" w:cs="Arial"/>
          <w:szCs w:val="24"/>
        </w:rPr>
        <w:t xml:space="preserve"> a </w:t>
      </w:r>
      <w:r w:rsidRPr="00572813">
        <w:rPr>
          <w:rFonts w:ascii="Arial" w:hAnsi="Arial" w:cs="Arial"/>
          <w:szCs w:val="28"/>
        </w:rPr>
        <w:t>la sostenibilidad del espacio fiscal a través de una mayor eficiencia tributaria</w:t>
      </w:r>
      <w:r w:rsidRPr="00572813">
        <w:rPr>
          <w:rFonts w:ascii="Arial" w:hAnsi="Arial" w:cs="Arial"/>
          <w:szCs w:val="24"/>
        </w:rPr>
        <w:t xml:space="preserve"> y </w:t>
      </w:r>
      <w:r w:rsidRPr="00572813">
        <w:rPr>
          <w:rFonts w:ascii="Arial" w:hAnsi="Arial" w:cs="Arial"/>
          <w:szCs w:val="28"/>
        </w:rPr>
        <w:t>el fortalecimiento de la coordinación fiscal en el marco</w:t>
      </w:r>
      <w:r w:rsidRPr="00572813">
        <w:rPr>
          <w:rFonts w:ascii="Arial" w:hAnsi="Arial" w:cs="Arial"/>
          <w:szCs w:val="24"/>
        </w:rPr>
        <w:t xml:space="preserve"> del </w:t>
      </w:r>
      <w:r w:rsidRPr="00572813">
        <w:rPr>
          <w:rFonts w:ascii="Arial" w:hAnsi="Arial" w:cs="Arial"/>
          <w:szCs w:val="28"/>
        </w:rPr>
        <w:t>Pacto Fiscal Federal.</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8"/>
        </w:rPr>
        <w:t>Para ello,</w:t>
      </w:r>
      <w:r w:rsidRPr="00572813">
        <w:rPr>
          <w:rFonts w:ascii="Arial" w:hAnsi="Arial" w:cs="Arial"/>
          <w:szCs w:val="24"/>
        </w:rPr>
        <w:t xml:space="preserve"> la administración tributaria de la entidad en esta ley prevé las siguientes acciones</w:t>
      </w:r>
      <w:r w:rsidRPr="00572813">
        <w:rPr>
          <w:rFonts w:ascii="Arial" w:hAnsi="Arial" w:cs="Arial"/>
          <w:szCs w:val="28"/>
        </w:rPr>
        <w:t>:</w:t>
      </w:r>
      <w:r w:rsidRPr="00572813">
        <w:rPr>
          <w:rFonts w:ascii="Arial" w:hAnsi="Arial" w:cs="Arial"/>
          <w:szCs w:val="28"/>
        </w:rPr>
        <w:tab/>
      </w:r>
    </w:p>
    <w:p w:rsidR="00572813" w:rsidRPr="00572813" w:rsidRDefault="00572813" w:rsidP="00572813">
      <w:pPr>
        <w:spacing w:before="100" w:beforeAutospacing="1" w:after="100" w:afterAutospacing="1" w:line="240" w:lineRule="auto"/>
        <w:ind w:left="708"/>
        <w:jc w:val="both"/>
        <w:rPr>
          <w:rFonts w:ascii="Arial" w:hAnsi="Arial" w:cs="Arial"/>
          <w:szCs w:val="24"/>
        </w:rPr>
      </w:pPr>
      <w:r w:rsidRPr="00572813">
        <w:rPr>
          <w:rFonts w:ascii="Arial" w:hAnsi="Arial" w:cs="Arial"/>
          <w:szCs w:val="24"/>
        </w:rPr>
        <w:t>a)</w:t>
      </w:r>
      <w:r w:rsidR="005040CD">
        <w:rPr>
          <w:rFonts w:ascii="Arial" w:hAnsi="Arial" w:cs="Arial"/>
          <w:szCs w:val="24"/>
        </w:rPr>
        <w:t xml:space="preserve"> </w:t>
      </w:r>
      <w:r w:rsidRPr="00572813">
        <w:rPr>
          <w:rFonts w:ascii="Arial" w:hAnsi="Arial" w:cs="Arial"/>
          <w:szCs w:val="28"/>
        </w:rPr>
        <w:t>Favorecer la consolidación de los ingresos fiscales locales mediante</w:t>
      </w:r>
      <w:r w:rsidRPr="00572813">
        <w:rPr>
          <w:rFonts w:ascii="Arial" w:hAnsi="Arial" w:cs="Arial"/>
          <w:szCs w:val="24"/>
        </w:rPr>
        <w:t xml:space="preserve"> un incremento de </w:t>
      </w:r>
      <w:r w:rsidRPr="00572813">
        <w:rPr>
          <w:rFonts w:ascii="Arial" w:hAnsi="Arial" w:cs="Arial"/>
          <w:szCs w:val="28"/>
        </w:rPr>
        <w:t>15%</w:t>
      </w:r>
      <w:r w:rsidRPr="00572813">
        <w:rPr>
          <w:rFonts w:ascii="Arial" w:hAnsi="Arial" w:cs="Arial"/>
          <w:szCs w:val="24"/>
        </w:rPr>
        <w:t xml:space="preserve"> en la recaudación de </w:t>
      </w:r>
      <w:r w:rsidRPr="00572813">
        <w:rPr>
          <w:rFonts w:ascii="Arial" w:hAnsi="Arial" w:cs="Arial"/>
          <w:szCs w:val="28"/>
        </w:rPr>
        <w:t>este rubro respecto a lo proyectado para</w:t>
      </w:r>
      <w:r w:rsidRPr="00572813">
        <w:rPr>
          <w:rFonts w:ascii="Arial" w:hAnsi="Arial" w:cs="Arial"/>
          <w:szCs w:val="24"/>
        </w:rPr>
        <w:t xml:space="preserve"> el ejercicio </w:t>
      </w:r>
      <w:r w:rsidRPr="00572813">
        <w:rPr>
          <w:rFonts w:ascii="Arial" w:hAnsi="Arial" w:cs="Arial"/>
          <w:szCs w:val="28"/>
        </w:rPr>
        <w:t>2022.</w:t>
      </w:r>
    </w:p>
    <w:p w:rsidR="00572813" w:rsidRPr="00572813" w:rsidRDefault="00572813" w:rsidP="00572813">
      <w:pPr>
        <w:spacing w:before="100" w:beforeAutospacing="1" w:after="100" w:afterAutospacing="1" w:line="240" w:lineRule="auto"/>
        <w:ind w:left="708"/>
        <w:jc w:val="both"/>
        <w:rPr>
          <w:rFonts w:ascii="Arial" w:hAnsi="Arial" w:cs="Arial"/>
          <w:szCs w:val="24"/>
        </w:rPr>
      </w:pPr>
      <w:r w:rsidRPr="00572813">
        <w:rPr>
          <w:rFonts w:ascii="Arial" w:hAnsi="Arial" w:cs="Arial"/>
          <w:szCs w:val="24"/>
        </w:rPr>
        <w:t xml:space="preserve">b) </w:t>
      </w:r>
      <w:r w:rsidRPr="00572813">
        <w:rPr>
          <w:rFonts w:ascii="Arial" w:hAnsi="Arial" w:cs="Arial"/>
          <w:szCs w:val="28"/>
        </w:rPr>
        <w:t>Mantener</w:t>
      </w:r>
      <w:r w:rsidRPr="00572813">
        <w:rPr>
          <w:rFonts w:ascii="Arial" w:hAnsi="Arial" w:cs="Arial"/>
          <w:szCs w:val="24"/>
        </w:rPr>
        <w:t xml:space="preserve"> un trabajo coordinado con </w:t>
      </w:r>
      <w:r w:rsidRPr="00572813">
        <w:rPr>
          <w:rFonts w:ascii="Arial" w:hAnsi="Arial" w:cs="Arial"/>
          <w:szCs w:val="28"/>
        </w:rPr>
        <w:t>los</w:t>
      </w:r>
      <w:r w:rsidRPr="00572813">
        <w:rPr>
          <w:rFonts w:ascii="Arial" w:hAnsi="Arial" w:cs="Arial"/>
          <w:szCs w:val="24"/>
        </w:rPr>
        <w:t xml:space="preserve"> diferentes </w:t>
      </w:r>
      <w:r w:rsidRPr="00572813">
        <w:rPr>
          <w:rFonts w:ascii="Arial" w:hAnsi="Arial" w:cs="Arial"/>
          <w:szCs w:val="28"/>
        </w:rPr>
        <w:t>entes</w:t>
      </w:r>
      <w:r w:rsidRPr="00572813">
        <w:rPr>
          <w:rFonts w:ascii="Arial" w:hAnsi="Arial" w:cs="Arial"/>
          <w:szCs w:val="24"/>
        </w:rPr>
        <w:t xml:space="preserve"> de la Administración Pública estatal, así como facilitar e incentivar al contribuyente a cumplir con sus obligaciones fiscales, ofreciendo más canales de atención</w:t>
      </w:r>
      <w:r w:rsidRPr="00572813">
        <w:rPr>
          <w:rFonts w:ascii="Arial" w:hAnsi="Arial" w:cs="Arial"/>
          <w:szCs w:val="28"/>
        </w:rPr>
        <w:t xml:space="preserve"> de la mano con herramientas tecnológicas.</w:t>
      </w:r>
    </w:p>
    <w:p w:rsidR="00572813" w:rsidRPr="00572813" w:rsidRDefault="00572813" w:rsidP="00572813">
      <w:pPr>
        <w:spacing w:before="100" w:beforeAutospacing="1" w:after="100" w:afterAutospacing="1" w:line="240" w:lineRule="auto"/>
        <w:ind w:left="708"/>
        <w:jc w:val="both"/>
        <w:rPr>
          <w:rFonts w:ascii="Arial" w:hAnsi="Arial" w:cs="Arial"/>
          <w:szCs w:val="24"/>
        </w:rPr>
      </w:pPr>
      <w:r w:rsidRPr="00572813">
        <w:rPr>
          <w:rFonts w:ascii="Arial" w:hAnsi="Arial" w:cs="Arial"/>
          <w:szCs w:val="24"/>
        </w:rPr>
        <w:lastRenderedPageBreak/>
        <w:t>c) Privilegiar el acercamiento y cumplimiento voluntario de los contribuyentes, con un enfoque en la vigilancia, control y fiscalización de sus obligaciones fiscales.</w:t>
      </w:r>
    </w:p>
    <w:p w:rsidR="00572813" w:rsidRPr="00572813" w:rsidRDefault="00572813" w:rsidP="00572813">
      <w:pPr>
        <w:spacing w:before="100" w:beforeAutospacing="1" w:after="100" w:afterAutospacing="1" w:line="240" w:lineRule="auto"/>
        <w:ind w:left="708"/>
        <w:jc w:val="both"/>
        <w:rPr>
          <w:rFonts w:ascii="Arial" w:hAnsi="Arial" w:cs="Arial"/>
          <w:szCs w:val="24"/>
        </w:rPr>
      </w:pPr>
      <w:r w:rsidRPr="00572813">
        <w:rPr>
          <w:rFonts w:ascii="Arial" w:hAnsi="Arial" w:cs="Arial"/>
          <w:szCs w:val="24"/>
        </w:rPr>
        <w:t xml:space="preserve">d) </w:t>
      </w:r>
      <w:r w:rsidRPr="00572813">
        <w:rPr>
          <w:rFonts w:ascii="Arial" w:hAnsi="Arial" w:cs="Arial"/>
          <w:szCs w:val="28"/>
        </w:rPr>
        <w:t>Impulsar</w:t>
      </w:r>
      <w:r w:rsidRPr="00572813">
        <w:rPr>
          <w:rFonts w:ascii="Arial" w:hAnsi="Arial" w:cs="Arial"/>
          <w:szCs w:val="24"/>
        </w:rPr>
        <w:t xml:space="preserve"> acciones coordinadas con </w:t>
      </w:r>
      <w:r w:rsidRPr="00572813">
        <w:rPr>
          <w:rFonts w:ascii="Arial" w:hAnsi="Arial" w:cs="Arial"/>
          <w:szCs w:val="28"/>
        </w:rPr>
        <w:t>todos los niveles de gobierno</w:t>
      </w:r>
      <w:r w:rsidRPr="00572813">
        <w:rPr>
          <w:rFonts w:ascii="Arial" w:hAnsi="Arial" w:cs="Arial"/>
          <w:szCs w:val="24"/>
        </w:rPr>
        <w:t xml:space="preserve"> para lograr </w:t>
      </w:r>
      <w:r w:rsidRPr="00572813">
        <w:rPr>
          <w:rFonts w:ascii="Arial" w:hAnsi="Arial" w:cs="Arial"/>
          <w:szCs w:val="28"/>
        </w:rPr>
        <w:t xml:space="preserve">el cumplimiento de </w:t>
      </w:r>
      <w:r w:rsidRPr="00572813">
        <w:rPr>
          <w:rFonts w:ascii="Arial" w:hAnsi="Arial" w:cs="Arial"/>
          <w:szCs w:val="24"/>
        </w:rPr>
        <w:t xml:space="preserve">los objetivos </w:t>
      </w:r>
      <w:r w:rsidRPr="00572813">
        <w:rPr>
          <w:rFonts w:ascii="Arial" w:hAnsi="Arial" w:cs="Arial"/>
          <w:szCs w:val="28"/>
        </w:rPr>
        <w:t>de fiscalización a través</w:t>
      </w:r>
      <w:r w:rsidRPr="00572813">
        <w:rPr>
          <w:rFonts w:ascii="Arial" w:hAnsi="Arial" w:cs="Arial"/>
          <w:szCs w:val="24"/>
        </w:rPr>
        <w:t xml:space="preserve"> del Convenio de Colaboración Administrativa en Materia Fiscal Federal.</w:t>
      </w:r>
    </w:p>
    <w:p w:rsidR="00572813" w:rsidRPr="00EE354B" w:rsidRDefault="00572813" w:rsidP="00572813">
      <w:pPr>
        <w:spacing w:before="100" w:beforeAutospacing="1" w:after="100" w:afterAutospacing="1" w:line="240" w:lineRule="auto"/>
        <w:jc w:val="both"/>
        <w:rPr>
          <w:rFonts w:ascii="Arial" w:hAnsi="Arial" w:cs="Arial"/>
          <w:bCs/>
          <w:i/>
          <w:szCs w:val="24"/>
          <w:lang w:val="es-ES"/>
        </w:rPr>
      </w:pPr>
      <w:r w:rsidRPr="00EE354B">
        <w:rPr>
          <w:rFonts w:ascii="Arial" w:hAnsi="Arial" w:cs="Arial"/>
          <w:bCs/>
          <w:i/>
          <w:szCs w:val="24"/>
          <w:lang w:val="es-ES"/>
        </w:rPr>
        <w:t>3.2. Aplicación del Plan Estatal de Desarrollo 2018-2024</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lang w:val="es-ES"/>
        </w:rPr>
        <w:t xml:space="preserve">A partir de los cambios en el contexto mundial, nacional y local, en diciembre de 2021, se tomó la determinación de </w:t>
      </w:r>
      <w:r w:rsidRPr="00572813">
        <w:rPr>
          <w:rFonts w:ascii="Arial" w:hAnsi="Arial" w:cs="Arial"/>
          <w:szCs w:val="24"/>
        </w:rPr>
        <w:t>la formulación de una Agenda 2040 como un documento estratégico para fortalecer el Plan Estatal de Desarrollo 2018-2024 (en lo sucesivo PED 2018-2024). Mediante el Decreto 563/2022 por el que se modifica el Decreto 53/2019 por el que se aprueba y ordena la publicación del Plan Estatal de Desarrollo 2018-2024, publicado en el Diario Oficial del Gobierno del Estado de Yucatán el 25 de octubre de 2022, se actualizó el PED 2018-2024.</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El </w:t>
      </w:r>
      <w:r w:rsidR="006D03B4" w:rsidRPr="00572813">
        <w:rPr>
          <w:rFonts w:ascii="Arial" w:hAnsi="Arial" w:cs="Arial"/>
          <w:szCs w:val="24"/>
        </w:rPr>
        <w:t>PED 2018-2024</w:t>
      </w:r>
      <w:r w:rsidR="006D03B4">
        <w:rPr>
          <w:rFonts w:ascii="Arial" w:hAnsi="Arial" w:cs="Arial"/>
          <w:szCs w:val="24"/>
        </w:rPr>
        <w:t xml:space="preserve">, </w:t>
      </w:r>
      <w:r w:rsidRPr="00572813">
        <w:rPr>
          <w:rFonts w:ascii="Arial" w:hAnsi="Arial" w:cs="Arial"/>
          <w:szCs w:val="24"/>
        </w:rPr>
        <w:t xml:space="preserve">es el instrumento rector de la política gubernamental en Yucatán, ya que es la guía que define las principales acciones para el estado en congruencia con el Plan Nacional de Desarrollo y los programas que de este deriven. </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La incorporación de la Agenda 2040 en los procesos de programación, presupuestación, ejercicio, seguimiento, evaluación y rendición de cuentas permitirán seguir abonando al logro de las metas previstas y al cumplimiento pleno de los Objetivos de Desarrollo Sostenible en el ámbito estatal, así como las metas respectivas plasmadas.</w:t>
      </w:r>
    </w:p>
    <w:p w:rsidR="00572813" w:rsidRPr="00572813" w:rsidRDefault="00572813" w:rsidP="00572813">
      <w:pPr>
        <w:spacing w:before="100" w:beforeAutospacing="1" w:after="100" w:afterAutospacing="1" w:line="240" w:lineRule="auto"/>
        <w:jc w:val="both"/>
        <w:rPr>
          <w:rFonts w:ascii="Arial" w:hAnsi="Arial" w:cs="Arial"/>
          <w:szCs w:val="24"/>
          <w:lang w:val="es-ES"/>
        </w:rPr>
      </w:pPr>
      <w:r w:rsidRPr="00572813">
        <w:rPr>
          <w:rFonts w:ascii="Arial" w:hAnsi="Arial" w:cs="Arial"/>
          <w:szCs w:val="24"/>
        </w:rPr>
        <w:t>La actualización del PED</w:t>
      </w:r>
      <w:r w:rsidR="005040CD">
        <w:rPr>
          <w:rFonts w:ascii="Arial" w:hAnsi="Arial" w:cs="Arial"/>
          <w:szCs w:val="24"/>
        </w:rPr>
        <w:t xml:space="preserve"> </w:t>
      </w:r>
      <w:r w:rsidRPr="00572813">
        <w:rPr>
          <w:rFonts w:ascii="Arial" w:hAnsi="Arial" w:cs="Arial"/>
          <w:szCs w:val="24"/>
        </w:rPr>
        <w:t xml:space="preserve">2018-2024 incluye cinco ejes </w:t>
      </w:r>
      <w:r w:rsidRPr="00572813">
        <w:rPr>
          <w:rFonts w:ascii="Arial" w:hAnsi="Arial" w:cs="Arial"/>
          <w:szCs w:val="24"/>
          <w:lang w:val="es-ES"/>
        </w:rPr>
        <w:t>con el fin de facilitar el desarrollo del estado:</w:t>
      </w:r>
    </w:p>
    <w:p w:rsidR="00572813" w:rsidRPr="00572813" w:rsidRDefault="00572813" w:rsidP="00572813">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572813">
        <w:rPr>
          <w:rFonts w:ascii="Arial" w:eastAsia="Calibri" w:hAnsi="Arial" w:cs="Arial"/>
          <w:szCs w:val="24"/>
          <w:lang w:val="es-ES" w:eastAsia="en-US"/>
        </w:rPr>
        <w:t>Yucatán con mejor calidad de vida para las personas</w:t>
      </w:r>
      <w:r w:rsidR="005040CD">
        <w:rPr>
          <w:rFonts w:ascii="Arial" w:eastAsia="Calibri" w:hAnsi="Arial" w:cs="Arial"/>
          <w:szCs w:val="24"/>
          <w:lang w:val="es-ES" w:eastAsia="en-US"/>
        </w:rPr>
        <w:t>.</w:t>
      </w:r>
    </w:p>
    <w:p w:rsidR="00572813" w:rsidRPr="00572813" w:rsidRDefault="00572813" w:rsidP="00572813">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572813">
        <w:rPr>
          <w:rFonts w:ascii="Arial" w:eastAsia="Calibri" w:hAnsi="Arial" w:cs="Arial"/>
          <w:szCs w:val="24"/>
          <w:lang w:val="es-ES" w:eastAsia="en-US"/>
        </w:rPr>
        <w:t>Yucatán próspero y competitivo</w:t>
      </w:r>
      <w:r w:rsidR="005040CD">
        <w:rPr>
          <w:rFonts w:ascii="Arial" w:eastAsia="Calibri" w:hAnsi="Arial" w:cs="Arial"/>
          <w:szCs w:val="24"/>
          <w:lang w:val="es-ES" w:eastAsia="en-US"/>
        </w:rPr>
        <w:t>.</w:t>
      </w:r>
    </w:p>
    <w:p w:rsidR="00572813" w:rsidRPr="00572813" w:rsidRDefault="00572813" w:rsidP="00572813">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572813">
        <w:rPr>
          <w:rFonts w:ascii="Arial" w:eastAsia="Calibri" w:hAnsi="Arial" w:cs="Arial"/>
          <w:szCs w:val="24"/>
          <w:lang w:val="es-ES" w:eastAsia="en-US"/>
        </w:rPr>
        <w:t>Yucatán que cuida al planeta de manera responsable</w:t>
      </w:r>
      <w:r w:rsidR="005040CD">
        <w:rPr>
          <w:rFonts w:ascii="Arial" w:eastAsia="Calibri" w:hAnsi="Arial" w:cs="Arial"/>
          <w:szCs w:val="24"/>
          <w:lang w:val="es-ES" w:eastAsia="en-US"/>
        </w:rPr>
        <w:t>.</w:t>
      </w:r>
    </w:p>
    <w:p w:rsidR="00572813" w:rsidRPr="00572813" w:rsidRDefault="00572813" w:rsidP="00572813">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572813">
        <w:rPr>
          <w:rFonts w:ascii="Arial" w:eastAsia="Calibri" w:hAnsi="Arial" w:cs="Arial"/>
          <w:szCs w:val="24"/>
          <w:lang w:val="es-ES" w:eastAsia="en-US"/>
        </w:rPr>
        <w:t>Yucatán con seguridad, paz, justicia y buen gobierno</w:t>
      </w:r>
      <w:r w:rsidR="005040CD">
        <w:rPr>
          <w:rFonts w:ascii="Arial" w:eastAsia="Calibri" w:hAnsi="Arial" w:cs="Arial"/>
          <w:szCs w:val="24"/>
          <w:lang w:val="es-ES" w:eastAsia="en-US"/>
        </w:rPr>
        <w:t>.</w:t>
      </w:r>
    </w:p>
    <w:p w:rsidR="00572813" w:rsidRDefault="00572813" w:rsidP="00572813">
      <w:pPr>
        <w:numPr>
          <w:ilvl w:val="0"/>
          <w:numId w:val="20"/>
        </w:numPr>
        <w:spacing w:before="100" w:beforeAutospacing="1" w:after="100" w:afterAutospacing="1" w:line="240" w:lineRule="auto"/>
        <w:contextualSpacing/>
        <w:jc w:val="both"/>
        <w:rPr>
          <w:rFonts w:ascii="Arial" w:eastAsia="Calibri" w:hAnsi="Arial" w:cs="Arial"/>
          <w:szCs w:val="24"/>
          <w:lang w:val="es-ES" w:eastAsia="en-US"/>
        </w:rPr>
      </w:pPr>
      <w:r w:rsidRPr="00572813">
        <w:rPr>
          <w:rFonts w:ascii="Arial" w:eastAsia="Calibri" w:hAnsi="Arial" w:cs="Arial"/>
          <w:szCs w:val="24"/>
          <w:lang w:val="es-ES" w:eastAsia="en-US"/>
        </w:rPr>
        <w:t>Yucatán unido con base en alianzas estratégicas.</w:t>
      </w:r>
    </w:p>
    <w:p w:rsidR="005040CD" w:rsidRDefault="005040CD" w:rsidP="00572813">
      <w:pPr>
        <w:spacing w:before="100" w:beforeAutospacing="1" w:after="100" w:afterAutospacing="1" w:line="240" w:lineRule="auto"/>
        <w:jc w:val="both"/>
        <w:rPr>
          <w:rFonts w:ascii="Arial" w:hAnsi="Arial" w:cs="Arial"/>
          <w:szCs w:val="24"/>
          <w:lang w:val="es-ES"/>
        </w:rPr>
      </w:pPr>
    </w:p>
    <w:p w:rsidR="00572813" w:rsidRPr="00572813" w:rsidRDefault="00572813" w:rsidP="00572813">
      <w:pPr>
        <w:spacing w:before="100" w:beforeAutospacing="1" w:after="100" w:afterAutospacing="1" w:line="240" w:lineRule="auto"/>
        <w:jc w:val="both"/>
        <w:rPr>
          <w:rFonts w:ascii="Arial" w:hAnsi="Arial" w:cs="Arial"/>
          <w:szCs w:val="24"/>
          <w:lang w:val="es-ES"/>
        </w:rPr>
      </w:pPr>
      <w:r w:rsidRPr="00572813">
        <w:rPr>
          <w:rFonts w:ascii="Arial" w:hAnsi="Arial" w:cs="Arial"/>
          <w:szCs w:val="24"/>
          <w:lang w:val="es-ES"/>
        </w:rPr>
        <w:lastRenderedPageBreak/>
        <w:t>La obtención</w:t>
      </w:r>
      <w:r w:rsidRPr="00572813">
        <w:rPr>
          <w:rFonts w:ascii="Arial" w:hAnsi="Arial" w:cs="Arial"/>
          <w:szCs w:val="24"/>
        </w:rPr>
        <w:t xml:space="preserve"> de los ingresos estimados para el ejercicio fiscal 2023 permitirán, entre otros fines, cumplir con los compromisos del </w:t>
      </w:r>
      <w:r w:rsidR="005040CD">
        <w:rPr>
          <w:rFonts w:ascii="Arial" w:hAnsi="Arial" w:cs="Arial"/>
          <w:szCs w:val="24"/>
        </w:rPr>
        <w:t>PED</w:t>
      </w:r>
      <w:r w:rsidRPr="00572813">
        <w:rPr>
          <w:rFonts w:ascii="Arial" w:hAnsi="Arial" w:cs="Arial"/>
          <w:szCs w:val="24"/>
        </w:rPr>
        <w:t xml:space="preserve"> 2018-2024.</w:t>
      </w:r>
    </w:p>
    <w:p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4. Estimación de los ingresos para el ejercicio fiscal 2023</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Para el ejercicio fiscal 2023, se estima obtener ingresos totales para el estado por la cantidad de $54,305 millones de pesos. De esta cantidad, $4,427 millones de pesos corresponden a lo que será recaudado directamente por las entidades a través de los conceptos de Cuotas de Aportación de Seguridad Social por $1,586 millones de pesos, y de Venta de Bienes y Servicios por $2,841 millones de pesos.</w:t>
      </w:r>
    </w:p>
    <w:p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szCs w:val="24"/>
        </w:rPr>
        <w:t>Los ingresos recaudados por el sector centralizado se proyectan en $49,878 millones de pesos y se dividen, por su fuente de financiamiento, de la siguiente manera:</w:t>
      </w:r>
    </w:p>
    <w:p w:rsidR="00572813" w:rsidRPr="00572813" w:rsidRDefault="00572813" w:rsidP="00572813">
      <w:pPr>
        <w:spacing w:before="100" w:beforeAutospacing="1" w:after="100" w:afterAutospacing="1" w:line="240" w:lineRule="auto"/>
        <w:ind w:firstLine="708"/>
        <w:jc w:val="both"/>
        <w:rPr>
          <w:rFonts w:ascii="Arial" w:hAnsi="Arial" w:cs="Arial"/>
          <w:szCs w:val="24"/>
        </w:rPr>
      </w:pPr>
      <w:r w:rsidRPr="00572813">
        <w:rPr>
          <w:rFonts w:ascii="Arial" w:hAnsi="Arial" w:cs="Arial"/>
          <w:szCs w:val="24"/>
        </w:rPr>
        <w:t xml:space="preserve">a) </w:t>
      </w:r>
      <w:r w:rsidRPr="00572813">
        <w:rPr>
          <w:rFonts w:ascii="Arial" w:hAnsi="Arial"/>
          <w:i/>
        </w:rPr>
        <w:t>Etiquetados (transferencias federales etiquetadas):</w:t>
      </w:r>
      <w:r w:rsidRPr="00572813">
        <w:rPr>
          <w:rFonts w:ascii="Arial" w:hAnsi="Arial" w:cs="Arial"/>
          <w:szCs w:val="24"/>
        </w:rPr>
        <w:t xml:space="preserve"> se estiman en $22,565 millones de pesos. La mayor parte de los convenios y fondos del </w:t>
      </w:r>
      <w:r w:rsidRPr="00572813">
        <w:rPr>
          <w:rFonts w:ascii="Arial" w:hAnsi="Arial" w:cs="Arial"/>
          <w:szCs w:val="24"/>
        </w:rPr>
        <w:br/>
        <w:t>Ramo 33 considerados en estos ingresos serán definidos durante el primer trimestre del ejercicio, por lo que es probable que algunos de ellos presenten cambios en los montos o reglas de operación. Del mismo modo, es posible que surjan convenios adicionales a los contemplados en esta iniciativa.</w:t>
      </w:r>
    </w:p>
    <w:p w:rsidR="00572813" w:rsidRPr="00572813" w:rsidRDefault="00572813" w:rsidP="00572813">
      <w:pPr>
        <w:spacing w:before="100" w:beforeAutospacing="1" w:after="100" w:afterAutospacing="1" w:line="240" w:lineRule="auto"/>
        <w:ind w:firstLine="708"/>
        <w:jc w:val="both"/>
        <w:rPr>
          <w:rFonts w:ascii="Arial" w:hAnsi="Arial" w:cs="Arial"/>
          <w:szCs w:val="24"/>
        </w:rPr>
      </w:pPr>
      <w:r w:rsidRPr="00572813">
        <w:rPr>
          <w:rFonts w:ascii="Arial" w:hAnsi="Arial" w:cs="Arial"/>
          <w:szCs w:val="24"/>
        </w:rPr>
        <w:t xml:space="preserve">b) </w:t>
      </w:r>
      <w:r w:rsidRPr="00572813">
        <w:rPr>
          <w:rFonts w:ascii="Arial" w:hAnsi="Arial"/>
          <w:i/>
        </w:rPr>
        <w:t>No etiquetados (ingresos de libre disposición):</w:t>
      </w:r>
      <w:r w:rsidRPr="00572813">
        <w:rPr>
          <w:rFonts w:ascii="Arial" w:hAnsi="Arial" w:cs="Arial"/>
          <w:szCs w:val="24"/>
        </w:rPr>
        <w:t xml:space="preserve"> están compuestos por el </w:t>
      </w:r>
      <w:r w:rsidRPr="00572813">
        <w:rPr>
          <w:rFonts w:ascii="Arial" w:hAnsi="Arial" w:cs="Arial"/>
          <w:szCs w:val="24"/>
        </w:rPr>
        <w:br/>
        <w:t xml:space="preserve">Ramo 28 y los ingresos de recaudación fiscal local, y se estiman en $27,313 millones de pesos. La estimación del Ramo 28 se realiza de acuerdo con las cifras publicadas por la Secretaría de Hacienda y Crédito Público en el Proyecto de Presupuesto de Egresos de la Federación para el Ejercicio Fiscal 2022. </w:t>
      </w:r>
      <w:r w:rsidRPr="00572813">
        <w:rPr>
          <w:rFonts w:ascii="Arial" w:hAnsi="Arial"/>
          <w:color w:val="000000"/>
        </w:rPr>
        <w:t xml:space="preserve">Esta proyección, que incluye participaciones federales e incentivos de colaboración fiscal, considera </w:t>
      </w:r>
      <w:r w:rsidRPr="00572813">
        <w:rPr>
          <w:rFonts w:ascii="Arial" w:hAnsi="Arial" w:cs="Arial"/>
          <w:color w:val="000000"/>
          <w:szCs w:val="24"/>
        </w:rPr>
        <w:t>$21,442 mdp,</w:t>
      </w:r>
      <w:r w:rsidRPr="00572813">
        <w:rPr>
          <w:rFonts w:ascii="Arial" w:hAnsi="Arial"/>
          <w:color w:val="000000"/>
        </w:rPr>
        <w:t xml:space="preserve"> lo que representa un incremento de </w:t>
      </w:r>
      <w:r w:rsidRPr="00572813">
        <w:rPr>
          <w:rFonts w:ascii="Arial" w:hAnsi="Arial" w:cs="Arial"/>
          <w:color w:val="000000"/>
          <w:szCs w:val="24"/>
        </w:rPr>
        <w:t>11.3%</w:t>
      </w:r>
      <w:r w:rsidRPr="00572813">
        <w:rPr>
          <w:rFonts w:ascii="Arial" w:hAnsi="Arial"/>
          <w:color w:val="000000"/>
        </w:rPr>
        <w:t xml:space="preserve"> en términos reales respecto a lo estimado </w:t>
      </w:r>
      <w:r w:rsidRPr="00572813">
        <w:rPr>
          <w:rFonts w:ascii="Arial" w:hAnsi="Arial" w:cs="Arial"/>
          <w:color w:val="000000"/>
          <w:szCs w:val="24"/>
        </w:rPr>
        <w:t>de cierre</w:t>
      </w:r>
      <w:r w:rsidRPr="00572813">
        <w:rPr>
          <w:rFonts w:ascii="Arial" w:hAnsi="Arial"/>
          <w:color w:val="000000"/>
        </w:rPr>
        <w:t xml:space="preserve"> de </w:t>
      </w:r>
      <w:r w:rsidRPr="00572813">
        <w:rPr>
          <w:rFonts w:ascii="Arial" w:hAnsi="Arial" w:cs="Arial"/>
          <w:color w:val="000000"/>
          <w:szCs w:val="24"/>
        </w:rPr>
        <w:t>2022.</w:t>
      </w:r>
    </w:p>
    <w:p w:rsidR="00572813" w:rsidRPr="00572813" w:rsidRDefault="00572813" w:rsidP="00572813">
      <w:pPr>
        <w:spacing w:before="100" w:beforeAutospacing="1" w:after="100" w:afterAutospacing="1" w:line="240" w:lineRule="auto"/>
        <w:jc w:val="both"/>
        <w:rPr>
          <w:rFonts w:ascii="Arial" w:hAnsi="Arial"/>
          <w:b/>
        </w:rPr>
      </w:pPr>
      <w:r w:rsidRPr="00572813">
        <w:rPr>
          <w:rFonts w:ascii="Arial" w:hAnsi="Arial" w:cs="Arial"/>
          <w:szCs w:val="24"/>
        </w:rPr>
        <w:t>Los ingresos de recaudación fiscal local se componen de cuatro rubros y derivan de las proyecciones de la Agencia de Administración Fiscal de Yucatán, las cuales contemplan captar $3,330 millones de pesos a través de impuestos; $2,016 millones de pesos por concepto de derechos; $201 millones de pesos por productos y $324 millones de pesos por concepto de aprovechamientos. En total, esta iniciativa contempla $5,870 millones de pesos por estos rubros</w:t>
      </w:r>
      <w:r w:rsidR="002E403E">
        <w:rPr>
          <w:rFonts w:ascii="Arial" w:hAnsi="Arial" w:cs="Arial"/>
          <w:szCs w:val="24"/>
        </w:rPr>
        <w:t>.</w:t>
      </w:r>
    </w:p>
    <w:p w:rsidR="00572813" w:rsidRPr="00EE354B" w:rsidRDefault="00572813" w:rsidP="00572813">
      <w:pPr>
        <w:keepNext/>
        <w:keepLines/>
        <w:suppressAutoHyphens/>
        <w:spacing w:before="100" w:beforeAutospacing="1" w:after="100" w:afterAutospacing="1" w:line="240" w:lineRule="auto"/>
        <w:jc w:val="both"/>
        <w:outlineLvl w:val="1"/>
        <w:rPr>
          <w:rFonts w:ascii="Arial" w:eastAsia="Times New Roman" w:hAnsi="Arial" w:cs="Arial"/>
          <w:bCs/>
          <w:i/>
          <w:iCs/>
          <w:szCs w:val="24"/>
          <w:lang w:eastAsia="en-US"/>
        </w:rPr>
      </w:pPr>
      <w:bookmarkStart w:id="0" w:name="_Toc57036866"/>
      <w:r w:rsidRPr="00EE354B">
        <w:rPr>
          <w:rFonts w:ascii="Arial" w:eastAsia="Times New Roman" w:hAnsi="Arial" w:cs="Arial"/>
          <w:bCs/>
          <w:i/>
          <w:iCs/>
          <w:szCs w:val="24"/>
          <w:lang w:eastAsia="en-US"/>
        </w:rPr>
        <w:lastRenderedPageBreak/>
        <w:t>4.1. Modificaciones a ingresos fiscales</w:t>
      </w:r>
      <w:bookmarkEnd w:id="0"/>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Para el ejercicio fiscal 2023, el Gobierno del estado, no prevé la implementación de nuevos impuestos, ni productos, ni aprovechamientos. </w:t>
      </w:r>
    </w:p>
    <w:p w:rsidR="00572813" w:rsidRPr="00572813" w:rsidRDefault="001C789C" w:rsidP="00572813">
      <w:pPr>
        <w:suppressAutoHyphens/>
        <w:spacing w:before="100" w:beforeAutospacing="1" w:after="100" w:afterAutospacing="1" w:line="240" w:lineRule="auto"/>
        <w:jc w:val="both"/>
        <w:rPr>
          <w:rFonts w:ascii="Arial" w:hAnsi="Arial" w:cs="Arial"/>
          <w:szCs w:val="24"/>
        </w:rPr>
      </w:pPr>
      <w:r>
        <w:rPr>
          <w:rFonts w:ascii="Arial" w:hAnsi="Arial" w:cs="Arial"/>
          <w:szCs w:val="24"/>
        </w:rPr>
        <w:t>El objetivo</w:t>
      </w:r>
      <w:r w:rsidR="00572813" w:rsidRPr="00572813">
        <w:rPr>
          <w:rFonts w:ascii="Arial" w:hAnsi="Arial" w:cs="Arial"/>
          <w:szCs w:val="24"/>
        </w:rPr>
        <w:t xml:space="preserve"> es mejorar la eficiencia recaudatoria sobre la base de los impuestos, derechos, productos y aprovechamientos que actualmente existen. Esto a través de mecanismos de vigilancia y control para el cumplimiento de las obligaciones</w:t>
      </w:r>
      <w:r>
        <w:rPr>
          <w:rFonts w:ascii="Arial" w:hAnsi="Arial" w:cs="Arial"/>
          <w:szCs w:val="24"/>
        </w:rPr>
        <w:t>,</w:t>
      </w:r>
      <w:r w:rsidR="00572813" w:rsidRPr="00572813">
        <w:rPr>
          <w:rFonts w:ascii="Arial" w:hAnsi="Arial" w:cs="Arial"/>
          <w:szCs w:val="24"/>
        </w:rPr>
        <w:t xml:space="preserve"> </w:t>
      </w:r>
      <w:r>
        <w:rPr>
          <w:rFonts w:ascii="Arial" w:hAnsi="Arial" w:cs="Arial"/>
          <w:szCs w:val="24"/>
        </w:rPr>
        <w:t>l</w:t>
      </w:r>
      <w:r w:rsidR="00572813" w:rsidRPr="00572813">
        <w:rPr>
          <w:rFonts w:ascii="Arial" w:hAnsi="Arial" w:cs="Arial"/>
          <w:szCs w:val="24"/>
        </w:rPr>
        <w:t>o cual permitirá identificar omisiones o variaciones relevantes, y en su caso, invitar a los contribuyentes a que corrijan las inconsistencias mediante los diversos medios para su regularización.</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En materia de derechos se armoniza y actualiza este rubro para efecto de homogenizar conceptos con las diferentes normativas. Asimismo, se precisan términos para dar </w:t>
      </w:r>
      <w:r w:rsidRPr="00572813">
        <w:rPr>
          <w:rFonts w:ascii="Arial" w:hAnsi="Arial" w:cs="Arial"/>
          <w:bCs/>
          <w:color w:val="000000" w:themeColor="text1"/>
        </w:rPr>
        <w:t>seguridad y certeza jurídica a los sujetos obligados</w:t>
      </w:r>
      <w:r w:rsidRPr="00572813">
        <w:rPr>
          <w:rFonts w:ascii="Arial" w:hAnsi="Arial" w:cs="Arial"/>
          <w:szCs w:val="24"/>
        </w:rPr>
        <w:t xml:space="preserve">.  </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En cuanto al Código Fiscal del Estado de Yucatán, se proponen reformas con el objeto de actualizar algunos rubros, con el fin de disuadir e inhibir el incumplimiento de las obligaciones fiscales por parte de los contribuyentes. </w:t>
      </w:r>
    </w:p>
    <w:p w:rsidR="00572813" w:rsidRPr="00572813" w:rsidRDefault="00572813" w:rsidP="00572813">
      <w:pPr>
        <w:keepNext/>
        <w:keepLines/>
        <w:suppressAutoHyphens/>
        <w:spacing w:before="100" w:beforeAutospacing="1" w:after="100" w:afterAutospacing="1" w:line="240" w:lineRule="auto"/>
        <w:jc w:val="both"/>
        <w:outlineLvl w:val="0"/>
        <w:rPr>
          <w:rFonts w:ascii="Arial" w:eastAsia="Times New Roman" w:hAnsi="Arial" w:cs="Arial"/>
          <w:b/>
          <w:szCs w:val="24"/>
          <w:lang w:eastAsia="en-US"/>
        </w:rPr>
      </w:pPr>
      <w:bookmarkStart w:id="1" w:name="_Toc57036869"/>
      <w:r w:rsidRPr="00572813">
        <w:rPr>
          <w:rFonts w:ascii="Arial" w:eastAsia="Times New Roman" w:hAnsi="Arial" w:cs="Arial"/>
          <w:b/>
          <w:szCs w:val="24"/>
          <w:lang w:eastAsia="en-US"/>
        </w:rPr>
        <w:t>5. Riesgos relevantes para las finanzas públicas</w:t>
      </w:r>
      <w:bookmarkEnd w:id="1"/>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En cumplimiento de lo establecido en el artículo 5, fracción III, de la Ley de Disciplina Financiera de las Entidades Federativas y los Municipios, y en el artículo 20, fracción III, de la Ley del Presupuesto y Contabilidad Gubernamental del Estado de Yucatán, se presentan los principales riesgos que se detectan para los ingresos que estima percibir el estado en el ejercicio fiscal 2023:</w:t>
      </w:r>
    </w:p>
    <w:p w:rsidR="00572813" w:rsidRPr="00572813" w:rsidRDefault="00572813" w:rsidP="00572813">
      <w:pPr>
        <w:suppressAutoHyphens/>
        <w:spacing w:before="100" w:beforeAutospacing="1" w:after="100" w:afterAutospacing="1" w:line="240" w:lineRule="auto"/>
        <w:ind w:firstLine="708"/>
        <w:jc w:val="both"/>
        <w:rPr>
          <w:rFonts w:ascii="Arial" w:hAnsi="Arial" w:cs="Arial"/>
          <w:szCs w:val="24"/>
        </w:rPr>
      </w:pPr>
      <w:r w:rsidRPr="00572813">
        <w:rPr>
          <w:rFonts w:ascii="Arial" w:hAnsi="Arial" w:cs="Arial"/>
          <w:iCs/>
          <w:szCs w:val="24"/>
        </w:rPr>
        <w:t xml:space="preserve">a) </w:t>
      </w:r>
      <w:r w:rsidRPr="00572813">
        <w:rPr>
          <w:rFonts w:ascii="Arial" w:hAnsi="Arial" w:cs="Arial"/>
          <w:iCs/>
          <w:szCs w:val="24"/>
          <w:u w:val="single"/>
        </w:rPr>
        <w:t>Nueva ola de la pandemia ocasionada por el virus SARS-CoV-2 y su aparejada desaceleración económica</w:t>
      </w:r>
      <w:r w:rsidRPr="00572813">
        <w:rPr>
          <w:rFonts w:ascii="Arial" w:hAnsi="Arial" w:cs="Arial"/>
          <w:szCs w:val="24"/>
          <w:u w:val="single"/>
        </w:rPr>
        <w:t>.</w:t>
      </w:r>
      <w:r w:rsidRPr="00572813">
        <w:rPr>
          <w:rFonts w:ascii="Arial" w:hAnsi="Arial" w:cs="Arial"/>
          <w:szCs w:val="24"/>
        </w:rPr>
        <w:t xml:space="preserve"> De presentarse una nueva ola de COVID, que impacte la actividad económica, implicaría como vimos en el año 2020, una baja recaudación a nivel local y federal, aunada a mayores necesidades de gasto para la atención hospitalaria, prevención y subsidios dirigidos a la población en mayor riesgo.</w:t>
      </w:r>
    </w:p>
    <w:p w:rsidR="00572813" w:rsidRPr="00572813" w:rsidRDefault="00572813" w:rsidP="00572813">
      <w:pPr>
        <w:suppressAutoHyphens/>
        <w:spacing w:before="100" w:beforeAutospacing="1" w:after="100" w:afterAutospacing="1" w:line="240" w:lineRule="auto"/>
        <w:ind w:firstLine="708"/>
        <w:jc w:val="both"/>
        <w:rPr>
          <w:rFonts w:ascii="Arial" w:hAnsi="Arial" w:cs="Arial"/>
          <w:iCs/>
          <w:szCs w:val="24"/>
        </w:rPr>
      </w:pPr>
      <w:r w:rsidRPr="00572813">
        <w:rPr>
          <w:rFonts w:ascii="Arial" w:hAnsi="Arial" w:cs="Arial"/>
          <w:iCs/>
          <w:szCs w:val="24"/>
        </w:rPr>
        <w:t xml:space="preserve">b) </w:t>
      </w:r>
      <w:r w:rsidRPr="00572813">
        <w:rPr>
          <w:rFonts w:ascii="Arial" w:hAnsi="Arial" w:cs="Arial"/>
          <w:iCs/>
          <w:szCs w:val="24"/>
          <w:u w:val="single"/>
        </w:rPr>
        <w:t xml:space="preserve">Recaudación Federal Participable (RFP). </w:t>
      </w:r>
      <w:r w:rsidRPr="00572813">
        <w:rPr>
          <w:rFonts w:ascii="Arial" w:hAnsi="Arial" w:cs="Arial"/>
          <w:iCs/>
          <w:szCs w:val="24"/>
        </w:rPr>
        <w:t xml:space="preserve">En </w:t>
      </w:r>
      <w:r w:rsidR="001C789C">
        <w:rPr>
          <w:rFonts w:ascii="Arial" w:hAnsi="Arial" w:cs="Arial"/>
          <w:iCs/>
          <w:szCs w:val="24"/>
        </w:rPr>
        <w:t xml:space="preserve">caso de presentarse </w:t>
      </w:r>
      <w:r w:rsidRPr="00572813">
        <w:rPr>
          <w:rFonts w:ascii="Arial" w:hAnsi="Arial" w:cs="Arial"/>
          <w:iCs/>
          <w:szCs w:val="24"/>
        </w:rPr>
        <w:t xml:space="preserve">un entorno económico con mayor inflación y menor crecimiento que el estimado por la Secretaría de Hacienda y Crédito Público (SHCP), existe el riesgo que esta coyuntura no permita el logro de las metas de recaudación federal planteadas en el </w:t>
      </w:r>
      <w:r w:rsidR="001C789C">
        <w:rPr>
          <w:rFonts w:ascii="Arial" w:hAnsi="Arial" w:cs="Arial"/>
          <w:iCs/>
          <w:szCs w:val="24"/>
        </w:rPr>
        <w:t>P</w:t>
      </w:r>
      <w:r w:rsidRPr="00572813">
        <w:rPr>
          <w:rFonts w:ascii="Arial" w:hAnsi="Arial" w:cs="Arial"/>
          <w:iCs/>
          <w:szCs w:val="24"/>
        </w:rPr>
        <w:t xml:space="preserve">royecto de </w:t>
      </w:r>
      <w:r w:rsidR="001C789C">
        <w:rPr>
          <w:rFonts w:ascii="Arial" w:hAnsi="Arial" w:cs="Arial"/>
          <w:iCs/>
          <w:szCs w:val="24"/>
        </w:rPr>
        <w:t>P</w:t>
      </w:r>
      <w:r w:rsidRPr="00572813">
        <w:rPr>
          <w:rFonts w:ascii="Arial" w:hAnsi="Arial" w:cs="Arial"/>
          <w:iCs/>
          <w:szCs w:val="24"/>
        </w:rPr>
        <w:t xml:space="preserve">resupuesto </w:t>
      </w:r>
      <w:r w:rsidRPr="00572813">
        <w:rPr>
          <w:rFonts w:ascii="Arial" w:hAnsi="Arial" w:cs="Arial"/>
          <w:iCs/>
          <w:szCs w:val="24"/>
        </w:rPr>
        <w:lastRenderedPageBreak/>
        <w:t xml:space="preserve">de </w:t>
      </w:r>
      <w:r w:rsidR="001C789C">
        <w:rPr>
          <w:rFonts w:ascii="Arial" w:hAnsi="Arial" w:cs="Arial"/>
          <w:iCs/>
          <w:szCs w:val="24"/>
        </w:rPr>
        <w:t>E</w:t>
      </w:r>
      <w:r w:rsidRPr="00572813">
        <w:rPr>
          <w:rFonts w:ascii="Arial" w:hAnsi="Arial" w:cs="Arial"/>
          <w:iCs/>
          <w:szCs w:val="24"/>
        </w:rPr>
        <w:t xml:space="preserve">gresos de la </w:t>
      </w:r>
      <w:r w:rsidR="001C789C">
        <w:rPr>
          <w:rFonts w:ascii="Arial" w:hAnsi="Arial" w:cs="Arial"/>
          <w:iCs/>
          <w:szCs w:val="24"/>
        </w:rPr>
        <w:t>F</w:t>
      </w:r>
      <w:r w:rsidRPr="00572813">
        <w:rPr>
          <w:rFonts w:ascii="Arial" w:hAnsi="Arial" w:cs="Arial"/>
          <w:iCs/>
          <w:szCs w:val="24"/>
        </w:rPr>
        <w:t xml:space="preserve">ederación. En este caso, los ingresos de fondos de Participaciones referenciados a la RFP podrían ser menores a lo estimado. </w:t>
      </w:r>
    </w:p>
    <w:p w:rsidR="00572813" w:rsidRPr="00572813" w:rsidRDefault="00572813" w:rsidP="00572813">
      <w:pPr>
        <w:suppressAutoHyphens/>
        <w:spacing w:before="100" w:beforeAutospacing="1" w:after="100" w:afterAutospacing="1" w:line="240" w:lineRule="auto"/>
        <w:ind w:firstLine="708"/>
        <w:jc w:val="both"/>
        <w:rPr>
          <w:rFonts w:ascii="Arial" w:hAnsi="Arial" w:cs="Arial"/>
          <w:szCs w:val="24"/>
        </w:rPr>
      </w:pPr>
      <w:r w:rsidRPr="00572813">
        <w:rPr>
          <w:rFonts w:ascii="Arial" w:hAnsi="Arial" w:cs="Arial"/>
          <w:iCs/>
          <w:szCs w:val="24"/>
        </w:rPr>
        <w:t xml:space="preserve">c) </w:t>
      </w:r>
      <w:r w:rsidRPr="00572813">
        <w:rPr>
          <w:rFonts w:ascii="Arial" w:hAnsi="Arial" w:cs="Arial"/>
          <w:iCs/>
          <w:szCs w:val="24"/>
          <w:u w:val="single"/>
        </w:rPr>
        <w:t>Ajustes a las participaciones por el cálculo del coeficiente de participaciones 2023.</w:t>
      </w:r>
      <w:r w:rsidRPr="00572813">
        <w:rPr>
          <w:rFonts w:ascii="Arial" w:hAnsi="Arial" w:cs="Arial"/>
          <w:i/>
          <w:szCs w:val="24"/>
        </w:rPr>
        <w:t xml:space="preserve"> </w:t>
      </w:r>
      <w:r w:rsidRPr="00572813">
        <w:rPr>
          <w:rFonts w:ascii="Arial" w:hAnsi="Arial" w:cs="Arial"/>
          <w:szCs w:val="24"/>
        </w:rPr>
        <w:t xml:space="preserve">El coeficiente aplicado para la distribución de recursos del Fondo General de Participaciones se modifica cada año en función de los resultados de recaudación publicados en las Cuentas Públicas previas inmediatas. </w:t>
      </w:r>
    </w:p>
    <w:p w:rsidR="00572813" w:rsidRPr="00572813" w:rsidRDefault="00572813" w:rsidP="00572813">
      <w:pPr>
        <w:suppressAutoHyphens/>
        <w:spacing w:before="100" w:beforeAutospacing="1" w:after="100" w:afterAutospacing="1" w:line="240" w:lineRule="auto"/>
        <w:ind w:firstLine="708"/>
        <w:jc w:val="both"/>
        <w:rPr>
          <w:rFonts w:ascii="Arial" w:hAnsi="Arial" w:cs="Arial"/>
          <w:szCs w:val="24"/>
        </w:rPr>
      </w:pPr>
      <w:r w:rsidRPr="00572813">
        <w:rPr>
          <w:rFonts w:ascii="Arial" w:hAnsi="Arial" w:cs="Arial"/>
          <w:iCs/>
          <w:szCs w:val="24"/>
        </w:rPr>
        <w:t>d)</w:t>
      </w:r>
      <w:r w:rsidRPr="00572813">
        <w:rPr>
          <w:rFonts w:ascii="Arial" w:hAnsi="Arial" w:cs="Arial"/>
          <w:i/>
          <w:szCs w:val="24"/>
        </w:rPr>
        <w:t xml:space="preserve"> </w:t>
      </w:r>
      <w:r w:rsidRPr="00572813">
        <w:rPr>
          <w:rFonts w:ascii="Arial" w:hAnsi="Arial" w:cs="Arial"/>
          <w:iCs/>
          <w:szCs w:val="24"/>
          <w:u w:val="single"/>
        </w:rPr>
        <w:t>Modificaciones fiscales y presupuestales del Gobierno federal.</w:t>
      </w:r>
      <w:r w:rsidRPr="00572813">
        <w:rPr>
          <w:rFonts w:ascii="Arial" w:hAnsi="Arial" w:cs="Arial"/>
          <w:i/>
          <w:szCs w:val="24"/>
        </w:rPr>
        <w:t xml:space="preserve"> </w:t>
      </w:r>
      <w:r w:rsidRPr="00572813">
        <w:rPr>
          <w:rFonts w:ascii="Arial" w:hAnsi="Arial" w:cs="Arial"/>
          <w:szCs w:val="24"/>
        </w:rPr>
        <w:t>Este riesgo se refiere a los recursos que operan las entidades federativas a través de la firma de convenios de colaboración con la federación. Existe incertidumbre sobre si habrá cambios significativos en el marco fiscal vigente o en los programas federales que actualmente existen. El Gobierno del estado ha seguido la estrategia de gestionar y dar cumplimiento a los requisitos para la firma de convenios para la obtención de recursos. En este sentido, el paquete económico 2023 propuesto al H. Congreso del estado ha estimado los ingresos únicamente de aquellos convenios para los que se asignaron recursos en el Presupuesto de Egresos de la Federación 2023.</w:t>
      </w:r>
    </w:p>
    <w:p w:rsidR="00572813" w:rsidRPr="00572813" w:rsidRDefault="00572813" w:rsidP="00572813">
      <w:pPr>
        <w:suppressAutoHyphens/>
        <w:spacing w:before="100" w:beforeAutospacing="1" w:after="100" w:afterAutospacing="1" w:line="240" w:lineRule="auto"/>
        <w:ind w:firstLine="708"/>
        <w:jc w:val="both"/>
        <w:rPr>
          <w:rFonts w:ascii="Arial" w:hAnsi="Arial" w:cs="Arial"/>
          <w:szCs w:val="24"/>
        </w:rPr>
      </w:pPr>
      <w:r w:rsidRPr="00572813">
        <w:rPr>
          <w:rFonts w:ascii="Arial" w:hAnsi="Arial" w:cs="Arial"/>
          <w:iCs/>
          <w:szCs w:val="24"/>
        </w:rPr>
        <w:t>e)</w:t>
      </w:r>
      <w:r w:rsidRPr="00572813">
        <w:rPr>
          <w:rFonts w:ascii="Arial" w:hAnsi="Arial" w:cs="Arial"/>
          <w:i/>
          <w:szCs w:val="24"/>
        </w:rPr>
        <w:t xml:space="preserve"> </w:t>
      </w:r>
      <w:r w:rsidRPr="00572813">
        <w:rPr>
          <w:rFonts w:ascii="Arial" w:hAnsi="Arial" w:cs="Arial"/>
          <w:iCs/>
          <w:szCs w:val="24"/>
          <w:u w:val="single"/>
        </w:rPr>
        <w:t>Modificación de la tasa de referencia.</w:t>
      </w:r>
      <w:r w:rsidRPr="00572813">
        <w:rPr>
          <w:rFonts w:ascii="Arial" w:hAnsi="Arial" w:cs="Arial"/>
          <w:i/>
          <w:szCs w:val="24"/>
        </w:rPr>
        <w:t xml:space="preserve"> </w:t>
      </w:r>
      <w:r w:rsidRPr="00572813">
        <w:rPr>
          <w:rFonts w:ascii="Arial" w:hAnsi="Arial" w:cs="Arial"/>
          <w:szCs w:val="24"/>
        </w:rPr>
        <w:t xml:space="preserve">Un escenario con inflación mayor a la estimada por SHCP, podría resultar en políticas monetarias restrictivas con aumentos a las tasas de interés de referencia fijadas por el Banco Central por encima de lo esperado. </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De presentarse esta situación, las entidades federativas enfrentarían un mayor costo del servicio de la deuda y condiciones menos favorables para acceder o reestructurar los financiamientos. </w:t>
      </w:r>
    </w:p>
    <w:p w:rsidR="00572813" w:rsidRPr="00EE354B" w:rsidRDefault="00572813" w:rsidP="00572813">
      <w:pPr>
        <w:spacing w:before="100" w:beforeAutospacing="1" w:after="100" w:afterAutospacing="1" w:line="240" w:lineRule="auto"/>
        <w:jc w:val="both"/>
        <w:outlineLvl w:val="2"/>
        <w:rPr>
          <w:rFonts w:ascii="Arial" w:eastAsia="Times New Roman" w:hAnsi="Arial" w:cs="Arial"/>
          <w:i/>
          <w:iCs/>
          <w:szCs w:val="24"/>
        </w:rPr>
      </w:pPr>
      <w:r w:rsidRPr="00EE354B">
        <w:rPr>
          <w:rFonts w:ascii="Arial" w:eastAsia="Times New Roman" w:hAnsi="Arial" w:cs="Arial"/>
          <w:i/>
          <w:iCs/>
          <w:szCs w:val="24"/>
        </w:rPr>
        <w:t>5.1. Financiamientos y deuda contingente</w:t>
      </w:r>
    </w:p>
    <w:p w:rsidR="00572813" w:rsidRPr="00572813" w:rsidRDefault="00572813" w:rsidP="00572813">
      <w:pPr>
        <w:spacing w:before="100" w:beforeAutospacing="1" w:after="100" w:afterAutospacing="1" w:line="240" w:lineRule="auto"/>
        <w:jc w:val="both"/>
        <w:rPr>
          <w:rFonts w:ascii="Arial" w:hAnsi="Arial" w:cs="Arial"/>
          <w:bCs/>
          <w:i/>
          <w:szCs w:val="24"/>
          <w:lang w:val="es-ES"/>
        </w:rPr>
      </w:pPr>
      <w:r w:rsidRPr="00572813">
        <w:rPr>
          <w:rFonts w:ascii="Arial" w:hAnsi="Arial" w:cs="Arial"/>
          <w:bCs/>
          <w:i/>
          <w:szCs w:val="24"/>
          <w:lang w:val="es-ES"/>
        </w:rPr>
        <w:t xml:space="preserve">Financiamiento IETRAM y </w:t>
      </w:r>
      <w:r w:rsidR="002E403E">
        <w:rPr>
          <w:rFonts w:ascii="Arial" w:hAnsi="Arial" w:cs="Arial"/>
          <w:bCs/>
          <w:i/>
          <w:szCs w:val="24"/>
          <w:lang w:val="es-ES"/>
        </w:rPr>
        <w:t>o</w:t>
      </w:r>
      <w:r w:rsidRPr="00572813">
        <w:rPr>
          <w:rFonts w:ascii="Arial" w:hAnsi="Arial" w:cs="Arial"/>
          <w:bCs/>
          <w:i/>
          <w:szCs w:val="24"/>
          <w:lang w:val="es-ES"/>
        </w:rPr>
        <w:t>bras complementarias</w:t>
      </w:r>
    </w:p>
    <w:p w:rsidR="00572813" w:rsidRPr="00572813" w:rsidRDefault="00572813" w:rsidP="00572813">
      <w:pPr>
        <w:autoSpaceDE w:val="0"/>
        <w:autoSpaceDN w:val="0"/>
        <w:adjustRightInd w:val="0"/>
        <w:spacing w:before="100" w:beforeAutospacing="1" w:after="100" w:afterAutospacing="1" w:line="240" w:lineRule="auto"/>
        <w:jc w:val="both"/>
        <w:rPr>
          <w:rFonts w:ascii="Arial" w:hAnsi="Arial" w:cs="Arial"/>
          <w:szCs w:val="24"/>
        </w:rPr>
      </w:pPr>
      <w:r w:rsidRPr="00572813">
        <w:rPr>
          <w:rFonts w:ascii="Arial" w:hAnsi="Arial" w:cs="Arial"/>
          <w:szCs w:val="24"/>
        </w:rPr>
        <w:t>En el ejercicio 2022 el H. Congreso del Estado, mediante el “</w:t>
      </w:r>
      <w:r w:rsidRPr="00572813">
        <w:rPr>
          <w:rFonts w:ascii="Arial" w:hAnsi="Arial" w:cs="Arial"/>
          <w:i/>
          <w:szCs w:val="24"/>
        </w:rPr>
        <w:t>Decreto 526/2022 por el que se autoriza al Poder Ejecutivo del Estado de Yucatán para contratar en los ejercicios fiscales 2022 y 2023 uno o varios financiamientos para destinarlos a inversiones públicas productivas y se modifica la Ley de Ingresos del Estado de Yucatán para el Ejercicio Fiscal 2022</w:t>
      </w:r>
      <w:r w:rsidRPr="00572813">
        <w:rPr>
          <w:rFonts w:ascii="Arial" w:hAnsi="Arial" w:cs="Arial"/>
          <w:szCs w:val="24"/>
        </w:rPr>
        <w:t xml:space="preserve">”, publicado en el Diario Oficial del Gobierno del Estado de Yucatán el 30 de junio de 2022, autorizó la contratación de uno o varios financiamientos hasta por la cantidad de $1,735,000,000.00 (Mil setecientos treinta y </w:t>
      </w:r>
      <w:r w:rsidRPr="00572813">
        <w:rPr>
          <w:rFonts w:ascii="Arial" w:hAnsi="Arial" w:cs="Arial"/>
          <w:szCs w:val="24"/>
        </w:rPr>
        <w:lastRenderedPageBreak/>
        <w:t>cinco millones de pesos 00/100 M.N.) a partir de la entrada en vigor de este decreto el</w:t>
      </w:r>
      <w:r w:rsidR="00CF5331">
        <w:rPr>
          <w:rFonts w:ascii="Arial" w:hAnsi="Arial" w:cs="Arial"/>
          <w:szCs w:val="24"/>
        </w:rPr>
        <w:t xml:space="preserve"> </w:t>
      </w:r>
      <w:r w:rsidRPr="00572813">
        <w:rPr>
          <w:rFonts w:ascii="Arial" w:hAnsi="Arial" w:cs="Arial"/>
          <w:szCs w:val="24"/>
        </w:rPr>
        <w:t>1° de julio de 2022, y hasta el 31 de diciembre de 2023.</w:t>
      </w:r>
    </w:p>
    <w:p w:rsidR="00572813" w:rsidRPr="00572813" w:rsidRDefault="00572813" w:rsidP="00572813">
      <w:pPr>
        <w:spacing w:before="280" w:after="280" w:line="240" w:lineRule="auto"/>
        <w:jc w:val="both"/>
        <w:rPr>
          <w:rFonts w:eastAsia="Times New Roman" w:cs="Times New Roman"/>
          <w:szCs w:val="24"/>
        </w:rPr>
      </w:pPr>
      <w:r w:rsidRPr="00572813">
        <w:rPr>
          <w:rFonts w:ascii="Arial" w:eastAsia="Times New Roman" w:hAnsi="Arial" w:cs="Arial"/>
          <w:color w:val="000000"/>
          <w:szCs w:val="24"/>
        </w:rPr>
        <w:t>Con base en el citado decreto, el 6 de septiembre de 2022, el Poder Ejecutivo del Estado</w:t>
      </w:r>
      <w:r w:rsidR="002E403E">
        <w:rPr>
          <w:rFonts w:ascii="Arial" w:eastAsia="Times New Roman" w:hAnsi="Arial" w:cs="Arial"/>
          <w:color w:val="000000"/>
          <w:szCs w:val="24"/>
        </w:rPr>
        <w:t xml:space="preserve"> de Yucatán</w:t>
      </w:r>
      <w:r w:rsidRPr="00572813">
        <w:rPr>
          <w:rFonts w:ascii="Arial" w:eastAsia="Times New Roman" w:hAnsi="Arial" w:cs="Arial"/>
          <w:color w:val="000000"/>
          <w:szCs w:val="24"/>
        </w:rPr>
        <w:t xml:space="preserve"> por conducto de la Secretaría de Administración y Finanzas, contrató un crédito simple por la cantidad de hasta $1,735,000,000.00 (Mil setecientos treinta y cinco millones de pesos 00/100 M.N.) a un plazo de 20 años, con la institución financiera BBVA México, S.A., Institución de Banca Múltiple</w:t>
      </w:r>
      <w:r w:rsidR="002E403E">
        <w:rPr>
          <w:rFonts w:ascii="Arial" w:eastAsia="Times New Roman" w:hAnsi="Arial" w:cs="Arial"/>
          <w:color w:val="000000"/>
          <w:szCs w:val="24"/>
        </w:rPr>
        <w:t xml:space="preserve"> y</w:t>
      </w:r>
      <w:r w:rsidRPr="00572813">
        <w:rPr>
          <w:rFonts w:ascii="Arial" w:eastAsia="Times New Roman" w:hAnsi="Arial" w:cs="Arial"/>
          <w:color w:val="000000"/>
          <w:szCs w:val="24"/>
        </w:rPr>
        <w:t xml:space="preserve"> Grupo Financiero BBVA México. </w:t>
      </w:r>
    </w:p>
    <w:p w:rsidR="00572813" w:rsidRPr="00572813" w:rsidRDefault="00572813" w:rsidP="00572813">
      <w:pPr>
        <w:spacing w:before="280" w:after="280" w:line="240" w:lineRule="auto"/>
        <w:jc w:val="both"/>
        <w:rPr>
          <w:rFonts w:eastAsia="Times New Roman" w:cs="Times New Roman"/>
          <w:szCs w:val="24"/>
        </w:rPr>
      </w:pPr>
      <w:r w:rsidRPr="00572813">
        <w:rPr>
          <w:rFonts w:ascii="Arial" w:eastAsia="Times New Roman" w:hAnsi="Arial" w:cs="Arial"/>
          <w:color w:val="000000"/>
          <w:szCs w:val="24"/>
        </w:rPr>
        <w:t xml:space="preserve">En virtud de lo antes expuesto es posible que durante el ejercicio 2023 se ingrese el monto pendiente de disponer al cierre del ejercicio fiscal 2022. </w:t>
      </w:r>
    </w:p>
    <w:p w:rsidR="00572813" w:rsidRPr="00572813" w:rsidRDefault="00572813" w:rsidP="00572813">
      <w:pPr>
        <w:spacing w:before="100" w:beforeAutospacing="1" w:after="100" w:afterAutospacing="1" w:line="240" w:lineRule="auto"/>
        <w:jc w:val="both"/>
        <w:rPr>
          <w:bCs/>
          <w:i/>
        </w:rPr>
      </w:pPr>
      <w:r w:rsidRPr="00572813">
        <w:rPr>
          <w:rFonts w:ascii="Arial" w:hAnsi="Arial"/>
          <w:i/>
        </w:rPr>
        <w:t>Deuda contingente</w:t>
      </w:r>
    </w:p>
    <w:p w:rsidR="00572813" w:rsidRPr="00572813" w:rsidRDefault="00572813" w:rsidP="00572813">
      <w:pPr>
        <w:spacing w:after="0" w:line="240" w:lineRule="auto"/>
        <w:jc w:val="both"/>
        <w:rPr>
          <w:rFonts w:ascii="Arial" w:hAnsi="Arial" w:cs="Arial"/>
        </w:rPr>
      </w:pPr>
      <w:r w:rsidRPr="00572813">
        <w:rPr>
          <w:rFonts w:ascii="Arial" w:hAnsi="Arial" w:cs="Arial"/>
        </w:rPr>
        <w:t xml:space="preserve">Desde marzo de 2014, el estado no tiene obligaciones relacionadas con deuda contingente, por lo que se manifiesta que, para el ejercicio fiscal </w:t>
      </w:r>
      <w:r w:rsidRPr="00572813">
        <w:rPr>
          <w:rFonts w:ascii="Arial" w:hAnsi="Arial" w:cs="Arial"/>
          <w:szCs w:val="24"/>
        </w:rPr>
        <w:t>2023,</w:t>
      </w:r>
      <w:r w:rsidRPr="00572813">
        <w:rPr>
          <w:rFonts w:ascii="Arial" w:hAnsi="Arial" w:cs="Arial"/>
        </w:rPr>
        <w:t xml:space="preserve"> no se identifican programas o proyectos de inversión de largo plazo con estas características.</w:t>
      </w:r>
    </w:p>
    <w:p w:rsidR="00572813" w:rsidRPr="00572813" w:rsidRDefault="00572813" w:rsidP="00572813">
      <w:pPr>
        <w:keepNext/>
        <w:keepLines/>
        <w:suppressAutoHyphens/>
        <w:spacing w:before="100" w:beforeAutospacing="1" w:after="100" w:afterAutospacing="1" w:line="240" w:lineRule="auto"/>
        <w:jc w:val="both"/>
        <w:outlineLvl w:val="0"/>
        <w:rPr>
          <w:rFonts w:ascii="Arial" w:eastAsia="Times New Roman" w:hAnsi="Arial" w:cs="Arial"/>
          <w:b/>
          <w:szCs w:val="24"/>
          <w:lang w:eastAsia="en-US"/>
        </w:rPr>
      </w:pPr>
      <w:bookmarkStart w:id="2" w:name="_Toc57036870"/>
      <w:r w:rsidRPr="00572813">
        <w:rPr>
          <w:rFonts w:ascii="Arial" w:eastAsia="Times New Roman" w:hAnsi="Arial" w:cs="Arial"/>
          <w:b/>
          <w:szCs w:val="24"/>
          <w:lang w:eastAsia="en-US"/>
        </w:rPr>
        <w:t>6. Contenido de la iniciativa de ley</w:t>
      </w:r>
      <w:bookmarkEnd w:id="2"/>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Esta iniciativa se conforma por treinta y dos artículos, divididos en cuatro capítulos y cinco transitorios. El capítulo I, denominado “Ingresos”, es el más relevante del documento y establece la estimación de los ingresos que el Gobierno del estado, en todos sus ámbitos, considera obtener para el ejercicio fiscal 2023. El capítulo II, denominado “Recaudación y concentración de ingresos”, se refiere a la manera en que se hará la recaudación y cómo se concentrarán los recursos públicos del estado por diversos rubros. El capítulo III, denominado “Sujetos públicos obligados”, únicamente contiene un artículo que refiere a los sujetos públicos obligados al pago de contribuciones. El capítulo IV, denominado “Facilidades a los contribuyentes”, señala las herramientas y los mecanismos encaminados a facilitar el correcto y responsable cumplimiento de las obligaciones tributarias. Finalmente, se incluyen cinco artículos transitorios con disposiciones que permitirán una efectiva entrada en vigor y aplicación de la ley.</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 xml:space="preserve">Es importante mencionar que el artículo 2 de la ley contenida en esta iniciativa, dispone la tabla 1, denominada “Clasificador por rubro de ingresos”, establecida por el Consejo Nacional de Armonización Contable como instrumento de la administración financiera gubernamental. El clasificador se desglosa como mínimo a un tercer nivel, para brindar </w:t>
      </w:r>
      <w:r w:rsidRPr="00572813">
        <w:rPr>
          <w:rFonts w:ascii="Arial" w:hAnsi="Arial" w:cs="Arial"/>
          <w:szCs w:val="24"/>
        </w:rPr>
        <w:lastRenderedPageBreak/>
        <w:t>mayor detalle del origen de los recursos y, a su vez, establecer una determinación más clara en caso de registrar ingresos excedentes.</w:t>
      </w:r>
    </w:p>
    <w:p w:rsidR="00572813" w:rsidRPr="00EE354B" w:rsidRDefault="00572813" w:rsidP="00572813">
      <w:pPr>
        <w:suppressAutoHyphens/>
        <w:spacing w:before="100" w:beforeAutospacing="1" w:after="100" w:afterAutospacing="1" w:line="240" w:lineRule="auto"/>
        <w:jc w:val="both"/>
        <w:rPr>
          <w:rFonts w:ascii="Arial" w:hAnsi="Arial" w:cs="Arial"/>
          <w:bCs/>
          <w:i/>
          <w:iCs/>
          <w:szCs w:val="24"/>
        </w:rPr>
      </w:pPr>
      <w:r w:rsidRPr="00EE354B">
        <w:rPr>
          <w:rFonts w:ascii="Arial" w:hAnsi="Arial" w:cs="Arial"/>
          <w:bCs/>
          <w:i/>
          <w:iCs/>
          <w:szCs w:val="24"/>
        </w:rPr>
        <w:t>6.1. Impacto presupuestario</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Conforme a lo establecido en el artículo 16 de la Ley de Disciplina Financiera de las Entidades Federativas y los Municipios, se señala que esta iniciativa de ley, al ser el punto de partida del proceso de presupuesto de cada ejercicio fiscal, no genera impacto presupuestario. Lo anterior, toda vez que esta iniciativa tiene por objeto establecer los recursos que el estado estima percibir durante el ejercicio fiscal 2023, y de los cuales puede disponer según el Presupuesto de Egresos del Estado de Yucatán para el Ejercicio Fiscal 2023.</w:t>
      </w:r>
    </w:p>
    <w:p w:rsidR="00572813" w:rsidRPr="00572813" w:rsidRDefault="00572813" w:rsidP="00572813">
      <w:pPr>
        <w:suppressAutoHyphens/>
        <w:spacing w:before="100" w:beforeAutospacing="1" w:after="100" w:afterAutospacing="1" w:line="240" w:lineRule="auto"/>
        <w:jc w:val="both"/>
        <w:rPr>
          <w:rFonts w:ascii="Arial" w:hAnsi="Arial" w:cs="Arial"/>
          <w:szCs w:val="24"/>
        </w:rPr>
      </w:pPr>
      <w:r w:rsidRPr="00572813">
        <w:rPr>
          <w:rFonts w:ascii="Arial" w:hAnsi="Arial" w:cs="Arial"/>
          <w:szCs w:val="24"/>
        </w:rPr>
        <w:t>Esta iniciativa se presenta sobre la base del principio fundamental de balance presupuestario sostenible. En relación con el Presupuesto de Egresos del Estado de Yucatán para el Ejercicio Fiscal 2023, se presenta un presupuesto balanceado, sujetando sus gastos a la capacidad financiera establecida en esta iniciativa.</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En virtud de lo anterior, y en ejercicio de la facultad que me confiere el artículo 35, fracción II, de la Constitución Política del Estado de Yucatán, someto a su consideración la siguiente:</w:t>
      </w:r>
    </w:p>
    <w:p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Iniciativa para expedir la Ley de Ingresos del Estado de Yucatán para el Ejercicio Fiscal 2023</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b/>
          <w:szCs w:val="24"/>
        </w:rPr>
        <w:t>Artículo único.</w:t>
      </w:r>
      <w:r w:rsidRPr="00572813">
        <w:rPr>
          <w:rFonts w:ascii="Arial" w:hAnsi="Arial" w:cs="Arial"/>
          <w:szCs w:val="24"/>
        </w:rPr>
        <w:t xml:space="preserve"> Se expide la Ley de Ingresos del Estado de Yucatán para el Ejercicio Fiscal 2023.</w:t>
      </w:r>
    </w:p>
    <w:p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Ley de Ingresos del Estado de Yucatán para el Ejercicio Fiscal 2023</w:t>
      </w:r>
    </w:p>
    <w:p w:rsidR="00572813" w:rsidRPr="00572813" w:rsidRDefault="00572813" w:rsidP="00572813">
      <w:pPr>
        <w:spacing w:before="100" w:beforeAutospacing="1" w:after="100" w:afterAutospacing="1" w:line="240" w:lineRule="auto"/>
        <w:jc w:val="center"/>
        <w:rPr>
          <w:rFonts w:ascii="Arial" w:hAnsi="Arial" w:cs="Arial"/>
          <w:b/>
          <w:szCs w:val="24"/>
        </w:rPr>
      </w:pPr>
      <w:r w:rsidRPr="00572813">
        <w:rPr>
          <w:rFonts w:ascii="Arial" w:hAnsi="Arial" w:cs="Arial"/>
          <w:b/>
          <w:szCs w:val="24"/>
        </w:rPr>
        <w:t>Capítulo I</w:t>
      </w:r>
      <w:r w:rsidRPr="00572813">
        <w:rPr>
          <w:rFonts w:ascii="Arial" w:hAnsi="Arial" w:cs="Arial"/>
          <w:b/>
          <w:szCs w:val="24"/>
        </w:rPr>
        <w:br/>
        <w:t>Ingresos</w:t>
      </w:r>
    </w:p>
    <w:p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Artículo 1. Objeto</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Esta ley tiene por objeto establecer las estimaciones de los ingresos que percibirá el estado de Yucatán durante el ejercicio fiscal comprendido del 1 de enero de 2023 al 31 de diciembre de 2023, que permitirán atender y financiar, entre otros rubros, los gastos, las inversiones públicas, la organización y la prestación de servicios públicos y los </w:t>
      </w:r>
      <w:r w:rsidRPr="00572813">
        <w:rPr>
          <w:rFonts w:ascii="Arial" w:hAnsi="Arial" w:cs="Arial"/>
          <w:szCs w:val="24"/>
        </w:rPr>
        <w:lastRenderedPageBreak/>
        <w:t>proyectos estratégicos, así como trabajar en el cumplimiento de las metas y objetivos del Plan Estatal de Desarrollo 2018-2024.</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Los ingresos referidos en el párrafo anterior se integrarán, de manera enunciativa, mas no limitativa, con los recursos provenientes de impuestos, cuotas y aportaciones de seguridad social, derechos, productos, aprovechamientos, ingresos por venta de bienes y servicios, participaciones, aportaciones, </w:t>
      </w:r>
      <w:r w:rsidR="001C789C">
        <w:rPr>
          <w:rFonts w:ascii="Arial" w:hAnsi="Arial" w:cs="Arial"/>
          <w:szCs w:val="24"/>
        </w:rPr>
        <w:t xml:space="preserve">financiamientos, </w:t>
      </w:r>
      <w:r w:rsidRPr="00572813">
        <w:rPr>
          <w:rFonts w:ascii="Arial" w:hAnsi="Arial" w:cs="Arial"/>
          <w:szCs w:val="24"/>
        </w:rPr>
        <w:t>convenios, incentivos derivados de la colaboración fiscal, fondos distintos de aportaciones y subsidios y subvenciones que determinen esta ley y las demás leyes fiscales aplicables.</w:t>
      </w:r>
    </w:p>
    <w:p w:rsidR="00572813" w:rsidRPr="00572813" w:rsidRDefault="00572813" w:rsidP="00572813">
      <w:pPr>
        <w:spacing w:before="100" w:beforeAutospacing="1" w:after="100" w:afterAutospacing="1" w:line="240" w:lineRule="auto"/>
        <w:jc w:val="both"/>
        <w:rPr>
          <w:rFonts w:ascii="Arial" w:hAnsi="Arial" w:cs="Arial"/>
          <w:b/>
          <w:szCs w:val="24"/>
        </w:rPr>
      </w:pPr>
      <w:r w:rsidRPr="00572813">
        <w:rPr>
          <w:rFonts w:ascii="Arial" w:hAnsi="Arial" w:cs="Arial"/>
          <w:b/>
          <w:szCs w:val="24"/>
        </w:rPr>
        <w:t>Artículo 2. Ingresos</w:t>
      </w:r>
    </w:p>
    <w:p w:rsidR="00572813" w:rsidRPr="00572813" w:rsidRDefault="00572813" w:rsidP="00572813">
      <w:pPr>
        <w:spacing w:before="100" w:beforeAutospacing="1" w:after="100" w:afterAutospacing="1" w:line="240" w:lineRule="auto"/>
        <w:jc w:val="both"/>
        <w:rPr>
          <w:rFonts w:ascii="Arial" w:hAnsi="Arial" w:cs="Arial"/>
          <w:szCs w:val="24"/>
        </w:rPr>
      </w:pPr>
      <w:r w:rsidRPr="00572813">
        <w:rPr>
          <w:rFonts w:ascii="Arial" w:hAnsi="Arial" w:cs="Arial"/>
          <w:szCs w:val="24"/>
        </w:rPr>
        <w:t xml:space="preserve">Los ingresos que el estado de Yucatán percibirá durante el ejercicio fiscal 2023 serán los provenientes de los rubros, tipos y en las cantidades estimadas que a continuación se enumeran: </w:t>
      </w:r>
    </w:p>
    <w:p w:rsidR="00723D3F" w:rsidRDefault="00E56465" w:rsidP="008A39AA">
      <w:pPr>
        <w:pBdr>
          <w:between w:val="single" w:sz="4" w:space="1" w:color="auto"/>
        </w:pBdr>
        <w:spacing w:before="100" w:beforeAutospacing="1" w:after="100" w:afterAutospacing="1" w:line="240" w:lineRule="auto"/>
        <w:jc w:val="center"/>
        <w:rPr>
          <w:rFonts w:ascii="Arial" w:hAnsi="Arial" w:cs="Arial"/>
          <w:b/>
          <w:szCs w:val="24"/>
        </w:rPr>
      </w:pPr>
      <w:r w:rsidRPr="00D93F7E">
        <w:rPr>
          <w:rFonts w:ascii="Arial" w:hAnsi="Arial" w:cs="Arial"/>
          <w:b/>
          <w:szCs w:val="24"/>
        </w:rPr>
        <w:t>Tabla 1. Clasificador por rubro de ingresos</w:t>
      </w:r>
    </w:p>
    <w:tbl>
      <w:tblPr>
        <w:tblW w:w="0" w:type="auto"/>
        <w:jc w:val="center"/>
        <w:tblLayout w:type="fixed"/>
        <w:tblCellMar>
          <w:left w:w="70" w:type="dxa"/>
          <w:right w:w="70" w:type="dxa"/>
        </w:tblCellMar>
        <w:tblLook w:val="04A0"/>
      </w:tblPr>
      <w:tblGrid>
        <w:gridCol w:w="993"/>
        <w:gridCol w:w="6237"/>
        <w:gridCol w:w="1608"/>
      </w:tblGrid>
      <w:tr w:rsidR="00EF1B25" w:rsidRPr="00755A8B" w:rsidTr="0018390A">
        <w:trPr>
          <w:trHeight w:val="300"/>
          <w:jc w:val="center"/>
        </w:trPr>
        <w:tc>
          <w:tcPr>
            <w:tcW w:w="993" w:type="dxa"/>
            <w:tcBorders>
              <w:top w:val="single" w:sz="4" w:space="0" w:color="404040"/>
              <w:left w:val="nil"/>
              <w:bottom w:val="single" w:sz="4" w:space="0" w:color="404040"/>
              <w:right w:val="nil"/>
            </w:tcBorders>
            <w:shd w:val="clear" w:color="000000" w:fill="000000"/>
            <w:vAlign w:val="center"/>
            <w:hideMark/>
          </w:tcPr>
          <w:p w:rsidR="00EF1B25" w:rsidRPr="00755A8B" w:rsidRDefault="00EF1B25" w:rsidP="0018390A">
            <w:pPr>
              <w:spacing w:line="220" w:lineRule="exact"/>
              <w:rPr>
                <w:rFonts w:ascii="Arial" w:hAnsi="Arial" w:cs="Arial"/>
                <w:b/>
                <w:bCs/>
                <w:color w:val="FFFFFF"/>
                <w:sz w:val="20"/>
                <w:szCs w:val="20"/>
              </w:rPr>
            </w:pPr>
            <w:r w:rsidRPr="00755A8B">
              <w:rPr>
                <w:rFonts w:ascii="Arial" w:hAnsi="Arial" w:cs="Arial"/>
                <w:b/>
                <w:bCs/>
                <w:color w:val="FFFFFF"/>
                <w:sz w:val="20"/>
                <w:szCs w:val="20"/>
              </w:rPr>
              <w:t>C.R.I.</w:t>
            </w:r>
          </w:p>
        </w:tc>
        <w:tc>
          <w:tcPr>
            <w:tcW w:w="6237" w:type="dxa"/>
            <w:tcBorders>
              <w:top w:val="single" w:sz="4" w:space="0" w:color="404040"/>
              <w:left w:val="nil"/>
              <w:bottom w:val="single" w:sz="4" w:space="0" w:color="404040"/>
              <w:right w:val="nil"/>
            </w:tcBorders>
            <w:shd w:val="clear" w:color="000000" w:fill="000000"/>
            <w:vAlign w:val="center"/>
            <w:hideMark/>
          </w:tcPr>
          <w:p w:rsidR="00EF1B25" w:rsidRPr="00755A8B" w:rsidRDefault="00EF1B25" w:rsidP="0018390A">
            <w:pPr>
              <w:spacing w:after="0" w:line="220" w:lineRule="exact"/>
              <w:rPr>
                <w:rFonts w:ascii="Arial" w:eastAsia="Times New Roman" w:hAnsi="Arial" w:cs="Arial"/>
                <w:b/>
                <w:bCs/>
                <w:color w:val="FFFFFF"/>
                <w:sz w:val="20"/>
                <w:szCs w:val="20"/>
              </w:rPr>
            </w:pPr>
            <w:r>
              <w:rPr>
                <w:rFonts w:ascii="Arial" w:eastAsia="Times New Roman" w:hAnsi="Arial" w:cs="Arial"/>
                <w:b/>
                <w:bCs/>
                <w:color w:val="FFFFFF"/>
                <w:sz w:val="20"/>
                <w:szCs w:val="20"/>
              </w:rPr>
              <w:t>Concepto</w:t>
            </w:r>
          </w:p>
        </w:tc>
        <w:tc>
          <w:tcPr>
            <w:tcW w:w="1608" w:type="dxa"/>
            <w:tcBorders>
              <w:top w:val="single" w:sz="4" w:space="0" w:color="404040"/>
              <w:left w:val="nil"/>
              <w:bottom w:val="single" w:sz="4" w:space="0" w:color="404040"/>
              <w:right w:val="nil"/>
            </w:tcBorders>
            <w:shd w:val="clear" w:color="000000" w:fill="000000"/>
            <w:vAlign w:val="center"/>
            <w:hideMark/>
          </w:tcPr>
          <w:p w:rsidR="00EF1B25" w:rsidRPr="00755A8B" w:rsidRDefault="00EF1B25" w:rsidP="0018390A">
            <w:pPr>
              <w:spacing w:after="0" w:line="220" w:lineRule="exact"/>
              <w:jc w:val="right"/>
              <w:rPr>
                <w:rFonts w:ascii="Arial" w:eastAsia="Times New Roman" w:hAnsi="Arial" w:cs="Arial"/>
                <w:b/>
                <w:bCs/>
                <w:color w:val="FFFFFF"/>
                <w:sz w:val="20"/>
                <w:szCs w:val="20"/>
              </w:rPr>
            </w:pPr>
            <w:r w:rsidRPr="00755A8B">
              <w:rPr>
                <w:rFonts w:ascii="Arial" w:eastAsia="Times New Roman" w:hAnsi="Arial" w:cs="Arial"/>
                <w:b/>
                <w:bCs/>
                <w:color w:val="FFFFFF"/>
                <w:sz w:val="20"/>
                <w:szCs w:val="20"/>
              </w:rPr>
              <w:t>Totales</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BFBFBF"/>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w:t>
            </w:r>
          </w:p>
        </w:tc>
        <w:tc>
          <w:tcPr>
            <w:tcW w:w="6237" w:type="dxa"/>
            <w:tcBorders>
              <w:top w:val="nil"/>
              <w:left w:val="nil"/>
              <w:bottom w:val="single" w:sz="4" w:space="0" w:color="404040"/>
              <w:right w:val="nil"/>
            </w:tcBorders>
            <w:shd w:val="clear" w:color="000000" w:fill="BFBFBF"/>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Total</w:t>
            </w:r>
          </w:p>
        </w:tc>
        <w:tc>
          <w:tcPr>
            <w:tcW w:w="1608" w:type="dxa"/>
            <w:tcBorders>
              <w:top w:val="nil"/>
              <w:left w:val="nil"/>
              <w:bottom w:val="single" w:sz="4" w:space="0" w:color="404040"/>
              <w:right w:val="nil"/>
            </w:tcBorders>
            <w:shd w:val="clear" w:color="000000" w:fill="BFBFBF"/>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54,305,193,143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1</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Impuestos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3,329,627,742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Impuestos sobre los Ingresos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386,956,294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loterías, rifas, sorteos, concursos y juegos con cruce de apuestas legalmente permitidos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83,253,784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el ejercicio profesional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31,911,777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Cedular sobre la obtención de ingresos por actividades empresariales.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91,381,553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Cedular por la enajenación de bienes inmuebles.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180,409,180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 sobre el patrimonio</w:t>
            </w:r>
          </w:p>
        </w:tc>
        <w:tc>
          <w:tcPr>
            <w:tcW w:w="1608" w:type="dxa"/>
            <w:tcBorders>
              <w:top w:val="nil"/>
              <w:left w:val="nil"/>
              <w:bottom w:val="single" w:sz="4" w:space="0" w:color="404040"/>
              <w:right w:val="nil"/>
            </w:tcBorders>
            <w:shd w:val="clear" w:color="auto" w:fill="auto"/>
            <w:vAlign w:val="center"/>
            <w:hideMark/>
          </w:tcPr>
          <w:p w:rsidR="00EF1B25" w:rsidRPr="00735584" w:rsidRDefault="00735584" w:rsidP="0018390A">
            <w:pPr>
              <w:spacing w:after="0" w:line="220" w:lineRule="exact"/>
              <w:jc w:val="right"/>
              <w:rPr>
                <w:rFonts w:ascii="Arial" w:eastAsia="Times New Roman" w:hAnsi="Arial" w:cs="Arial"/>
                <w:b/>
                <w:bCs/>
                <w:sz w:val="20"/>
                <w:szCs w:val="20"/>
              </w:rPr>
            </w:pPr>
            <w:r w:rsidRPr="00735584">
              <w:rPr>
                <w:rFonts w:ascii="Arial" w:eastAsia="Times New Roman" w:hAnsi="Arial" w:cs="Arial"/>
                <w:b/>
                <w:bCs/>
                <w:sz w:val="20"/>
                <w:szCs w:val="20"/>
              </w:rPr>
              <w:t>0</w:t>
            </w:r>
            <w:r w:rsidR="00EF1B25" w:rsidRPr="00735584">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Tenencia o Uso de Vehículos</w:t>
            </w:r>
          </w:p>
        </w:tc>
        <w:tc>
          <w:tcPr>
            <w:tcW w:w="1608" w:type="dxa"/>
            <w:tcBorders>
              <w:top w:val="nil"/>
              <w:left w:val="nil"/>
              <w:bottom w:val="single" w:sz="4" w:space="0" w:color="404040"/>
              <w:right w:val="nil"/>
            </w:tcBorders>
            <w:shd w:val="clear" w:color="auto" w:fill="auto"/>
            <w:vAlign w:val="center"/>
            <w:hideMark/>
          </w:tcPr>
          <w:p w:rsidR="00EF1B25" w:rsidRPr="00735584" w:rsidRDefault="00735584" w:rsidP="0018390A">
            <w:pPr>
              <w:spacing w:after="0" w:line="220" w:lineRule="exact"/>
              <w:jc w:val="right"/>
              <w:rPr>
                <w:rFonts w:ascii="Arial" w:eastAsia="Times New Roman" w:hAnsi="Arial" w:cs="Arial"/>
                <w:sz w:val="20"/>
                <w:szCs w:val="20"/>
              </w:rPr>
            </w:pPr>
            <w:r w:rsidRPr="00735584">
              <w:rPr>
                <w:rFonts w:ascii="Arial" w:eastAsia="Times New Roman" w:hAnsi="Arial" w:cs="Arial"/>
                <w:sz w:val="20"/>
                <w:szCs w:val="20"/>
              </w:rPr>
              <w:t>0</w:t>
            </w:r>
            <w:r w:rsidR="00EF1B25" w:rsidRPr="00735584">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 sobre la producción, el consumo y las transacciones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543,799,151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Hospedaje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138,315,551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enajenación de vehículos usados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15,074,932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1.3.3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Adicional para la ejecución de obras materiales y asistencia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196,852,178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las erogaciones en juegos y concursos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161,023,249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Casas de Empeño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338,213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la venta final de bebidas con contenido alcohólico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32,195,028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Impuestos al comercio exterior</w:t>
            </w:r>
          </w:p>
        </w:tc>
        <w:tc>
          <w:tcPr>
            <w:tcW w:w="1608" w:type="dxa"/>
            <w:tcBorders>
              <w:top w:val="nil"/>
              <w:left w:val="nil"/>
              <w:bottom w:val="single" w:sz="4" w:space="0" w:color="404040"/>
              <w:right w:val="nil"/>
            </w:tcBorders>
            <w:shd w:val="clear" w:color="auto" w:fill="auto"/>
            <w:vAlign w:val="center"/>
            <w:hideMark/>
          </w:tcPr>
          <w:p w:rsidR="00EF1B25" w:rsidRPr="00755A8B" w:rsidRDefault="00735584" w:rsidP="0018390A">
            <w:pPr>
              <w:spacing w:after="0" w:line="220" w:lineRule="exact"/>
              <w:jc w:val="right"/>
              <w:rPr>
                <w:rFonts w:ascii="Arial" w:eastAsia="Times New Roman" w:hAnsi="Arial" w:cs="Arial"/>
                <w:b/>
                <w:bCs/>
                <w:sz w:val="20"/>
                <w:szCs w:val="20"/>
              </w:rPr>
            </w:pPr>
            <w:r>
              <w:rPr>
                <w:rFonts w:ascii="Arial" w:eastAsia="Times New Roman" w:hAnsi="Arial" w:cs="Arial"/>
                <w:b/>
                <w:bCs/>
                <w:sz w:val="20"/>
                <w:szCs w:val="20"/>
              </w:rPr>
              <w:t>0</w:t>
            </w:r>
            <w:r w:rsidR="00EF1B25"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Al comercio exterior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Impuestos sobre Nóminas y Asimilables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2,226,980,561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erogaciones por remuneración al trabajo personal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2,226,980,561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Impuestos ecológicos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149,990,000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1.6.1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la Emisión de Contaminantes al Suelo, Subsuelo y Agua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96,930,000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1.6.2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la Emisión de Gases a la Atmósfera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53,060,000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Accesorios de Impuestos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21,860,762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1.7.1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Multas, recargos, gastos extraordinarios y otros accesorios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21,860,762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1.7.2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Indemnizaciones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Otros impuestos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1.8.1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impuestos varios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Impuestos no comprendidos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40,974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1.9.1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Sobre tenencia o uso de vehículos.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40,974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2</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Cuotas y Aportaciones de Seguridad Social</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1,585,954,331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Aportaciones para Fondos de Vivienda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Aportaciones para Fondos de Vivienda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Cuotas para la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1,585,954,331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Cuotas para la Seguridad Social de los Trabajadores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1,585,954,331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Cuotas de Ahorro para el Retiro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Cuotas de Ahorro para el Retiro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Otras Cuotas y Aportaciones para la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Otras Cuotas y Aportaciones para la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Accesorios de Cuotas y Aportaciones de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735584" w:rsidP="00735584">
            <w:pPr>
              <w:spacing w:after="0" w:line="220" w:lineRule="exact"/>
              <w:jc w:val="right"/>
              <w:rPr>
                <w:rFonts w:ascii="Arial" w:eastAsia="Times New Roman" w:hAnsi="Arial" w:cs="Arial"/>
                <w:sz w:val="20"/>
                <w:szCs w:val="20"/>
              </w:rPr>
            </w:pPr>
            <w:r>
              <w:rPr>
                <w:rFonts w:ascii="Arial" w:eastAsia="Times New Roman" w:hAnsi="Arial" w:cs="Arial"/>
                <w:sz w:val="20"/>
                <w:szCs w:val="20"/>
              </w:rPr>
              <w:t>0</w:t>
            </w:r>
            <w:r w:rsidR="00EF1B25"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2.5.1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Accesorios de Cuotas y Aportaciones de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3</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Contribuciones de Mejoras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93144C">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93144C">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Contribuciones de Mejoras por Obras Públicas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3.1.1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Otras contribuciones de mejoras por obras públicas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Contribuciones de Mejoras no comprendidas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3.9.1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Contribuciones de Mejoras no comprendidas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4</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Derechos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2,015,803,265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Derechos por el uso, goce, aprovechamiento o explotación de bienes del dominio público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1,011,361,231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el uso, goce o aprovechamiento de bienes de dominio público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221,142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el uso de cementerios y prestación de servicios conexos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el Uso de Bienes del Dominio Público del Estado de Yucatán que operen como Paradores Turísticos de Zonas Arqueológicas y Turísticas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1,011,140,089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Derechos por prestación de servicios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1,003,662,121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Administración Pública en general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7,214,891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Secretaría de Seguridad Pública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226,726,101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Dotación, canje, reposición y baja de placas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85,329,610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Tarjetas de circulación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20,287,493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Expedición de licencias de manejo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80,474,952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4.3.2.4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servicios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5,651,754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Relacionados con vialidad de vehículos de carga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31,817,558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Relacionados con la policía auxiliar y la policía bancaria, industrial y comercial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2,718,567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4.3.2.7</w:t>
            </w:r>
          </w:p>
        </w:tc>
        <w:tc>
          <w:tcPr>
            <w:tcW w:w="6237"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color w:val="000000"/>
                <w:sz w:val="20"/>
                <w:szCs w:val="20"/>
              </w:rPr>
            </w:pPr>
            <w:r w:rsidRPr="00755A8B">
              <w:rPr>
                <w:rFonts w:ascii="Arial" w:eastAsia="Times New Roman" w:hAnsi="Arial" w:cs="Arial"/>
                <w:color w:val="000000"/>
                <w:sz w:val="20"/>
                <w:szCs w:val="20"/>
              </w:rPr>
              <w:t xml:space="preserve"> Seguridad externa en las vialidades y espacios públicos adyacentes en los que se lleven a cabo exposiciones, asambleas, espectáculos públicos, eventos artísticos y demás eventos análogos en general, de conformidad con el aforo de cada uno de ellos. </w:t>
            </w:r>
          </w:p>
        </w:tc>
        <w:tc>
          <w:tcPr>
            <w:tcW w:w="1608"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jc w:val="right"/>
              <w:rPr>
                <w:rFonts w:ascii="Arial" w:eastAsia="Times New Roman" w:hAnsi="Arial" w:cs="Arial"/>
                <w:color w:val="000000"/>
                <w:sz w:val="20"/>
                <w:szCs w:val="20"/>
              </w:rPr>
            </w:pPr>
            <w:r w:rsidRPr="00755A8B">
              <w:rPr>
                <w:rFonts w:ascii="Arial" w:eastAsia="Times New Roman" w:hAnsi="Arial" w:cs="Arial"/>
                <w:color w:val="000000"/>
                <w:sz w:val="20"/>
                <w:szCs w:val="20"/>
              </w:rPr>
              <w:t xml:space="preserve">                                                 30,409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4.3.2.8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Seguridad Privada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415,758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Derechos por los servicios que presta la Consejería Jurídica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94,704,591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Dirección del Registro Civil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88,404,772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Diario Oficial del Gobierno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3,189,239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Servicios que presta la Consejería Jurídica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1,232,766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Dirección del Archivo Notarial</w:t>
            </w:r>
            <w:r>
              <w:rPr>
                <w:rFonts w:ascii="Arial" w:eastAsia="Times New Roman" w:hAnsi="Arial" w:cs="Arial"/>
                <w:sz w:val="20"/>
                <w:szCs w:val="20"/>
              </w:rPr>
              <w:t xml:space="preserve">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1,877,814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el Instituto de Seguridad Jurídica Patrimonial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419,444,092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Dirección del Registro Público de la Propiedad y del Comercio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257,213,394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4.3.4.2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prestan los Fedatarios a quienes el Estado les haya concedido Fe Pública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144,128,247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Dirección de Catastro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18,102,451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Fiscalía General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6,944,381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Secretaría de Educación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10,746,055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Secretaría de Desarrollo Sustentable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59,388,472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Secretaría de Salud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81,339,865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Coordinación Estatal de Protección Civil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1,390,504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el Instituto de Movilidad y Desarrollo Urbano Territorial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11,253,345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Acceso a la información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73,768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4.3.12</w:t>
            </w:r>
          </w:p>
        </w:tc>
        <w:tc>
          <w:tcPr>
            <w:tcW w:w="6237"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los servicios de inspección, control y fiscalización que realiza la Secretaría de la Contraloría General</w:t>
            </w:r>
          </w:p>
        </w:tc>
        <w:tc>
          <w:tcPr>
            <w:tcW w:w="1608"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6,600,000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los servicios de supervisión, vigilancia y registro de máquinas de juegos y apuestas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52,551,151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4.3.14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los servicios que presta el Poder Judicial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Por los servicios de permiso, registro y supervisión para la instalación y operación de casas de empeño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480,509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4.3.16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que presta la Secretaría de Investigación, Innovación y Educación Superior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24,804,395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4.4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Otros Derechos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Derechos no contemplados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4.5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Accesorios de Derechos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779,913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Multas, recargos, gastos extraordinarios y otros accesorios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779,912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4.5.2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Indemnizaciones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4.9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Derechos no comprendidos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4.9.1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Derechos no comprendidos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5</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Productos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200,869,801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Productos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200,869,801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Uso, aprovechamiento o enajenación de bienes de dominio privado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11,292,980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Enajenación de bienes muebles no sujetos a ser inventariados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Accesorios de los Productos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Rendimientos de capitales y valores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189,431,360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5.1.4.1</w:t>
            </w:r>
          </w:p>
        </w:tc>
        <w:tc>
          <w:tcPr>
            <w:tcW w:w="6237"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Rendimientos Propios</w:t>
            </w:r>
          </w:p>
        </w:tc>
        <w:tc>
          <w:tcPr>
            <w:tcW w:w="1608"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189,431,360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5.1.4.2</w:t>
            </w:r>
          </w:p>
        </w:tc>
        <w:tc>
          <w:tcPr>
            <w:tcW w:w="6237"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Rendimientos Federales</w:t>
            </w:r>
          </w:p>
        </w:tc>
        <w:tc>
          <w:tcPr>
            <w:tcW w:w="1608" w:type="dxa"/>
            <w:tcBorders>
              <w:top w:val="nil"/>
              <w:left w:val="nil"/>
              <w:bottom w:val="single" w:sz="4" w:space="0" w:color="404040"/>
              <w:right w:val="nil"/>
            </w:tcBorders>
            <w:shd w:val="clear" w:color="auto" w:fill="auto"/>
            <w:noWrap/>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productos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145,461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5.9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Productos no comprendidos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5.9.1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Productos no comprendidos en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6</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Aprovechamientos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323,671,692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lastRenderedPageBreak/>
              <w:t xml:space="preserve"> 6.1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Aprovechamientos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322,251,108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Recargos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Indemnizaciones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259,178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Multas administrativas y multas impuestas por autoridades judiciales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86,490,430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aprovechamientos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235,501,500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6.1.4.</w:t>
            </w:r>
            <w:r>
              <w:rPr>
                <w:rFonts w:ascii="Arial" w:hAnsi="Arial" w:cs="Arial"/>
                <w:sz w:val="20"/>
                <w:szCs w:val="20"/>
              </w:rPr>
              <w:t>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235,501,500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6.2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Aprovechamientos Patrimoniales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Herencias, legados y donaciones que se hagan a favor del estado o instituciones que dependan de él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6.3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Accesorios de Aprovechamientos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1,420,584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Multas, recargos, gastos extraordinarios y otros accesorios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1,420,583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Indemnizaciones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6.9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Aprovechamientos no comprendidos en las fracciones de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6.9.1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Aprovechamientos no comprendidos en las fracciones de la Ley de Ingresos vigente, causadas en ejercicios fiscales anteriores pendientes de liquidación o pago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7</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Ingresos por ventas de bienes y servicios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2,841,004,855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Instituciones Públicas de Seguridad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265,080,792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 por Venta de Bienes y Prestación de Servicios del Instituto de Seguridad Social de los Trabajadores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105,104,103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Aplicación de reservas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159,976,689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Empresas Productivas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de Empresas Productivas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Prestación de Servicios de Empresas Productivas del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Entidades Paraestatales y Fideicomisos No Empresariales y No Financieros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2,368,731,536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para el Desarrollo de la Cultura Maya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7.3.2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Comisión Ejecutiva de Atención a Victimas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para el Desarrollo y Certificación de la Infraestructura Física Educativa y Eléctrica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Infraestructura Carretera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12,953,595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Junta de Agua Potable y Alcantarillado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507,537,579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para la Construcción y Conservación de Obra Pública en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115,000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Vivienda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204,753,655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del Deporte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8,345,302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Colegio de Bachilleres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39,285,500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Colegio de Estudios Científicos y Tecnológicos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2,023,200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Colegio de Educación Profesional Técnica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12,500,000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Educación para Adultos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Becas y Crédito Educativo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Yucateco de Emprendedores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5,456,400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Casa de las Artesanías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Promotor de Ferias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91,882,312 </w:t>
            </w:r>
          </w:p>
        </w:tc>
      </w:tr>
      <w:tr w:rsidR="00EF1B25" w:rsidRPr="00755A8B" w:rsidTr="00735584">
        <w:trPr>
          <w:trHeight w:val="483"/>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Patronato de las Unidades de Servicios Culturales y Turísticos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66,707,250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Fideicomiso</w:t>
            </w:r>
            <w:r>
              <w:rPr>
                <w:rFonts w:ascii="Arial" w:eastAsia="Times New Roman" w:hAnsi="Arial" w:cs="Arial"/>
                <w:sz w:val="20"/>
                <w:szCs w:val="20"/>
              </w:rPr>
              <w:t xml:space="preserve"> </w:t>
            </w:r>
            <w:r w:rsidRPr="00735584">
              <w:rPr>
                <w:rFonts w:ascii="Arial" w:eastAsia="Times New Roman" w:hAnsi="Arial" w:cs="Arial"/>
                <w:sz w:val="20"/>
                <w:szCs w:val="20"/>
              </w:rPr>
              <w:t>Público</w:t>
            </w:r>
            <w:r w:rsidRPr="00755A8B">
              <w:rPr>
                <w:rFonts w:ascii="Arial" w:eastAsia="Times New Roman" w:hAnsi="Arial" w:cs="Arial"/>
                <w:sz w:val="20"/>
                <w:szCs w:val="20"/>
              </w:rPr>
              <w:t xml:space="preserve"> para el Desarrollo del Turismo de Reuniones en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30,540,474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Movilidad y Desarrollo Urbano Territorial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1,232,695,520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Sistema para el Desarrollo Integral de la Familia en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9,142,869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Junta de Asistencia Privada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Hospital General de Tekax</w:t>
            </w:r>
            <w:r w:rsidRPr="00735584">
              <w:rPr>
                <w:rFonts w:ascii="Arial" w:eastAsia="Times New Roman" w:hAnsi="Arial" w:cs="Arial"/>
                <w:sz w:val="20"/>
                <w:szCs w:val="20"/>
              </w:rPr>
              <w:t>,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Servicios de Salud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Administración del Patrimonio de la Beneficencia Pública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Hospital de la Amistad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3,062,381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7.3.26</w:t>
            </w:r>
          </w:p>
        </w:tc>
        <w:tc>
          <w:tcPr>
            <w:tcW w:w="6237" w:type="dxa"/>
            <w:tcBorders>
              <w:top w:val="nil"/>
              <w:left w:val="nil"/>
              <w:bottom w:val="single" w:sz="4" w:space="0" w:color="404040"/>
              <w:right w:val="nil"/>
            </w:tcBorders>
            <w:shd w:val="clear" w:color="auto" w:fill="auto"/>
            <w:vAlign w:val="center"/>
            <w:hideMark/>
          </w:tcPr>
          <w:p w:rsidR="00EF1B25" w:rsidRPr="00735584" w:rsidRDefault="00EF1B25" w:rsidP="0018390A">
            <w:pPr>
              <w:spacing w:after="0" w:line="220" w:lineRule="exact"/>
              <w:rPr>
                <w:rFonts w:ascii="Arial" w:eastAsia="Times New Roman" w:hAnsi="Arial" w:cs="Arial"/>
                <w:sz w:val="20"/>
                <w:szCs w:val="20"/>
              </w:rPr>
            </w:pPr>
            <w:r w:rsidRPr="00735584">
              <w:rPr>
                <w:rFonts w:ascii="Arial" w:eastAsia="Times New Roman" w:hAnsi="Arial" w:cs="Arial"/>
                <w:sz w:val="20"/>
                <w:szCs w:val="20"/>
              </w:rPr>
              <w:t xml:space="preserve"> Hospital Comunitario de Ticul,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6,820,528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7.3.27</w:t>
            </w:r>
          </w:p>
        </w:tc>
        <w:tc>
          <w:tcPr>
            <w:tcW w:w="6237" w:type="dxa"/>
            <w:tcBorders>
              <w:top w:val="nil"/>
              <w:left w:val="nil"/>
              <w:bottom w:val="single" w:sz="4" w:space="0" w:color="404040"/>
              <w:right w:val="nil"/>
            </w:tcBorders>
            <w:shd w:val="clear" w:color="auto" w:fill="auto"/>
            <w:vAlign w:val="center"/>
            <w:hideMark/>
          </w:tcPr>
          <w:p w:rsidR="00EF1B25" w:rsidRPr="00735584" w:rsidRDefault="00EF1B25" w:rsidP="0018390A">
            <w:pPr>
              <w:spacing w:after="0" w:line="220" w:lineRule="exact"/>
              <w:rPr>
                <w:rFonts w:ascii="Arial" w:eastAsia="Times New Roman" w:hAnsi="Arial" w:cs="Arial"/>
                <w:sz w:val="20"/>
                <w:szCs w:val="20"/>
              </w:rPr>
            </w:pPr>
            <w:r w:rsidRPr="00735584">
              <w:rPr>
                <w:rFonts w:ascii="Arial" w:eastAsia="Times New Roman" w:hAnsi="Arial" w:cs="Arial"/>
                <w:sz w:val="20"/>
                <w:szCs w:val="20"/>
              </w:rPr>
              <w:t xml:space="preserve"> Hospital Comunitario de Peto,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10,762,571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Centro Estatal de Trasplantes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7.3.29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Seguridad Jurídica Patrimonial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Fideicomiso Garante de la Orquesta Sinfónica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20,206,372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Secretaría Técnica de Planeación y Evaluación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229,650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Fideicomiso Público para la Administración de la Reserva Territorial de Ucú</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25,000,000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Escuela Superior de Artes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4,770,636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Tecnológica Metropolitana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27,422,106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Tecnológico Superior de Valladolid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5,980,605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Tecnológica del Centro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2,660,000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Tecnológica del Mayab</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849,800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Tecnológica del Poniente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1,919,071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Tecnológico Superior del Sur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4,080,000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Tecnológico Superior de Motul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3,800,000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Tecnológico Superior de Progreso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4,493,971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de Oriente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4,459,348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Tecnológica Regional del Sur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4,993,470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Politécnica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6,192,910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Agencia para el Desarrollo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de Capacitación para el Trabajo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1,150,000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Fideicomiso Público para la Administración del Palacio de la Música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2,972,600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para la Inclusión de las Personas con Discapacidad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7.3.49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Parque Científico y Tecnológico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566,861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lastRenderedPageBreak/>
              <w:t xml:space="preserve"> 7.4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Entidades Paraestatales Empresariales No Financieras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21,468,212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7.4.2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Sistema Tele Yucatán S.A.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20,277,613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Aeropuerto de Chichén Itzá </w:t>
            </w:r>
            <w:r w:rsidRPr="00735584">
              <w:rPr>
                <w:rFonts w:ascii="Arial" w:eastAsia="Times New Roman" w:hAnsi="Arial" w:cs="Arial"/>
                <w:sz w:val="20"/>
                <w:szCs w:val="20"/>
              </w:rPr>
              <w:t>del Estado de Yucatán,</w:t>
            </w:r>
            <w:r w:rsidRPr="00755A8B">
              <w:rPr>
                <w:rFonts w:ascii="Arial" w:eastAsia="Times New Roman" w:hAnsi="Arial" w:cs="Arial"/>
                <w:sz w:val="20"/>
                <w:szCs w:val="20"/>
              </w:rPr>
              <w:t xml:space="preserve"> S. 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1,190,599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7.4.4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Empresa Portuaria Yucateca S. 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Entidades Paraestatales Empresariales Financieras Monetarias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y Prestación de Servicios de Sistema Tele Yucatán, S.A.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7.5.2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y Prestación del Aeropuerto de Chichén Itzá del Estado de Yucatán, S.A.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7.5.3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y Prestación de la Empresa Portuaria Yucateca, S.A. de C.V.</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Entidades Paraestatales Empresariales Financieras No Monetarias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7.6.1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de Entidades Paraestatales Empresariales Financieras No Monetarias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7.6.2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Prestación de Servicios de Entidades Paraestatales Empresariales Financieras No Monetarias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Fideicomisos Financieros Públicos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7.7.1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Prestación de Servicios de Fideicomisos Financieros Públicos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7.7.2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Ingresos por Venta de Bienes de Fideicomisos Financieros Públicos con Participación Estatal Mayoritaria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Ingresos por Venta de Bienes y Prestación de Servicios de los Poderes Legislativo y Judicial, y de los Órganos Autónomos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185,724,315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7.8.1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Autónoma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185,470,815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7.8.2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Tribunal de Justicia Administrativa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7.8.3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Instituto Estatal de Transparencia, Acceso a la Información Pública y Protección de Datos Personales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253,500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7.9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Otros Ingresos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7.9.1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ingresos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6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lastRenderedPageBreak/>
              <w:t>8</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Participaciones, Aportaciones, Convenios, Incentivos Derivados de la Colaboración Fiscal y Fondos Distintos de Aportaciones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41,712,654,596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Participaciones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20,450,495,112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General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15,073,579,119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Fomento Municipal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1,184,730,027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Especial sobre Producción y Servicios (IEPS)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545,423,752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Compensación sobre Automóviles Nuevos (ISAN)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42,644,766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Fiscalización y Recaudación (FOFIR)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1,434,908,780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Compensación (Repecos e Intermedios)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11,298,706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Venta final de gasolina y diésel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574,154,175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ISR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1,583,755,787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8.1.8.1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ISR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1,335,560,149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8.1.8.2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ISR Municipios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248,195,638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Estabilización de los ingresos de las Entidades Federativas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Estabilización de los ingresos de las Entidades Federativas por Fondo General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8.1.9.2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Estabilización de los ingresos de las Entidades Federativas por Fondo de Fomento Municipal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8.1.9.3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Estabilización de los ingresos de las Entidades Federativas por Fondo de Fiscalización y Recaudación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Aportaciones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17,298,638,573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Nómina Educativa y Gasto Operativo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7,533,969,793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los Servicios de Salud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2,624,416,963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infraestructura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2,709,730,395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Infraestructura Social Municipales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2,381,271,928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Infraestructura Social Estatal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328,458,467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el Fortalecimiento de los Municipios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2,070,311,780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Múltiples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804,688,072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Infraestructura Educativa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424,823,677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8.2.5.1.1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Infraestructura Educativa Básica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238,546,900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8.2.5.1.2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Infraestructura Educativa Superior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166,033,753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8.2.5.1.3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Infraestructura Educativa Media Superior y Superior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20,243,024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8.2.5.2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Asistencia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379,864,395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Educación Tecnológica y de Adultos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218,521,863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8.2.6.1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Educación Tecnológica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123,413,429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8.2.6.2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Educación de Adultos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95,108,434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la Seguridad Pública de los Estados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195,257,711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8.2.8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Aportaciones para el Fortalecimiento de las Entidades Federativas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1,141,741,996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Convenios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2,971,174,972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Salud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901,464,448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Prestación Gratuita de Servicios de Salud INSABI</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787,878,907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Convenio Específico CRESCA Conadic Cenadic Yuc 001</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2,778,882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Protección contra riesgos catastróficos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Seguro Médico XXI</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Acuerdo para el Fortalecimiento de las Acciones de Salud Pública en los Estados (AFASPE)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54,904,443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Fortalecimiento a la Atención Médica (Caravanas)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244,200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Comisión Federal para la Protección contra riesgos Sanitarios (COFEPRIS)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13,291,655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Estrategia Integral de Desarrollo Comunitario Comunidad Diferente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a las Instancias de Mujeres (PAIMEF)</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8,293,858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Fortalecimiento a la Transversalidad de la Perspectiva de Género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12,417,367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Atención a la Salud y Medicamentos Gratuitos para la población sin Seguridad Social Laboral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20,587,153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8.3.1.12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Atención a personas con Discapacidad "Equipamiento"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1,067,983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8.3.1.13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Salud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Educación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1,939,962,731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Convenio de Coordinación y Colaboración (CONADE)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U080 Apoyos a centros y organizaciones de educación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1,200,000,000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Gastos de operación para el Colegio de Estudios Científicos y Tecnológicos de Yucatán (CECYTEY)</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84,099,660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Colegio de Bachilleres de Yucatán (COBAY)</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378,330,974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Nacional de Becas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Atención a la Demanda (IEAEY)</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8,671,459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a la Universidad de Oriente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17,563,012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para la Universidad Tecnológica Metropolitana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54,990,497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para la Universidad Tecnológica Regional del Sur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18,627,394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para la Universidad Tecnológica del Centro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11,318,088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para la Universidad Tecnológica del Poniente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11,145,328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Apoyos Financieros para la Universidad Tecnológica del Mayab</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12,313,262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Mejoramiento del Profesorado (PROMEP)</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Desarrollo Cultural Infantil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Escuelas de Tiempo Completo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Nacional de Inglés en la Educación Básica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16,110,526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para ampliar y diversificar la Oferta Educativa en Educación Superior (FADOE)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Convenio de Apoyo Financiero para el Programa de Carrera Docente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8.3.2.19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Nacional de Fomento a la Lectura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Estímulo a la Creación y al Desarrollo Artístico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a las Culturas Municipales y Comunitarias PACMYC</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915,000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8.3.2.22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Desarrollo Cultural Municipal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Convenio de Coordinación para la creación, operación y apoyo financiero del ICATY</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6,574,946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Fortalecimiento de Calidad Educativa tipo básico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Fortalecimiento de la Calidad en Instituciones Educativas (PROFOCIE)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CONACYT (Convenio de Colaboración para el desarrollo del programa de estímulos a la investigación de desarrollos)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Beca de Apoyo a la Práctica Intensiva y al servicio social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C-291045.82/2016 Formación Temprana de Científicos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8.3.2.29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Institucional de Fomento Regional para el Desarrollo Científico, Tecnológico y de Innovación (FORDECYT)</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Fortalecimiento de la Calidad Educativa (PACTEN)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 solidario para la operación de la Universidad Politécnica del Estado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5,705,683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Inclusión y Equidad Educativa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Convenio para la Operación del Programa Expansión de la Educación Inicial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5,396,955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la Reforma Educativa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 Financiero del Servicios Educativo Denominado Telebachillerato Comunitario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71,586,555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para el Desarrollo Profesional Docente para la Educación Básica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2,224,120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nacional convivencia escolar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Programa Fortalecimiento de la Excelencia Educativa PFCE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18,630,873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Apoyo a Instituciones Estatales de Cultura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1,076,000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Fortalecimiento de los servicios de educación especial 2020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14,682,399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Escuela Regional de Béisbol (Apoyo extraordinario)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Premio a Deportistas y Entrenadores Destacados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Desarrollo de Aprendizajes significativos en Educación Básica 2020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Atención a la Diversidad de la Educación Indígena 2020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Becas de Apoyo a la Educación básica de madres jóvenes y jóvenes embarazadas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8.3.2.46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Apoyo Financiero a Institutos Tecnológicos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Cultura (Instituciones Estatales de Cultura)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Proyectos de Cultura (PEF)</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8.3.2.49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Educación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Económico</w:t>
            </w:r>
          </w:p>
        </w:tc>
        <w:tc>
          <w:tcPr>
            <w:tcW w:w="1608" w:type="dxa"/>
            <w:tcBorders>
              <w:top w:val="nil"/>
              <w:left w:val="nil"/>
              <w:bottom w:val="single" w:sz="4" w:space="0" w:color="404040"/>
              <w:right w:val="nil"/>
            </w:tcBorders>
            <w:shd w:val="clear" w:color="auto" w:fill="auto"/>
            <w:vAlign w:val="center"/>
            <w:hideMark/>
          </w:tcPr>
          <w:p w:rsidR="00EF1B25" w:rsidRPr="00755A8B" w:rsidRDefault="00735584" w:rsidP="0018390A">
            <w:pPr>
              <w:spacing w:after="0" w:line="220" w:lineRule="exact"/>
              <w:jc w:val="right"/>
              <w:rPr>
                <w:rFonts w:ascii="Arial" w:eastAsia="Times New Roman" w:hAnsi="Arial" w:cs="Arial"/>
                <w:b/>
                <w:bCs/>
                <w:sz w:val="20"/>
                <w:szCs w:val="20"/>
              </w:rPr>
            </w:pPr>
            <w:r>
              <w:rPr>
                <w:rFonts w:ascii="Arial" w:eastAsia="Times New Roman" w:hAnsi="Arial" w:cs="Arial"/>
                <w:b/>
                <w:bCs/>
                <w:sz w:val="20"/>
                <w:szCs w:val="20"/>
              </w:rPr>
              <w:t>0</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8.3.3.1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Nacional del Empleo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8.3.3.2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Incubación de Empresas de Tecnología de Información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8.3.3.3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para el Desarrollo de la Industria del Software (PROSOFT)</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Convenio de Colaboración de Apoyos del Fondo Nacional Emprendedor</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8.3.3.5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Económico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Social y Humano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53,689,011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Proagua Agua Limpia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1,063,820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Cultura del Agua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498,014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Desarrollo Integral para Organismos Operadores (PRODI)</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a la Vivienda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Infraestructura Indígena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Espacios Poder Joven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Red Nacional del Programa de Radio y Televisión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desarrollo integral de las comunidades indígenas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Proagua Rural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51,595,267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Apartado Urbano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531,910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Proagua agua limpia SARS-COV2 (COVID-19)</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UNESCO Fondo internacional para la Diversidad Cultural (FIDC)</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8.3.4.13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al Empleo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8.3.4.14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Social y Humano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Seguridad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4,263,933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8.3.5.1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Fortaseg</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8.3.5.2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Subsidio para las acciones de búsqueda de personas desaparecidas o no localizadas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4,263,933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8.3.5.</w:t>
            </w:r>
            <w:r>
              <w:rPr>
                <w:rFonts w:ascii="Arial" w:hAnsi="Arial" w:cs="Arial"/>
                <w:sz w:val="20"/>
                <w:szCs w:val="20"/>
              </w:rPr>
              <w:t>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Seguridad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Buen Gobierno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22,126,029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Armonización Contable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1,885,246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Modernización Integral del Registro Civil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1,134,660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Modernización y Vinculación Registral y Catastral del padrón Inmobiliario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Desarrollo Regional Turístico Sustentable y Pueblos Mágicos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Agua Potable Drenaje y Tratamiento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93144C">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93144C">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para el Bienestar y el Avance de las Mujeres (FOBAM)</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3,324,646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para refugios especializados para mujeres víctimas de violencia, sus hijas e hijos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6,160,375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8.3.6.8</w:t>
            </w:r>
          </w:p>
        </w:tc>
        <w:tc>
          <w:tcPr>
            <w:tcW w:w="6237" w:type="dxa"/>
            <w:tcBorders>
              <w:top w:val="nil"/>
              <w:left w:val="nil"/>
              <w:bottom w:val="nil"/>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color w:val="000000"/>
                <w:sz w:val="20"/>
                <w:szCs w:val="20"/>
              </w:rPr>
            </w:pPr>
            <w:r w:rsidRPr="00755A8B">
              <w:rPr>
                <w:rFonts w:ascii="Arial" w:eastAsia="Times New Roman" w:hAnsi="Arial" w:cs="Arial"/>
                <w:color w:val="000000"/>
                <w:sz w:val="20"/>
                <w:szCs w:val="20"/>
              </w:rPr>
              <w:t>Coordinación del Sistema Nacional de Protección Civil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8,343,602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8.3.6.9</w:t>
            </w:r>
          </w:p>
        </w:tc>
        <w:tc>
          <w:tcPr>
            <w:tcW w:w="6237" w:type="dxa"/>
            <w:tcBorders>
              <w:top w:val="single" w:sz="4" w:space="0" w:color="404040"/>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rPr>
                <w:rFonts w:ascii="Arial" w:eastAsia="Times New Roman" w:hAnsi="Arial" w:cs="Arial"/>
                <w:color w:val="000000"/>
                <w:sz w:val="20"/>
                <w:szCs w:val="20"/>
              </w:rPr>
            </w:pPr>
            <w:r w:rsidRPr="00755A8B">
              <w:rPr>
                <w:rFonts w:ascii="Arial" w:eastAsia="Times New Roman" w:hAnsi="Arial" w:cs="Arial"/>
                <w:color w:val="000000"/>
                <w:sz w:val="20"/>
                <w:szCs w:val="20"/>
              </w:rPr>
              <w:t xml:space="preserve"> Administración y Enajenación de activos (INDEP) </w:t>
            </w:r>
          </w:p>
        </w:tc>
        <w:tc>
          <w:tcPr>
            <w:tcW w:w="1608"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after="0" w:line="220" w:lineRule="exact"/>
              <w:jc w:val="right"/>
              <w:rPr>
                <w:rFonts w:ascii="Arial" w:eastAsia="Times New Roman" w:hAnsi="Arial" w:cs="Arial"/>
                <w:color w:val="000000"/>
                <w:sz w:val="20"/>
                <w:szCs w:val="20"/>
              </w:rPr>
            </w:pPr>
            <w:r w:rsidRPr="00755A8B">
              <w:rPr>
                <w:rFonts w:ascii="Arial" w:eastAsia="Times New Roman" w:hAnsi="Arial" w:cs="Arial"/>
                <w:color w:val="000000"/>
                <w:sz w:val="20"/>
                <w:szCs w:val="20"/>
              </w:rPr>
              <w:t xml:space="preserve">                                           1,277,500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8.3.6.10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Buen Gobierno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Ramo 23</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Accesibilidad para personas con Discapacidad</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Fideicomiso Fondo Metropolitano (FIFONMETRO)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Regional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Nacional de Infraestructura (FONADIN)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Proyecto de Desarrollo Regional (Zona Henequenera)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Fondo de Fortalecimiento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5% Museos o Zonas Arqueológicas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8.3.7.8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Subsidios para Contingencias Económicas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Fideicomiso para la Infraestructura de los Estados (FIES)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8.3.7.10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Programa de infraestructura en su vertiente ampliación mejoramiento de a la vivienda de la SEDATU</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8.3.7.11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Ramo 23</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Comunicación y Transporte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w:t>
            </w:r>
            <w:r w:rsidR="00735584">
              <w:rPr>
                <w:rFonts w:ascii="Arial" w:eastAsia="Times New Roman" w:hAnsi="Arial" w:cs="Arial"/>
                <w:b/>
                <w:bCs/>
                <w:sz w:val="20"/>
                <w:szCs w:val="20"/>
              </w:rPr>
              <w:t>0</w:t>
            </w:r>
            <w:r w:rsidRPr="00755A8B">
              <w:rPr>
                <w:rFonts w:ascii="Arial" w:eastAsia="Times New Roman" w:hAnsi="Arial" w:cs="Arial"/>
                <w:b/>
                <w:bCs/>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8.3.8.1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Conservación y Estudios y Proyectos de Caminos Rurales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8.3.8.2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Comunicación y Transporte</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8.3.9</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Agricultura, Ganadería, Desarrollo Rural, Pesca y Alimentación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49,668,820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Impulso a la Capitalización Pesquera y Acuícola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Componente de Atención a Desastres Naturales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Programa rehabilitación modernización tecnificada y equipamiento de unidades de riego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34,286,595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Prevención, Combate y Control de Incendios Forestales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1,899,200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8.3.9.5</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Programa de Apoyo a la Infraestructura Hidroagrícola CONAGUA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13,483,025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8.3.9.6</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Sembrando vida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8.3.9.7</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Sanidad e Inocuidad Agroalimentaria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8.3.9.8</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Otros Convenios AGDRPyA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 xml:space="preserve"> 8.4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Incentivos Derivados de la Colaboración Fiscal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992,345,939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Incentivos por colaboración Administrativa</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992,345,939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Impuestos Federales Administrados por el Estado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343,270,447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8.4.1.1.1</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 Impuestos sobre tenencia o uso de vehículos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b) Impuesto sobre automóviles nuevos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202,736,026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8.4.1.1.3</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c) Impuesto Especial Sobre Producción y Servicios a las gasolinas y diésel</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6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8.4.1.1.4</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d) Impuesto Sobre la Renta de quienes tributan en los términos del Capítulo IV del Título IV de la Ley del Impuesto Sobre la Renta respecto de la enajenación de terrenos construcciones o terrenos y construcciones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140,534,419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lastRenderedPageBreak/>
              <w:t xml:space="preserve"> 8.4.1.2</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 xml:space="preserve"> Incentivos y Multas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649,075,492 </w:t>
            </w:r>
          </w:p>
        </w:tc>
      </w:tr>
      <w:tr w:rsidR="00EF1B25" w:rsidRPr="00755A8B" w:rsidTr="0018390A">
        <w:trPr>
          <w:trHeight w:val="300"/>
          <w:jc w:val="center"/>
        </w:trPr>
        <w:tc>
          <w:tcPr>
            <w:tcW w:w="993" w:type="dxa"/>
            <w:tcBorders>
              <w:top w:val="nil"/>
              <w:left w:val="nil"/>
              <w:bottom w:val="single" w:sz="4" w:space="0" w:color="404040"/>
              <w:right w:val="nil"/>
            </w:tcBorders>
            <w:shd w:val="clear" w:color="000000" w:fill="D9D9D9"/>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9</w:t>
            </w:r>
          </w:p>
        </w:tc>
        <w:tc>
          <w:tcPr>
            <w:tcW w:w="6237"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Transferencias, Asignaciones, Subsidios y Subvenciones, y Pensiones y Jubilaciones</w:t>
            </w:r>
          </w:p>
        </w:tc>
        <w:tc>
          <w:tcPr>
            <w:tcW w:w="1608" w:type="dxa"/>
            <w:tcBorders>
              <w:top w:val="nil"/>
              <w:left w:val="nil"/>
              <w:bottom w:val="single" w:sz="4" w:space="0" w:color="404040"/>
              <w:right w:val="nil"/>
            </w:tcBorders>
            <w:shd w:val="clear" w:color="000000" w:fill="D9D9D9"/>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2,295,606,860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Transferencias y Asignaciones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9.1.1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Transferencias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9.1.2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Asignaciones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9.3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Subsidios y Subvenciones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2,295,606,860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9.3.1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Universidad Autónoma de Yucatán</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2,295,606,860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9.5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Pensiones y Jubilaciones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9.5.1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Pensiones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9.5.2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Jubilaciones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9.7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Transferencias del Fondo Mexicano del Petróleo para la Estabilización y el Desarrollo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9.7.1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Transferencias del Fondo Mexicano del Petróleo para la Estabilización y el Desarrollo</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noWrap/>
            <w:vAlign w:val="center"/>
            <w:hideMark/>
          </w:tcPr>
          <w:p w:rsidR="00EF1B25" w:rsidRPr="00755A8B" w:rsidRDefault="00EF1B25" w:rsidP="0018390A">
            <w:pPr>
              <w:spacing w:line="220" w:lineRule="exact"/>
              <w:rPr>
                <w:rFonts w:ascii="Arial" w:hAnsi="Arial" w:cs="Arial"/>
                <w:b/>
                <w:bCs/>
                <w:sz w:val="20"/>
                <w:szCs w:val="20"/>
              </w:rPr>
            </w:pPr>
            <w:r w:rsidRPr="00755A8B">
              <w:rPr>
                <w:rFonts w:ascii="Arial" w:hAnsi="Arial" w:cs="Arial"/>
                <w:b/>
                <w:bCs/>
                <w:sz w:val="20"/>
                <w:szCs w:val="20"/>
              </w:rPr>
              <w:t>0</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b/>
                <w:bCs/>
                <w:sz w:val="20"/>
                <w:szCs w:val="20"/>
              </w:rPr>
            </w:pPr>
            <w:r w:rsidRPr="00755A8B">
              <w:rPr>
                <w:rFonts w:ascii="Arial" w:eastAsia="Times New Roman" w:hAnsi="Arial" w:cs="Arial"/>
                <w:b/>
                <w:bCs/>
                <w:sz w:val="20"/>
                <w:szCs w:val="20"/>
              </w:rPr>
              <w:t>Ingresos Derivados de Financiamientos</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b/>
                <w:bCs/>
                <w:sz w:val="20"/>
                <w:szCs w:val="20"/>
              </w:rPr>
            </w:pPr>
            <w:r w:rsidRPr="00755A8B">
              <w:rPr>
                <w:rFonts w:ascii="Arial" w:eastAsia="Times New Roman" w:hAnsi="Arial" w:cs="Arial"/>
                <w:b/>
                <w:bCs/>
                <w:sz w:val="20"/>
                <w:szCs w:val="20"/>
              </w:rPr>
              <w:t xml:space="preserve">                                                           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Endeudamiento Interno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0.1.1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Participaciones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1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0.1.2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Aportaciones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0.2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Endeudamiento Externo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0.2.1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Participaciones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0.2.2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Aportaciones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0.3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Financiamiento Interno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404040"/>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0.3.1 </w:t>
            </w:r>
          </w:p>
        </w:tc>
        <w:tc>
          <w:tcPr>
            <w:tcW w:w="6237" w:type="dxa"/>
            <w:tcBorders>
              <w:top w:val="nil"/>
              <w:left w:val="nil"/>
              <w:bottom w:val="single" w:sz="4" w:space="0" w:color="404040"/>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Participaciones </w:t>
            </w:r>
          </w:p>
        </w:tc>
        <w:tc>
          <w:tcPr>
            <w:tcW w:w="1608" w:type="dxa"/>
            <w:tcBorders>
              <w:top w:val="nil"/>
              <w:left w:val="nil"/>
              <w:bottom w:val="single" w:sz="4" w:space="0" w:color="404040"/>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r w:rsidR="00EF1B25" w:rsidRPr="00755A8B" w:rsidTr="0018390A">
        <w:trPr>
          <w:trHeight w:val="300"/>
          <w:jc w:val="center"/>
        </w:trPr>
        <w:tc>
          <w:tcPr>
            <w:tcW w:w="993" w:type="dxa"/>
            <w:tcBorders>
              <w:top w:val="nil"/>
              <w:left w:val="nil"/>
              <w:bottom w:val="single" w:sz="4" w:space="0" w:color="auto"/>
              <w:right w:val="nil"/>
            </w:tcBorders>
            <w:shd w:val="clear" w:color="auto" w:fill="auto"/>
            <w:vAlign w:val="center"/>
            <w:hideMark/>
          </w:tcPr>
          <w:p w:rsidR="00EF1B25" w:rsidRPr="00755A8B" w:rsidRDefault="00EF1B25" w:rsidP="0018390A">
            <w:pPr>
              <w:spacing w:line="220" w:lineRule="exact"/>
              <w:rPr>
                <w:rFonts w:ascii="Arial" w:hAnsi="Arial" w:cs="Arial"/>
                <w:sz w:val="20"/>
                <w:szCs w:val="20"/>
              </w:rPr>
            </w:pPr>
            <w:r w:rsidRPr="00755A8B">
              <w:rPr>
                <w:rFonts w:ascii="Arial" w:hAnsi="Arial" w:cs="Arial"/>
                <w:sz w:val="20"/>
                <w:szCs w:val="20"/>
              </w:rPr>
              <w:t xml:space="preserve"> 0.3.2 </w:t>
            </w:r>
          </w:p>
        </w:tc>
        <w:tc>
          <w:tcPr>
            <w:tcW w:w="6237" w:type="dxa"/>
            <w:tcBorders>
              <w:top w:val="nil"/>
              <w:left w:val="nil"/>
              <w:bottom w:val="single" w:sz="4" w:space="0" w:color="auto"/>
              <w:right w:val="nil"/>
            </w:tcBorders>
            <w:shd w:val="clear" w:color="auto" w:fill="auto"/>
            <w:vAlign w:val="center"/>
            <w:hideMark/>
          </w:tcPr>
          <w:p w:rsidR="00EF1B25" w:rsidRPr="00755A8B" w:rsidRDefault="00EF1B25" w:rsidP="0018390A">
            <w:pPr>
              <w:spacing w:after="0" w:line="220" w:lineRule="exact"/>
              <w:rPr>
                <w:rFonts w:ascii="Arial" w:eastAsia="Times New Roman" w:hAnsi="Arial" w:cs="Arial"/>
                <w:sz w:val="20"/>
                <w:szCs w:val="20"/>
              </w:rPr>
            </w:pPr>
            <w:r w:rsidRPr="00755A8B">
              <w:rPr>
                <w:rFonts w:ascii="Arial" w:eastAsia="Times New Roman" w:hAnsi="Arial" w:cs="Arial"/>
                <w:sz w:val="20"/>
                <w:szCs w:val="20"/>
              </w:rPr>
              <w:t xml:space="preserve"> Empréstitos con Fuente de Pago de Aportaciones </w:t>
            </w:r>
          </w:p>
        </w:tc>
        <w:tc>
          <w:tcPr>
            <w:tcW w:w="1608" w:type="dxa"/>
            <w:tcBorders>
              <w:top w:val="nil"/>
              <w:left w:val="nil"/>
              <w:bottom w:val="single" w:sz="4" w:space="0" w:color="auto"/>
              <w:right w:val="nil"/>
            </w:tcBorders>
            <w:shd w:val="clear" w:color="auto" w:fill="auto"/>
            <w:vAlign w:val="center"/>
            <w:hideMark/>
          </w:tcPr>
          <w:p w:rsidR="00EF1B25" w:rsidRPr="00755A8B" w:rsidRDefault="00EF1B25" w:rsidP="00735584">
            <w:pPr>
              <w:spacing w:after="0" w:line="220" w:lineRule="exact"/>
              <w:jc w:val="right"/>
              <w:rPr>
                <w:rFonts w:ascii="Arial" w:eastAsia="Times New Roman" w:hAnsi="Arial" w:cs="Arial"/>
                <w:sz w:val="20"/>
                <w:szCs w:val="20"/>
              </w:rPr>
            </w:pPr>
            <w:r w:rsidRPr="00755A8B">
              <w:rPr>
                <w:rFonts w:ascii="Arial" w:eastAsia="Times New Roman" w:hAnsi="Arial" w:cs="Arial"/>
                <w:sz w:val="20"/>
                <w:szCs w:val="20"/>
              </w:rPr>
              <w:t xml:space="preserve">                                                          </w:t>
            </w:r>
            <w:r w:rsidR="00735584">
              <w:rPr>
                <w:rFonts w:ascii="Arial" w:eastAsia="Times New Roman" w:hAnsi="Arial" w:cs="Arial"/>
                <w:sz w:val="20"/>
                <w:szCs w:val="20"/>
              </w:rPr>
              <w:t>0</w:t>
            </w:r>
            <w:r w:rsidRPr="00755A8B">
              <w:rPr>
                <w:rFonts w:ascii="Arial" w:eastAsia="Times New Roman" w:hAnsi="Arial" w:cs="Arial"/>
                <w:sz w:val="20"/>
                <w:szCs w:val="20"/>
              </w:rPr>
              <w:t xml:space="preserve">   </w:t>
            </w:r>
          </w:p>
        </w:tc>
      </w:tr>
    </w:tbl>
    <w:p w:rsidR="003D6FFD"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En los casos en que una ley establezca alguno de los ingresos previstos en este artículo, y contenga disposiciones que señalen otros ingresos, estos últimos se </w:t>
      </w:r>
      <w:r w:rsidRPr="00D93F7E">
        <w:rPr>
          <w:rFonts w:ascii="Arial" w:hAnsi="Arial" w:cs="Arial"/>
          <w:szCs w:val="24"/>
        </w:rPr>
        <w:lastRenderedPageBreak/>
        <w:t>considerarán comprendidos en el rubro, tipo o clase que corresponda a los ingresos del primero.</w:t>
      </w:r>
    </w:p>
    <w:p w:rsidR="00923904" w:rsidRPr="00D93F7E" w:rsidRDefault="0097405E" w:rsidP="00075B55">
      <w:pPr>
        <w:spacing w:before="100" w:beforeAutospacing="1" w:after="100" w:afterAutospacing="1" w:line="240" w:lineRule="auto"/>
        <w:jc w:val="both"/>
        <w:rPr>
          <w:rFonts w:ascii="Arial" w:hAnsi="Arial" w:cs="Arial"/>
          <w:szCs w:val="24"/>
        </w:rPr>
      </w:pPr>
      <w:r>
        <w:rPr>
          <w:rFonts w:ascii="Arial" w:hAnsi="Arial" w:cs="Arial"/>
          <w:szCs w:val="24"/>
        </w:rPr>
        <w:t>Los recursos</w:t>
      </w:r>
      <w:r w:rsidR="00923904" w:rsidRPr="00075B55">
        <w:rPr>
          <w:rFonts w:ascii="Arial" w:hAnsi="Arial" w:cs="Arial"/>
          <w:szCs w:val="24"/>
        </w:rPr>
        <w:t xml:space="preserve"> </w:t>
      </w:r>
      <w:r w:rsidR="00EB201E">
        <w:rPr>
          <w:rFonts w:ascii="Arial" w:hAnsi="Arial" w:cs="Arial"/>
          <w:szCs w:val="24"/>
        </w:rPr>
        <w:t xml:space="preserve">que, al 31 de diciembre de 2022, estén </w:t>
      </w:r>
      <w:r w:rsidR="00923904" w:rsidRPr="00075B55">
        <w:rPr>
          <w:rFonts w:ascii="Arial" w:hAnsi="Arial" w:cs="Arial"/>
          <w:szCs w:val="24"/>
        </w:rPr>
        <w:t xml:space="preserve">pendientes de disponer </w:t>
      </w:r>
      <w:r w:rsidR="00F74FFC">
        <w:rPr>
          <w:rFonts w:ascii="Arial" w:hAnsi="Arial" w:cs="Arial"/>
          <w:szCs w:val="24"/>
        </w:rPr>
        <w:t xml:space="preserve">del financiamiento autorizado mediante </w:t>
      </w:r>
      <w:r w:rsidR="00923904" w:rsidRPr="00075B55">
        <w:rPr>
          <w:rFonts w:ascii="Arial" w:hAnsi="Arial" w:cs="Arial"/>
          <w:szCs w:val="24"/>
        </w:rPr>
        <w:t xml:space="preserve">el </w:t>
      </w:r>
      <w:r w:rsidR="00923904" w:rsidRPr="00075B55">
        <w:rPr>
          <w:rFonts w:ascii="Arial" w:eastAsia="Arial" w:hAnsi="Arial" w:cs="Arial"/>
          <w:szCs w:val="24"/>
        </w:rPr>
        <w:t>Decreto 5</w:t>
      </w:r>
      <w:r w:rsidR="0029588E">
        <w:rPr>
          <w:rFonts w:ascii="Arial" w:eastAsia="Arial" w:hAnsi="Arial" w:cs="Arial"/>
          <w:szCs w:val="24"/>
        </w:rPr>
        <w:t>26</w:t>
      </w:r>
      <w:r w:rsidR="00923904" w:rsidRPr="00075B55">
        <w:rPr>
          <w:rFonts w:ascii="Arial" w:eastAsia="Arial" w:hAnsi="Arial" w:cs="Arial"/>
          <w:szCs w:val="24"/>
        </w:rPr>
        <w:t>/2022 publicado en el Diario Oficial del Gobierno del Estado de Yucatán</w:t>
      </w:r>
      <w:r w:rsidR="0029588E">
        <w:rPr>
          <w:rFonts w:ascii="Arial" w:eastAsia="Arial" w:hAnsi="Arial" w:cs="Arial"/>
          <w:szCs w:val="24"/>
        </w:rPr>
        <w:t>,</w:t>
      </w:r>
      <w:r w:rsidR="00923904" w:rsidRPr="00075B55">
        <w:rPr>
          <w:rFonts w:ascii="Arial" w:eastAsia="Arial" w:hAnsi="Arial" w:cs="Arial"/>
          <w:szCs w:val="24"/>
        </w:rPr>
        <w:t xml:space="preserve"> el 30 de junio de 2022</w:t>
      </w:r>
      <w:r w:rsidR="00F74FFC">
        <w:rPr>
          <w:rFonts w:ascii="Arial" w:eastAsia="Arial" w:hAnsi="Arial" w:cs="Arial"/>
          <w:szCs w:val="24"/>
        </w:rPr>
        <w:t xml:space="preserve">, se </w:t>
      </w:r>
      <w:r w:rsidR="00F74FFC" w:rsidRPr="00D93F7E">
        <w:rPr>
          <w:rFonts w:ascii="Arial" w:hAnsi="Arial" w:cs="Arial"/>
          <w:szCs w:val="24"/>
        </w:rPr>
        <w:t xml:space="preserve">considerarán comprendidos en el rubro, tipo o clase que corresponda </w:t>
      </w:r>
      <w:r w:rsidR="00F74FFC">
        <w:rPr>
          <w:rFonts w:ascii="Arial" w:eastAsia="Arial" w:hAnsi="Arial" w:cs="Arial"/>
          <w:szCs w:val="24"/>
        </w:rPr>
        <w:t xml:space="preserve">en los términos señalados en el citado Decreto y </w:t>
      </w:r>
      <w:r w:rsidR="0029588E">
        <w:rPr>
          <w:rFonts w:ascii="Arial" w:eastAsia="Arial" w:hAnsi="Arial" w:cs="Arial"/>
          <w:szCs w:val="24"/>
        </w:rPr>
        <w:t>esta l</w:t>
      </w:r>
      <w:r w:rsidR="00F74FFC">
        <w:rPr>
          <w:rFonts w:ascii="Arial" w:eastAsia="Arial" w:hAnsi="Arial" w:cs="Arial"/>
          <w:szCs w:val="24"/>
        </w:rPr>
        <w:t>ey</w:t>
      </w:r>
      <w:r w:rsidR="00923904" w:rsidRPr="00075B55">
        <w:rPr>
          <w:rFonts w:ascii="Arial" w:hAnsi="Arial" w:cs="Arial"/>
          <w:szCs w:val="24"/>
        </w:rPr>
        <w:t>.</w:t>
      </w:r>
    </w:p>
    <w:p w:rsidR="00DD5FD5" w:rsidRPr="005E4DB4" w:rsidRDefault="00DD5FD5"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3. Formatos de disciplina </w:t>
      </w:r>
      <w:r w:rsidRPr="005E4DB4">
        <w:rPr>
          <w:rFonts w:ascii="Arial" w:hAnsi="Arial" w:cs="Arial"/>
          <w:b/>
          <w:szCs w:val="24"/>
        </w:rPr>
        <w:t>financiera</w:t>
      </w:r>
    </w:p>
    <w:p w:rsidR="00DD5FD5" w:rsidRPr="005E4DB4" w:rsidRDefault="00DD5FD5" w:rsidP="008A39AA">
      <w:pPr>
        <w:spacing w:before="100" w:beforeAutospacing="1" w:after="100" w:afterAutospacing="1" w:line="240" w:lineRule="auto"/>
        <w:jc w:val="both"/>
        <w:rPr>
          <w:rFonts w:ascii="Arial" w:hAnsi="Arial" w:cs="Arial"/>
          <w:szCs w:val="24"/>
        </w:rPr>
      </w:pPr>
      <w:r w:rsidRPr="005E4DB4">
        <w:rPr>
          <w:rFonts w:ascii="Arial" w:hAnsi="Arial" w:cs="Arial"/>
          <w:szCs w:val="24"/>
        </w:rPr>
        <w:t>La proyección de ingresos de los próximos cinco años, es</w:t>
      </w:r>
      <w:r w:rsidR="0075300E" w:rsidRPr="005E4DB4">
        <w:rPr>
          <w:rFonts w:ascii="Arial" w:hAnsi="Arial" w:cs="Arial"/>
          <w:szCs w:val="24"/>
        </w:rPr>
        <w:t xml:space="preserve"> decir</w:t>
      </w:r>
      <w:r w:rsidRPr="005E4DB4">
        <w:rPr>
          <w:rFonts w:ascii="Arial" w:hAnsi="Arial" w:cs="Arial"/>
          <w:szCs w:val="24"/>
        </w:rPr>
        <w:t xml:space="preserve">, de </w:t>
      </w:r>
      <w:r w:rsidR="00EA07FE" w:rsidRPr="005E4DB4">
        <w:rPr>
          <w:rFonts w:ascii="Arial" w:hAnsi="Arial" w:cs="Arial"/>
          <w:szCs w:val="24"/>
        </w:rPr>
        <w:t>2</w:t>
      </w:r>
      <w:r w:rsidR="005E4DB4" w:rsidRPr="005E4DB4">
        <w:rPr>
          <w:rFonts w:ascii="Arial" w:hAnsi="Arial" w:cs="Arial"/>
          <w:szCs w:val="24"/>
        </w:rPr>
        <w:t>023</w:t>
      </w:r>
      <w:r w:rsidRPr="005E4DB4">
        <w:rPr>
          <w:rFonts w:ascii="Arial" w:hAnsi="Arial" w:cs="Arial"/>
          <w:szCs w:val="24"/>
        </w:rPr>
        <w:t xml:space="preserve"> a 202</w:t>
      </w:r>
      <w:r w:rsidR="00EA07FE" w:rsidRPr="005E4DB4">
        <w:rPr>
          <w:rFonts w:ascii="Arial" w:hAnsi="Arial" w:cs="Arial"/>
          <w:szCs w:val="24"/>
        </w:rPr>
        <w:t>8</w:t>
      </w:r>
      <w:r w:rsidRPr="005E4DB4">
        <w:rPr>
          <w:rFonts w:ascii="Arial" w:hAnsi="Arial" w:cs="Arial"/>
          <w:szCs w:val="24"/>
        </w:rPr>
        <w:t xml:space="preserve">, se encuentra desglosada en el </w:t>
      </w:r>
      <w:r w:rsidR="0029588E">
        <w:rPr>
          <w:rFonts w:ascii="Arial" w:hAnsi="Arial" w:cs="Arial"/>
          <w:szCs w:val="24"/>
        </w:rPr>
        <w:t>a</w:t>
      </w:r>
      <w:r w:rsidRPr="005E4DB4">
        <w:rPr>
          <w:rFonts w:ascii="Arial" w:hAnsi="Arial" w:cs="Arial"/>
          <w:szCs w:val="24"/>
        </w:rPr>
        <w:t xml:space="preserve">nexo I de esta ley. </w:t>
      </w:r>
    </w:p>
    <w:p w:rsidR="00DD5FD5" w:rsidRPr="005E4DB4" w:rsidRDefault="00BA4C6B" w:rsidP="008A39AA">
      <w:pPr>
        <w:spacing w:before="100" w:beforeAutospacing="1" w:after="100" w:afterAutospacing="1" w:line="240" w:lineRule="auto"/>
        <w:jc w:val="both"/>
        <w:rPr>
          <w:rFonts w:ascii="Arial" w:hAnsi="Arial" w:cs="Arial"/>
          <w:szCs w:val="24"/>
        </w:rPr>
      </w:pPr>
      <w:r w:rsidRPr="005E4DB4">
        <w:rPr>
          <w:rFonts w:ascii="Arial" w:hAnsi="Arial" w:cs="Arial"/>
          <w:szCs w:val="24"/>
        </w:rPr>
        <w:t>El resultado</w:t>
      </w:r>
      <w:r w:rsidR="00DD5FD5" w:rsidRPr="005E4DB4">
        <w:rPr>
          <w:rFonts w:ascii="Arial" w:hAnsi="Arial" w:cs="Arial"/>
          <w:szCs w:val="24"/>
        </w:rPr>
        <w:t xml:space="preserve"> de los ingresos durante el per</w:t>
      </w:r>
      <w:r w:rsidRPr="005E4DB4">
        <w:rPr>
          <w:rFonts w:ascii="Arial" w:hAnsi="Arial" w:cs="Arial"/>
          <w:szCs w:val="24"/>
        </w:rPr>
        <w:t>i</w:t>
      </w:r>
      <w:r w:rsidR="00DD5FD5" w:rsidRPr="005E4DB4">
        <w:rPr>
          <w:rFonts w:ascii="Arial" w:hAnsi="Arial" w:cs="Arial"/>
          <w:szCs w:val="24"/>
        </w:rPr>
        <w:t>odo de los últimos cinco años, es decir,</w:t>
      </w:r>
      <w:r w:rsidR="00135333" w:rsidRPr="005E4DB4">
        <w:rPr>
          <w:rFonts w:ascii="Arial" w:hAnsi="Arial" w:cs="Arial"/>
          <w:szCs w:val="24"/>
        </w:rPr>
        <w:t xml:space="preserve"> de 201</w:t>
      </w:r>
      <w:r w:rsidR="005E4DB4" w:rsidRPr="005E4DB4">
        <w:rPr>
          <w:rFonts w:ascii="Arial" w:hAnsi="Arial" w:cs="Arial"/>
          <w:szCs w:val="24"/>
        </w:rPr>
        <w:t>7</w:t>
      </w:r>
      <w:r w:rsidR="00DD5FD5" w:rsidRPr="005E4DB4">
        <w:rPr>
          <w:rFonts w:ascii="Arial" w:hAnsi="Arial" w:cs="Arial"/>
          <w:szCs w:val="24"/>
        </w:rPr>
        <w:t xml:space="preserve"> a </w:t>
      </w:r>
      <w:r w:rsidR="005E4DB4" w:rsidRPr="005E4DB4">
        <w:rPr>
          <w:rFonts w:ascii="Arial" w:hAnsi="Arial" w:cs="Arial"/>
          <w:szCs w:val="24"/>
        </w:rPr>
        <w:t>2022</w:t>
      </w:r>
      <w:r w:rsidR="00DD5FD5" w:rsidRPr="005E4DB4">
        <w:rPr>
          <w:rFonts w:ascii="Arial" w:hAnsi="Arial" w:cs="Arial"/>
          <w:szCs w:val="24"/>
        </w:rPr>
        <w:t xml:space="preserve">, se presenta en el </w:t>
      </w:r>
      <w:r w:rsidR="0029588E">
        <w:rPr>
          <w:rFonts w:ascii="Arial" w:hAnsi="Arial" w:cs="Arial"/>
          <w:szCs w:val="24"/>
        </w:rPr>
        <w:t>a</w:t>
      </w:r>
      <w:r w:rsidR="00DD5FD5" w:rsidRPr="005E4DB4">
        <w:rPr>
          <w:rFonts w:ascii="Arial" w:hAnsi="Arial" w:cs="Arial"/>
          <w:szCs w:val="24"/>
        </w:rPr>
        <w:t>nexo II</w:t>
      </w:r>
      <w:r w:rsidRPr="005E4DB4">
        <w:rPr>
          <w:rFonts w:ascii="Arial" w:hAnsi="Arial" w:cs="Arial"/>
          <w:szCs w:val="24"/>
        </w:rPr>
        <w:t xml:space="preserve"> de esta ley</w:t>
      </w:r>
      <w:r w:rsidR="00DD5FD5" w:rsidRPr="005E4DB4">
        <w:rPr>
          <w:rFonts w:ascii="Arial" w:hAnsi="Arial" w:cs="Arial"/>
          <w:szCs w:val="24"/>
        </w:rPr>
        <w:t>.</w:t>
      </w:r>
    </w:p>
    <w:p w:rsidR="00AE5277" w:rsidRDefault="00AE5277" w:rsidP="00AE5277">
      <w:pPr>
        <w:spacing w:before="240" w:line="240" w:lineRule="auto"/>
        <w:jc w:val="both"/>
        <w:rPr>
          <w:rFonts w:ascii="Arial" w:eastAsia="Arial" w:hAnsi="Arial" w:cs="Arial"/>
          <w:szCs w:val="24"/>
        </w:rPr>
      </w:pPr>
      <w:r w:rsidRPr="005E4DB4">
        <w:rPr>
          <w:rFonts w:ascii="Arial" w:eastAsia="Arial" w:hAnsi="Arial" w:cs="Arial"/>
          <w:b/>
          <w:szCs w:val="24"/>
        </w:rPr>
        <w:t>Artículo 4. Programa de financiamiento anual</w:t>
      </w:r>
    </w:p>
    <w:p w:rsidR="00AE5277" w:rsidRDefault="00AE5277" w:rsidP="00AE5277">
      <w:pPr>
        <w:spacing w:after="0" w:line="240" w:lineRule="auto"/>
        <w:jc w:val="both"/>
        <w:rPr>
          <w:rFonts w:ascii="Arial" w:eastAsia="Arial" w:hAnsi="Arial" w:cs="Arial"/>
          <w:szCs w:val="24"/>
        </w:rPr>
      </w:pPr>
      <w:r>
        <w:rPr>
          <w:rFonts w:ascii="Arial" w:eastAsia="Arial" w:hAnsi="Arial" w:cs="Arial"/>
          <w:szCs w:val="24"/>
        </w:rPr>
        <w:t>De conformidad con lo establecido en el artículo 52, fracción V, de la Ley del Presupuesto y Contabilidad Gubernamental del Estado de Yucatán, para el programa</w:t>
      </w:r>
      <w:r w:rsidR="003D17CB">
        <w:rPr>
          <w:rFonts w:ascii="Arial" w:eastAsia="Arial" w:hAnsi="Arial" w:cs="Arial"/>
          <w:szCs w:val="24"/>
        </w:rPr>
        <w:t xml:space="preserve"> anual</w:t>
      </w:r>
      <w:r>
        <w:rPr>
          <w:rFonts w:ascii="Arial" w:eastAsia="Arial" w:hAnsi="Arial" w:cs="Arial"/>
          <w:szCs w:val="24"/>
        </w:rPr>
        <w:t xml:space="preserve"> de financiamiento 2023, la estimación de las amortizaciones y el costo del servicio de la deuda de largo plazo que se cubrirán durante </w:t>
      </w:r>
      <w:r w:rsidR="003D17CB">
        <w:rPr>
          <w:rFonts w:ascii="Arial" w:eastAsia="Arial" w:hAnsi="Arial" w:cs="Arial"/>
          <w:szCs w:val="24"/>
        </w:rPr>
        <w:t>este</w:t>
      </w:r>
      <w:r>
        <w:rPr>
          <w:rFonts w:ascii="Arial" w:eastAsia="Arial" w:hAnsi="Arial" w:cs="Arial"/>
          <w:szCs w:val="24"/>
        </w:rPr>
        <w:t xml:space="preserve"> ejercicio fiscal es </w:t>
      </w:r>
      <w:r w:rsidRPr="00075B55">
        <w:rPr>
          <w:rFonts w:ascii="Arial" w:eastAsia="Arial" w:hAnsi="Arial" w:cs="Arial"/>
          <w:szCs w:val="24"/>
        </w:rPr>
        <w:t>de $</w:t>
      </w:r>
      <w:r w:rsidR="009C2C2E" w:rsidRPr="00075B55">
        <w:rPr>
          <w:rFonts w:ascii="Arial" w:eastAsia="Arial" w:hAnsi="Arial" w:cs="Arial"/>
          <w:szCs w:val="24"/>
        </w:rPr>
        <w:t xml:space="preserve">80,775,955.00 </w:t>
      </w:r>
      <w:r w:rsidRPr="00075B55">
        <w:rPr>
          <w:rFonts w:ascii="Arial" w:eastAsia="Arial" w:hAnsi="Arial" w:cs="Arial"/>
          <w:szCs w:val="24"/>
        </w:rPr>
        <w:t>y de $</w:t>
      </w:r>
      <w:r w:rsidR="009C2C2E" w:rsidRPr="00075B55">
        <w:rPr>
          <w:rFonts w:ascii="Arial" w:eastAsia="Arial" w:hAnsi="Arial" w:cs="Arial"/>
          <w:szCs w:val="24"/>
        </w:rPr>
        <w:t>862,968,960.00</w:t>
      </w:r>
      <w:r w:rsidRPr="00075B55">
        <w:rPr>
          <w:rFonts w:ascii="Arial" w:eastAsia="Arial" w:hAnsi="Arial" w:cs="Arial"/>
          <w:szCs w:val="24"/>
        </w:rPr>
        <w:t>, respectivamente. Las cifras señaladas corresponden</w:t>
      </w:r>
      <w:r>
        <w:rPr>
          <w:rFonts w:ascii="Arial" w:eastAsia="Arial" w:hAnsi="Arial" w:cs="Arial"/>
          <w:szCs w:val="24"/>
        </w:rPr>
        <w:t xml:space="preserve"> a los seis financiamientos de largo plazo vigentes identificados con las siguientes claves de inscripción en el Registro Público Único de Financiamientos y Obligaciones de Entidades Federativas y Municipios a cargo de la Secretaría de Hacienda y Crédito Público: P31-0413037, P31-1119054, P31-1020086, P31-1020087, P31-1020088 y </w:t>
      </w:r>
      <w:r w:rsidR="009C2C2E" w:rsidRPr="00311574">
        <w:rPr>
          <w:rFonts w:ascii="Arial" w:eastAsia="Arial" w:hAnsi="Arial" w:cs="Arial"/>
          <w:szCs w:val="24"/>
        </w:rPr>
        <w:t>P31-0922035</w:t>
      </w:r>
      <w:r>
        <w:rPr>
          <w:rFonts w:ascii="Arial" w:eastAsia="Arial" w:hAnsi="Arial" w:cs="Arial"/>
          <w:szCs w:val="24"/>
        </w:rPr>
        <w:t>, y serán aplicados de la siguiente manera:</w:t>
      </w:r>
    </w:p>
    <w:tbl>
      <w:tblPr>
        <w:tblW w:w="5000" w:type="pct"/>
        <w:jc w:val="center"/>
        <w:tblLook w:val="0400"/>
      </w:tblPr>
      <w:tblGrid>
        <w:gridCol w:w="1778"/>
        <w:gridCol w:w="3005"/>
        <w:gridCol w:w="1543"/>
        <w:gridCol w:w="1737"/>
        <w:gridCol w:w="1557"/>
      </w:tblGrid>
      <w:tr w:rsidR="00E56465" w:rsidRPr="002E403E" w:rsidTr="002E403E">
        <w:trPr>
          <w:trHeight w:val="300"/>
          <w:jc w:val="center"/>
        </w:trPr>
        <w:tc>
          <w:tcPr>
            <w:tcW w:w="5000" w:type="pct"/>
            <w:gridSpan w:val="5"/>
            <w:tcBorders>
              <w:top w:val="nil"/>
              <w:left w:val="nil"/>
              <w:bottom w:val="nil"/>
              <w:right w:val="nil"/>
            </w:tcBorders>
            <w:shd w:val="clear" w:color="auto" w:fill="auto"/>
            <w:vAlign w:val="bottom"/>
          </w:tcPr>
          <w:p w:rsidR="00E56465" w:rsidRPr="002E403E" w:rsidRDefault="00E56465" w:rsidP="00D46B44">
            <w:pPr>
              <w:spacing w:before="240" w:line="240" w:lineRule="auto"/>
              <w:jc w:val="both"/>
              <w:rPr>
                <w:rFonts w:ascii="Arial" w:eastAsia="Arial" w:hAnsi="Arial" w:cs="Arial"/>
                <w:b/>
                <w:color w:val="000000"/>
                <w:sz w:val="20"/>
                <w:szCs w:val="20"/>
              </w:rPr>
            </w:pPr>
            <w:r w:rsidRPr="002E403E">
              <w:rPr>
                <w:rFonts w:ascii="Arial" w:eastAsia="Arial" w:hAnsi="Arial" w:cs="Arial"/>
                <w:b/>
                <w:color w:val="000000"/>
                <w:sz w:val="20"/>
                <w:szCs w:val="20"/>
              </w:rPr>
              <w:t>Tabla 2. Amortización y servicio de la deuda pública de largo plazo</w:t>
            </w:r>
          </w:p>
        </w:tc>
      </w:tr>
      <w:tr w:rsidR="00E56465" w:rsidRPr="002E403E" w:rsidTr="002E403E">
        <w:trPr>
          <w:trHeight w:val="645"/>
          <w:jc w:val="center"/>
        </w:trPr>
        <w:tc>
          <w:tcPr>
            <w:tcW w:w="924" w:type="pct"/>
            <w:tcBorders>
              <w:top w:val="single" w:sz="4" w:space="0" w:color="000000"/>
              <w:left w:val="single" w:sz="4" w:space="0" w:color="000000"/>
              <w:bottom w:val="single" w:sz="4" w:space="0" w:color="000000"/>
              <w:right w:val="single" w:sz="4" w:space="0" w:color="000000"/>
            </w:tcBorders>
            <w:shd w:val="clear" w:color="auto" w:fill="000000"/>
            <w:vAlign w:val="center"/>
          </w:tcPr>
          <w:p w:rsidR="00E56465" w:rsidRPr="002E403E" w:rsidRDefault="00E56465" w:rsidP="00D46B44">
            <w:pPr>
              <w:spacing w:after="0" w:line="240" w:lineRule="auto"/>
              <w:jc w:val="center"/>
              <w:rPr>
                <w:rFonts w:ascii="Arial" w:eastAsia="Arial" w:hAnsi="Arial" w:cs="Arial"/>
                <w:b/>
                <w:color w:val="FFFFFF"/>
                <w:sz w:val="20"/>
                <w:szCs w:val="20"/>
              </w:rPr>
            </w:pPr>
            <w:r w:rsidRPr="002E403E">
              <w:rPr>
                <w:rFonts w:ascii="Arial" w:eastAsia="Arial" w:hAnsi="Arial" w:cs="Arial"/>
                <w:b/>
                <w:color w:val="FFFFFF"/>
                <w:sz w:val="20"/>
                <w:szCs w:val="20"/>
              </w:rPr>
              <w:t>Clasificación deuda</w:t>
            </w:r>
          </w:p>
        </w:tc>
        <w:tc>
          <w:tcPr>
            <w:tcW w:w="1562" w:type="pct"/>
            <w:tcBorders>
              <w:top w:val="single" w:sz="4" w:space="0" w:color="000000"/>
              <w:left w:val="nil"/>
              <w:bottom w:val="single" w:sz="4" w:space="0" w:color="000000"/>
              <w:right w:val="single" w:sz="4" w:space="0" w:color="000000"/>
            </w:tcBorders>
            <w:shd w:val="clear" w:color="auto" w:fill="000000"/>
            <w:vAlign w:val="center"/>
          </w:tcPr>
          <w:p w:rsidR="00E56465" w:rsidRPr="002E403E" w:rsidRDefault="00E56465" w:rsidP="00D46B44">
            <w:pPr>
              <w:spacing w:after="0" w:line="240" w:lineRule="auto"/>
              <w:jc w:val="center"/>
              <w:rPr>
                <w:rFonts w:ascii="Arial" w:eastAsia="Arial" w:hAnsi="Arial" w:cs="Arial"/>
                <w:b/>
                <w:color w:val="FFFFFF"/>
                <w:sz w:val="20"/>
                <w:szCs w:val="20"/>
              </w:rPr>
            </w:pPr>
            <w:r w:rsidRPr="002E403E">
              <w:rPr>
                <w:rFonts w:ascii="Arial" w:eastAsia="Arial" w:hAnsi="Arial" w:cs="Arial"/>
                <w:b/>
                <w:color w:val="FFFFFF"/>
                <w:sz w:val="20"/>
                <w:szCs w:val="20"/>
              </w:rPr>
              <w:t>Institución Financiera/Monto de Contratación</w:t>
            </w:r>
          </w:p>
        </w:tc>
        <w:tc>
          <w:tcPr>
            <w:tcW w:w="802" w:type="pct"/>
            <w:tcBorders>
              <w:top w:val="single" w:sz="4" w:space="0" w:color="000000"/>
              <w:left w:val="nil"/>
              <w:bottom w:val="single" w:sz="4" w:space="0" w:color="000000"/>
              <w:right w:val="single" w:sz="4" w:space="0" w:color="000000"/>
            </w:tcBorders>
            <w:shd w:val="clear" w:color="auto" w:fill="000000"/>
            <w:vAlign w:val="center"/>
          </w:tcPr>
          <w:p w:rsidR="00E56465" w:rsidRPr="002E403E" w:rsidRDefault="00E56465" w:rsidP="00D46B44">
            <w:pPr>
              <w:spacing w:after="0" w:line="240" w:lineRule="auto"/>
              <w:jc w:val="center"/>
              <w:rPr>
                <w:rFonts w:ascii="Arial" w:eastAsia="Arial" w:hAnsi="Arial" w:cs="Arial"/>
                <w:b/>
                <w:color w:val="FFFFFF"/>
                <w:sz w:val="20"/>
                <w:szCs w:val="20"/>
              </w:rPr>
            </w:pPr>
            <w:r w:rsidRPr="002E403E">
              <w:rPr>
                <w:rFonts w:ascii="Arial" w:eastAsia="Arial" w:hAnsi="Arial" w:cs="Arial"/>
                <w:b/>
                <w:color w:val="FFFFFF"/>
                <w:sz w:val="20"/>
                <w:szCs w:val="20"/>
              </w:rPr>
              <w:t>Saldo al 31/dic/2022</w:t>
            </w:r>
          </w:p>
        </w:tc>
        <w:tc>
          <w:tcPr>
            <w:tcW w:w="903" w:type="pct"/>
            <w:tcBorders>
              <w:top w:val="single" w:sz="4" w:space="0" w:color="000000"/>
              <w:left w:val="nil"/>
              <w:bottom w:val="single" w:sz="4" w:space="0" w:color="000000"/>
              <w:right w:val="single" w:sz="4" w:space="0" w:color="000000"/>
            </w:tcBorders>
            <w:shd w:val="clear" w:color="auto" w:fill="000000"/>
            <w:vAlign w:val="center"/>
          </w:tcPr>
          <w:p w:rsidR="00E56465" w:rsidRPr="002E403E" w:rsidRDefault="00E56465" w:rsidP="00D46B44">
            <w:pPr>
              <w:spacing w:after="0" w:line="240" w:lineRule="auto"/>
              <w:jc w:val="center"/>
              <w:rPr>
                <w:rFonts w:ascii="Arial" w:eastAsia="Arial" w:hAnsi="Arial" w:cs="Arial"/>
                <w:b/>
                <w:color w:val="FFFFFF"/>
                <w:sz w:val="20"/>
                <w:szCs w:val="20"/>
              </w:rPr>
            </w:pPr>
            <w:r w:rsidRPr="002E403E">
              <w:rPr>
                <w:rFonts w:ascii="Arial" w:eastAsia="Arial" w:hAnsi="Arial" w:cs="Arial"/>
                <w:b/>
                <w:color w:val="FFFFFF"/>
                <w:sz w:val="20"/>
                <w:szCs w:val="20"/>
              </w:rPr>
              <w:t>Amortización</w:t>
            </w:r>
          </w:p>
        </w:tc>
        <w:tc>
          <w:tcPr>
            <w:tcW w:w="808" w:type="pct"/>
            <w:tcBorders>
              <w:top w:val="single" w:sz="4" w:space="0" w:color="000000"/>
              <w:left w:val="nil"/>
              <w:bottom w:val="single" w:sz="4" w:space="0" w:color="000000"/>
              <w:right w:val="single" w:sz="4" w:space="0" w:color="000000"/>
            </w:tcBorders>
            <w:shd w:val="clear" w:color="auto" w:fill="000000"/>
            <w:vAlign w:val="center"/>
          </w:tcPr>
          <w:p w:rsidR="00E56465" w:rsidRPr="002E403E" w:rsidRDefault="00E56465" w:rsidP="00D46B44">
            <w:pPr>
              <w:spacing w:after="0" w:line="240" w:lineRule="auto"/>
              <w:jc w:val="center"/>
              <w:rPr>
                <w:rFonts w:ascii="Arial" w:eastAsia="Arial" w:hAnsi="Arial" w:cs="Arial"/>
                <w:b/>
                <w:color w:val="FFFFFF"/>
                <w:sz w:val="20"/>
                <w:szCs w:val="20"/>
              </w:rPr>
            </w:pPr>
            <w:r w:rsidRPr="002E403E">
              <w:rPr>
                <w:rFonts w:ascii="Arial" w:eastAsia="Arial" w:hAnsi="Arial" w:cs="Arial"/>
                <w:b/>
                <w:color w:val="FFFFFF"/>
                <w:sz w:val="20"/>
                <w:szCs w:val="20"/>
              </w:rPr>
              <w:t>Servicio de la Deuda</w:t>
            </w:r>
            <w:r w:rsidRPr="002E403E">
              <w:rPr>
                <w:rFonts w:ascii="Arial" w:eastAsia="Arial" w:hAnsi="Arial" w:cs="Arial"/>
                <w:b/>
                <w:color w:val="FFFFFF"/>
                <w:sz w:val="20"/>
                <w:szCs w:val="20"/>
                <w:vertAlign w:val="superscript"/>
              </w:rPr>
              <w:t>1</w:t>
            </w:r>
          </w:p>
        </w:tc>
      </w:tr>
      <w:tr w:rsidR="00E56465" w:rsidRPr="002E403E" w:rsidTr="002E403E">
        <w:trPr>
          <w:trHeight w:val="6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Deuda pública de largo plazo</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Banco Nacional de México, S.A. por 2,620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2,560,263,346</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35,943,334</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264,734,446</w:t>
            </w:r>
          </w:p>
        </w:tc>
      </w:tr>
      <w:tr w:rsidR="00E56465" w:rsidRPr="002E403E" w:rsidTr="002E403E">
        <w:trPr>
          <w:trHeight w:val="6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Banco Nacional de Obras y Servicios Públicos, S.N.C. por 800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783,499,834</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9,609,880</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96,064,210</w:t>
            </w:r>
          </w:p>
        </w:tc>
      </w:tr>
      <w:tr w:rsidR="00E56465" w:rsidRPr="002E403E" w:rsidTr="002E403E">
        <w:trPr>
          <w:trHeight w:val="6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lastRenderedPageBreak/>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Banco Nacional de Obras y Servicios Públicos, S.N.C. por 1,200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1,175,594,446</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14,409,097</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117,843,004</w:t>
            </w:r>
          </w:p>
        </w:tc>
      </w:tr>
      <w:tr w:rsidR="00E56465" w:rsidRPr="002E403E" w:rsidTr="002E403E">
        <w:trPr>
          <w:trHeight w:val="6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Banco Nacional de Obras y Servicios Públicos, S.N.C. por 1,420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1,352,199,421</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16,585,166</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168,130,367</w:t>
            </w:r>
          </w:p>
        </w:tc>
      </w:tr>
      <w:tr w:rsidR="00E56465" w:rsidRPr="002E403E" w:rsidTr="002E403E">
        <w:trPr>
          <w:trHeight w:val="3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BBVA México, S.A. por 1,735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1,734,999,217</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4,228,478</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189,313,405</w:t>
            </w:r>
          </w:p>
        </w:tc>
      </w:tr>
      <w:tr w:rsidR="00E56465" w:rsidRPr="002E403E" w:rsidTr="002E403E">
        <w:trPr>
          <w:trHeight w:val="3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Total deuda pública de largo plazo</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7,606,556,264</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80,775,955</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836,085,432</w:t>
            </w:r>
          </w:p>
        </w:tc>
      </w:tr>
      <w:tr w:rsidR="00E56465" w:rsidRPr="002E403E" w:rsidTr="002E403E">
        <w:trPr>
          <w:trHeight w:val="6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Deuda pública con garantía</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Banco Nacional de Obras y Servicios Públicos, S.N.C. (PROFISE) por 317 mdp</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306,931,762</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26,883,528</w:t>
            </w:r>
          </w:p>
        </w:tc>
      </w:tr>
      <w:tr w:rsidR="00E56465" w:rsidRPr="002E403E" w:rsidTr="002E403E">
        <w:trPr>
          <w:trHeight w:val="300"/>
          <w:jc w:val="center"/>
        </w:trPr>
        <w:tc>
          <w:tcPr>
            <w:tcW w:w="924" w:type="pct"/>
            <w:tcBorders>
              <w:top w:val="nil"/>
              <w:left w:val="single" w:sz="4" w:space="0" w:color="000000"/>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156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Total deuda pública con garantía</w:t>
            </w:r>
          </w:p>
        </w:tc>
        <w:tc>
          <w:tcPr>
            <w:tcW w:w="802"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306,931,762</w:t>
            </w:r>
          </w:p>
        </w:tc>
        <w:tc>
          <w:tcPr>
            <w:tcW w:w="903"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0</w:t>
            </w:r>
          </w:p>
        </w:tc>
        <w:tc>
          <w:tcPr>
            <w:tcW w:w="808" w:type="pct"/>
            <w:tcBorders>
              <w:top w:val="nil"/>
              <w:left w:val="nil"/>
              <w:bottom w:val="single" w:sz="4" w:space="0" w:color="000000"/>
              <w:right w:val="single" w:sz="4" w:space="0" w:color="000000"/>
            </w:tcBorders>
            <w:shd w:val="clear" w:color="auto" w:fill="auto"/>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26,883,528</w:t>
            </w:r>
          </w:p>
        </w:tc>
      </w:tr>
      <w:tr w:rsidR="00E56465" w:rsidRPr="002E403E" w:rsidTr="002E403E">
        <w:trPr>
          <w:trHeight w:val="300"/>
          <w:jc w:val="center"/>
        </w:trPr>
        <w:tc>
          <w:tcPr>
            <w:tcW w:w="924" w:type="pct"/>
            <w:tcBorders>
              <w:top w:val="nil"/>
              <w:left w:val="single" w:sz="4" w:space="0" w:color="000000"/>
              <w:bottom w:val="single" w:sz="4" w:space="0" w:color="000000"/>
              <w:right w:val="single" w:sz="4" w:space="0" w:color="000000"/>
            </w:tcBorders>
            <w:shd w:val="clear" w:color="auto" w:fill="AEAAAA"/>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Total</w:t>
            </w:r>
          </w:p>
        </w:tc>
        <w:tc>
          <w:tcPr>
            <w:tcW w:w="1562" w:type="pct"/>
            <w:tcBorders>
              <w:top w:val="nil"/>
              <w:left w:val="nil"/>
              <w:bottom w:val="single" w:sz="4" w:space="0" w:color="000000"/>
              <w:right w:val="single" w:sz="4" w:space="0" w:color="000000"/>
            </w:tcBorders>
            <w:shd w:val="clear" w:color="auto" w:fill="AEAAAA"/>
            <w:vAlign w:val="center"/>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rPr>
              <w:t> </w:t>
            </w:r>
          </w:p>
        </w:tc>
        <w:tc>
          <w:tcPr>
            <w:tcW w:w="802" w:type="pct"/>
            <w:tcBorders>
              <w:top w:val="nil"/>
              <w:left w:val="nil"/>
              <w:bottom w:val="single" w:sz="4" w:space="0" w:color="000000"/>
              <w:right w:val="single" w:sz="4" w:space="0" w:color="000000"/>
            </w:tcBorders>
            <w:shd w:val="clear" w:color="auto" w:fill="AEAAAA"/>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7,913,488,026</w:t>
            </w:r>
          </w:p>
        </w:tc>
        <w:tc>
          <w:tcPr>
            <w:tcW w:w="903" w:type="pct"/>
            <w:tcBorders>
              <w:top w:val="nil"/>
              <w:left w:val="nil"/>
              <w:bottom w:val="single" w:sz="4" w:space="0" w:color="000000"/>
              <w:right w:val="single" w:sz="4" w:space="0" w:color="000000"/>
            </w:tcBorders>
            <w:shd w:val="clear" w:color="auto" w:fill="AEAAAA"/>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80,775,955</w:t>
            </w:r>
          </w:p>
        </w:tc>
        <w:tc>
          <w:tcPr>
            <w:tcW w:w="808" w:type="pct"/>
            <w:tcBorders>
              <w:top w:val="nil"/>
              <w:left w:val="nil"/>
              <w:bottom w:val="single" w:sz="4" w:space="0" w:color="000000"/>
              <w:right w:val="single" w:sz="4" w:space="0" w:color="000000"/>
            </w:tcBorders>
            <w:shd w:val="clear" w:color="auto" w:fill="AEAAAA"/>
            <w:vAlign w:val="center"/>
          </w:tcPr>
          <w:p w:rsidR="00E56465" w:rsidRPr="002E403E" w:rsidRDefault="00E56465" w:rsidP="00D46B44">
            <w:pPr>
              <w:spacing w:after="0" w:line="240" w:lineRule="auto"/>
              <w:jc w:val="right"/>
              <w:rPr>
                <w:rFonts w:ascii="Arial" w:eastAsia="Arial" w:hAnsi="Arial" w:cs="Arial"/>
                <w:color w:val="000000"/>
                <w:sz w:val="20"/>
                <w:szCs w:val="20"/>
              </w:rPr>
            </w:pPr>
            <w:r w:rsidRPr="002E403E">
              <w:rPr>
                <w:rFonts w:ascii="Arial" w:eastAsia="Arial" w:hAnsi="Arial" w:cs="Arial"/>
                <w:color w:val="000000"/>
                <w:sz w:val="20"/>
                <w:szCs w:val="20"/>
              </w:rPr>
              <w:t>862,968,960</w:t>
            </w:r>
          </w:p>
        </w:tc>
      </w:tr>
      <w:tr w:rsidR="00E56465" w:rsidRPr="002E403E" w:rsidTr="002E403E">
        <w:trPr>
          <w:trHeight w:val="300"/>
          <w:jc w:val="center"/>
        </w:trPr>
        <w:tc>
          <w:tcPr>
            <w:tcW w:w="5000" w:type="pct"/>
            <w:gridSpan w:val="5"/>
            <w:tcBorders>
              <w:top w:val="nil"/>
              <w:left w:val="nil"/>
              <w:bottom w:val="nil"/>
              <w:right w:val="nil"/>
            </w:tcBorders>
            <w:shd w:val="clear" w:color="auto" w:fill="auto"/>
            <w:vAlign w:val="bottom"/>
          </w:tcPr>
          <w:p w:rsidR="00E56465" w:rsidRPr="002E403E" w:rsidRDefault="00E56465" w:rsidP="00D46B44">
            <w:pPr>
              <w:spacing w:after="0" w:line="240" w:lineRule="auto"/>
              <w:rPr>
                <w:rFonts w:ascii="Arial" w:eastAsia="Arial" w:hAnsi="Arial" w:cs="Arial"/>
                <w:color w:val="000000"/>
                <w:sz w:val="20"/>
                <w:szCs w:val="20"/>
              </w:rPr>
            </w:pPr>
            <w:r w:rsidRPr="002E403E">
              <w:rPr>
                <w:rFonts w:ascii="Arial" w:eastAsia="Arial" w:hAnsi="Arial" w:cs="Arial"/>
                <w:color w:val="000000"/>
                <w:sz w:val="20"/>
                <w:szCs w:val="20"/>
                <w:vertAlign w:val="superscript"/>
              </w:rPr>
              <w:t xml:space="preserve">1 </w:t>
            </w:r>
            <w:r w:rsidRPr="002E403E">
              <w:rPr>
                <w:rFonts w:ascii="Arial" w:eastAsia="Arial" w:hAnsi="Arial" w:cs="Arial"/>
                <w:color w:val="000000"/>
                <w:sz w:val="20"/>
                <w:szCs w:val="20"/>
              </w:rPr>
              <w:t>El servicio de la deuda considera intereses, gastos y costos de cobertura de la deuda pública de largo plazo.</w:t>
            </w:r>
          </w:p>
        </w:tc>
      </w:tr>
    </w:tbl>
    <w:p w:rsidR="00AE5277" w:rsidRDefault="00AE5277" w:rsidP="00AE5277">
      <w:pPr>
        <w:spacing w:before="240" w:line="240" w:lineRule="auto"/>
        <w:jc w:val="both"/>
        <w:rPr>
          <w:rFonts w:ascii="Arial" w:eastAsia="Arial" w:hAnsi="Arial" w:cs="Arial"/>
          <w:szCs w:val="24"/>
        </w:rPr>
      </w:pPr>
      <w:r>
        <w:rPr>
          <w:rFonts w:ascii="Arial" w:eastAsia="Arial" w:hAnsi="Arial" w:cs="Arial"/>
          <w:szCs w:val="24"/>
        </w:rPr>
        <w:t xml:space="preserve">El calendario de amortizaciones de los siguientes ejercicios fiscales se presenta en el </w:t>
      </w:r>
      <w:r w:rsidR="00913F58">
        <w:rPr>
          <w:rFonts w:ascii="Arial" w:eastAsia="Arial" w:hAnsi="Arial" w:cs="Arial"/>
          <w:szCs w:val="24"/>
        </w:rPr>
        <w:t>a</w:t>
      </w:r>
      <w:r>
        <w:rPr>
          <w:rFonts w:ascii="Arial" w:eastAsia="Arial" w:hAnsi="Arial" w:cs="Arial"/>
          <w:szCs w:val="24"/>
        </w:rPr>
        <w:t>nexo III de esta ley.</w:t>
      </w:r>
    </w:p>
    <w:p w:rsidR="00AE5277" w:rsidRDefault="00AE5277" w:rsidP="00AE5277">
      <w:pPr>
        <w:spacing w:before="240" w:line="240" w:lineRule="auto"/>
        <w:jc w:val="both"/>
        <w:rPr>
          <w:rFonts w:ascii="Arial" w:eastAsia="Arial" w:hAnsi="Arial" w:cs="Arial"/>
          <w:szCs w:val="24"/>
        </w:rPr>
      </w:pPr>
      <w:r>
        <w:rPr>
          <w:rFonts w:ascii="Arial" w:eastAsia="Arial" w:hAnsi="Arial" w:cs="Arial"/>
          <w:szCs w:val="24"/>
        </w:rPr>
        <w:t xml:space="preserve">Con base en el resultado de la evaluación del Sistema de Alertas de la Secretaría de Hacienda y Crédito </w:t>
      </w:r>
      <w:r w:rsidR="00912B82" w:rsidRPr="001A71D4">
        <w:rPr>
          <w:rFonts w:ascii="Arial" w:eastAsia="Arial" w:hAnsi="Arial" w:cs="Arial"/>
          <w:szCs w:val="24"/>
        </w:rPr>
        <w:t>Público publicada el 30 de junio de 2022</w:t>
      </w:r>
      <w:r>
        <w:rPr>
          <w:rFonts w:ascii="Arial" w:eastAsia="Arial" w:hAnsi="Arial" w:cs="Arial"/>
          <w:szCs w:val="24"/>
        </w:rPr>
        <w:t>, el estado de Yucatán se encuentra clasificado con un nivel de endeudamiento sostenible y con acceso a un techo de financiamiento neto equivalente al quince por ciento de sus ingresos de libre disposición.</w:t>
      </w:r>
    </w:p>
    <w:p w:rsidR="00AE5277" w:rsidRDefault="00AE5277" w:rsidP="00AE5277">
      <w:pPr>
        <w:spacing w:before="240" w:line="240" w:lineRule="auto"/>
        <w:jc w:val="both"/>
        <w:rPr>
          <w:rFonts w:ascii="Arial" w:eastAsia="Arial" w:hAnsi="Arial" w:cs="Arial"/>
          <w:szCs w:val="24"/>
        </w:rPr>
      </w:pPr>
      <w:r>
        <w:rPr>
          <w:rFonts w:ascii="Arial" w:eastAsia="Arial" w:hAnsi="Arial" w:cs="Arial"/>
          <w:szCs w:val="24"/>
        </w:rPr>
        <w:t>Si durante el ejercicio fiscal de 2023, se actualiza alguno de los supuestos previstos por el artículo 7 de la Ley de Disciplina Financiera</w:t>
      </w:r>
      <w:r w:rsidR="00913F58">
        <w:rPr>
          <w:rFonts w:ascii="Arial" w:eastAsia="Arial" w:hAnsi="Arial" w:cs="Arial"/>
          <w:szCs w:val="24"/>
        </w:rPr>
        <w:t xml:space="preserve"> de las Entidades Federativas y los Municipios</w:t>
      </w:r>
      <w:r>
        <w:rPr>
          <w:rFonts w:ascii="Arial" w:eastAsia="Arial" w:hAnsi="Arial" w:cs="Arial"/>
          <w:szCs w:val="24"/>
        </w:rPr>
        <w:t>, con base en el cual se proyectara incurrir</w:t>
      </w:r>
      <w:r w:rsidR="003D17CB">
        <w:rPr>
          <w:rFonts w:ascii="Arial" w:eastAsia="Arial" w:hAnsi="Arial" w:cs="Arial"/>
          <w:szCs w:val="24"/>
        </w:rPr>
        <w:t xml:space="preserve"> al cierre del ejercicio en un b</w:t>
      </w:r>
      <w:r>
        <w:rPr>
          <w:rFonts w:ascii="Arial" w:eastAsia="Arial" w:hAnsi="Arial" w:cs="Arial"/>
          <w:szCs w:val="24"/>
        </w:rPr>
        <w:t xml:space="preserve">alance presupuestario de recursos disponibles negativo, se autoriza al </w:t>
      </w:r>
      <w:r w:rsidR="00913F58">
        <w:rPr>
          <w:rFonts w:ascii="Arial" w:eastAsia="Arial" w:hAnsi="Arial" w:cs="Arial"/>
          <w:szCs w:val="24"/>
        </w:rPr>
        <w:t xml:space="preserve">Poder </w:t>
      </w:r>
      <w:r>
        <w:rPr>
          <w:rFonts w:ascii="Arial" w:eastAsia="Arial" w:hAnsi="Arial" w:cs="Arial"/>
          <w:szCs w:val="24"/>
        </w:rPr>
        <w:t xml:space="preserve">Ejecutivo del </w:t>
      </w:r>
      <w:r w:rsidR="00913F58">
        <w:rPr>
          <w:rFonts w:ascii="Arial" w:eastAsia="Arial" w:hAnsi="Arial" w:cs="Arial"/>
          <w:szCs w:val="24"/>
        </w:rPr>
        <w:t>e</w:t>
      </w:r>
      <w:r>
        <w:rPr>
          <w:rFonts w:ascii="Arial" w:eastAsia="Arial" w:hAnsi="Arial" w:cs="Arial"/>
          <w:szCs w:val="24"/>
        </w:rPr>
        <w:t>stado, conforme al artículo 46, párrafo segundo</w:t>
      </w:r>
      <w:r w:rsidR="006D03B4">
        <w:rPr>
          <w:rFonts w:ascii="Arial" w:eastAsia="Arial" w:hAnsi="Arial" w:cs="Arial"/>
          <w:szCs w:val="24"/>
        </w:rPr>
        <w:t>,</w:t>
      </w:r>
      <w:r>
        <w:rPr>
          <w:rFonts w:ascii="Arial" w:eastAsia="Arial" w:hAnsi="Arial" w:cs="Arial"/>
          <w:szCs w:val="24"/>
        </w:rPr>
        <w:t xml:space="preserve"> de la misma ley, para ampliar el techo de financiamiento neto hasta por el monto</w:t>
      </w:r>
      <w:r w:rsidR="006D03B4">
        <w:rPr>
          <w:rFonts w:ascii="Arial" w:eastAsia="Arial" w:hAnsi="Arial" w:cs="Arial"/>
          <w:szCs w:val="24"/>
        </w:rPr>
        <w:t xml:space="preserve"> </w:t>
      </w:r>
      <w:r>
        <w:rPr>
          <w:rFonts w:ascii="Arial" w:eastAsia="Arial" w:hAnsi="Arial" w:cs="Arial"/>
          <w:szCs w:val="24"/>
        </w:rPr>
        <w:t xml:space="preserve">necesario para solventar las causas que generaron el balance presupuestario de recursos disponible negativo. </w:t>
      </w:r>
    </w:p>
    <w:p w:rsidR="008E28BA" w:rsidRDefault="00AE5277" w:rsidP="00AE5277">
      <w:pPr>
        <w:spacing w:before="240" w:line="240" w:lineRule="auto"/>
        <w:jc w:val="both"/>
        <w:rPr>
          <w:rFonts w:ascii="Arial" w:eastAsia="Arial" w:hAnsi="Arial" w:cs="Arial"/>
          <w:szCs w:val="24"/>
        </w:rPr>
      </w:pPr>
      <w:r>
        <w:rPr>
          <w:rFonts w:ascii="Arial" w:eastAsia="Arial" w:hAnsi="Arial" w:cs="Arial"/>
          <w:szCs w:val="24"/>
        </w:rPr>
        <w:t xml:space="preserve">Dentro del programa </w:t>
      </w:r>
      <w:r w:rsidR="003D17CB">
        <w:rPr>
          <w:rFonts w:ascii="Arial" w:eastAsia="Arial" w:hAnsi="Arial" w:cs="Arial"/>
          <w:szCs w:val="24"/>
        </w:rPr>
        <w:t>anual</w:t>
      </w:r>
      <w:r>
        <w:rPr>
          <w:rFonts w:ascii="Arial" w:eastAsia="Arial" w:hAnsi="Arial" w:cs="Arial"/>
          <w:szCs w:val="24"/>
        </w:rPr>
        <w:t xml:space="preserve"> </w:t>
      </w:r>
      <w:r w:rsidR="006D03B4">
        <w:rPr>
          <w:rFonts w:ascii="Arial" w:eastAsia="Arial" w:hAnsi="Arial" w:cs="Arial"/>
          <w:szCs w:val="24"/>
        </w:rPr>
        <w:t xml:space="preserve">de </w:t>
      </w:r>
      <w:r>
        <w:rPr>
          <w:rFonts w:ascii="Arial" w:eastAsia="Arial" w:hAnsi="Arial" w:cs="Arial"/>
          <w:szCs w:val="24"/>
        </w:rPr>
        <w:t xml:space="preserve">financiamiento 2023, el Poder Ejecutivo del estado prevé la posibilidad de disponer de obligaciones de corto plazo para cubrir necesidades de liquidez conforme a los límites, montos y características establecidos en el artículo 30 de la Ley de Disciplina Financiera de las Entidades Federativas y los Municipios, es decir, teniendo un límite del seis por ciento de los ingresos totales autorizados en esta </w:t>
      </w:r>
      <w:r w:rsidR="006D03B4">
        <w:rPr>
          <w:rFonts w:ascii="Arial" w:eastAsia="Arial" w:hAnsi="Arial" w:cs="Arial"/>
          <w:szCs w:val="24"/>
        </w:rPr>
        <w:t>l</w:t>
      </w:r>
      <w:r>
        <w:rPr>
          <w:rFonts w:ascii="Arial" w:eastAsia="Arial" w:hAnsi="Arial" w:cs="Arial"/>
          <w:szCs w:val="24"/>
        </w:rPr>
        <w:t xml:space="preserve">ey. </w:t>
      </w:r>
    </w:p>
    <w:p w:rsidR="00AE5277" w:rsidRDefault="00B86AD2" w:rsidP="00AE5277">
      <w:pPr>
        <w:spacing w:before="240" w:line="240" w:lineRule="auto"/>
        <w:jc w:val="both"/>
        <w:rPr>
          <w:rFonts w:ascii="Arial" w:eastAsia="Arial" w:hAnsi="Arial" w:cs="Arial"/>
          <w:szCs w:val="24"/>
        </w:rPr>
      </w:pPr>
      <w:r>
        <w:rPr>
          <w:rFonts w:ascii="Arial" w:eastAsia="Arial" w:hAnsi="Arial" w:cs="Arial"/>
          <w:szCs w:val="24"/>
        </w:rPr>
        <w:lastRenderedPageBreak/>
        <w:t xml:space="preserve">Asimismo, también prevé continuar la </w:t>
      </w:r>
      <w:r w:rsidRPr="00075B55">
        <w:rPr>
          <w:rFonts w:ascii="Arial" w:eastAsia="Arial" w:hAnsi="Arial" w:cs="Arial"/>
          <w:szCs w:val="24"/>
        </w:rPr>
        <w:t xml:space="preserve">disposición del financiamiento de largo plazo hasta por el monto remanente o pendiente </w:t>
      </w:r>
      <w:r w:rsidR="008E28BA" w:rsidRPr="00075B55">
        <w:rPr>
          <w:rFonts w:ascii="Arial" w:eastAsia="Arial" w:hAnsi="Arial" w:cs="Arial"/>
          <w:szCs w:val="24"/>
        </w:rPr>
        <w:t xml:space="preserve">de disposición al 31 de diciembre de 2022 </w:t>
      </w:r>
      <w:r w:rsidRPr="00075B55">
        <w:rPr>
          <w:rFonts w:ascii="Arial" w:eastAsia="Arial" w:hAnsi="Arial" w:cs="Arial"/>
          <w:szCs w:val="24"/>
        </w:rPr>
        <w:t>del Contrato de Apertura de Crédito Simple celebrado hasta por la cantidad de $1,735,000,000.00 (Mil setecientos treinta y cinco millones de pesos 00/100 M.N.) el seis</w:t>
      </w:r>
      <w:r w:rsidRPr="00B86AD2">
        <w:rPr>
          <w:rFonts w:ascii="Arial" w:eastAsia="Arial" w:hAnsi="Arial" w:cs="Arial"/>
          <w:szCs w:val="24"/>
        </w:rPr>
        <w:t xml:space="preserve"> de septiembre de 2022, con </w:t>
      </w:r>
      <w:r>
        <w:rPr>
          <w:rFonts w:ascii="Arial" w:eastAsia="Arial" w:hAnsi="Arial" w:cs="Arial"/>
          <w:szCs w:val="24"/>
        </w:rPr>
        <w:t>base</w:t>
      </w:r>
      <w:r w:rsidRPr="00B86AD2">
        <w:rPr>
          <w:rFonts w:ascii="Arial" w:eastAsia="Arial" w:hAnsi="Arial" w:cs="Arial"/>
          <w:szCs w:val="24"/>
        </w:rPr>
        <w:t xml:space="preserve"> en la autorización legislativa contenida en el Decreto 5</w:t>
      </w:r>
      <w:r w:rsidR="00BB4ED6">
        <w:rPr>
          <w:rFonts w:ascii="Arial" w:eastAsia="Arial" w:hAnsi="Arial" w:cs="Arial"/>
          <w:szCs w:val="24"/>
        </w:rPr>
        <w:t>26</w:t>
      </w:r>
      <w:r w:rsidRPr="00B86AD2">
        <w:rPr>
          <w:rFonts w:ascii="Arial" w:eastAsia="Arial" w:hAnsi="Arial" w:cs="Arial"/>
          <w:szCs w:val="24"/>
        </w:rPr>
        <w:t>/2022 publicado en el Diario Oficial del Gobierno del Estado</w:t>
      </w:r>
      <w:r>
        <w:rPr>
          <w:rFonts w:ascii="Arial" w:eastAsia="Arial" w:hAnsi="Arial" w:cs="Arial"/>
          <w:szCs w:val="24"/>
        </w:rPr>
        <w:t xml:space="preserve"> de Yucatán</w:t>
      </w:r>
      <w:r w:rsidRPr="00B86AD2">
        <w:rPr>
          <w:rFonts w:ascii="Arial" w:eastAsia="Arial" w:hAnsi="Arial" w:cs="Arial"/>
          <w:szCs w:val="24"/>
        </w:rPr>
        <w:t xml:space="preserve"> el 30 de junio de 2022.</w:t>
      </w:r>
    </w:p>
    <w:p w:rsidR="00AE5277" w:rsidRDefault="00AE5277" w:rsidP="00AE5277">
      <w:pPr>
        <w:spacing w:before="240" w:line="240" w:lineRule="auto"/>
        <w:jc w:val="both"/>
        <w:rPr>
          <w:rFonts w:ascii="Arial" w:eastAsia="Arial" w:hAnsi="Arial" w:cs="Arial"/>
          <w:szCs w:val="24"/>
        </w:rPr>
      </w:pPr>
      <w:r>
        <w:rPr>
          <w:rFonts w:ascii="Arial" w:eastAsia="Arial" w:hAnsi="Arial" w:cs="Arial"/>
          <w:b/>
          <w:szCs w:val="24"/>
        </w:rPr>
        <w:t>Artículo 5. Reestructura o refinanciamiento de deuda</w:t>
      </w:r>
    </w:p>
    <w:p w:rsidR="00AE5277" w:rsidRDefault="00AE5277" w:rsidP="00AE5277">
      <w:pPr>
        <w:spacing w:before="240" w:line="240" w:lineRule="auto"/>
        <w:jc w:val="both"/>
        <w:rPr>
          <w:rFonts w:ascii="Arial" w:eastAsia="Arial" w:hAnsi="Arial" w:cs="Arial"/>
          <w:szCs w:val="24"/>
        </w:rPr>
      </w:pPr>
      <w:r>
        <w:rPr>
          <w:rFonts w:ascii="Arial" w:eastAsia="Arial" w:hAnsi="Arial" w:cs="Arial"/>
          <w:color w:val="000000"/>
          <w:szCs w:val="24"/>
        </w:rPr>
        <w:t>C</w:t>
      </w:r>
      <w:r>
        <w:rPr>
          <w:rFonts w:ascii="Arial" w:eastAsia="Arial" w:hAnsi="Arial" w:cs="Arial"/>
          <w:szCs w:val="24"/>
        </w:rPr>
        <w:t>on base en el análisis de la capacidad de pago del estado de Yucatán, el destino de los financiamientos, la situación de la deuda pública y de los recursos a otorgarse como fuente de pago, se autoriza al Poder Ejecutivo del Estado de Yucatán para que, por conducto de la Secretaría de Administración y Finanzas, durante el ejercicio fiscal 2023:</w:t>
      </w:r>
    </w:p>
    <w:p w:rsidR="00AE5277" w:rsidRDefault="00BB4ED6" w:rsidP="00BB4ED6">
      <w:pPr>
        <w:pBdr>
          <w:top w:val="nil"/>
          <w:left w:val="nil"/>
          <w:bottom w:val="nil"/>
          <w:right w:val="nil"/>
          <w:between w:val="nil"/>
        </w:pBdr>
        <w:spacing w:before="240" w:after="160" w:line="240" w:lineRule="auto"/>
        <w:ind w:firstLine="709"/>
        <w:jc w:val="both"/>
        <w:rPr>
          <w:rFonts w:ascii="Arial" w:eastAsia="Arial" w:hAnsi="Arial" w:cs="Arial"/>
          <w:color w:val="000000"/>
          <w:szCs w:val="24"/>
        </w:rPr>
      </w:pPr>
      <w:r>
        <w:rPr>
          <w:rFonts w:ascii="Arial" w:eastAsia="Arial" w:hAnsi="Arial" w:cs="Arial"/>
          <w:color w:val="000000"/>
          <w:szCs w:val="24"/>
        </w:rPr>
        <w:t xml:space="preserve">I. </w:t>
      </w:r>
      <w:r w:rsidR="00AE5277">
        <w:rPr>
          <w:rFonts w:ascii="Arial" w:eastAsia="Arial" w:hAnsi="Arial" w:cs="Arial"/>
          <w:color w:val="000000"/>
          <w:szCs w:val="24"/>
        </w:rPr>
        <w:t xml:space="preserve">Celebre una o más operaciones de crédito con </w:t>
      </w:r>
      <w:r w:rsidR="00AE5277" w:rsidRPr="00075B55">
        <w:rPr>
          <w:rFonts w:ascii="Arial" w:eastAsia="Arial" w:hAnsi="Arial" w:cs="Arial"/>
          <w:szCs w:val="24"/>
        </w:rPr>
        <w:t xml:space="preserve">un plazo de pago de hasta veinte años </w:t>
      </w:r>
      <w:r w:rsidR="00AE5277">
        <w:rPr>
          <w:rFonts w:ascii="Arial" w:eastAsia="Arial" w:hAnsi="Arial" w:cs="Arial"/>
          <w:color w:val="000000"/>
          <w:szCs w:val="24"/>
        </w:rPr>
        <w:t>contados a partir de su celebración, cuyo destino será la reestructura o el refinanciamiento de los créditos celebrados previamente por el Estado con</w:t>
      </w:r>
      <w:r w:rsidR="006D03B4">
        <w:rPr>
          <w:rFonts w:ascii="Arial" w:eastAsia="Arial" w:hAnsi="Arial" w:cs="Arial"/>
          <w:color w:val="000000"/>
          <w:szCs w:val="24"/>
        </w:rPr>
        <w:t xml:space="preserve"> el</w:t>
      </w:r>
      <w:r w:rsidR="00AE5277">
        <w:rPr>
          <w:rFonts w:ascii="Arial" w:eastAsia="Arial" w:hAnsi="Arial" w:cs="Arial"/>
          <w:color w:val="000000"/>
          <w:szCs w:val="24"/>
        </w:rPr>
        <w:t xml:space="preserve"> Banco Nacional de Obras y Servicios Públicos, S.N.C., el 8 de abril de 2013 y 30 de septiembre de 2020, y con</w:t>
      </w:r>
      <w:r w:rsidR="006D03B4">
        <w:rPr>
          <w:rFonts w:ascii="Arial" w:eastAsia="Arial" w:hAnsi="Arial" w:cs="Arial"/>
          <w:color w:val="000000"/>
          <w:szCs w:val="24"/>
        </w:rPr>
        <w:t xml:space="preserve"> el</w:t>
      </w:r>
      <w:r w:rsidR="00AE5277">
        <w:rPr>
          <w:rFonts w:ascii="Arial" w:eastAsia="Arial" w:hAnsi="Arial" w:cs="Arial"/>
          <w:color w:val="000000"/>
          <w:szCs w:val="24"/>
        </w:rPr>
        <w:t xml:space="preserve"> Banco Nacional de México, S.A. el 6 de noviembre de 2019; financiamientos identificados con las siguientes claves de inscripción en el Registro Público Único de Financiamientos y Obligaciones de Entidades Federativas y Municipios a cargo de la Secretaría de Hacienda y Crédito Público: P31-0413037, P31-1020086, P31-1020087, P31-1020088 y P31-1119054. </w:t>
      </w:r>
    </w:p>
    <w:p w:rsidR="00AE5277" w:rsidRDefault="00AE5277" w:rsidP="00BB4ED6">
      <w:pPr>
        <w:pBdr>
          <w:top w:val="nil"/>
          <w:left w:val="nil"/>
          <w:bottom w:val="nil"/>
          <w:right w:val="nil"/>
          <w:between w:val="nil"/>
        </w:pBdr>
        <w:spacing w:before="240" w:line="240" w:lineRule="auto"/>
        <w:ind w:firstLine="708"/>
        <w:jc w:val="both"/>
        <w:rPr>
          <w:rFonts w:ascii="Arial" w:eastAsia="Arial" w:hAnsi="Arial" w:cs="Arial"/>
          <w:color w:val="000000"/>
          <w:szCs w:val="24"/>
        </w:rPr>
      </w:pPr>
      <w:r>
        <w:rPr>
          <w:rFonts w:ascii="Arial" w:eastAsia="Arial" w:hAnsi="Arial" w:cs="Arial"/>
          <w:color w:val="000000"/>
          <w:szCs w:val="24"/>
        </w:rPr>
        <w:t>La autorización a que se refiere este artículo se ejercerá hasta por el monto del saldo insoluto de las obligaciones al momento de su celebración, sin implicar nuevas disposiciones o incremento en el saldo de la deuda pública.</w:t>
      </w:r>
    </w:p>
    <w:p w:rsidR="00AE5277" w:rsidRDefault="00BB4ED6" w:rsidP="00D46B44">
      <w:pPr>
        <w:pBdr>
          <w:top w:val="nil"/>
          <w:left w:val="nil"/>
          <w:bottom w:val="nil"/>
          <w:right w:val="nil"/>
          <w:between w:val="nil"/>
        </w:pBdr>
        <w:spacing w:before="240" w:after="160" w:line="240" w:lineRule="auto"/>
        <w:ind w:firstLine="708"/>
        <w:jc w:val="both"/>
        <w:rPr>
          <w:rFonts w:ascii="Arial" w:eastAsia="Arial" w:hAnsi="Arial" w:cs="Arial"/>
          <w:color w:val="000000"/>
          <w:szCs w:val="24"/>
        </w:rPr>
      </w:pPr>
      <w:bookmarkStart w:id="3" w:name="_gjdgxs" w:colFirst="0" w:colLast="0"/>
      <w:bookmarkEnd w:id="3"/>
      <w:r>
        <w:rPr>
          <w:rFonts w:ascii="Arial" w:eastAsia="Arial" w:hAnsi="Arial" w:cs="Arial"/>
          <w:color w:val="000000"/>
          <w:szCs w:val="24"/>
        </w:rPr>
        <w:t xml:space="preserve">II. </w:t>
      </w:r>
      <w:r w:rsidR="00AE5277">
        <w:rPr>
          <w:rFonts w:ascii="Arial" w:eastAsia="Arial" w:hAnsi="Arial" w:cs="Arial"/>
          <w:color w:val="000000"/>
          <w:szCs w:val="24"/>
        </w:rPr>
        <w:t xml:space="preserve">Afecte, como fuente de pago de las nuevas operaciones crediticias autorizadas el porcentaje necesario y suficiente de las participaciones que en ingresos federales correspondan al estado de Yucatán del Fondo General de Participaciones (parte del Ramo 28) o de ingresos propios o hasta el 25% de aportaciones federales correspondientes al Fondo de Aportaciones para el Fortalecimiento de las Entidades Federativas (FAFEF); en ambos casos, quedará comprendida la afectación de los recursos y el derecho a recibirlos, así como los ingresos que, en su caso, los reemplacen, sustituyan o complementen; y para tal efecto se podrán pactar como mecanismo de pago un nuevo fideicomiso irrevocable de administración y fuente de pago, o bien, emplear como mecanismo de fuente de pago de las operaciones de </w:t>
      </w:r>
      <w:r w:rsidR="00AE5277">
        <w:rPr>
          <w:rFonts w:ascii="Arial" w:eastAsia="Arial" w:hAnsi="Arial" w:cs="Arial"/>
          <w:color w:val="000000"/>
          <w:szCs w:val="24"/>
        </w:rPr>
        <w:lastRenderedPageBreak/>
        <w:t>financiamiento que se celebren con base en la presente autorización el Fideicomiso Irrevocable de Administración y Fuente de Pago No. 4109088, constituido el 6 de noviembre de 2019, como fideicomiso maestro de la deuda pública estatal.</w:t>
      </w:r>
    </w:p>
    <w:p w:rsidR="00AE5277" w:rsidRDefault="00BB4ED6" w:rsidP="00D46B44">
      <w:pPr>
        <w:pBdr>
          <w:top w:val="nil"/>
          <w:left w:val="nil"/>
          <w:bottom w:val="nil"/>
          <w:right w:val="nil"/>
          <w:between w:val="nil"/>
        </w:pBdr>
        <w:spacing w:before="240" w:after="160" w:line="240" w:lineRule="auto"/>
        <w:ind w:firstLine="708"/>
        <w:jc w:val="both"/>
        <w:rPr>
          <w:rFonts w:ascii="Arial" w:eastAsia="Arial" w:hAnsi="Arial" w:cs="Arial"/>
          <w:color w:val="000000"/>
          <w:szCs w:val="24"/>
        </w:rPr>
      </w:pPr>
      <w:r>
        <w:rPr>
          <w:rFonts w:ascii="Arial" w:eastAsia="Arial" w:hAnsi="Arial" w:cs="Arial"/>
          <w:color w:val="000000"/>
          <w:szCs w:val="24"/>
        </w:rPr>
        <w:t xml:space="preserve">III. </w:t>
      </w:r>
      <w:r w:rsidR="00AE5277">
        <w:rPr>
          <w:rFonts w:ascii="Arial" w:eastAsia="Arial" w:hAnsi="Arial" w:cs="Arial"/>
          <w:color w:val="000000"/>
          <w:szCs w:val="24"/>
        </w:rPr>
        <w:t xml:space="preserve">Contrate uno o más, instrumentos derivados (contratos de cobertura o intercambio de tasas) que, en su caso, tendrán como fuente de pago los mismos ingresos asignados al financiamiento objeto de cobertura y para ello podrán ser inscritos en el mecanismo de pago respectivo. Lo anterior en complemento de las operaciones que se señala en las fracciones I y II. </w:t>
      </w:r>
    </w:p>
    <w:p w:rsidR="00AE5277" w:rsidRDefault="00AE5277" w:rsidP="00AE5277">
      <w:pPr>
        <w:spacing w:before="240" w:line="240" w:lineRule="auto"/>
        <w:jc w:val="both"/>
      </w:pPr>
      <w:r>
        <w:rPr>
          <w:rFonts w:ascii="Arial" w:eastAsia="Arial" w:hAnsi="Arial" w:cs="Arial"/>
          <w:szCs w:val="24"/>
        </w:rPr>
        <w:t>La</w:t>
      </w:r>
      <w:r w:rsidR="00D46B44">
        <w:rPr>
          <w:rFonts w:ascii="Arial" w:eastAsia="Arial" w:hAnsi="Arial" w:cs="Arial"/>
          <w:szCs w:val="24"/>
        </w:rPr>
        <w:t>s</w:t>
      </w:r>
      <w:r>
        <w:rPr>
          <w:rFonts w:ascii="Arial" w:eastAsia="Arial" w:hAnsi="Arial" w:cs="Arial"/>
          <w:szCs w:val="24"/>
        </w:rPr>
        <w:t xml:space="preserve"> reestructura</w:t>
      </w:r>
      <w:r w:rsidR="00D46B44">
        <w:rPr>
          <w:rFonts w:ascii="Arial" w:eastAsia="Arial" w:hAnsi="Arial" w:cs="Arial"/>
          <w:szCs w:val="24"/>
        </w:rPr>
        <w:t>s</w:t>
      </w:r>
      <w:r>
        <w:rPr>
          <w:rFonts w:ascii="Arial" w:eastAsia="Arial" w:hAnsi="Arial" w:cs="Arial"/>
          <w:szCs w:val="24"/>
        </w:rPr>
        <w:t xml:space="preserve"> o refinanciamiento</w:t>
      </w:r>
      <w:r w:rsidR="00D46B44">
        <w:rPr>
          <w:rFonts w:ascii="Arial" w:eastAsia="Arial" w:hAnsi="Arial" w:cs="Arial"/>
          <w:szCs w:val="24"/>
        </w:rPr>
        <w:t>s</w:t>
      </w:r>
      <w:r>
        <w:rPr>
          <w:rFonts w:ascii="Arial" w:eastAsia="Arial" w:hAnsi="Arial" w:cs="Arial"/>
          <w:szCs w:val="24"/>
        </w:rPr>
        <w:t xml:space="preserve"> autorizados en este artículo comprenden la revisión en el monto, tasa, plazo, perfil de amortización, garantías, instrumentos derivados, ingresos afectados como fuente de pago o garantía de pago y fideicomisos, fondos de reserva pactados y comisiones, así como las modificaciones necesarias a las demás condiciones, obligaciones y derechos previamente pactados.</w:t>
      </w:r>
    </w:p>
    <w:p w:rsidR="00AE5277" w:rsidRDefault="00AE5277" w:rsidP="00AE5277">
      <w:pPr>
        <w:pBdr>
          <w:top w:val="nil"/>
          <w:left w:val="nil"/>
          <w:bottom w:val="nil"/>
          <w:right w:val="nil"/>
          <w:between w:val="nil"/>
        </w:pBdr>
        <w:spacing w:before="240" w:line="240" w:lineRule="auto"/>
        <w:ind w:hanging="2"/>
        <w:jc w:val="both"/>
        <w:rPr>
          <w:rFonts w:ascii="Arial" w:eastAsia="Arial" w:hAnsi="Arial" w:cs="Arial"/>
          <w:b/>
          <w:szCs w:val="24"/>
        </w:rPr>
      </w:pPr>
      <w:r>
        <w:rPr>
          <w:rFonts w:ascii="Arial" w:eastAsia="Arial" w:hAnsi="Arial" w:cs="Arial"/>
          <w:b/>
          <w:szCs w:val="24"/>
        </w:rPr>
        <w:t xml:space="preserve">Artículo 6. Instrumentos </w:t>
      </w:r>
      <w:r w:rsidR="00407469">
        <w:rPr>
          <w:rFonts w:ascii="Arial" w:eastAsia="Arial" w:hAnsi="Arial" w:cs="Arial"/>
          <w:b/>
          <w:szCs w:val="24"/>
        </w:rPr>
        <w:t>d</w:t>
      </w:r>
      <w:r>
        <w:rPr>
          <w:rFonts w:ascii="Arial" w:eastAsia="Arial" w:hAnsi="Arial" w:cs="Arial"/>
          <w:b/>
          <w:szCs w:val="24"/>
        </w:rPr>
        <w:t>erivados</w:t>
      </w:r>
    </w:p>
    <w:p w:rsidR="00AE5277" w:rsidRDefault="00AE5277" w:rsidP="00AE5277">
      <w:pPr>
        <w:pBdr>
          <w:top w:val="nil"/>
          <w:left w:val="nil"/>
          <w:bottom w:val="nil"/>
          <w:right w:val="nil"/>
          <w:between w:val="nil"/>
        </w:pBdr>
        <w:spacing w:before="240" w:line="240" w:lineRule="auto"/>
        <w:ind w:hanging="2"/>
        <w:jc w:val="both"/>
        <w:rPr>
          <w:rFonts w:ascii="Arial" w:eastAsia="Arial" w:hAnsi="Arial" w:cs="Arial"/>
          <w:szCs w:val="24"/>
        </w:rPr>
      </w:pPr>
      <w:r>
        <w:rPr>
          <w:rFonts w:ascii="Arial" w:eastAsia="Arial" w:hAnsi="Arial" w:cs="Arial"/>
          <w:szCs w:val="24"/>
        </w:rPr>
        <w:t>Con base en el análisis de la capacidad de pago del estado, y del destino de los recursos, tanto a obtenerse como a otorgarse como fuente de pago, se autoriza al Poder Ejecutivo del Estado de Yucatán para que, por conducto de la Secretaría de Administración y Finanzas, en cumplimiento de las obligaciones asumidas en los contratos constitutivos de deuda pública inscritos ante el Registro Público Único de Financiamiento y Obligaciones de Entidades Federativas y Municipios a cargo de la Secretaría de Hacienda y Crédito Público, con clave de inscripción P31-1119054, P31-1020086, P31-1020087 y P31-1020088, durante el ejercicio 2023 celebre operaciones financieras de cobertura, es decir, instrumentos derivados (contratos de cobertura tasa o intercambio de tasas, incluyendo de manera enunciativa más no limitativa, swaps bonificado, collars, CAP Spread o límites superiores o inferiores de riesgo), o pacte su renovación, reestructura o adecuación, bajo la modalidad que se estime conveniente, hasta por el total del saldo insoluto del financiamiento objeto de cobertura y por un plazo de vigencia de hasta sesenta meses, a efecto de mitigar los riesgos económico-financieros de variaciones a la tasa de referencia pactada en los créditos objeto de cobertura.</w:t>
      </w:r>
    </w:p>
    <w:p w:rsidR="00AE5277" w:rsidRDefault="00AE5277" w:rsidP="00AE5277">
      <w:pPr>
        <w:pBdr>
          <w:top w:val="nil"/>
          <w:left w:val="nil"/>
          <w:bottom w:val="nil"/>
          <w:right w:val="nil"/>
          <w:between w:val="nil"/>
        </w:pBdr>
        <w:spacing w:before="240" w:line="240" w:lineRule="auto"/>
        <w:ind w:hanging="2"/>
        <w:jc w:val="both"/>
        <w:rPr>
          <w:rFonts w:ascii="Arial" w:eastAsia="Arial" w:hAnsi="Arial" w:cs="Arial"/>
          <w:szCs w:val="24"/>
        </w:rPr>
      </w:pPr>
      <w:r>
        <w:rPr>
          <w:rFonts w:ascii="Arial" w:eastAsia="Arial" w:hAnsi="Arial" w:cs="Arial"/>
          <w:szCs w:val="24"/>
        </w:rPr>
        <w:t xml:space="preserve">Tratándose de operaciones de intercambio de tasa de interés, es decir, swaps, collar o swap bonificado, se podrá afectar como fuente de pago el mismo porcentaje de ingresos afecto al servicio de la deuda del crédito objeto de cobertura y, para tal efecto, </w:t>
      </w:r>
      <w:r>
        <w:rPr>
          <w:rFonts w:ascii="Arial" w:eastAsia="Arial" w:hAnsi="Arial" w:cs="Arial"/>
          <w:szCs w:val="24"/>
        </w:rPr>
        <w:lastRenderedPageBreak/>
        <w:t>se autoriza inscribir las operaciones de cobertura celebradas o su reestructura en el mismo fideicomiso pactado como mecanismo de fuente de pago.</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543A2" w:rsidRPr="00D93F7E">
        <w:rPr>
          <w:rFonts w:ascii="Arial" w:hAnsi="Arial" w:cs="Arial"/>
          <w:b/>
          <w:szCs w:val="24"/>
        </w:rPr>
        <w:t>7</w:t>
      </w:r>
      <w:r w:rsidRPr="00D93F7E">
        <w:rPr>
          <w:rFonts w:ascii="Arial" w:hAnsi="Arial" w:cs="Arial"/>
          <w:b/>
          <w:szCs w:val="24"/>
        </w:rPr>
        <w:t>. Adeudos de ejercicios fiscales anteriores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Durante el ejercicio fiscal </w:t>
      </w:r>
      <w:r w:rsidR="00D33044">
        <w:rPr>
          <w:rFonts w:ascii="Arial" w:hAnsi="Arial" w:cs="Arial"/>
          <w:szCs w:val="24"/>
        </w:rPr>
        <w:t>2023</w:t>
      </w:r>
      <w:r w:rsidR="005A0B7A" w:rsidRPr="00D93F7E">
        <w:rPr>
          <w:rFonts w:ascii="Arial" w:hAnsi="Arial" w:cs="Arial"/>
          <w:szCs w:val="24"/>
        </w:rPr>
        <w:t>,</w:t>
      </w:r>
      <w:r w:rsidRPr="00D93F7E">
        <w:rPr>
          <w:rFonts w:ascii="Arial" w:hAnsi="Arial" w:cs="Arial"/>
          <w:szCs w:val="24"/>
        </w:rPr>
        <w:t xml:space="preserve"> se considerarán adeudos del e</w:t>
      </w:r>
      <w:r w:rsidR="00CA15CC" w:rsidRPr="00D93F7E">
        <w:rPr>
          <w:rFonts w:ascii="Arial" w:hAnsi="Arial" w:cs="Arial"/>
          <w:szCs w:val="24"/>
        </w:rPr>
        <w:t>jercicio f</w:t>
      </w:r>
      <w:r w:rsidR="00DE0C2E" w:rsidRPr="00D93F7E">
        <w:rPr>
          <w:rFonts w:ascii="Arial" w:hAnsi="Arial" w:cs="Arial"/>
          <w:szCs w:val="24"/>
        </w:rPr>
        <w:t xml:space="preserve">iscal </w:t>
      </w:r>
      <w:r w:rsidR="00D33044">
        <w:rPr>
          <w:rFonts w:ascii="Arial" w:hAnsi="Arial" w:cs="Arial"/>
          <w:szCs w:val="24"/>
        </w:rPr>
        <w:t>2022</w:t>
      </w:r>
      <w:r w:rsidR="00CA15CC" w:rsidRPr="00D93F7E">
        <w:rPr>
          <w:rFonts w:ascii="Arial" w:hAnsi="Arial" w:cs="Arial"/>
          <w:szCs w:val="24"/>
        </w:rPr>
        <w:t xml:space="preserve"> de</w:t>
      </w:r>
      <w:r w:rsidRPr="00D93F7E">
        <w:rPr>
          <w:rFonts w:ascii="Arial" w:hAnsi="Arial" w:cs="Arial"/>
          <w:szCs w:val="24"/>
        </w:rPr>
        <w:t xml:space="preserve"> al menos $</w:t>
      </w:r>
      <w:r w:rsidR="009C2C2E">
        <w:rPr>
          <w:rFonts w:ascii="Arial" w:hAnsi="Arial" w:cs="Arial"/>
          <w:szCs w:val="24"/>
        </w:rPr>
        <w:t>20</w:t>
      </w:r>
      <w:r w:rsidRPr="00D93F7E">
        <w:rPr>
          <w:rFonts w:ascii="Arial" w:hAnsi="Arial" w:cs="Arial"/>
          <w:szCs w:val="24"/>
        </w:rPr>
        <w:t>0,000,000.00,</w:t>
      </w:r>
      <w:r w:rsidR="00CD05D3">
        <w:rPr>
          <w:rFonts w:ascii="Arial" w:hAnsi="Arial" w:cs="Arial"/>
          <w:szCs w:val="24"/>
        </w:rPr>
        <w:t xml:space="preserve"> </w:t>
      </w:r>
      <w:r w:rsidRPr="00D93F7E">
        <w:rPr>
          <w:rFonts w:ascii="Arial" w:hAnsi="Arial" w:cs="Arial"/>
          <w:szCs w:val="24"/>
        </w:rPr>
        <w:t>cifra que podrá incrementarse hasta por el porcentaje correspondiente de los ingresos totales establecidos en esta ley, de conformidad con el artículo 12 de la Ley de Disciplina Financiera de las Entidades Federativas y los Mun</w:t>
      </w:r>
      <w:r w:rsidR="00CA15CC" w:rsidRPr="00D93F7E">
        <w:rPr>
          <w:rFonts w:ascii="Arial" w:hAnsi="Arial" w:cs="Arial"/>
          <w:szCs w:val="24"/>
        </w:rPr>
        <w:t xml:space="preserve">icipios, siempre que se cumpla con </w:t>
      </w:r>
      <w:r w:rsidRPr="00D93F7E">
        <w:rPr>
          <w:rFonts w:ascii="Arial" w:hAnsi="Arial" w:cs="Arial"/>
          <w:szCs w:val="24"/>
        </w:rPr>
        <w:t xml:space="preserve">los requisitos establecidos en los capítulos VII y VIII </w:t>
      </w:r>
      <w:r w:rsidR="007900CB" w:rsidRPr="00D93F7E">
        <w:rPr>
          <w:rFonts w:ascii="Arial" w:hAnsi="Arial" w:cs="Arial"/>
          <w:szCs w:val="24"/>
        </w:rPr>
        <w:t>del título tercero</w:t>
      </w:r>
      <w:r w:rsidR="00CA15CC" w:rsidRPr="00D93F7E">
        <w:rPr>
          <w:rFonts w:ascii="Arial" w:hAnsi="Arial" w:cs="Arial"/>
          <w:szCs w:val="24"/>
        </w:rPr>
        <w:t xml:space="preserve"> </w:t>
      </w:r>
      <w:r w:rsidRPr="00D93F7E">
        <w:rPr>
          <w:rFonts w:ascii="Arial" w:hAnsi="Arial" w:cs="Arial"/>
          <w:szCs w:val="24"/>
        </w:rPr>
        <w:t>del Reglamento de la Ley del Presupuesto y Contabilidad Gubernamental del Estado de Yucatán.</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543A2" w:rsidRPr="00D93F7E">
        <w:rPr>
          <w:rFonts w:ascii="Arial" w:hAnsi="Arial" w:cs="Arial"/>
          <w:b/>
          <w:szCs w:val="24"/>
        </w:rPr>
        <w:t>8</w:t>
      </w:r>
      <w:r w:rsidRPr="00D93F7E">
        <w:rPr>
          <w:rFonts w:ascii="Arial" w:hAnsi="Arial" w:cs="Arial"/>
          <w:b/>
          <w:szCs w:val="24"/>
        </w:rPr>
        <w:t xml:space="preserve">. Ingresos acumulados excedentes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ingresos acumulados de </w:t>
      </w:r>
      <w:r w:rsidR="00B973AF">
        <w:rPr>
          <w:rFonts w:ascii="Arial" w:hAnsi="Arial" w:cs="Arial"/>
          <w:szCs w:val="24"/>
        </w:rPr>
        <w:t xml:space="preserve">las dependencias y entidades del Poder Ejecutivo del estado, </w:t>
      </w:r>
      <w:r w:rsidRPr="00D93F7E">
        <w:rPr>
          <w:rFonts w:ascii="Arial" w:hAnsi="Arial" w:cs="Arial"/>
          <w:szCs w:val="24"/>
        </w:rPr>
        <w:t xml:space="preserve">los poderes </w:t>
      </w:r>
      <w:r w:rsidR="002F1E0E">
        <w:rPr>
          <w:rFonts w:ascii="Arial" w:hAnsi="Arial" w:cs="Arial"/>
          <w:szCs w:val="24"/>
        </w:rPr>
        <w:t>l</w:t>
      </w:r>
      <w:r w:rsidRPr="00D93F7E">
        <w:rPr>
          <w:rFonts w:ascii="Arial" w:hAnsi="Arial" w:cs="Arial"/>
          <w:szCs w:val="24"/>
        </w:rPr>
        <w:t xml:space="preserve">egislativo y </w:t>
      </w:r>
      <w:r w:rsidR="002F1E0E">
        <w:rPr>
          <w:rFonts w:ascii="Arial" w:hAnsi="Arial" w:cs="Arial"/>
          <w:szCs w:val="24"/>
        </w:rPr>
        <w:t>j</w:t>
      </w:r>
      <w:r w:rsidRPr="00D93F7E">
        <w:rPr>
          <w:rFonts w:ascii="Arial" w:hAnsi="Arial" w:cs="Arial"/>
          <w:szCs w:val="24"/>
        </w:rPr>
        <w:t>udicial</w:t>
      </w:r>
      <w:r w:rsidR="00B973AF">
        <w:rPr>
          <w:rFonts w:ascii="Arial" w:hAnsi="Arial" w:cs="Arial"/>
          <w:szCs w:val="24"/>
        </w:rPr>
        <w:t>, y</w:t>
      </w:r>
      <w:r w:rsidRPr="00D93F7E">
        <w:rPr>
          <w:rFonts w:ascii="Arial" w:hAnsi="Arial" w:cs="Arial"/>
          <w:szCs w:val="24"/>
        </w:rPr>
        <w:t xml:space="preserve"> los órganos autónomos por disposición constitucional</w:t>
      </w:r>
      <w:r w:rsidR="00B973AF">
        <w:rPr>
          <w:rFonts w:ascii="Arial" w:hAnsi="Arial" w:cs="Arial"/>
          <w:szCs w:val="24"/>
        </w:rPr>
        <w:t xml:space="preserve"> </w:t>
      </w:r>
      <w:r w:rsidRPr="00D93F7E">
        <w:rPr>
          <w:rFonts w:ascii="Arial" w:hAnsi="Arial" w:cs="Arial"/>
          <w:szCs w:val="24"/>
        </w:rPr>
        <w:t>que</w:t>
      </w:r>
      <w:r w:rsidR="007900CB" w:rsidRPr="00D93F7E">
        <w:rPr>
          <w:rFonts w:ascii="Arial" w:hAnsi="Arial" w:cs="Arial"/>
          <w:szCs w:val="24"/>
        </w:rPr>
        <w:t>,</w:t>
      </w:r>
      <w:r w:rsidRPr="00D93F7E">
        <w:rPr>
          <w:rFonts w:ascii="Arial" w:hAnsi="Arial" w:cs="Arial"/>
          <w:szCs w:val="24"/>
        </w:rPr>
        <w:t xml:space="preserve"> dura</w:t>
      </w:r>
      <w:r w:rsidR="007900CB" w:rsidRPr="00D93F7E">
        <w:rPr>
          <w:rFonts w:ascii="Arial" w:hAnsi="Arial" w:cs="Arial"/>
          <w:szCs w:val="24"/>
        </w:rPr>
        <w:t xml:space="preserve">nte el ejercicio fiscal </w:t>
      </w:r>
      <w:r w:rsidR="00D33044">
        <w:rPr>
          <w:rFonts w:ascii="Arial" w:hAnsi="Arial" w:cs="Arial"/>
          <w:szCs w:val="24"/>
        </w:rPr>
        <w:t>2023</w:t>
      </w:r>
      <w:r w:rsidR="007900CB" w:rsidRPr="00D93F7E">
        <w:rPr>
          <w:rFonts w:ascii="Arial" w:hAnsi="Arial" w:cs="Arial"/>
          <w:szCs w:val="24"/>
        </w:rPr>
        <w:t xml:space="preserve">, se </w:t>
      </w:r>
      <w:r w:rsidRPr="00D93F7E">
        <w:rPr>
          <w:rFonts w:ascii="Arial" w:hAnsi="Arial" w:cs="Arial"/>
          <w:szCs w:val="24"/>
        </w:rPr>
        <w:t>obtengan en exceso de los aprobados en esta ley, deberán ser aplicados en los términos de la Ley de</w:t>
      </w:r>
      <w:r w:rsidR="005A0B7A" w:rsidRPr="00D93F7E">
        <w:rPr>
          <w:rFonts w:ascii="Arial" w:hAnsi="Arial" w:cs="Arial"/>
          <w:szCs w:val="24"/>
        </w:rPr>
        <w:t>l</w:t>
      </w:r>
      <w:r w:rsidRPr="00D93F7E">
        <w:rPr>
          <w:rFonts w:ascii="Arial" w:hAnsi="Arial" w:cs="Arial"/>
          <w:szCs w:val="24"/>
        </w:rPr>
        <w:t xml:space="preserve"> Presupuesto y Contabilidad Gubernamental del Estado de Yucatán, su reglamento</w:t>
      </w:r>
      <w:r w:rsidR="00B973AF">
        <w:rPr>
          <w:rFonts w:ascii="Arial" w:hAnsi="Arial" w:cs="Arial"/>
          <w:szCs w:val="24"/>
        </w:rPr>
        <w:t>,</w:t>
      </w:r>
      <w:r w:rsidRPr="00D93F7E">
        <w:rPr>
          <w:rFonts w:ascii="Arial" w:hAnsi="Arial" w:cs="Arial"/>
          <w:szCs w:val="24"/>
        </w:rPr>
        <w:t xml:space="preserve"> y la Ley de Disciplina Financiera de las Entidades Federativas y los Municipios.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el caso de los ingresos de libre disposición que se encuentren destinados a un fin específico</w:t>
      </w:r>
      <w:r w:rsidR="005A0B7A" w:rsidRPr="00D93F7E">
        <w:rPr>
          <w:rFonts w:ascii="Arial" w:hAnsi="Arial" w:cs="Arial"/>
          <w:szCs w:val="24"/>
        </w:rPr>
        <w:t>,</w:t>
      </w:r>
      <w:r w:rsidRPr="00D93F7E">
        <w:rPr>
          <w:rFonts w:ascii="Arial" w:hAnsi="Arial" w:cs="Arial"/>
          <w:szCs w:val="24"/>
        </w:rPr>
        <w:t xml:space="preserve"> en términos de las leyes, no resultarán aplicables las disposiciones establecidas en el artículo 14 de la Ley de Disciplina Financiera de las Entidades Federativas y los Municipios.</w:t>
      </w:r>
    </w:p>
    <w:p w:rsidR="003D6FFD" w:rsidRPr="00D93F7E" w:rsidRDefault="00187F9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Asimismo, l</w:t>
      </w:r>
      <w:r w:rsidR="003D6FFD" w:rsidRPr="00D93F7E">
        <w:rPr>
          <w:rFonts w:ascii="Arial" w:hAnsi="Arial" w:cs="Arial"/>
          <w:szCs w:val="24"/>
        </w:rPr>
        <w:t>os ingresos excedentes que prove</w:t>
      </w:r>
      <w:r w:rsidRPr="00D93F7E">
        <w:rPr>
          <w:rFonts w:ascii="Arial" w:hAnsi="Arial" w:cs="Arial"/>
          <w:szCs w:val="24"/>
        </w:rPr>
        <w:t>ngan de los fondos de a</w:t>
      </w:r>
      <w:r w:rsidR="003D6FFD" w:rsidRPr="00D93F7E">
        <w:rPr>
          <w:rFonts w:ascii="Arial" w:hAnsi="Arial" w:cs="Arial"/>
          <w:szCs w:val="24"/>
        </w:rPr>
        <w:t xml:space="preserve">portaciones </w:t>
      </w:r>
      <w:r w:rsidRPr="00D93F7E">
        <w:rPr>
          <w:rFonts w:ascii="Arial" w:hAnsi="Arial" w:cs="Arial"/>
          <w:szCs w:val="24"/>
        </w:rPr>
        <w:t>f</w:t>
      </w:r>
      <w:r w:rsidR="003D6FFD" w:rsidRPr="00D93F7E">
        <w:rPr>
          <w:rFonts w:ascii="Arial" w:hAnsi="Arial" w:cs="Arial"/>
          <w:szCs w:val="24"/>
        </w:rPr>
        <w:t>ederales para el estado o los municipios y de recursos federales reasignados o federalizados, se destinarán a los fines legalmente establecidos o convenidos, conforme a la normativa federal aplicable.</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6653C9" w:rsidRPr="00D93F7E">
        <w:rPr>
          <w:rFonts w:ascii="Arial" w:hAnsi="Arial" w:cs="Arial"/>
          <w:b/>
          <w:szCs w:val="24"/>
        </w:rPr>
        <w:t>9</w:t>
      </w:r>
      <w:r w:rsidRPr="00D93F7E">
        <w:rPr>
          <w:rFonts w:ascii="Arial" w:hAnsi="Arial" w:cs="Arial"/>
          <w:b/>
          <w:szCs w:val="24"/>
        </w:rPr>
        <w:t>. Convenios celebrados con el Gobierno federal</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dependencias y entidades que, en términos del artículo 26 de la Ley del Presupuesto y Contabilidad Gubernamental del Estado de Yucatán, celebren contratos o convenios con el Gobierno federal, los cuales impliquen ingresos para la Hacienda pública estatal, deberán remitir copia de dichos instrumentos legales a la Secretaría de Administración y Finanzas, dentro del plazo de </w:t>
      </w:r>
      <w:r w:rsidR="000870C6" w:rsidRPr="00D93F7E">
        <w:rPr>
          <w:rFonts w:ascii="Arial" w:hAnsi="Arial" w:cs="Arial"/>
          <w:szCs w:val="24"/>
        </w:rPr>
        <w:t>quince</w:t>
      </w:r>
      <w:r w:rsidRPr="00D93F7E">
        <w:rPr>
          <w:rFonts w:ascii="Arial" w:hAnsi="Arial" w:cs="Arial"/>
          <w:szCs w:val="24"/>
        </w:rPr>
        <w:t xml:space="preserve"> días hábiles siguientes a su </w:t>
      </w:r>
      <w:r w:rsidRPr="00D93F7E">
        <w:rPr>
          <w:rFonts w:ascii="Arial" w:hAnsi="Arial" w:cs="Arial"/>
          <w:szCs w:val="24"/>
        </w:rPr>
        <w:lastRenderedPageBreak/>
        <w:t xml:space="preserve">suscripción, para efectos de conocer los montos de los ingresos que serán depositados a las cuentas de </w:t>
      </w:r>
      <w:r w:rsidR="00345BE2" w:rsidRPr="00D93F7E">
        <w:rPr>
          <w:rFonts w:ascii="Arial" w:hAnsi="Arial" w:cs="Arial"/>
          <w:szCs w:val="24"/>
        </w:rPr>
        <w:t>esta</w:t>
      </w:r>
      <w:r w:rsidRPr="00D93F7E">
        <w:rPr>
          <w:rFonts w:ascii="Arial" w:hAnsi="Arial" w:cs="Arial"/>
          <w:szCs w:val="24"/>
        </w:rPr>
        <w:t xml:space="preserve"> secretaría.</w:t>
      </w:r>
    </w:p>
    <w:p w:rsidR="003D6FFD" w:rsidRPr="00D93F7E" w:rsidRDefault="00187F9C"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el registro de </w:t>
      </w:r>
      <w:r w:rsidR="003D6FFD" w:rsidRPr="00D93F7E">
        <w:rPr>
          <w:rFonts w:ascii="Arial" w:hAnsi="Arial" w:cs="Arial"/>
          <w:szCs w:val="24"/>
        </w:rPr>
        <w:t xml:space="preserve">los </w:t>
      </w:r>
      <w:r w:rsidR="008A6A35" w:rsidRPr="00D93F7E">
        <w:rPr>
          <w:rFonts w:ascii="Arial" w:hAnsi="Arial" w:cs="Arial"/>
          <w:szCs w:val="24"/>
        </w:rPr>
        <w:t xml:space="preserve">contratos o </w:t>
      </w:r>
      <w:r w:rsidR="003D6FFD" w:rsidRPr="00D93F7E">
        <w:rPr>
          <w:rFonts w:ascii="Arial" w:hAnsi="Arial" w:cs="Arial"/>
          <w:szCs w:val="24"/>
        </w:rPr>
        <w:t xml:space="preserve">convenios </w:t>
      </w:r>
      <w:r w:rsidRPr="00D93F7E">
        <w:rPr>
          <w:rFonts w:ascii="Arial" w:hAnsi="Arial" w:cs="Arial"/>
          <w:szCs w:val="24"/>
        </w:rPr>
        <w:t>a que se refiere este</w:t>
      </w:r>
      <w:r w:rsidR="003D6FFD" w:rsidRPr="00D93F7E">
        <w:rPr>
          <w:rFonts w:ascii="Arial" w:hAnsi="Arial" w:cs="Arial"/>
          <w:szCs w:val="24"/>
        </w:rPr>
        <w:t xml:space="preserve"> artículo, las dependencias y e</w:t>
      </w:r>
      <w:r w:rsidR="008A6A35" w:rsidRPr="00D93F7E">
        <w:rPr>
          <w:rFonts w:ascii="Arial" w:hAnsi="Arial" w:cs="Arial"/>
          <w:szCs w:val="24"/>
        </w:rPr>
        <w:t>ntidades deberán informar a la Secretaría de Administración y Finanzas sobre</w:t>
      </w:r>
      <w:r w:rsidR="003D6FFD" w:rsidRPr="00D93F7E">
        <w:rPr>
          <w:rFonts w:ascii="Arial" w:hAnsi="Arial" w:cs="Arial"/>
          <w:szCs w:val="24"/>
        </w:rPr>
        <w:t xml:space="preserve"> la recepción de </w:t>
      </w:r>
      <w:r w:rsidR="008A6A35" w:rsidRPr="00D93F7E">
        <w:rPr>
          <w:rFonts w:ascii="Arial" w:hAnsi="Arial" w:cs="Arial"/>
          <w:szCs w:val="24"/>
        </w:rPr>
        <w:t xml:space="preserve">los </w:t>
      </w:r>
      <w:r w:rsidR="003D6FFD" w:rsidRPr="00D93F7E">
        <w:rPr>
          <w:rFonts w:ascii="Arial" w:hAnsi="Arial" w:cs="Arial"/>
          <w:szCs w:val="24"/>
        </w:rPr>
        <w:t xml:space="preserve">recursos </w:t>
      </w:r>
      <w:r w:rsidR="008A6A35" w:rsidRPr="00D93F7E">
        <w:rPr>
          <w:rFonts w:ascii="Arial" w:hAnsi="Arial" w:cs="Arial"/>
          <w:szCs w:val="24"/>
        </w:rPr>
        <w:t xml:space="preserve">correspondientes, </w:t>
      </w:r>
      <w:r w:rsidR="00D41C7E" w:rsidRPr="00D93F7E">
        <w:rPr>
          <w:rFonts w:ascii="Arial" w:hAnsi="Arial" w:cs="Arial"/>
          <w:szCs w:val="24"/>
        </w:rPr>
        <w:t xml:space="preserve">a más tardar, </w:t>
      </w:r>
      <w:r w:rsidR="003D6FFD" w:rsidRPr="00D93F7E">
        <w:rPr>
          <w:rFonts w:ascii="Arial" w:hAnsi="Arial" w:cs="Arial"/>
          <w:szCs w:val="24"/>
        </w:rPr>
        <w:t xml:space="preserve">dentro de los </w:t>
      </w:r>
      <w:r w:rsidR="00191E7A" w:rsidRPr="00D93F7E">
        <w:rPr>
          <w:rFonts w:ascii="Arial" w:hAnsi="Arial" w:cs="Arial"/>
          <w:szCs w:val="24"/>
        </w:rPr>
        <w:t>diez</w:t>
      </w:r>
      <w:r w:rsidR="003D6FFD" w:rsidRPr="00D93F7E">
        <w:rPr>
          <w:rFonts w:ascii="Arial" w:hAnsi="Arial" w:cs="Arial"/>
          <w:szCs w:val="24"/>
        </w:rPr>
        <w:t xml:space="preserve"> días hábiles </w:t>
      </w:r>
      <w:r w:rsidR="008A6A35" w:rsidRPr="005040CD">
        <w:rPr>
          <w:rFonts w:ascii="Arial" w:hAnsi="Arial" w:cs="Arial"/>
          <w:szCs w:val="24"/>
        </w:rPr>
        <w:t>posteriores</w:t>
      </w:r>
      <w:r w:rsidR="005040CD">
        <w:rPr>
          <w:rFonts w:ascii="Arial" w:hAnsi="Arial" w:cs="Arial"/>
          <w:szCs w:val="24"/>
        </w:rPr>
        <w:t xml:space="preserve"> a que se reciba dicho recurso</w:t>
      </w:r>
      <w:r w:rsidR="003D6FFD" w:rsidRPr="00D93F7E">
        <w:rPr>
          <w:rFonts w:ascii="Arial" w:hAnsi="Arial" w:cs="Arial"/>
          <w:szCs w:val="24"/>
        </w:rPr>
        <w:t>.</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1D2525" w:rsidRPr="00D93F7E">
        <w:rPr>
          <w:rFonts w:ascii="Arial" w:hAnsi="Arial" w:cs="Arial"/>
          <w:b/>
          <w:szCs w:val="24"/>
        </w:rPr>
        <w:t>10</w:t>
      </w:r>
      <w:r w:rsidRPr="00D93F7E">
        <w:rPr>
          <w:rFonts w:ascii="Arial" w:hAnsi="Arial" w:cs="Arial"/>
          <w:b/>
          <w:szCs w:val="24"/>
        </w:rPr>
        <w:t>. Participaciones municipales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El Poder Ejecutivo del estado, por conducto de la Secretaría de Administración y Finanzas, recibirá las participaciones que correspondan a los municipios, en aquellos casos en q</w:t>
      </w:r>
      <w:r w:rsidR="008A6A35" w:rsidRPr="00D93F7E">
        <w:rPr>
          <w:rFonts w:ascii="Arial" w:hAnsi="Arial" w:cs="Arial"/>
          <w:szCs w:val="24"/>
        </w:rPr>
        <w:t>ue las disposiciones relativas de</w:t>
      </w:r>
      <w:r w:rsidRPr="00D93F7E">
        <w:rPr>
          <w:rFonts w:ascii="Arial" w:hAnsi="Arial" w:cs="Arial"/>
          <w:szCs w:val="24"/>
        </w:rPr>
        <w:t xml:space="preserve"> la Ley de Coordinación Fiscal, la Ley General de Contabilidad Gubernamental y las demás disposiciones normativas aplicables así lo determinen.</w:t>
      </w:r>
    </w:p>
    <w:p w:rsidR="001F7E61" w:rsidRPr="00D93F7E" w:rsidRDefault="001F7E6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distribución de las participaciones se basa en las estimaciones publicadas en el Presupuesto de Egresos de la Federación para el </w:t>
      </w:r>
      <w:r w:rsidR="00190C68">
        <w:rPr>
          <w:rFonts w:ascii="Arial" w:hAnsi="Arial" w:cs="Arial"/>
          <w:szCs w:val="24"/>
        </w:rPr>
        <w:t>E</w:t>
      </w:r>
      <w:r w:rsidRPr="00D93F7E">
        <w:rPr>
          <w:rFonts w:ascii="Arial" w:hAnsi="Arial" w:cs="Arial"/>
          <w:szCs w:val="24"/>
        </w:rPr>
        <w:t xml:space="preserve">jercicio </w:t>
      </w:r>
      <w:r w:rsidR="00190C68">
        <w:rPr>
          <w:rFonts w:ascii="Arial" w:hAnsi="Arial" w:cs="Arial"/>
          <w:szCs w:val="24"/>
        </w:rPr>
        <w:t>F</w:t>
      </w:r>
      <w:r w:rsidR="00190C68" w:rsidRPr="00D93F7E">
        <w:rPr>
          <w:rFonts w:ascii="Arial" w:hAnsi="Arial" w:cs="Arial"/>
          <w:szCs w:val="24"/>
        </w:rPr>
        <w:t xml:space="preserve">iscal </w:t>
      </w:r>
      <w:r w:rsidR="00D33044">
        <w:rPr>
          <w:rFonts w:ascii="Arial" w:hAnsi="Arial" w:cs="Arial"/>
          <w:szCs w:val="24"/>
        </w:rPr>
        <w:t>2023</w:t>
      </w:r>
      <w:r w:rsidRPr="00D93F7E">
        <w:rPr>
          <w:rFonts w:ascii="Arial" w:hAnsi="Arial" w:cs="Arial"/>
          <w:szCs w:val="24"/>
        </w:rPr>
        <w:t xml:space="preserve">, </w:t>
      </w:r>
      <w:r w:rsidR="00190C68">
        <w:rPr>
          <w:rFonts w:ascii="Arial" w:hAnsi="Arial" w:cs="Arial"/>
          <w:szCs w:val="24"/>
        </w:rPr>
        <w:t xml:space="preserve">y en la </w:t>
      </w:r>
      <w:r w:rsidRPr="00D93F7E">
        <w:rPr>
          <w:rFonts w:ascii="Arial" w:hAnsi="Arial" w:cs="Arial"/>
          <w:szCs w:val="24"/>
        </w:rPr>
        <w:t xml:space="preserve">base del cálculo con coeficientes de </w:t>
      </w:r>
      <w:r w:rsidR="00D33044">
        <w:rPr>
          <w:rFonts w:ascii="Arial" w:hAnsi="Arial" w:cs="Arial"/>
          <w:szCs w:val="24"/>
        </w:rPr>
        <w:t>2022</w:t>
      </w:r>
      <w:r w:rsidRPr="00D93F7E">
        <w:rPr>
          <w:rFonts w:ascii="Arial" w:hAnsi="Arial" w:cs="Arial"/>
          <w:szCs w:val="24"/>
        </w:rPr>
        <w:t xml:space="preserve">. Por lo </w:t>
      </w:r>
      <w:r w:rsidR="00190C68">
        <w:rPr>
          <w:rFonts w:ascii="Arial" w:hAnsi="Arial" w:cs="Arial"/>
          <w:szCs w:val="24"/>
        </w:rPr>
        <w:t>tanto</w:t>
      </w:r>
      <w:r w:rsidRPr="00D93F7E">
        <w:rPr>
          <w:rFonts w:ascii="Arial" w:hAnsi="Arial" w:cs="Arial"/>
          <w:szCs w:val="24"/>
        </w:rPr>
        <w:t>, el ejercicio de las participaciones por parte de los municipios deberá ser con cautela, ya</w:t>
      </w:r>
      <w:r w:rsidR="0061255B" w:rsidRPr="00D93F7E">
        <w:rPr>
          <w:rFonts w:ascii="Arial" w:hAnsi="Arial" w:cs="Arial"/>
          <w:szCs w:val="24"/>
        </w:rPr>
        <w:t xml:space="preserve"> que</w:t>
      </w:r>
      <w:r w:rsidR="00316C3B" w:rsidRPr="00D93F7E">
        <w:rPr>
          <w:rFonts w:ascii="Arial" w:hAnsi="Arial" w:cs="Arial"/>
          <w:szCs w:val="24"/>
        </w:rPr>
        <w:t xml:space="preserve"> el monto definitivo</w:t>
      </w:r>
      <w:r w:rsidRPr="00D93F7E">
        <w:rPr>
          <w:rFonts w:ascii="Arial" w:hAnsi="Arial" w:cs="Arial"/>
          <w:szCs w:val="24"/>
        </w:rPr>
        <w:t xml:space="preserve"> dependerá de la </w:t>
      </w:r>
      <w:r w:rsidR="00C84FAC">
        <w:rPr>
          <w:rFonts w:ascii="Arial" w:hAnsi="Arial" w:cs="Arial"/>
          <w:szCs w:val="24"/>
        </w:rPr>
        <w:t>R</w:t>
      </w:r>
      <w:r w:rsidRPr="00D93F7E">
        <w:rPr>
          <w:rFonts w:ascii="Arial" w:hAnsi="Arial" w:cs="Arial"/>
          <w:szCs w:val="24"/>
        </w:rPr>
        <w:t xml:space="preserve">ecaudación </w:t>
      </w:r>
      <w:r w:rsidR="00C84FAC">
        <w:rPr>
          <w:rFonts w:ascii="Arial" w:hAnsi="Arial" w:cs="Arial"/>
          <w:szCs w:val="24"/>
        </w:rPr>
        <w:t>F</w:t>
      </w:r>
      <w:r w:rsidRPr="00D93F7E">
        <w:rPr>
          <w:rFonts w:ascii="Arial" w:hAnsi="Arial" w:cs="Arial"/>
          <w:szCs w:val="24"/>
        </w:rPr>
        <w:t xml:space="preserve">ederal </w:t>
      </w:r>
      <w:r w:rsidR="00C84FAC">
        <w:rPr>
          <w:rFonts w:ascii="Arial" w:hAnsi="Arial" w:cs="Arial"/>
          <w:szCs w:val="24"/>
        </w:rPr>
        <w:t>P</w:t>
      </w:r>
      <w:r w:rsidRPr="00D93F7E">
        <w:rPr>
          <w:rFonts w:ascii="Arial" w:hAnsi="Arial" w:cs="Arial"/>
          <w:szCs w:val="24"/>
        </w:rPr>
        <w:t xml:space="preserve">articipable observada en el ejercicio y los coeficientes de distribución definitivos para el </w:t>
      </w:r>
      <w:r w:rsidR="00D33044">
        <w:rPr>
          <w:rFonts w:ascii="Arial" w:hAnsi="Arial" w:cs="Arial"/>
          <w:szCs w:val="24"/>
        </w:rPr>
        <w:t>2023</w:t>
      </w:r>
      <w:r w:rsidRPr="00D93F7E">
        <w:rPr>
          <w:rFonts w:ascii="Arial" w:hAnsi="Arial" w:cs="Arial"/>
          <w:szCs w:val="24"/>
        </w:rPr>
        <w:t>.</w:t>
      </w:r>
    </w:p>
    <w:p w:rsidR="006653C9"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lo previsto en el artículo 115, fracción IV, inciso b), de la Constitución Política de los Estados Unidos Mexicanos, las bases, montos y plazos para la distribución de </w:t>
      </w:r>
      <w:r w:rsidR="00190C68">
        <w:rPr>
          <w:rFonts w:ascii="Arial" w:hAnsi="Arial" w:cs="Arial"/>
          <w:szCs w:val="24"/>
        </w:rPr>
        <w:t xml:space="preserve">las </w:t>
      </w:r>
      <w:r w:rsidRPr="00D93F7E">
        <w:rPr>
          <w:rFonts w:ascii="Arial" w:hAnsi="Arial" w:cs="Arial"/>
          <w:szCs w:val="24"/>
        </w:rPr>
        <w:t xml:space="preserve">participaciones federales </w:t>
      </w:r>
      <w:r w:rsidR="00190C68">
        <w:rPr>
          <w:rFonts w:ascii="Arial" w:hAnsi="Arial" w:cs="Arial"/>
          <w:szCs w:val="24"/>
        </w:rPr>
        <w:t xml:space="preserve">destinadas </w:t>
      </w:r>
      <w:r w:rsidRPr="00D93F7E">
        <w:rPr>
          <w:rFonts w:ascii="Arial" w:hAnsi="Arial" w:cs="Arial"/>
          <w:szCs w:val="24"/>
        </w:rPr>
        <w:t>a los municipios del estado</w:t>
      </w:r>
      <w:r w:rsidR="00190C68">
        <w:rPr>
          <w:rFonts w:ascii="Arial" w:hAnsi="Arial" w:cs="Arial"/>
          <w:szCs w:val="24"/>
        </w:rPr>
        <w:t xml:space="preserve"> </w:t>
      </w:r>
      <w:r w:rsidRPr="00D93F7E">
        <w:rPr>
          <w:rFonts w:ascii="Arial" w:hAnsi="Arial" w:cs="Arial"/>
          <w:szCs w:val="24"/>
        </w:rPr>
        <w:t>s</w:t>
      </w:r>
      <w:r w:rsidR="00190C68">
        <w:rPr>
          <w:rFonts w:ascii="Arial" w:hAnsi="Arial" w:cs="Arial"/>
          <w:szCs w:val="24"/>
        </w:rPr>
        <w:t>erá</w:t>
      </w:r>
      <w:r w:rsidRPr="00D93F7E">
        <w:rPr>
          <w:rFonts w:ascii="Arial" w:hAnsi="Arial" w:cs="Arial"/>
          <w:szCs w:val="24"/>
        </w:rPr>
        <w:t>n las que se establecen en la Ley de Coordinación Fiscal del Estado de Yucatán.</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1</w:t>
      </w:r>
      <w:r w:rsidRPr="00D93F7E">
        <w:rPr>
          <w:rFonts w:ascii="Arial" w:hAnsi="Arial" w:cs="Arial"/>
          <w:b/>
          <w:szCs w:val="24"/>
        </w:rPr>
        <w:t xml:space="preserve">. Calendario de ingresos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entes públicos que reciban </w:t>
      </w:r>
      <w:r w:rsidR="00583BD6">
        <w:rPr>
          <w:rFonts w:ascii="Arial" w:hAnsi="Arial" w:cs="Arial"/>
          <w:szCs w:val="24"/>
        </w:rPr>
        <w:t xml:space="preserve">los </w:t>
      </w:r>
      <w:r w:rsidRPr="00D93F7E">
        <w:rPr>
          <w:rFonts w:ascii="Arial" w:hAnsi="Arial" w:cs="Arial"/>
          <w:szCs w:val="24"/>
        </w:rPr>
        <w:t>ingresos señalados en el artículo 2 de esta ley</w:t>
      </w:r>
      <w:r w:rsidR="008A6A35" w:rsidRPr="00D93F7E">
        <w:rPr>
          <w:rFonts w:ascii="Arial" w:hAnsi="Arial" w:cs="Arial"/>
          <w:szCs w:val="24"/>
        </w:rPr>
        <w:t xml:space="preserve"> </w:t>
      </w:r>
      <w:r w:rsidRPr="00D93F7E">
        <w:rPr>
          <w:rFonts w:ascii="Arial" w:hAnsi="Arial" w:cs="Arial"/>
          <w:szCs w:val="24"/>
        </w:rPr>
        <w:t xml:space="preserve">deberán formular su calendario de ingresos con base mensual en los formatos que </w:t>
      </w:r>
      <w:r w:rsidR="008A6A35" w:rsidRPr="00D93F7E">
        <w:rPr>
          <w:rFonts w:ascii="Arial" w:hAnsi="Arial" w:cs="Arial"/>
          <w:szCs w:val="24"/>
        </w:rPr>
        <w:t xml:space="preserve">para tal efecto </w:t>
      </w:r>
      <w:r w:rsidRPr="00D93F7E">
        <w:rPr>
          <w:rFonts w:ascii="Arial" w:hAnsi="Arial" w:cs="Arial"/>
          <w:szCs w:val="24"/>
        </w:rPr>
        <w:t>determine el Consejo Nacional de Armonización Contable</w:t>
      </w:r>
      <w:r w:rsidR="008A6A35" w:rsidRPr="00D93F7E">
        <w:rPr>
          <w:rFonts w:ascii="Arial" w:hAnsi="Arial" w:cs="Arial"/>
          <w:szCs w:val="24"/>
        </w:rPr>
        <w:t>,</w:t>
      </w:r>
      <w:r w:rsidRPr="00D93F7E">
        <w:rPr>
          <w:rFonts w:ascii="Arial" w:hAnsi="Arial" w:cs="Arial"/>
          <w:szCs w:val="24"/>
        </w:rPr>
        <w:t xml:space="preserve"> y remitirlo a la Secretaría de Administración y Finanzas durante los</w:t>
      </w:r>
      <w:r w:rsidR="008A6A35" w:rsidRPr="00D93F7E">
        <w:rPr>
          <w:rFonts w:ascii="Arial" w:hAnsi="Arial" w:cs="Arial"/>
          <w:szCs w:val="24"/>
        </w:rPr>
        <w:t xml:space="preserve"> primeros quince días del mes de enero.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Secretaría de Administración y Finanzas publicará, a más tardar el último día de enero, en su sitio web, </w:t>
      </w:r>
      <w:r w:rsidR="008A6A35" w:rsidRPr="00D93F7E">
        <w:rPr>
          <w:rFonts w:ascii="Arial" w:hAnsi="Arial" w:cs="Arial"/>
          <w:szCs w:val="24"/>
        </w:rPr>
        <w:t>los calendarios</w:t>
      </w:r>
      <w:r w:rsidRPr="00D93F7E">
        <w:rPr>
          <w:rFonts w:ascii="Arial" w:hAnsi="Arial" w:cs="Arial"/>
          <w:szCs w:val="24"/>
        </w:rPr>
        <w:t xml:space="preserve"> de ingresos con base mensual</w:t>
      </w:r>
      <w:r w:rsidR="008A6A35" w:rsidRPr="00D93F7E">
        <w:rPr>
          <w:rFonts w:ascii="Arial" w:hAnsi="Arial" w:cs="Arial"/>
          <w:szCs w:val="24"/>
        </w:rPr>
        <w:t xml:space="preserve"> que reciba,</w:t>
      </w:r>
      <w:r w:rsidRPr="00D93F7E">
        <w:rPr>
          <w:rFonts w:ascii="Arial" w:hAnsi="Arial" w:cs="Arial"/>
          <w:szCs w:val="24"/>
        </w:rPr>
        <w:t xml:space="preserve"> en los formatos que </w:t>
      </w:r>
      <w:r w:rsidR="008A6A35" w:rsidRPr="00D93F7E">
        <w:rPr>
          <w:rFonts w:ascii="Arial" w:hAnsi="Arial" w:cs="Arial"/>
          <w:szCs w:val="24"/>
        </w:rPr>
        <w:t xml:space="preserve">para tal efecto </w:t>
      </w:r>
      <w:r w:rsidRPr="00D93F7E">
        <w:rPr>
          <w:rFonts w:ascii="Arial" w:hAnsi="Arial" w:cs="Arial"/>
          <w:szCs w:val="24"/>
        </w:rPr>
        <w:t>determine el Consejo Nacional de Armonización Contable</w:t>
      </w:r>
      <w:r w:rsidR="008A6A35" w:rsidRPr="00D93F7E">
        <w:rPr>
          <w:rFonts w:ascii="Arial" w:hAnsi="Arial" w:cs="Arial"/>
          <w:szCs w:val="24"/>
        </w:rPr>
        <w:t>,</w:t>
      </w:r>
      <w:r w:rsidRPr="00D93F7E">
        <w:rPr>
          <w:rFonts w:ascii="Arial" w:hAnsi="Arial" w:cs="Arial"/>
          <w:szCs w:val="24"/>
        </w:rPr>
        <w:t xml:space="preserve"> </w:t>
      </w:r>
      <w:r w:rsidR="008A6A35" w:rsidRPr="00D93F7E">
        <w:rPr>
          <w:rFonts w:ascii="Arial" w:hAnsi="Arial" w:cs="Arial"/>
          <w:szCs w:val="24"/>
        </w:rPr>
        <w:lastRenderedPageBreak/>
        <w:t xml:space="preserve">de conformidad con </w:t>
      </w:r>
      <w:r w:rsidRPr="00D93F7E">
        <w:rPr>
          <w:rFonts w:ascii="Arial" w:hAnsi="Arial" w:cs="Arial"/>
          <w:szCs w:val="24"/>
        </w:rPr>
        <w:t>el párrafo segundo del artículo 66 de la Ley General de Contabilidad Gubernamental.</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2</w:t>
      </w:r>
      <w:r w:rsidRPr="00D93F7E">
        <w:rPr>
          <w:rFonts w:ascii="Arial" w:hAnsi="Arial" w:cs="Arial"/>
          <w:b/>
          <w:szCs w:val="24"/>
        </w:rPr>
        <w:t>. Aprovechamientos</w:t>
      </w:r>
    </w:p>
    <w:p w:rsidR="00E41778"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Poder Ejecutivo del </w:t>
      </w:r>
      <w:r w:rsidR="006D59E8">
        <w:rPr>
          <w:rFonts w:ascii="Arial" w:hAnsi="Arial" w:cs="Arial"/>
          <w:szCs w:val="24"/>
        </w:rPr>
        <w:t>e</w:t>
      </w:r>
      <w:r w:rsidRPr="00D93F7E">
        <w:rPr>
          <w:rFonts w:ascii="Arial" w:hAnsi="Arial" w:cs="Arial"/>
          <w:szCs w:val="24"/>
        </w:rPr>
        <w:t xml:space="preserve">stado, por conducto de la Secretaría de Administración y Finanzas, queda autorizado para fijar o modificar los aprovechamientos que </w:t>
      </w:r>
      <w:r w:rsidR="00D51607" w:rsidRPr="00D93F7E">
        <w:rPr>
          <w:rFonts w:ascii="Arial" w:hAnsi="Arial" w:cs="Arial"/>
          <w:szCs w:val="24"/>
        </w:rPr>
        <w:t>cobren las dependencias</w:t>
      </w:r>
      <w:r w:rsidRPr="00D93F7E">
        <w:rPr>
          <w:rFonts w:ascii="Arial" w:hAnsi="Arial" w:cs="Arial"/>
          <w:szCs w:val="24"/>
        </w:rPr>
        <w:t xml:space="preserve"> durante el ejercicio fiscal </w:t>
      </w:r>
      <w:r w:rsidR="00D33044">
        <w:rPr>
          <w:rFonts w:ascii="Arial" w:hAnsi="Arial" w:cs="Arial"/>
          <w:szCs w:val="24"/>
        </w:rPr>
        <w:t>2023</w:t>
      </w:r>
      <w:r w:rsidRPr="00D93F7E">
        <w:rPr>
          <w:rFonts w:ascii="Arial" w:hAnsi="Arial" w:cs="Arial"/>
          <w:szCs w:val="24"/>
        </w:rPr>
        <w:t xml:space="preserve">, por el uso, goce, aprovechamiento o explotación de bienes sujetos al régimen de dominio público del </w:t>
      </w:r>
      <w:r w:rsidR="006D59E8">
        <w:rPr>
          <w:rFonts w:ascii="Arial" w:hAnsi="Arial" w:cs="Arial"/>
          <w:szCs w:val="24"/>
        </w:rPr>
        <w:t>e</w:t>
      </w:r>
      <w:r w:rsidRPr="00D93F7E">
        <w:rPr>
          <w:rFonts w:ascii="Arial" w:hAnsi="Arial" w:cs="Arial"/>
          <w:szCs w:val="24"/>
        </w:rPr>
        <w:t>stado</w:t>
      </w:r>
      <w:r w:rsidR="00774A7C">
        <w:rPr>
          <w:rFonts w:ascii="Arial" w:hAnsi="Arial" w:cs="Arial"/>
          <w:szCs w:val="24"/>
        </w:rPr>
        <w:t>,</w:t>
      </w:r>
      <w:r w:rsidRPr="00D93F7E">
        <w:rPr>
          <w:rFonts w:ascii="Arial" w:hAnsi="Arial" w:cs="Arial"/>
          <w:szCs w:val="24"/>
        </w:rPr>
        <w:t xml:space="preserve"> o por la prestación de servicios en el ejercicio de las funciones de derecho público por los que no se establecen derechos o que, por cualquier causa legal, no se paguen. </w:t>
      </w:r>
    </w:p>
    <w:p w:rsidR="00E41778" w:rsidRPr="00D93F7E" w:rsidRDefault="00D51607"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w:t>
      </w:r>
      <w:r w:rsidR="00E41778" w:rsidRPr="00D93F7E">
        <w:rPr>
          <w:rFonts w:ascii="Arial" w:hAnsi="Arial" w:cs="Arial"/>
          <w:szCs w:val="24"/>
        </w:rPr>
        <w:t xml:space="preserve">a Secretaría de Administración y Finanzas, mediante resoluciones de carácter particular, aprobará los montos de los aprovechamientos que cobren las dependencias de la Administración Pública </w:t>
      </w:r>
      <w:r w:rsidR="00774A7C">
        <w:rPr>
          <w:rFonts w:ascii="Arial" w:hAnsi="Arial" w:cs="Arial"/>
          <w:szCs w:val="24"/>
        </w:rPr>
        <w:t>e</w:t>
      </w:r>
      <w:r w:rsidR="00E41778" w:rsidRPr="00D93F7E">
        <w:rPr>
          <w:rFonts w:ascii="Arial" w:hAnsi="Arial" w:cs="Arial"/>
          <w:szCs w:val="24"/>
        </w:rPr>
        <w:t>statal, salvo cuando su determinación y cobro se encuentren previstos en otras leyes</w:t>
      </w:r>
      <w:r w:rsidR="002320E4">
        <w:rPr>
          <w:rFonts w:ascii="Arial" w:hAnsi="Arial" w:cs="Arial"/>
          <w:szCs w:val="24"/>
        </w:rPr>
        <w:t xml:space="preserve">. </w:t>
      </w:r>
      <w:r w:rsidRPr="00D93F7E">
        <w:rPr>
          <w:rFonts w:ascii="Arial" w:hAnsi="Arial" w:cs="Arial"/>
          <w:szCs w:val="24"/>
        </w:rPr>
        <w:t>Los aprovechamientos que cobren las entidades se sujetarán a la aprobación de</w:t>
      </w:r>
      <w:r w:rsidR="00774A7C">
        <w:rPr>
          <w:rFonts w:ascii="Arial" w:hAnsi="Arial" w:cs="Arial"/>
          <w:szCs w:val="24"/>
        </w:rPr>
        <w:t>l</w:t>
      </w:r>
      <w:r w:rsidRPr="00D93F7E">
        <w:rPr>
          <w:rFonts w:ascii="Arial" w:hAnsi="Arial" w:cs="Arial"/>
          <w:szCs w:val="24"/>
        </w:rPr>
        <w:t xml:space="preserve"> órgano de gobierno correspondiente</w:t>
      </w:r>
      <w:r w:rsidR="00774A7C">
        <w:rPr>
          <w:rFonts w:ascii="Arial" w:hAnsi="Arial" w:cs="Arial"/>
          <w:szCs w:val="24"/>
        </w:rPr>
        <w:t>,</w:t>
      </w:r>
      <w:r w:rsidRPr="00D93F7E">
        <w:rPr>
          <w:rFonts w:ascii="Arial" w:hAnsi="Arial" w:cs="Arial"/>
          <w:szCs w:val="24"/>
        </w:rPr>
        <w:t xml:space="preserve"> </w:t>
      </w:r>
      <w:r w:rsidR="00774A7C">
        <w:rPr>
          <w:rFonts w:ascii="Arial" w:hAnsi="Arial" w:cs="Arial"/>
          <w:szCs w:val="24"/>
        </w:rPr>
        <w:t>de conformidad con</w:t>
      </w:r>
      <w:r w:rsidRPr="00D93F7E">
        <w:rPr>
          <w:rFonts w:ascii="Arial" w:hAnsi="Arial" w:cs="Arial"/>
          <w:szCs w:val="24"/>
        </w:rPr>
        <w:t xml:space="preserve"> la normativ</w:t>
      </w:r>
      <w:r w:rsidR="00774A7C">
        <w:rPr>
          <w:rFonts w:ascii="Arial" w:hAnsi="Arial" w:cs="Arial"/>
          <w:szCs w:val="24"/>
        </w:rPr>
        <w:t>idad</w:t>
      </w:r>
      <w:r w:rsidRPr="00D93F7E">
        <w:rPr>
          <w:rFonts w:ascii="Arial" w:hAnsi="Arial" w:cs="Arial"/>
          <w:szCs w:val="24"/>
        </w:rPr>
        <w:t xml:space="preserve"> aplicable, con excepción de aquellos que se determinen por acuerdo del </w:t>
      </w:r>
      <w:r w:rsidR="007D3071">
        <w:rPr>
          <w:rFonts w:ascii="Arial" w:hAnsi="Arial" w:cs="Arial"/>
          <w:szCs w:val="24"/>
        </w:rPr>
        <w:t xml:space="preserve">Poder </w:t>
      </w:r>
      <w:r w:rsidRPr="00D93F7E">
        <w:rPr>
          <w:rFonts w:ascii="Arial" w:hAnsi="Arial" w:cs="Arial"/>
          <w:szCs w:val="24"/>
        </w:rPr>
        <w:t xml:space="preserve">Ejecutivo del </w:t>
      </w:r>
      <w:r w:rsidR="00774A7C">
        <w:rPr>
          <w:rFonts w:ascii="Arial" w:hAnsi="Arial" w:cs="Arial"/>
          <w:szCs w:val="24"/>
        </w:rPr>
        <w:t>e</w:t>
      </w:r>
      <w:r w:rsidRPr="00D93F7E">
        <w:rPr>
          <w:rFonts w:ascii="Arial" w:hAnsi="Arial" w:cs="Arial"/>
          <w:szCs w:val="24"/>
        </w:rPr>
        <w:t>stado.</w:t>
      </w:r>
    </w:p>
    <w:p w:rsidR="00E41778"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autorizaciones </w:t>
      </w:r>
      <w:r w:rsidR="00D51607" w:rsidRPr="00D93F7E">
        <w:rPr>
          <w:rFonts w:ascii="Arial" w:hAnsi="Arial" w:cs="Arial"/>
          <w:szCs w:val="24"/>
        </w:rPr>
        <w:t xml:space="preserve">otorgadas </w:t>
      </w:r>
      <w:r w:rsidRPr="00D93F7E">
        <w:rPr>
          <w:rFonts w:ascii="Arial" w:hAnsi="Arial" w:cs="Arial"/>
          <w:szCs w:val="24"/>
        </w:rPr>
        <w:t xml:space="preserve">para fijar o modificar las cuotas de los aprovechamientos durante el ejercicio fiscal </w:t>
      </w:r>
      <w:r w:rsidR="00D33044">
        <w:rPr>
          <w:rFonts w:ascii="Arial" w:hAnsi="Arial" w:cs="Arial"/>
          <w:szCs w:val="24"/>
        </w:rPr>
        <w:t>2023</w:t>
      </w:r>
      <w:r w:rsidR="00774A7C">
        <w:rPr>
          <w:rFonts w:ascii="Arial" w:hAnsi="Arial" w:cs="Arial"/>
          <w:szCs w:val="24"/>
        </w:rPr>
        <w:t xml:space="preserve"> </w:t>
      </w:r>
      <w:r w:rsidRPr="00D93F7E">
        <w:rPr>
          <w:rFonts w:ascii="Arial" w:hAnsi="Arial" w:cs="Arial"/>
          <w:szCs w:val="24"/>
        </w:rPr>
        <w:t>solo surtirán sus efectos para ese año.</w:t>
      </w:r>
      <w:r w:rsidR="00316C3B" w:rsidRPr="00D93F7E">
        <w:rPr>
          <w:rFonts w:ascii="Arial" w:hAnsi="Arial" w:cs="Arial"/>
          <w:szCs w:val="24"/>
        </w:rPr>
        <w:t xml:space="preserve"> En tanto no sean autorizados los aprovechamientos a que se refiere este artículo para el ejercicio fiscal </w:t>
      </w:r>
      <w:r w:rsidR="00D33044">
        <w:rPr>
          <w:rFonts w:ascii="Arial" w:hAnsi="Arial" w:cs="Arial"/>
          <w:szCs w:val="24"/>
        </w:rPr>
        <w:t>2023</w:t>
      </w:r>
      <w:r w:rsidR="00316C3B" w:rsidRPr="00D93F7E">
        <w:rPr>
          <w:rFonts w:ascii="Arial" w:hAnsi="Arial" w:cs="Arial"/>
          <w:szCs w:val="24"/>
        </w:rPr>
        <w:t xml:space="preserve">, se aplicarán los vigentes al 31 de diciembre de </w:t>
      </w:r>
      <w:r w:rsidR="00D33044">
        <w:rPr>
          <w:rFonts w:ascii="Arial" w:hAnsi="Arial" w:cs="Arial"/>
          <w:szCs w:val="24"/>
        </w:rPr>
        <w:t>2022</w:t>
      </w:r>
      <w:r w:rsidRPr="00D93F7E">
        <w:rPr>
          <w:rFonts w:ascii="Arial" w:hAnsi="Arial" w:cs="Arial"/>
          <w:szCs w:val="24"/>
        </w:rPr>
        <w:t>.</w:t>
      </w:r>
    </w:p>
    <w:p w:rsidR="00E41778" w:rsidRPr="00D93F7E" w:rsidRDefault="00184ED8" w:rsidP="008A39AA">
      <w:pPr>
        <w:spacing w:before="100" w:beforeAutospacing="1" w:after="100" w:afterAutospacing="1" w:line="240" w:lineRule="auto"/>
        <w:jc w:val="both"/>
        <w:rPr>
          <w:rFonts w:ascii="Arial" w:hAnsi="Arial" w:cs="Arial"/>
          <w:szCs w:val="24"/>
        </w:rPr>
      </w:pPr>
      <w:r>
        <w:rPr>
          <w:rFonts w:ascii="Arial" w:hAnsi="Arial" w:cs="Arial"/>
          <w:szCs w:val="24"/>
        </w:rPr>
        <w:t>Los aprovechamientos</w:t>
      </w:r>
      <w:r w:rsidR="00E41778" w:rsidRPr="00D93F7E">
        <w:rPr>
          <w:rFonts w:ascii="Arial" w:hAnsi="Arial" w:cs="Arial"/>
          <w:szCs w:val="24"/>
        </w:rPr>
        <w:t xml:space="preserve"> </w:t>
      </w:r>
      <w:r>
        <w:rPr>
          <w:rFonts w:ascii="Arial" w:hAnsi="Arial" w:cs="Arial"/>
          <w:szCs w:val="24"/>
        </w:rPr>
        <w:t xml:space="preserve">fijados en porcentaje que se encuentren vigentes al </w:t>
      </w:r>
      <w:r w:rsidR="00E41778" w:rsidRPr="00D93F7E">
        <w:rPr>
          <w:rFonts w:ascii="Arial" w:hAnsi="Arial" w:cs="Arial"/>
          <w:szCs w:val="24"/>
        </w:rPr>
        <w:t xml:space="preserve">31 de diciembre de </w:t>
      </w:r>
      <w:r w:rsidR="00D33044">
        <w:rPr>
          <w:rFonts w:ascii="Arial" w:hAnsi="Arial" w:cs="Arial"/>
          <w:szCs w:val="24"/>
        </w:rPr>
        <w:t>2022</w:t>
      </w:r>
      <w:r w:rsidR="00E41778" w:rsidRPr="00D93F7E">
        <w:rPr>
          <w:rFonts w:ascii="Arial" w:hAnsi="Arial" w:cs="Arial"/>
          <w:szCs w:val="24"/>
        </w:rPr>
        <w:t xml:space="preserve">, </w:t>
      </w:r>
      <w:r>
        <w:rPr>
          <w:rFonts w:ascii="Arial" w:hAnsi="Arial" w:cs="Arial"/>
          <w:szCs w:val="24"/>
        </w:rPr>
        <w:t xml:space="preserve">se continuarán aplicando durante el ejercicio fiscal </w:t>
      </w:r>
      <w:r w:rsidR="00D33044">
        <w:rPr>
          <w:rFonts w:ascii="Arial" w:hAnsi="Arial" w:cs="Arial"/>
          <w:szCs w:val="24"/>
        </w:rPr>
        <w:t>2023</w:t>
      </w:r>
      <w:r>
        <w:rPr>
          <w:rFonts w:ascii="Arial" w:hAnsi="Arial" w:cs="Arial"/>
          <w:szCs w:val="24"/>
        </w:rPr>
        <w:t xml:space="preserve">, </w:t>
      </w:r>
      <w:r w:rsidR="00E41778" w:rsidRPr="00D93F7E">
        <w:rPr>
          <w:rFonts w:ascii="Arial" w:hAnsi="Arial" w:cs="Arial"/>
          <w:szCs w:val="24"/>
        </w:rPr>
        <w:t xml:space="preserve">hasta en tanto </w:t>
      </w:r>
      <w:r w:rsidR="00D51607" w:rsidRPr="00D93F7E">
        <w:rPr>
          <w:rFonts w:ascii="Arial" w:hAnsi="Arial" w:cs="Arial"/>
          <w:szCs w:val="24"/>
        </w:rPr>
        <w:t>la secretaría o el órgano de gobierno correspondiente</w:t>
      </w:r>
      <w:r w:rsidR="00E41778" w:rsidRPr="00D93F7E">
        <w:rPr>
          <w:rFonts w:ascii="Arial" w:hAnsi="Arial" w:cs="Arial"/>
          <w:szCs w:val="24"/>
        </w:rPr>
        <w:t xml:space="preserve"> no emita autorización para </w:t>
      </w:r>
      <w:r>
        <w:rPr>
          <w:rFonts w:ascii="Arial" w:hAnsi="Arial" w:cs="Arial"/>
          <w:szCs w:val="24"/>
        </w:rPr>
        <w:t>este último ejercicio fiscal.</w:t>
      </w:r>
    </w:p>
    <w:p w:rsidR="003D6FFD" w:rsidRPr="00D93F7E" w:rsidRDefault="00E41778"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En cuanto a los aprovechamientos que no hayan sido cobrados en el ejercicio inmediato anterior o que no se cobren de manera regular, las dependencias </w:t>
      </w:r>
      <w:r w:rsidR="006B53B3" w:rsidRPr="00D93F7E">
        <w:rPr>
          <w:rFonts w:ascii="Arial" w:hAnsi="Arial" w:cs="Arial"/>
          <w:szCs w:val="24"/>
        </w:rPr>
        <w:t xml:space="preserve">o entidades </w:t>
      </w:r>
      <w:r w:rsidRPr="00D93F7E">
        <w:rPr>
          <w:rFonts w:ascii="Arial" w:hAnsi="Arial" w:cs="Arial"/>
          <w:szCs w:val="24"/>
        </w:rPr>
        <w:t>interesadas deberán someter</w:t>
      </w:r>
      <w:r w:rsidR="00184ED8">
        <w:rPr>
          <w:rFonts w:ascii="Arial" w:hAnsi="Arial" w:cs="Arial"/>
          <w:szCs w:val="24"/>
        </w:rPr>
        <w:t>,</w:t>
      </w:r>
      <w:r w:rsidRPr="00D93F7E">
        <w:rPr>
          <w:rFonts w:ascii="Arial" w:hAnsi="Arial" w:cs="Arial"/>
          <w:szCs w:val="24"/>
        </w:rPr>
        <w:t xml:space="preserve"> para su autorización, el monto de los aprovechamientos que pretendan cobrar, en un plazo no menor a diez días hábiles anteriores a la fecha de su entrada en vigor. </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3</w:t>
      </w:r>
      <w:r w:rsidRPr="00D93F7E">
        <w:rPr>
          <w:rFonts w:ascii="Arial" w:hAnsi="Arial" w:cs="Arial"/>
          <w:b/>
          <w:szCs w:val="24"/>
        </w:rPr>
        <w:t>. Productos</w:t>
      </w:r>
    </w:p>
    <w:p w:rsidR="006B53B3"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El Poder Ejecutivo del estado, por conducto de la Secretaría de Administración y Finanzas, queda autorizado para fijar o modificar, mediante resoluciones de carácter particular, las cuotas de los productos que pretendan cobrar las dependencias durante el ejercicio fiscal </w:t>
      </w:r>
      <w:r w:rsidR="00D33044">
        <w:rPr>
          <w:rFonts w:ascii="Arial" w:hAnsi="Arial" w:cs="Arial"/>
          <w:szCs w:val="24"/>
        </w:rPr>
        <w:t>2023</w:t>
      </w:r>
      <w:r w:rsidRPr="00D93F7E">
        <w:rPr>
          <w:rFonts w:ascii="Arial" w:hAnsi="Arial" w:cs="Arial"/>
          <w:szCs w:val="24"/>
        </w:rPr>
        <w:t>, a</w:t>
      </w:r>
      <w:r w:rsidR="00DA11C5">
        <w:rPr>
          <w:rFonts w:ascii="Arial" w:hAnsi="Arial" w:cs="Arial"/>
          <w:szCs w:val="24"/>
        </w:rPr>
        <w:t>u</w:t>
      </w:r>
      <w:r w:rsidRPr="00D93F7E">
        <w:rPr>
          <w:rFonts w:ascii="Arial" w:hAnsi="Arial" w:cs="Arial"/>
          <w:szCs w:val="24"/>
        </w:rPr>
        <w:t>n cuando su cobro se encuentre previsto en otras leyes.</w:t>
      </w:r>
    </w:p>
    <w:p w:rsidR="006B53B3"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autorizaciones para fijar o modificar las cuotas de los productos que otorgue la Secretaría de Administración y Finanzas durante el ejercicio fiscal </w:t>
      </w:r>
      <w:r w:rsidR="00D33044">
        <w:rPr>
          <w:rFonts w:ascii="Arial" w:hAnsi="Arial" w:cs="Arial"/>
          <w:szCs w:val="24"/>
        </w:rPr>
        <w:t>2023</w:t>
      </w:r>
      <w:r w:rsidRPr="00D93F7E">
        <w:rPr>
          <w:rFonts w:ascii="Arial" w:hAnsi="Arial" w:cs="Arial"/>
          <w:szCs w:val="24"/>
        </w:rPr>
        <w:t>, solo surtirán sus efectos para es</w:t>
      </w:r>
      <w:r w:rsidR="00DA11C5">
        <w:rPr>
          <w:rFonts w:ascii="Arial" w:hAnsi="Arial" w:cs="Arial"/>
          <w:szCs w:val="24"/>
        </w:rPr>
        <w:t>t</w:t>
      </w:r>
      <w:r w:rsidRPr="00D93F7E">
        <w:rPr>
          <w:rFonts w:ascii="Arial" w:hAnsi="Arial" w:cs="Arial"/>
          <w:szCs w:val="24"/>
        </w:rPr>
        <w:t>e año.</w:t>
      </w:r>
      <w:r w:rsidR="0061255B" w:rsidRPr="00D93F7E">
        <w:rPr>
          <w:rFonts w:ascii="Arial" w:hAnsi="Arial" w:cs="Arial"/>
          <w:szCs w:val="24"/>
        </w:rPr>
        <w:t xml:space="preserve"> </w:t>
      </w:r>
      <w:r w:rsidRPr="00D93F7E">
        <w:rPr>
          <w:rFonts w:ascii="Arial" w:hAnsi="Arial" w:cs="Arial"/>
          <w:szCs w:val="24"/>
        </w:rPr>
        <w:t xml:space="preserve">En tanto no sean autorizados los productos a que se refiere este artículo para el ejercicio fiscal </w:t>
      </w:r>
      <w:r w:rsidR="00D33044">
        <w:rPr>
          <w:rFonts w:ascii="Arial" w:hAnsi="Arial" w:cs="Arial"/>
          <w:szCs w:val="24"/>
        </w:rPr>
        <w:t>2023</w:t>
      </w:r>
      <w:r w:rsidRPr="00D93F7E">
        <w:rPr>
          <w:rFonts w:ascii="Arial" w:hAnsi="Arial" w:cs="Arial"/>
          <w:szCs w:val="24"/>
        </w:rPr>
        <w:t xml:space="preserve">, se aplicarán los vigentes al 31 de diciembre de </w:t>
      </w:r>
      <w:r w:rsidR="00D33044">
        <w:rPr>
          <w:rFonts w:ascii="Arial" w:hAnsi="Arial" w:cs="Arial"/>
          <w:szCs w:val="24"/>
        </w:rPr>
        <w:t>2022</w:t>
      </w:r>
      <w:r w:rsidRPr="00D93F7E">
        <w:rPr>
          <w:rFonts w:ascii="Arial" w:hAnsi="Arial" w:cs="Arial"/>
          <w:szCs w:val="24"/>
        </w:rPr>
        <w:t>.</w:t>
      </w:r>
    </w:p>
    <w:p w:rsidR="006B53B3" w:rsidRPr="00D93F7E" w:rsidRDefault="00DA11C5" w:rsidP="008A39AA">
      <w:pPr>
        <w:spacing w:before="100" w:beforeAutospacing="1" w:after="100" w:afterAutospacing="1" w:line="240" w:lineRule="auto"/>
        <w:jc w:val="both"/>
        <w:rPr>
          <w:rFonts w:ascii="Arial" w:hAnsi="Arial" w:cs="Arial"/>
          <w:szCs w:val="24"/>
        </w:rPr>
      </w:pPr>
      <w:r>
        <w:rPr>
          <w:rFonts w:ascii="Arial" w:hAnsi="Arial" w:cs="Arial"/>
          <w:szCs w:val="24"/>
        </w:rPr>
        <w:t xml:space="preserve">Los productos fijados en porcentaje que se encuentren vigentes al 31 de diciembre de </w:t>
      </w:r>
      <w:r w:rsidR="00D33044">
        <w:rPr>
          <w:rFonts w:ascii="Arial" w:hAnsi="Arial" w:cs="Arial"/>
          <w:szCs w:val="24"/>
        </w:rPr>
        <w:t>2022</w:t>
      </w:r>
      <w:r>
        <w:rPr>
          <w:rFonts w:ascii="Arial" w:hAnsi="Arial" w:cs="Arial"/>
          <w:szCs w:val="24"/>
        </w:rPr>
        <w:t xml:space="preserve">, se continuarán aplicando durante el ejercicio fiscal </w:t>
      </w:r>
      <w:r w:rsidR="00D33044">
        <w:rPr>
          <w:rFonts w:ascii="Arial" w:hAnsi="Arial" w:cs="Arial"/>
          <w:szCs w:val="24"/>
        </w:rPr>
        <w:t>2023</w:t>
      </w:r>
      <w:r>
        <w:rPr>
          <w:rFonts w:ascii="Arial" w:hAnsi="Arial" w:cs="Arial"/>
          <w:szCs w:val="24"/>
        </w:rPr>
        <w:t xml:space="preserve">, </w:t>
      </w:r>
      <w:r w:rsidR="006B53B3" w:rsidRPr="00D93F7E">
        <w:rPr>
          <w:rFonts w:ascii="Arial" w:hAnsi="Arial" w:cs="Arial"/>
          <w:szCs w:val="24"/>
        </w:rPr>
        <w:t xml:space="preserve">hasta en tanto </w:t>
      </w:r>
      <w:r>
        <w:rPr>
          <w:rFonts w:ascii="Arial" w:hAnsi="Arial" w:cs="Arial"/>
          <w:szCs w:val="24"/>
        </w:rPr>
        <w:t>la</w:t>
      </w:r>
      <w:r w:rsidRPr="00D93F7E">
        <w:rPr>
          <w:rFonts w:ascii="Arial" w:hAnsi="Arial" w:cs="Arial"/>
          <w:szCs w:val="24"/>
        </w:rPr>
        <w:t xml:space="preserve"> </w:t>
      </w:r>
      <w:r w:rsidR="006B53B3" w:rsidRPr="00D93F7E">
        <w:rPr>
          <w:rFonts w:ascii="Arial" w:hAnsi="Arial" w:cs="Arial"/>
          <w:szCs w:val="24"/>
        </w:rPr>
        <w:t xml:space="preserve">secretaría </w:t>
      </w:r>
      <w:r>
        <w:rPr>
          <w:rFonts w:ascii="Arial" w:hAnsi="Arial" w:cs="Arial"/>
          <w:szCs w:val="24"/>
        </w:rPr>
        <w:t xml:space="preserve">o el órgano de gobierno correspondiente </w:t>
      </w:r>
      <w:r w:rsidR="006B53B3" w:rsidRPr="00D93F7E">
        <w:rPr>
          <w:rFonts w:ascii="Arial" w:hAnsi="Arial" w:cs="Arial"/>
          <w:szCs w:val="24"/>
        </w:rPr>
        <w:t xml:space="preserve">no emita autorización para </w:t>
      </w:r>
      <w:r>
        <w:rPr>
          <w:rFonts w:ascii="Arial" w:hAnsi="Arial" w:cs="Arial"/>
          <w:szCs w:val="24"/>
        </w:rPr>
        <w:t>este último ejercicio fiscal.</w:t>
      </w:r>
    </w:p>
    <w:p w:rsidR="003D6FFD" w:rsidRPr="00D93F7E" w:rsidRDefault="006B53B3"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En cuanto a los productos que no hayan sido cobrados en el ejercicio inmediato anterior o que no se cobren de manera regular, las dependencias interesadas deberán someter para su aprobación a la Secretaría de Administración y Finanzas el monto de los productos que pretendan cobrar, en un plazo no menor a diez días hábiles anteriores a la fecha de su entrada en vigor</w:t>
      </w:r>
      <w:r w:rsidR="003D6FFD" w:rsidRPr="00D93F7E">
        <w:rPr>
          <w:rFonts w:ascii="Arial" w:hAnsi="Arial" w:cs="Arial"/>
          <w:szCs w:val="24"/>
        </w:rPr>
        <w:t>.</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4</w:t>
      </w:r>
      <w:r w:rsidRPr="00D93F7E">
        <w:rPr>
          <w:rFonts w:ascii="Arial" w:hAnsi="Arial" w:cs="Arial"/>
          <w:b/>
          <w:szCs w:val="24"/>
        </w:rPr>
        <w:t>. Ingresos obtenidos de multas por infracciones fiscales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efectos de </w:t>
      </w:r>
      <w:r w:rsidR="00CC1C19" w:rsidRPr="00D93F7E">
        <w:rPr>
          <w:rFonts w:ascii="Arial" w:hAnsi="Arial" w:cs="Arial"/>
          <w:szCs w:val="24"/>
        </w:rPr>
        <w:t>lo establecido en el artículo 20</w:t>
      </w:r>
      <w:r w:rsidRPr="00D93F7E">
        <w:rPr>
          <w:rFonts w:ascii="Arial" w:hAnsi="Arial" w:cs="Arial"/>
          <w:szCs w:val="24"/>
        </w:rPr>
        <w:t xml:space="preserve">, fracción III, de la Ley de la Agencia de Administración Fiscal de Yucatán, los ingresos que el estado obtenga efectivamente de multas por </w:t>
      </w:r>
      <w:r w:rsidR="00CC1C19" w:rsidRPr="00D93F7E">
        <w:rPr>
          <w:rFonts w:ascii="Arial" w:hAnsi="Arial" w:cs="Arial"/>
          <w:szCs w:val="24"/>
        </w:rPr>
        <w:t>infracciones</w:t>
      </w:r>
      <w:r w:rsidRPr="00D93F7E">
        <w:rPr>
          <w:rFonts w:ascii="Arial" w:hAnsi="Arial" w:cs="Arial"/>
          <w:szCs w:val="24"/>
        </w:rPr>
        <w:t xml:space="preserve"> a las disposiciones fiscales, se destinarán a la formación de fondos para el otorgamiento de estímulos por productividad y cumplimiento del personal de dicho órgano fiscal.</w:t>
      </w: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II</w:t>
      </w:r>
      <w:r w:rsidR="00CC1C19" w:rsidRPr="00D93F7E">
        <w:rPr>
          <w:rFonts w:ascii="Arial" w:hAnsi="Arial" w:cs="Arial"/>
          <w:b/>
          <w:szCs w:val="24"/>
        </w:rPr>
        <w:br/>
      </w:r>
      <w:r w:rsidRPr="00D93F7E">
        <w:rPr>
          <w:rFonts w:ascii="Arial" w:hAnsi="Arial" w:cs="Arial"/>
          <w:b/>
          <w:szCs w:val="24"/>
        </w:rPr>
        <w:t>Recaudación y concentración de ingresos</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5</w:t>
      </w:r>
      <w:r w:rsidRPr="00D93F7E">
        <w:rPr>
          <w:rFonts w:ascii="Arial" w:hAnsi="Arial" w:cs="Arial"/>
          <w:b/>
          <w:szCs w:val="24"/>
        </w:rPr>
        <w:t>. Disposiciones en materia de recaudación</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recaudación de los ingresos a que se refiere esta ley se acreditará mediante</w:t>
      </w:r>
      <w:r w:rsidR="00CC1C19" w:rsidRPr="00D93F7E">
        <w:rPr>
          <w:rFonts w:ascii="Arial" w:hAnsi="Arial" w:cs="Arial"/>
          <w:szCs w:val="24"/>
        </w:rPr>
        <w:t xml:space="preserve"> el</w:t>
      </w:r>
      <w:r w:rsidRPr="00D93F7E">
        <w:rPr>
          <w:rFonts w:ascii="Arial" w:hAnsi="Arial" w:cs="Arial"/>
          <w:szCs w:val="24"/>
        </w:rPr>
        <w:t xml:space="preserve"> comprobante de pago o </w:t>
      </w:r>
      <w:r w:rsidR="00CC1C19" w:rsidRPr="00D93F7E">
        <w:rPr>
          <w:rFonts w:ascii="Arial" w:hAnsi="Arial" w:cs="Arial"/>
          <w:szCs w:val="24"/>
        </w:rPr>
        <w:t xml:space="preserve">el </w:t>
      </w:r>
      <w:r w:rsidRPr="00D93F7E">
        <w:rPr>
          <w:rFonts w:ascii="Arial" w:hAnsi="Arial" w:cs="Arial"/>
          <w:szCs w:val="24"/>
        </w:rPr>
        <w:t xml:space="preserve">acuse de pago impreso o </w:t>
      </w:r>
      <w:r w:rsidR="0057453A" w:rsidRPr="00D93F7E">
        <w:rPr>
          <w:rFonts w:ascii="Arial" w:hAnsi="Arial" w:cs="Arial"/>
          <w:szCs w:val="24"/>
        </w:rPr>
        <w:t xml:space="preserve">electrónico </w:t>
      </w:r>
      <w:r w:rsidRPr="00D93F7E">
        <w:rPr>
          <w:rFonts w:ascii="Arial" w:hAnsi="Arial" w:cs="Arial"/>
          <w:szCs w:val="24"/>
        </w:rPr>
        <w:t>que para tal efecto emita la Secretaría de Administración y Finanzas, la Agencia de A</w:t>
      </w:r>
      <w:r w:rsidR="00CC1C19" w:rsidRPr="00D93F7E">
        <w:rPr>
          <w:rFonts w:ascii="Arial" w:hAnsi="Arial" w:cs="Arial"/>
          <w:szCs w:val="24"/>
        </w:rPr>
        <w:t>dministración Fiscal de Yucatán</w:t>
      </w:r>
      <w:r w:rsidRPr="00D93F7E">
        <w:rPr>
          <w:rFonts w:ascii="Arial" w:hAnsi="Arial" w:cs="Arial"/>
          <w:szCs w:val="24"/>
        </w:rPr>
        <w:t xml:space="preserve"> o las instituciones, entidades y establecimientos autorizados para tal efecto.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Para que tenga validez el comprobante de pago o </w:t>
      </w:r>
      <w:r w:rsidR="00CC1C19" w:rsidRPr="00D93F7E">
        <w:rPr>
          <w:rFonts w:ascii="Arial" w:hAnsi="Arial" w:cs="Arial"/>
          <w:szCs w:val="24"/>
        </w:rPr>
        <w:t xml:space="preserve">el </w:t>
      </w:r>
      <w:r w:rsidRPr="00D93F7E">
        <w:rPr>
          <w:rFonts w:ascii="Arial" w:hAnsi="Arial" w:cs="Arial"/>
          <w:szCs w:val="24"/>
        </w:rPr>
        <w:t>acuse de pago señalado en el párrafo anterior, deberá contener sello y firma del cajero</w:t>
      </w:r>
      <w:r w:rsidR="00CC1C19" w:rsidRPr="00D93F7E">
        <w:rPr>
          <w:rFonts w:ascii="Arial" w:hAnsi="Arial" w:cs="Arial"/>
          <w:szCs w:val="24"/>
        </w:rPr>
        <w:t>,</w:t>
      </w:r>
      <w:r w:rsidRPr="00D93F7E">
        <w:rPr>
          <w:rFonts w:ascii="Arial" w:hAnsi="Arial" w:cs="Arial"/>
          <w:szCs w:val="24"/>
        </w:rPr>
        <w:t xml:space="preserve"> otorgados por alguna</w:t>
      </w:r>
      <w:r w:rsidR="00CC1C19" w:rsidRPr="00D93F7E">
        <w:rPr>
          <w:rFonts w:ascii="Arial" w:hAnsi="Arial" w:cs="Arial"/>
          <w:szCs w:val="24"/>
        </w:rPr>
        <w:t xml:space="preserve"> oficina recaudadora autorizada, o sello digital, en el caso de comprobantes de pago electrónicos.</w:t>
      </w:r>
    </w:p>
    <w:p w:rsidR="0057453A" w:rsidRPr="00D93F7E" w:rsidRDefault="0057453A"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Cuando el contribuyente realice el pago o entero de las contribuciones u otros ingresos a que se refiere esta ley, mediante línea de referencia, en las oficinas recaudadoras de la Agencia de Administración Fiscal de Yucatán, o en las instituciones, entidades y establecimientos autorizados para tal efecto, recibirá comprobante de pago electrónico con sello digital</w:t>
      </w:r>
      <w:r w:rsidR="00AB774A">
        <w:rPr>
          <w:rFonts w:ascii="Arial" w:hAnsi="Arial" w:cs="Arial"/>
          <w:szCs w:val="24"/>
        </w:rPr>
        <w:t>, comprobante de pago o</w:t>
      </w:r>
      <w:r w:rsidRPr="00D93F7E">
        <w:rPr>
          <w:rFonts w:ascii="Arial" w:hAnsi="Arial" w:cs="Arial"/>
          <w:szCs w:val="24"/>
        </w:rPr>
        <w:t xml:space="preserve"> </w:t>
      </w:r>
      <w:r w:rsidR="00AB774A">
        <w:rPr>
          <w:rFonts w:ascii="Arial" w:hAnsi="Arial" w:cs="Arial"/>
          <w:szCs w:val="24"/>
        </w:rPr>
        <w:t>acuse</w:t>
      </w:r>
      <w:r w:rsidRPr="00D93F7E">
        <w:rPr>
          <w:rFonts w:ascii="Arial" w:hAnsi="Arial" w:cs="Arial"/>
          <w:szCs w:val="24"/>
        </w:rPr>
        <w:t xml:space="preserve"> de pago</w:t>
      </w:r>
      <w:r w:rsidR="00AB774A">
        <w:rPr>
          <w:rFonts w:ascii="Arial" w:hAnsi="Arial" w:cs="Arial"/>
          <w:szCs w:val="24"/>
        </w:rPr>
        <w:t>,</w:t>
      </w:r>
      <w:r w:rsidRPr="00D93F7E">
        <w:rPr>
          <w:rFonts w:ascii="Arial" w:hAnsi="Arial" w:cs="Arial"/>
          <w:szCs w:val="24"/>
        </w:rPr>
        <w:t xml:space="preserve"> con sello y firma del cajero, según sea el caso.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Si el pago de los ingresos señalados en esta ley se realiza en instituciones de crédito, entidades o establecimientos autorizados, se podrá acreditar el pago mediante el documento que contenga los elementos de validez que para tal efecto autorice la Agencia de Administración Fiscal de Yucatán.</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 este artículo, se entenderá por línea de referencia, el conjunto de caracteres que permite</w:t>
      </w:r>
      <w:r w:rsidR="00C67EE7">
        <w:rPr>
          <w:rFonts w:ascii="Arial" w:hAnsi="Arial" w:cs="Arial"/>
          <w:szCs w:val="24"/>
        </w:rPr>
        <w:t>n</w:t>
      </w:r>
      <w:r w:rsidRPr="00D93F7E">
        <w:rPr>
          <w:rFonts w:ascii="Arial" w:hAnsi="Arial" w:cs="Arial"/>
          <w:szCs w:val="24"/>
        </w:rPr>
        <w:t xml:space="preserve"> identificar de manera única una transacción y validar la información presentada en las inst</w:t>
      </w:r>
      <w:r w:rsidR="00D85AD7" w:rsidRPr="00D93F7E">
        <w:rPr>
          <w:rFonts w:ascii="Arial" w:hAnsi="Arial" w:cs="Arial"/>
          <w:szCs w:val="24"/>
        </w:rPr>
        <w:t>ituciones de crédito, entidades y establecimientos, así como en las</w:t>
      </w:r>
      <w:r w:rsidRPr="00D93F7E">
        <w:rPr>
          <w:rFonts w:ascii="Arial" w:hAnsi="Arial" w:cs="Arial"/>
          <w:szCs w:val="24"/>
        </w:rPr>
        <w:t xml:space="preserve"> oficinas recaudadoras de la Agencia de Administración Fiscal de Yucatán.</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expedir las disposiciones que sean necesarias para la correcta y debida aplicación de este artículo.</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6</w:t>
      </w:r>
      <w:r w:rsidRPr="00D93F7E">
        <w:rPr>
          <w:rFonts w:ascii="Arial" w:hAnsi="Arial" w:cs="Arial"/>
          <w:b/>
          <w:szCs w:val="24"/>
        </w:rPr>
        <w:t>. Recaudación de los ingresos</w:t>
      </w:r>
    </w:p>
    <w:p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autorizados por esta ley se percibirán, causarán, enterarán, liquidarán y recaudarán de acuerdo con la Ley General de Hacienda del Estado de Yucatán, el Código Fiscal del Estado de Yucatán, la Ley de Coordinación Fiscal federal y local, y las demás disposiciones fiscales federales o estatales aplicables.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Secretaría de Administración y Finanzas y la Agencia de Administración Fiscal de Yucatán son los entes competentes para recaudar los ingr</w:t>
      </w:r>
      <w:r w:rsidR="008951B4" w:rsidRPr="00D93F7E">
        <w:rPr>
          <w:rFonts w:ascii="Arial" w:hAnsi="Arial" w:cs="Arial"/>
          <w:szCs w:val="24"/>
        </w:rPr>
        <w:t>esos que corresponden al estado, los cuales podrán ser recaudados por sí o a través de terceros debidamente autorizados por la secretaría o la agencia.</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7</w:t>
      </w:r>
      <w:r w:rsidRPr="00D93F7E">
        <w:rPr>
          <w:rFonts w:ascii="Arial" w:hAnsi="Arial" w:cs="Arial"/>
          <w:b/>
          <w:szCs w:val="24"/>
        </w:rPr>
        <w:t>. Excepción de recaudación de ingresos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Los ingresos provenientes de las aportaciones de seguridad social desti</w:t>
      </w:r>
      <w:r w:rsidR="0081704B" w:rsidRPr="00D93F7E">
        <w:rPr>
          <w:rFonts w:ascii="Arial" w:hAnsi="Arial" w:cs="Arial"/>
          <w:szCs w:val="24"/>
        </w:rPr>
        <w:t xml:space="preserve">nados al Instituto de Seguridad Social </w:t>
      </w:r>
      <w:r w:rsidRPr="00D93F7E">
        <w:rPr>
          <w:rFonts w:ascii="Arial" w:hAnsi="Arial" w:cs="Arial"/>
          <w:szCs w:val="24"/>
        </w:rPr>
        <w:t>de los Trabajadores del Estado de Yucatán no se concentrarán en la Tesorería General del Estado, y podrán ser recaudados por las oficinas del propio instituto o por las instituciones de crédito que autorice la Secretaría de Administración y Finanzas. Para ello, deberán cumplir con los requisitos contables establecidos y reflejarse en la cuenta pública.</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que el estado obtenga en términos del artículo 71 de la Ley General de Víctimas</w:t>
      </w:r>
      <w:r w:rsidR="00F10476">
        <w:rPr>
          <w:rFonts w:ascii="Arial" w:hAnsi="Arial" w:cs="Arial"/>
          <w:szCs w:val="24"/>
        </w:rPr>
        <w:t xml:space="preserve"> </w:t>
      </w:r>
      <w:r w:rsidRPr="00D93F7E">
        <w:rPr>
          <w:rFonts w:ascii="Arial" w:hAnsi="Arial" w:cs="Arial"/>
          <w:szCs w:val="24"/>
        </w:rPr>
        <w:t>serán integrados al patrimonio del Fondo Estatal de Ayuda, Asistencia y Reparación Integral.</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8</w:t>
      </w:r>
      <w:r w:rsidRPr="00D93F7E">
        <w:rPr>
          <w:rFonts w:ascii="Arial" w:hAnsi="Arial" w:cs="Arial"/>
          <w:b/>
          <w:szCs w:val="24"/>
        </w:rPr>
        <w:t>. Registro de ingresos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que reciban ingresos por el pago de contraprestaciones de cualquier tipo, derechos y servicios, así como donativos en dinero, deberán </w:t>
      </w:r>
      <w:r w:rsidR="00F82F88" w:rsidRPr="00D93F7E">
        <w:rPr>
          <w:rFonts w:ascii="Arial" w:hAnsi="Arial" w:cs="Arial"/>
          <w:szCs w:val="24"/>
        </w:rPr>
        <w:t>emitir el comprobante fiscal digital por internet respectivo de</w:t>
      </w:r>
      <w:r w:rsidRPr="00D93F7E">
        <w:rPr>
          <w:rFonts w:ascii="Arial" w:hAnsi="Arial" w:cs="Arial"/>
          <w:szCs w:val="24"/>
        </w:rPr>
        <w:t xml:space="preserve"> dicho ingreso</w:t>
      </w:r>
      <w:r w:rsidR="00942D2D" w:rsidRPr="00D93F7E">
        <w:rPr>
          <w:rFonts w:ascii="Arial" w:hAnsi="Arial" w:cs="Arial"/>
          <w:szCs w:val="24"/>
        </w:rPr>
        <w:t>,</w:t>
      </w:r>
      <w:r w:rsidRPr="00D93F7E">
        <w:rPr>
          <w:rFonts w:ascii="Arial" w:hAnsi="Arial" w:cs="Arial"/>
          <w:szCs w:val="24"/>
        </w:rPr>
        <w:t xml:space="preserve"> conforme a lo establecido en el Código Fiscal de la Federación, registrarlo y presupuestar los egresos correspondientes. Además, se sujetarán</w:t>
      </w:r>
      <w:r w:rsidR="00F82F88" w:rsidRPr="00D93F7E">
        <w:rPr>
          <w:rFonts w:ascii="Arial" w:hAnsi="Arial" w:cs="Arial"/>
          <w:szCs w:val="24"/>
        </w:rPr>
        <w:t xml:space="preserve"> </w:t>
      </w:r>
      <w:r w:rsidRPr="00D93F7E">
        <w:rPr>
          <w:rFonts w:ascii="Arial" w:hAnsi="Arial" w:cs="Arial"/>
          <w:szCs w:val="24"/>
        </w:rPr>
        <w:t>a lo establecido por su órgano de gobierno. En caso contrario, no deberán ejercerlos, bajo pena de incurrir en responsabilidad.</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1</w:t>
      </w:r>
      <w:r w:rsidR="001D2525" w:rsidRPr="00D93F7E">
        <w:rPr>
          <w:rFonts w:ascii="Arial" w:hAnsi="Arial" w:cs="Arial"/>
          <w:b/>
          <w:szCs w:val="24"/>
        </w:rPr>
        <w:t>9</w:t>
      </w:r>
      <w:r w:rsidRPr="00D93F7E">
        <w:rPr>
          <w:rFonts w:ascii="Arial" w:hAnsi="Arial" w:cs="Arial"/>
          <w:b/>
          <w:szCs w:val="24"/>
        </w:rPr>
        <w:t>. Convenios de colaboración administrativa</w:t>
      </w:r>
    </w:p>
    <w:p w:rsidR="00D93F7E"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 Secretaría de Administración y Finanzas estará facultada para que, por conducto de la Agencia de Administración Fiscal de Yucatán, </w:t>
      </w:r>
      <w:r w:rsidR="00D93F7E" w:rsidRPr="00D93F7E">
        <w:rPr>
          <w:rFonts w:ascii="Arial" w:hAnsi="Arial" w:cs="Arial"/>
          <w:szCs w:val="24"/>
        </w:rPr>
        <w:t>realice los siguientes actos:</w:t>
      </w:r>
    </w:p>
    <w:p w:rsidR="00D93F7E"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 </w:t>
      </w:r>
      <w:r w:rsidR="00D93F7E" w:rsidRPr="00DA4AE8">
        <w:rPr>
          <w:rFonts w:ascii="Arial" w:hAnsi="Arial" w:cs="Arial"/>
          <w:szCs w:val="24"/>
        </w:rPr>
        <w:t>C</w:t>
      </w:r>
      <w:r w:rsidR="003D6FFD" w:rsidRPr="00DA4AE8">
        <w:rPr>
          <w:rFonts w:ascii="Arial" w:hAnsi="Arial" w:cs="Arial"/>
          <w:szCs w:val="24"/>
        </w:rPr>
        <w:t>elebre</w:t>
      </w:r>
      <w:r w:rsidR="003D6FFD" w:rsidRPr="00DA4AE8">
        <w:rPr>
          <w:rFonts w:ascii="Arial" w:hAnsi="Arial"/>
        </w:rPr>
        <w:t xml:space="preserve"> convenios de colaboración administrativa con </w:t>
      </w:r>
      <w:r w:rsidR="00A045C2">
        <w:rPr>
          <w:rFonts w:ascii="Arial" w:hAnsi="Arial"/>
        </w:rPr>
        <w:t xml:space="preserve">los poderes legislativo, judicial, </w:t>
      </w:r>
      <w:r w:rsidR="00C0453B">
        <w:rPr>
          <w:rFonts w:ascii="Arial" w:hAnsi="Arial"/>
        </w:rPr>
        <w:t>organismos constitucionales autónomos</w:t>
      </w:r>
      <w:r w:rsidR="00A045C2">
        <w:rPr>
          <w:rFonts w:ascii="Arial" w:hAnsi="Arial"/>
        </w:rPr>
        <w:t xml:space="preserve"> o con </w:t>
      </w:r>
      <w:r w:rsidR="003D6FFD" w:rsidRPr="00DA4AE8">
        <w:rPr>
          <w:rFonts w:ascii="Arial" w:hAnsi="Arial"/>
        </w:rPr>
        <w:t xml:space="preserve">las entidades de la Administración Pública paraestatal, municipal o federal, </w:t>
      </w:r>
      <w:r w:rsidR="000F5C01" w:rsidRPr="00DA4AE8">
        <w:rPr>
          <w:rFonts w:ascii="Arial" w:hAnsi="Arial"/>
        </w:rPr>
        <w:t xml:space="preserve">respecto a la recaudación de </w:t>
      </w:r>
      <w:r w:rsidR="000F5C01" w:rsidRPr="00DA4AE8">
        <w:rPr>
          <w:rFonts w:ascii="Arial" w:hAnsi="Arial" w:cs="Arial"/>
          <w:szCs w:val="24"/>
        </w:rPr>
        <w:t>los</w:t>
      </w:r>
      <w:r w:rsidR="000F5C01" w:rsidRPr="00DA4AE8">
        <w:rPr>
          <w:rFonts w:ascii="Arial" w:hAnsi="Arial"/>
        </w:rPr>
        <w:t xml:space="preserve"> ingresos</w:t>
      </w:r>
      <w:r w:rsidR="000F5C01" w:rsidRPr="00DA4AE8">
        <w:rPr>
          <w:rFonts w:ascii="Arial" w:hAnsi="Arial" w:cs="Arial"/>
          <w:szCs w:val="24"/>
        </w:rPr>
        <w:t xml:space="preserve"> que tenga derecho a percibir</w:t>
      </w:r>
      <w:r w:rsidR="003D6FFD" w:rsidRPr="00DA4AE8">
        <w:rPr>
          <w:rFonts w:ascii="Arial" w:hAnsi="Arial"/>
        </w:rPr>
        <w:t>.</w:t>
      </w:r>
    </w:p>
    <w:p w:rsidR="00D93F7E"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t xml:space="preserve">II. </w:t>
      </w:r>
      <w:r w:rsidR="00D93F7E" w:rsidRPr="00DA4AE8">
        <w:rPr>
          <w:rFonts w:ascii="Arial" w:hAnsi="Arial" w:cs="Arial"/>
          <w:szCs w:val="24"/>
        </w:rPr>
        <w:t>C</w:t>
      </w:r>
      <w:r w:rsidR="000F5C01" w:rsidRPr="00DA4AE8">
        <w:rPr>
          <w:rFonts w:ascii="Arial" w:hAnsi="Arial" w:cs="Arial"/>
          <w:szCs w:val="24"/>
        </w:rPr>
        <w:t xml:space="preserve">elebre convenios </w:t>
      </w:r>
      <w:r>
        <w:rPr>
          <w:rFonts w:ascii="Arial" w:hAnsi="Arial" w:cs="Arial"/>
          <w:szCs w:val="24"/>
        </w:rPr>
        <w:t>o</w:t>
      </w:r>
      <w:r w:rsidR="000F5C01" w:rsidRPr="00DA4AE8">
        <w:rPr>
          <w:rFonts w:ascii="Arial" w:hAnsi="Arial" w:cs="Arial"/>
          <w:szCs w:val="24"/>
        </w:rPr>
        <w:t xml:space="preserve"> acuerdos de colaboración en materia fiscal con el Gobierno </w:t>
      </w:r>
      <w:r>
        <w:rPr>
          <w:rFonts w:ascii="Arial" w:hAnsi="Arial" w:cs="Arial"/>
          <w:szCs w:val="24"/>
        </w:rPr>
        <w:t>f</w:t>
      </w:r>
      <w:r w:rsidR="000F5C01" w:rsidRPr="00DA4AE8">
        <w:rPr>
          <w:rFonts w:ascii="Arial" w:hAnsi="Arial" w:cs="Arial"/>
          <w:szCs w:val="24"/>
        </w:rPr>
        <w:t xml:space="preserve">ederal, incluidos sus </w:t>
      </w:r>
      <w:r>
        <w:rPr>
          <w:rFonts w:ascii="Arial" w:hAnsi="Arial" w:cs="Arial"/>
          <w:szCs w:val="24"/>
        </w:rPr>
        <w:t>o</w:t>
      </w:r>
      <w:r w:rsidR="000F5C01" w:rsidRPr="00DA4AE8">
        <w:rPr>
          <w:rFonts w:ascii="Arial" w:hAnsi="Arial" w:cs="Arial"/>
          <w:szCs w:val="24"/>
        </w:rPr>
        <w:t xml:space="preserve">rganismos </w:t>
      </w:r>
      <w:r>
        <w:rPr>
          <w:rFonts w:ascii="Arial" w:hAnsi="Arial" w:cs="Arial"/>
          <w:szCs w:val="24"/>
        </w:rPr>
        <w:t>p</w:t>
      </w:r>
      <w:r w:rsidR="000F5C01" w:rsidRPr="00DA4AE8">
        <w:rPr>
          <w:rFonts w:ascii="Arial" w:hAnsi="Arial" w:cs="Arial"/>
          <w:szCs w:val="24"/>
        </w:rPr>
        <w:t xml:space="preserve">úblicos </w:t>
      </w:r>
      <w:r>
        <w:rPr>
          <w:rFonts w:ascii="Arial" w:hAnsi="Arial" w:cs="Arial"/>
          <w:szCs w:val="24"/>
        </w:rPr>
        <w:t>d</w:t>
      </w:r>
      <w:r w:rsidR="000F5C01" w:rsidRPr="00DA4AE8">
        <w:rPr>
          <w:rFonts w:ascii="Arial" w:hAnsi="Arial" w:cs="Arial"/>
          <w:szCs w:val="24"/>
        </w:rPr>
        <w:t xml:space="preserve">escentralizados y </w:t>
      </w:r>
      <w:r>
        <w:rPr>
          <w:rFonts w:ascii="Arial" w:hAnsi="Arial" w:cs="Arial"/>
          <w:szCs w:val="24"/>
        </w:rPr>
        <w:t>d</w:t>
      </w:r>
      <w:r w:rsidR="000F5C01" w:rsidRPr="00DA4AE8">
        <w:rPr>
          <w:rFonts w:ascii="Arial" w:hAnsi="Arial" w:cs="Arial"/>
          <w:szCs w:val="24"/>
        </w:rPr>
        <w:t>esconcentrados, para que se suministren recíprocamente la información que requieran, con el propósito de que cada una de las partes tenga acceso a dicha información y</w:t>
      </w:r>
      <w:r>
        <w:rPr>
          <w:rFonts w:ascii="Arial" w:hAnsi="Arial" w:cs="Arial"/>
          <w:szCs w:val="24"/>
        </w:rPr>
        <w:t>,</w:t>
      </w:r>
      <w:r w:rsidR="000F5C01" w:rsidRPr="00DA4AE8">
        <w:rPr>
          <w:rFonts w:ascii="Arial" w:hAnsi="Arial" w:cs="Arial"/>
          <w:szCs w:val="24"/>
        </w:rPr>
        <w:t xml:space="preserve"> con base en ella, </w:t>
      </w:r>
      <w:r>
        <w:rPr>
          <w:rFonts w:ascii="Arial" w:hAnsi="Arial" w:cs="Arial"/>
          <w:szCs w:val="24"/>
        </w:rPr>
        <w:t xml:space="preserve">se </w:t>
      </w:r>
      <w:r w:rsidR="000F5C01" w:rsidRPr="00DA4AE8">
        <w:rPr>
          <w:rFonts w:ascii="Arial" w:hAnsi="Arial" w:cs="Arial"/>
          <w:szCs w:val="24"/>
        </w:rPr>
        <w:t>instrument</w:t>
      </w:r>
      <w:r>
        <w:rPr>
          <w:rFonts w:ascii="Arial" w:hAnsi="Arial" w:cs="Arial"/>
          <w:szCs w:val="24"/>
        </w:rPr>
        <w:t>en</w:t>
      </w:r>
      <w:r w:rsidR="000F5C01" w:rsidRPr="00DA4AE8">
        <w:rPr>
          <w:rFonts w:ascii="Arial" w:hAnsi="Arial" w:cs="Arial"/>
          <w:szCs w:val="24"/>
        </w:rPr>
        <w:t xml:space="preserve"> programas de verificación y </w:t>
      </w:r>
      <w:r>
        <w:rPr>
          <w:rFonts w:ascii="Arial" w:hAnsi="Arial" w:cs="Arial"/>
          <w:szCs w:val="24"/>
        </w:rPr>
        <w:t xml:space="preserve">se </w:t>
      </w:r>
      <w:r w:rsidR="000F5C01" w:rsidRPr="00DA4AE8">
        <w:rPr>
          <w:rFonts w:ascii="Arial" w:hAnsi="Arial" w:cs="Arial"/>
          <w:szCs w:val="24"/>
        </w:rPr>
        <w:t>ejer</w:t>
      </w:r>
      <w:r>
        <w:rPr>
          <w:rFonts w:ascii="Arial" w:hAnsi="Arial" w:cs="Arial"/>
          <w:szCs w:val="24"/>
        </w:rPr>
        <w:t>zan</w:t>
      </w:r>
      <w:r w:rsidR="000F5C01" w:rsidRPr="00DA4AE8">
        <w:rPr>
          <w:rFonts w:ascii="Arial" w:hAnsi="Arial" w:cs="Arial"/>
          <w:szCs w:val="24"/>
        </w:rPr>
        <w:t xml:space="preserve"> facultades de comprobación del cumplimiento de obligaciones fiscales de los contribuyente</w:t>
      </w:r>
      <w:r w:rsidR="00D93F7E" w:rsidRPr="00DA4AE8">
        <w:rPr>
          <w:rFonts w:ascii="Arial" w:hAnsi="Arial" w:cs="Arial"/>
          <w:szCs w:val="24"/>
        </w:rPr>
        <w:t>s</w:t>
      </w:r>
      <w:r w:rsidR="000F5C01" w:rsidRPr="00DA4AE8">
        <w:rPr>
          <w:rFonts w:ascii="Arial" w:hAnsi="Arial" w:cs="Arial"/>
          <w:szCs w:val="24"/>
        </w:rPr>
        <w:t>.</w:t>
      </w:r>
    </w:p>
    <w:p w:rsidR="000F5C01" w:rsidRPr="00DA4AE8" w:rsidRDefault="00F5780D" w:rsidP="008A39AA">
      <w:pPr>
        <w:spacing w:before="100" w:beforeAutospacing="1" w:after="100" w:afterAutospacing="1" w:line="240" w:lineRule="auto"/>
        <w:ind w:firstLine="709"/>
        <w:jc w:val="both"/>
        <w:rPr>
          <w:rFonts w:ascii="Arial" w:hAnsi="Arial" w:cs="Arial"/>
          <w:szCs w:val="24"/>
        </w:rPr>
      </w:pPr>
      <w:r w:rsidRPr="00DA4AE8">
        <w:rPr>
          <w:rFonts w:ascii="Arial" w:hAnsi="Arial" w:cs="Arial"/>
          <w:szCs w:val="24"/>
        </w:rPr>
        <w:lastRenderedPageBreak/>
        <w:t xml:space="preserve">III. </w:t>
      </w:r>
      <w:r w:rsidR="00D93F7E" w:rsidRPr="00DA4AE8">
        <w:rPr>
          <w:rFonts w:ascii="Arial" w:hAnsi="Arial" w:cs="Arial"/>
          <w:szCs w:val="24"/>
        </w:rPr>
        <w:t>C</w:t>
      </w:r>
      <w:r w:rsidR="000F5C01" w:rsidRPr="00DA4AE8">
        <w:rPr>
          <w:rFonts w:ascii="Arial" w:hAnsi="Arial" w:cs="Arial"/>
          <w:szCs w:val="24"/>
        </w:rPr>
        <w:t xml:space="preserve">elebre con los </w:t>
      </w:r>
      <w:r>
        <w:rPr>
          <w:rFonts w:ascii="Arial" w:hAnsi="Arial" w:cs="Arial"/>
          <w:szCs w:val="24"/>
        </w:rPr>
        <w:t>m</w:t>
      </w:r>
      <w:r w:rsidR="000F5C01" w:rsidRPr="00DA4AE8">
        <w:rPr>
          <w:rFonts w:ascii="Arial" w:hAnsi="Arial" w:cs="Arial"/>
          <w:szCs w:val="24"/>
        </w:rPr>
        <w:t>unicipios</w:t>
      </w:r>
      <w:r>
        <w:rPr>
          <w:rFonts w:ascii="Arial" w:hAnsi="Arial" w:cs="Arial"/>
          <w:szCs w:val="24"/>
        </w:rPr>
        <w:t>,</w:t>
      </w:r>
      <w:r w:rsidR="000F5C01" w:rsidRPr="00DA4AE8">
        <w:rPr>
          <w:rFonts w:ascii="Arial" w:hAnsi="Arial" w:cs="Arial"/>
          <w:szCs w:val="24"/>
        </w:rPr>
        <w:t xml:space="preserve"> a través de sus </w:t>
      </w:r>
      <w:r>
        <w:rPr>
          <w:rFonts w:ascii="Arial" w:hAnsi="Arial" w:cs="Arial"/>
          <w:szCs w:val="24"/>
        </w:rPr>
        <w:t>a</w:t>
      </w:r>
      <w:r w:rsidR="000F5C01" w:rsidRPr="00DA4AE8">
        <w:rPr>
          <w:rFonts w:ascii="Arial" w:hAnsi="Arial" w:cs="Arial"/>
          <w:szCs w:val="24"/>
        </w:rPr>
        <w:t>yuntamientos</w:t>
      </w:r>
      <w:r>
        <w:rPr>
          <w:rFonts w:ascii="Arial" w:hAnsi="Arial" w:cs="Arial"/>
          <w:szCs w:val="24"/>
        </w:rPr>
        <w:t>, c</w:t>
      </w:r>
      <w:r w:rsidR="000F5C01" w:rsidRPr="00DA4AE8">
        <w:rPr>
          <w:rFonts w:ascii="Arial" w:hAnsi="Arial" w:cs="Arial"/>
          <w:szCs w:val="24"/>
        </w:rPr>
        <w:t>onvenios o acuerdo</w:t>
      </w:r>
      <w:r>
        <w:rPr>
          <w:rFonts w:ascii="Arial" w:hAnsi="Arial" w:cs="Arial"/>
          <w:szCs w:val="24"/>
        </w:rPr>
        <w:t>s</w:t>
      </w:r>
      <w:r w:rsidR="000F5C01" w:rsidRPr="00DA4AE8">
        <w:rPr>
          <w:rFonts w:ascii="Arial" w:hAnsi="Arial" w:cs="Arial"/>
          <w:szCs w:val="24"/>
        </w:rPr>
        <w:t xml:space="preserve"> de </w:t>
      </w:r>
      <w:r>
        <w:rPr>
          <w:rFonts w:ascii="Arial" w:hAnsi="Arial" w:cs="Arial"/>
          <w:szCs w:val="24"/>
        </w:rPr>
        <w:t>c</w:t>
      </w:r>
      <w:r w:rsidR="000F5C01" w:rsidRPr="00DA4AE8">
        <w:rPr>
          <w:rFonts w:ascii="Arial" w:hAnsi="Arial" w:cs="Arial"/>
          <w:szCs w:val="24"/>
        </w:rPr>
        <w:t xml:space="preserve">oordinación, </w:t>
      </w:r>
      <w:r>
        <w:rPr>
          <w:rFonts w:ascii="Arial" w:hAnsi="Arial" w:cs="Arial"/>
          <w:szCs w:val="24"/>
        </w:rPr>
        <w:t>c</w:t>
      </w:r>
      <w:r w:rsidR="000F5C01" w:rsidRPr="00DA4AE8">
        <w:rPr>
          <w:rFonts w:ascii="Arial" w:hAnsi="Arial" w:cs="Arial"/>
          <w:szCs w:val="24"/>
        </w:rPr>
        <w:t xml:space="preserve">olaboración administrativa o prestación de servicios para que efectúe la administración o </w:t>
      </w:r>
      <w:r>
        <w:rPr>
          <w:rFonts w:ascii="Arial" w:hAnsi="Arial" w:cs="Arial"/>
          <w:szCs w:val="24"/>
        </w:rPr>
        <w:t xml:space="preserve">el </w:t>
      </w:r>
      <w:r w:rsidR="000F5C01" w:rsidRPr="00DA4AE8">
        <w:rPr>
          <w:rFonts w:ascii="Arial" w:hAnsi="Arial" w:cs="Arial"/>
          <w:szCs w:val="24"/>
        </w:rPr>
        <w:t>cobro de ingresos municipales</w:t>
      </w:r>
      <w:r>
        <w:rPr>
          <w:rFonts w:ascii="Arial" w:hAnsi="Arial" w:cs="Arial"/>
          <w:szCs w:val="24"/>
        </w:rPr>
        <w:t>,</w:t>
      </w:r>
      <w:r w:rsidR="000F5C01" w:rsidRPr="00DA4AE8">
        <w:rPr>
          <w:rFonts w:ascii="Arial" w:hAnsi="Arial" w:cs="Arial"/>
          <w:szCs w:val="24"/>
        </w:rPr>
        <w:t xml:space="preserve"> o se suministren recíprocamente la información que requieran</w:t>
      </w:r>
      <w:r>
        <w:rPr>
          <w:rFonts w:ascii="Arial" w:hAnsi="Arial" w:cs="Arial"/>
          <w:szCs w:val="24"/>
        </w:rPr>
        <w:t>,</w:t>
      </w:r>
      <w:r w:rsidR="000F5C01" w:rsidRPr="00DA4AE8">
        <w:rPr>
          <w:rFonts w:ascii="Arial" w:hAnsi="Arial" w:cs="Arial"/>
          <w:szCs w:val="24"/>
        </w:rPr>
        <w:t xml:space="preserve"> con el propósito de que cada una de las partes tenga acceso a</w:t>
      </w:r>
      <w:r w:rsidR="00EE7CFD">
        <w:rPr>
          <w:rFonts w:ascii="Arial" w:hAnsi="Arial" w:cs="Arial"/>
          <w:szCs w:val="24"/>
        </w:rPr>
        <w:t xml:space="preserve"> </w:t>
      </w:r>
      <w:r>
        <w:rPr>
          <w:rFonts w:ascii="Arial" w:hAnsi="Arial" w:cs="Arial"/>
          <w:szCs w:val="24"/>
        </w:rPr>
        <w:t>dicha información y, con base en ella, s</w:t>
      </w:r>
      <w:r w:rsidR="000F5C01" w:rsidRPr="00DA4AE8">
        <w:rPr>
          <w:rFonts w:ascii="Arial" w:hAnsi="Arial" w:cs="Arial"/>
          <w:szCs w:val="24"/>
        </w:rPr>
        <w:t>e instrument</w:t>
      </w:r>
      <w:r>
        <w:rPr>
          <w:rFonts w:ascii="Arial" w:hAnsi="Arial" w:cs="Arial"/>
          <w:szCs w:val="24"/>
        </w:rPr>
        <w:t>en</w:t>
      </w:r>
      <w:r w:rsidR="000F5C01" w:rsidRPr="00DA4AE8">
        <w:rPr>
          <w:rFonts w:ascii="Arial" w:hAnsi="Arial" w:cs="Arial"/>
          <w:szCs w:val="24"/>
        </w:rPr>
        <w:t xml:space="preserve"> programas de verificación y </w:t>
      </w:r>
      <w:r>
        <w:rPr>
          <w:rFonts w:ascii="Arial" w:hAnsi="Arial" w:cs="Arial"/>
          <w:szCs w:val="24"/>
        </w:rPr>
        <w:t xml:space="preserve">se </w:t>
      </w:r>
      <w:r w:rsidR="000F5C01" w:rsidRPr="00DA4AE8">
        <w:rPr>
          <w:rFonts w:ascii="Arial" w:hAnsi="Arial" w:cs="Arial"/>
          <w:szCs w:val="24"/>
        </w:rPr>
        <w:t>ejer</w:t>
      </w:r>
      <w:r>
        <w:rPr>
          <w:rFonts w:ascii="Arial" w:hAnsi="Arial" w:cs="Arial"/>
          <w:szCs w:val="24"/>
        </w:rPr>
        <w:t>zan</w:t>
      </w:r>
      <w:r w:rsidR="000F5C01" w:rsidRPr="00DA4AE8">
        <w:rPr>
          <w:rFonts w:ascii="Arial" w:hAnsi="Arial" w:cs="Arial"/>
          <w:szCs w:val="24"/>
        </w:rPr>
        <w:t xml:space="preserve"> facultades de comprobación del cumplimiento de obligaciones fiscales. </w:t>
      </w:r>
    </w:p>
    <w:p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 Agencia de Administración Fiscal de Yucatán podrá establecer</w:t>
      </w:r>
      <w:r w:rsidR="00EE7CFD">
        <w:rPr>
          <w:rFonts w:ascii="Arial" w:hAnsi="Arial" w:cs="Arial"/>
          <w:szCs w:val="24"/>
        </w:rPr>
        <w:t>,</w:t>
      </w:r>
      <w:r w:rsidRPr="00D93F7E">
        <w:rPr>
          <w:rFonts w:ascii="Arial" w:hAnsi="Arial" w:cs="Arial"/>
          <w:szCs w:val="24"/>
        </w:rPr>
        <w:t xml:space="preserve"> en coordinación con organismos descentralizados o desconcentrados de la </w:t>
      </w:r>
      <w:r w:rsidR="00EE7CFD">
        <w:rPr>
          <w:rFonts w:ascii="Arial" w:hAnsi="Arial" w:cs="Arial"/>
          <w:szCs w:val="24"/>
        </w:rPr>
        <w:t>A</w:t>
      </w:r>
      <w:r w:rsidRPr="00D93F7E">
        <w:rPr>
          <w:rFonts w:ascii="Arial" w:hAnsi="Arial" w:cs="Arial"/>
          <w:szCs w:val="24"/>
        </w:rPr>
        <w:t xml:space="preserve">dministración </w:t>
      </w:r>
      <w:r w:rsidR="00EE7CFD">
        <w:rPr>
          <w:rFonts w:ascii="Arial" w:hAnsi="Arial" w:cs="Arial"/>
          <w:szCs w:val="24"/>
        </w:rPr>
        <w:t>P</w:t>
      </w:r>
      <w:r w:rsidRPr="00D93F7E">
        <w:rPr>
          <w:rFonts w:ascii="Arial" w:hAnsi="Arial" w:cs="Arial"/>
          <w:szCs w:val="24"/>
        </w:rPr>
        <w:t>ública federal, estatal o municipal</w:t>
      </w:r>
      <w:r w:rsidR="00EE7CFD">
        <w:rPr>
          <w:rFonts w:ascii="Arial" w:hAnsi="Arial" w:cs="Arial"/>
          <w:szCs w:val="24"/>
        </w:rPr>
        <w:t>,</w:t>
      </w:r>
      <w:r w:rsidRPr="00D93F7E">
        <w:rPr>
          <w:rFonts w:ascii="Arial" w:hAnsi="Arial" w:cs="Arial"/>
          <w:szCs w:val="24"/>
        </w:rPr>
        <w:t xml:space="preserve"> los mecanismos de control, seguimiento y trazabilidad del entero de ingresos vinculados con los actos jurídicos de inmuebles registrados en el </w:t>
      </w:r>
      <w:r w:rsidR="00EE7CFD">
        <w:rPr>
          <w:rFonts w:ascii="Arial" w:hAnsi="Arial" w:cs="Arial"/>
          <w:szCs w:val="24"/>
        </w:rPr>
        <w:t>e</w:t>
      </w:r>
      <w:r w:rsidRPr="00D93F7E">
        <w:rPr>
          <w:rFonts w:ascii="Arial" w:hAnsi="Arial" w:cs="Arial"/>
          <w:szCs w:val="24"/>
        </w:rPr>
        <w:t>stado relativos a la publicidad registral. Lo establecido en este párrafo será aplicable para ingresos que provengan de contribuciones estatales, así como federales o municipales que se hayan convenido.</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 xml:space="preserve">Artículo </w:t>
      </w:r>
      <w:r w:rsidR="001D2525" w:rsidRPr="00D93F7E">
        <w:rPr>
          <w:rFonts w:ascii="Arial" w:hAnsi="Arial" w:cs="Arial"/>
          <w:b/>
          <w:szCs w:val="24"/>
        </w:rPr>
        <w:t>20</w:t>
      </w:r>
      <w:r w:rsidRPr="00D93F7E">
        <w:rPr>
          <w:rFonts w:ascii="Arial" w:hAnsi="Arial" w:cs="Arial"/>
          <w:b/>
          <w:szCs w:val="24"/>
        </w:rPr>
        <w:t>. Contribuciones no determinadas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No podrá cobrarse ninguna contribución que no esté determinada expresamente en las disposiciones legales aplicables.</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sidR="001D2525" w:rsidRPr="00D93F7E">
        <w:rPr>
          <w:rFonts w:ascii="Arial" w:hAnsi="Arial" w:cs="Arial"/>
          <w:b/>
          <w:szCs w:val="24"/>
        </w:rPr>
        <w:t>1</w:t>
      </w:r>
      <w:r w:rsidRPr="00D93F7E">
        <w:rPr>
          <w:rFonts w:ascii="Arial" w:hAnsi="Arial" w:cs="Arial"/>
          <w:b/>
          <w:szCs w:val="24"/>
        </w:rPr>
        <w:t>. Concentración de ingresos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de las dependencias de la Administración Pública estatal o sus órganos administrativos desconcentrados por los diversos conceptos que establece esta ley, deben concentrarse en la Tesorería General del Estado</w:t>
      </w:r>
      <w:r w:rsidR="00052B14" w:rsidRPr="00D93F7E">
        <w:rPr>
          <w:rFonts w:ascii="Arial" w:hAnsi="Arial" w:cs="Arial"/>
          <w:szCs w:val="24"/>
        </w:rPr>
        <w:t>,</w:t>
      </w:r>
      <w:r w:rsidRPr="00D93F7E">
        <w:rPr>
          <w:rFonts w:ascii="Arial" w:hAnsi="Arial" w:cs="Arial"/>
          <w:szCs w:val="24"/>
        </w:rPr>
        <w:t xml:space="preserve"> a más tardar el quinto día hábil siguiente al de su recepción y deberán reflejarse, cualquiera que sea su naturaleza, tanto en los registros de la propia Tesorería General del Estado como en la cuenta pública.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de las entidades de la Administración Pública paraestatal no se concentrarán en la Tesorería General del Estado, excepto cuando se trate de contribuciones o ingresos propios por los que se hubiese convenido</w:t>
      </w:r>
      <w:r w:rsidR="00052B14" w:rsidRPr="00D93F7E">
        <w:rPr>
          <w:rFonts w:ascii="Arial" w:hAnsi="Arial" w:cs="Arial"/>
          <w:szCs w:val="24"/>
        </w:rPr>
        <w:t xml:space="preserve"> el cobro a través de convenios </w:t>
      </w:r>
      <w:r w:rsidRPr="00D93F7E">
        <w:rPr>
          <w:rFonts w:ascii="Arial" w:hAnsi="Arial" w:cs="Arial"/>
          <w:szCs w:val="24"/>
        </w:rPr>
        <w:t>de colaboración administrativa</w:t>
      </w:r>
      <w:r w:rsidR="00052B14" w:rsidRPr="00D93F7E">
        <w:rPr>
          <w:rFonts w:ascii="Arial" w:hAnsi="Arial" w:cs="Arial"/>
          <w:szCs w:val="24"/>
        </w:rPr>
        <w:t>.</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paraestatales informarán, dentro de los primeros quince días naturales del mes siguiente al que concluya el trimestre </w:t>
      </w:r>
      <w:r w:rsidR="00052B14" w:rsidRPr="00D93F7E">
        <w:rPr>
          <w:rFonts w:ascii="Arial" w:hAnsi="Arial" w:cs="Arial"/>
          <w:szCs w:val="24"/>
        </w:rPr>
        <w:t>respectivo</w:t>
      </w:r>
      <w:r w:rsidRPr="00D93F7E">
        <w:rPr>
          <w:rFonts w:ascii="Arial" w:hAnsi="Arial" w:cs="Arial"/>
          <w:szCs w:val="24"/>
        </w:rPr>
        <w:t>, a la Secretar</w:t>
      </w:r>
      <w:r w:rsidR="00052B14" w:rsidRPr="00D93F7E">
        <w:rPr>
          <w:rFonts w:ascii="Arial" w:hAnsi="Arial" w:cs="Arial"/>
          <w:szCs w:val="24"/>
        </w:rPr>
        <w:t>ía de Administración y Finanzas</w:t>
      </w:r>
      <w:r w:rsidR="00D06177">
        <w:rPr>
          <w:rFonts w:ascii="Arial" w:hAnsi="Arial" w:cs="Arial"/>
          <w:szCs w:val="24"/>
        </w:rPr>
        <w:t>,</w:t>
      </w:r>
      <w:r w:rsidRPr="00D93F7E">
        <w:rPr>
          <w:rFonts w:ascii="Arial" w:hAnsi="Arial" w:cs="Arial"/>
          <w:szCs w:val="24"/>
        </w:rPr>
        <w:t xml:space="preserve"> sobre los ingresos que obtengan por </w:t>
      </w:r>
      <w:r w:rsidR="00052B14" w:rsidRPr="00D93F7E">
        <w:rPr>
          <w:rFonts w:ascii="Arial" w:hAnsi="Arial" w:cs="Arial"/>
          <w:szCs w:val="24"/>
        </w:rPr>
        <w:t>cualquier concepto, de acuerdo con el</w:t>
      </w:r>
      <w:r w:rsidRPr="00D93F7E">
        <w:rPr>
          <w:rFonts w:ascii="Arial" w:hAnsi="Arial" w:cs="Arial"/>
          <w:szCs w:val="24"/>
        </w:rPr>
        <w:t xml:space="preserve"> rubro, tipo o clase correspondiente</w:t>
      </w:r>
      <w:r w:rsidR="00052B14" w:rsidRPr="00D93F7E">
        <w:rPr>
          <w:rFonts w:ascii="Arial" w:hAnsi="Arial" w:cs="Arial"/>
          <w:szCs w:val="24"/>
        </w:rPr>
        <w:t>,</w:t>
      </w:r>
      <w:r w:rsidRPr="00D93F7E">
        <w:rPr>
          <w:rFonts w:ascii="Arial" w:hAnsi="Arial" w:cs="Arial"/>
          <w:szCs w:val="24"/>
        </w:rPr>
        <w:t xml:space="preserve"> previsto en este ordenamiento, a </w:t>
      </w:r>
      <w:r w:rsidRPr="00D93F7E">
        <w:rPr>
          <w:rFonts w:ascii="Arial" w:hAnsi="Arial" w:cs="Arial"/>
          <w:szCs w:val="24"/>
        </w:rPr>
        <w:lastRenderedPageBreak/>
        <w:t>efecto de que se puedan elaborar los informes trimestrales que establece la Ley de</w:t>
      </w:r>
      <w:r w:rsidR="00052B14" w:rsidRPr="00D93F7E">
        <w:rPr>
          <w:rFonts w:ascii="Arial" w:hAnsi="Arial" w:cs="Arial"/>
          <w:szCs w:val="24"/>
        </w:rPr>
        <w:t xml:space="preserve">l </w:t>
      </w:r>
      <w:r w:rsidRPr="00D93F7E">
        <w:rPr>
          <w:rFonts w:ascii="Arial" w:hAnsi="Arial" w:cs="Arial"/>
          <w:szCs w:val="24"/>
        </w:rPr>
        <w:t>Presupuesto y Contabilidad Gubernamental del Estado de Yucatán y su reglamento y, posteriormente, se reflejen dentro de la cuenta pública.</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entidades paraestatales deberán conservar la documentación comprobatoria de dichos ingresos y ponerla a disposición de los órganos revisores de la cuenta pública.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contribuciones, productos o aprovechamientos a los que las leyes de carácter no fiscal otorguen una naturaleza distinta a la establecida en las leyes fiscales, tendrán la naturaleza establecida en </w:t>
      </w:r>
      <w:r w:rsidR="00D06177">
        <w:rPr>
          <w:rFonts w:ascii="Arial" w:hAnsi="Arial" w:cs="Arial"/>
          <w:szCs w:val="24"/>
        </w:rPr>
        <w:t>estas últimas.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 señalado en los párrafos anteriores se establece sin perjuicio de la obligación de concentrar los recursos públicos al final del ejercicio en la Tesorería General del Estado, en los términos del artículo 92</w:t>
      </w:r>
      <w:r w:rsidR="00942D2D" w:rsidRPr="00D93F7E">
        <w:rPr>
          <w:rFonts w:ascii="Arial" w:hAnsi="Arial" w:cs="Arial"/>
          <w:szCs w:val="24"/>
        </w:rPr>
        <w:t xml:space="preserve"> </w:t>
      </w:r>
      <w:r w:rsidRPr="00D93F7E">
        <w:rPr>
          <w:rFonts w:ascii="Arial" w:hAnsi="Arial" w:cs="Arial"/>
          <w:szCs w:val="24"/>
        </w:rPr>
        <w:t>de la Ley de</w:t>
      </w:r>
      <w:r w:rsidR="00052B14" w:rsidRPr="00D93F7E">
        <w:rPr>
          <w:rFonts w:ascii="Arial" w:hAnsi="Arial" w:cs="Arial"/>
          <w:szCs w:val="24"/>
        </w:rPr>
        <w:t>l</w:t>
      </w:r>
      <w:r w:rsidRPr="00D93F7E">
        <w:rPr>
          <w:rFonts w:ascii="Arial" w:hAnsi="Arial" w:cs="Arial"/>
          <w:szCs w:val="24"/>
        </w:rPr>
        <w:t xml:space="preserve"> Presupuesto y Contabilidad Gubernamental del Estado de Yucatán.</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w:t>
      </w:r>
      <w:r w:rsidR="001D2525" w:rsidRPr="00D93F7E">
        <w:rPr>
          <w:rFonts w:ascii="Arial" w:hAnsi="Arial" w:cs="Arial"/>
          <w:b/>
          <w:szCs w:val="24"/>
        </w:rPr>
        <w:t>2</w:t>
      </w:r>
      <w:r w:rsidRPr="00D93F7E">
        <w:rPr>
          <w:rFonts w:ascii="Arial" w:hAnsi="Arial" w:cs="Arial"/>
          <w:b/>
          <w:szCs w:val="24"/>
        </w:rPr>
        <w:t>. Concentración de ingresos por desincorporación de entidades paraestatales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que se obtengan por la desincorporación de entidades paraestatales s</w:t>
      </w:r>
      <w:r w:rsidR="009B664F">
        <w:rPr>
          <w:rFonts w:ascii="Arial" w:hAnsi="Arial" w:cs="Arial"/>
          <w:szCs w:val="24"/>
        </w:rPr>
        <w:t>erá</w:t>
      </w:r>
      <w:r w:rsidRPr="00D93F7E">
        <w:rPr>
          <w:rFonts w:ascii="Arial" w:hAnsi="Arial" w:cs="Arial"/>
          <w:szCs w:val="24"/>
        </w:rPr>
        <w:t>n los recursos remanentes que queden una vez descontadas las erogaciones realizadas</w:t>
      </w:r>
      <w:r w:rsidR="009B664F">
        <w:rPr>
          <w:rFonts w:ascii="Arial" w:hAnsi="Arial" w:cs="Arial"/>
          <w:szCs w:val="24"/>
        </w:rPr>
        <w:t xml:space="preserve"> por concepto de</w:t>
      </w:r>
      <w:r w:rsidRPr="00D93F7E">
        <w:rPr>
          <w:rFonts w:ascii="Arial" w:hAnsi="Arial" w:cs="Arial"/>
          <w:szCs w:val="24"/>
        </w:rPr>
        <w:t xml:space="preserve"> comisiones que se paguen a agentes financieros, contribuciones, gastos de administración, de mantenimiento y venta, honorarios de comisionados especiales que no sean servidores públicos encargados de di</w:t>
      </w:r>
      <w:r w:rsidR="002345D5" w:rsidRPr="00D93F7E">
        <w:rPr>
          <w:rFonts w:ascii="Arial" w:hAnsi="Arial" w:cs="Arial"/>
          <w:szCs w:val="24"/>
        </w:rPr>
        <w:t>chos procesos, así como pagos por</w:t>
      </w:r>
      <w:r w:rsidRPr="00D93F7E">
        <w:rPr>
          <w:rFonts w:ascii="Arial" w:hAnsi="Arial" w:cs="Arial"/>
          <w:szCs w:val="24"/>
        </w:rPr>
        <w:t xml:space="preserve"> las reclamaciones procedentes que presenten los adquirentes o terceros, por pasivos ocultos, fiscales o de otra índole, activos inexistentes</w:t>
      </w:r>
      <w:r w:rsidR="009B664F">
        <w:rPr>
          <w:rFonts w:ascii="Arial" w:hAnsi="Arial" w:cs="Arial"/>
          <w:szCs w:val="24"/>
        </w:rPr>
        <w:t xml:space="preserve">, </w:t>
      </w:r>
      <w:r w:rsidRPr="00D93F7E">
        <w:rPr>
          <w:rFonts w:ascii="Arial" w:hAnsi="Arial" w:cs="Arial"/>
          <w:szCs w:val="24"/>
        </w:rPr>
        <w:t>asuntos en litigio y demás erogaciones análogas a todas las mencionadas.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Los ingresos netos se enterarán o concentrarán, según corresponda</w:t>
      </w:r>
      <w:r w:rsidR="00604A89" w:rsidRPr="00D93F7E">
        <w:rPr>
          <w:rFonts w:ascii="Arial" w:hAnsi="Arial" w:cs="Arial"/>
          <w:szCs w:val="24"/>
        </w:rPr>
        <w:t>,</w:t>
      </w:r>
      <w:r w:rsidRPr="00D93F7E">
        <w:rPr>
          <w:rFonts w:ascii="Arial" w:hAnsi="Arial" w:cs="Arial"/>
          <w:szCs w:val="24"/>
        </w:rPr>
        <w:t xml:space="preserve"> en la Tesorería General del Estado y deberán manifestarse tanto en los registros de la propia tesorería como en la cuenta pública del estado.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Los pasivos a cargo de organismos públicos descentralizados en proceso de extinción y liquidación que tengan como acreedor al </w:t>
      </w:r>
      <w:r w:rsidR="009B664F">
        <w:rPr>
          <w:rFonts w:ascii="Arial" w:hAnsi="Arial" w:cs="Arial"/>
          <w:szCs w:val="24"/>
        </w:rPr>
        <w:t>G</w:t>
      </w:r>
      <w:r w:rsidRPr="00D93F7E">
        <w:rPr>
          <w:rFonts w:ascii="Arial" w:hAnsi="Arial" w:cs="Arial"/>
          <w:szCs w:val="24"/>
        </w:rPr>
        <w:t>obierno estatal, con excepción de aquellos que tengan el carácter de crédito</w:t>
      </w:r>
      <w:r w:rsidR="00604A89" w:rsidRPr="00D93F7E">
        <w:rPr>
          <w:rFonts w:ascii="Arial" w:hAnsi="Arial" w:cs="Arial"/>
          <w:szCs w:val="24"/>
        </w:rPr>
        <w:t xml:space="preserve"> fiscal, podrán determinarse como</w:t>
      </w:r>
      <w:r w:rsidRPr="00D93F7E">
        <w:rPr>
          <w:rFonts w:ascii="Arial" w:hAnsi="Arial" w:cs="Arial"/>
          <w:szCs w:val="24"/>
        </w:rPr>
        <w:t xml:space="preserve"> extintos por la Secretaría de Administración y Finanzas</w:t>
      </w:r>
      <w:r w:rsidR="00604A89" w:rsidRPr="00D93F7E">
        <w:rPr>
          <w:rFonts w:ascii="Arial" w:hAnsi="Arial" w:cs="Arial"/>
          <w:szCs w:val="24"/>
        </w:rPr>
        <w:t>,</w:t>
      </w:r>
      <w:r w:rsidRPr="00D93F7E">
        <w:rPr>
          <w:rFonts w:ascii="Arial" w:hAnsi="Arial" w:cs="Arial"/>
          <w:szCs w:val="24"/>
        </w:rPr>
        <w:t xml:space="preserve"> de pleno derecho</w:t>
      </w:r>
      <w:r w:rsidR="00604A89" w:rsidRPr="00D93F7E">
        <w:rPr>
          <w:rFonts w:ascii="Arial" w:hAnsi="Arial" w:cs="Arial"/>
          <w:szCs w:val="24"/>
        </w:rPr>
        <w:t>,</w:t>
      </w:r>
      <w:r w:rsidRPr="00D93F7E">
        <w:rPr>
          <w:rFonts w:ascii="Arial" w:hAnsi="Arial" w:cs="Arial"/>
          <w:szCs w:val="24"/>
        </w:rPr>
        <w:t xml:space="preserve"> sin necesidad de autorización alguna, y los créditos quedarán cancelados de las cuentas públicas.</w:t>
      </w:r>
    </w:p>
    <w:p w:rsidR="003D6FFD" w:rsidRPr="00D93F7E" w:rsidRDefault="00824DFB"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23. Remanentes de f</w:t>
      </w:r>
      <w:r w:rsidR="003D6FFD" w:rsidRPr="00D93F7E">
        <w:rPr>
          <w:rFonts w:ascii="Arial" w:hAnsi="Arial" w:cs="Arial"/>
          <w:b/>
          <w:szCs w:val="24"/>
        </w:rPr>
        <w:t>ideicomisos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Los recursos públicos</w:t>
      </w:r>
      <w:r w:rsidR="00766A15" w:rsidRPr="00D93F7E">
        <w:rPr>
          <w:rFonts w:ascii="Arial" w:hAnsi="Arial" w:cs="Arial"/>
          <w:szCs w:val="24"/>
        </w:rPr>
        <w:t xml:space="preserve"> estatales</w:t>
      </w:r>
      <w:r w:rsidRPr="00D93F7E">
        <w:rPr>
          <w:rFonts w:ascii="Arial" w:hAnsi="Arial" w:cs="Arial"/>
          <w:szCs w:val="24"/>
        </w:rPr>
        <w:t xml:space="preserve"> remanentes </w:t>
      </w:r>
      <w:r w:rsidR="009B664F">
        <w:rPr>
          <w:rFonts w:ascii="Arial" w:hAnsi="Arial" w:cs="Arial"/>
          <w:szCs w:val="24"/>
        </w:rPr>
        <w:t>de</w:t>
      </w:r>
      <w:r w:rsidRPr="00D93F7E">
        <w:rPr>
          <w:rFonts w:ascii="Arial" w:hAnsi="Arial" w:cs="Arial"/>
          <w:szCs w:val="24"/>
        </w:rPr>
        <w:t xml:space="preserve"> la extinción o terminación de un fideicomiso, mandato o contrato análogo deberán ser concentrados en la Tesorería General del Estado</w:t>
      </w:r>
      <w:r w:rsidR="00766A15" w:rsidRPr="00D93F7E">
        <w:rPr>
          <w:rFonts w:ascii="Arial" w:hAnsi="Arial" w:cs="Arial"/>
          <w:szCs w:val="24"/>
        </w:rPr>
        <w:t>.</w:t>
      </w:r>
      <w:r w:rsidRPr="00D93F7E">
        <w:rPr>
          <w:rFonts w:ascii="Arial" w:hAnsi="Arial" w:cs="Arial"/>
          <w:szCs w:val="24"/>
        </w:rPr>
        <w:t xml:space="preserve"> </w:t>
      </w:r>
      <w:r w:rsidR="00766A15" w:rsidRPr="00D93F7E">
        <w:rPr>
          <w:rFonts w:ascii="Arial" w:hAnsi="Arial" w:cs="Arial"/>
          <w:szCs w:val="24"/>
        </w:rPr>
        <w:t>E</w:t>
      </w:r>
      <w:r w:rsidRPr="00D93F7E">
        <w:rPr>
          <w:rFonts w:ascii="Arial" w:hAnsi="Arial" w:cs="Arial"/>
          <w:szCs w:val="24"/>
        </w:rPr>
        <w:t xml:space="preserve">n su caso, la Secretaría </w:t>
      </w:r>
      <w:r w:rsidR="00381F5E" w:rsidRPr="00D93F7E">
        <w:rPr>
          <w:rFonts w:ascii="Arial" w:hAnsi="Arial" w:cs="Arial"/>
          <w:szCs w:val="24"/>
        </w:rPr>
        <w:t xml:space="preserve">de Administración y Finanzas </w:t>
      </w:r>
      <w:r w:rsidRPr="00D93F7E">
        <w:rPr>
          <w:rFonts w:ascii="Arial" w:hAnsi="Arial" w:cs="Arial"/>
          <w:szCs w:val="24"/>
        </w:rPr>
        <w:t xml:space="preserve">determinará el destino de </w:t>
      </w:r>
      <w:r w:rsidR="00766A15" w:rsidRPr="00D93F7E">
        <w:rPr>
          <w:rFonts w:ascii="Arial" w:hAnsi="Arial" w:cs="Arial"/>
          <w:szCs w:val="24"/>
        </w:rPr>
        <w:t xml:space="preserve">estos </w:t>
      </w:r>
      <w:r w:rsidRPr="00D93F7E">
        <w:rPr>
          <w:rFonts w:ascii="Arial" w:hAnsi="Arial" w:cs="Arial"/>
          <w:szCs w:val="24"/>
        </w:rPr>
        <w:t xml:space="preserve">recursos, </w:t>
      </w:r>
      <w:r w:rsidR="001A7913" w:rsidRPr="00D93F7E">
        <w:rPr>
          <w:rFonts w:ascii="Arial" w:hAnsi="Arial" w:cs="Arial"/>
          <w:szCs w:val="24"/>
        </w:rPr>
        <w:t xml:space="preserve">salvo aquellos </w:t>
      </w:r>
      <w:r w:rsidR="00874A8F">
        <w:rPr>
          <w:rFonts w:ascii="Arial" w:hAnsi="Arial" w:cs="Arial"/>
          <w:szCs w:val="24"/>
        </w:rPr>
        <w:t>que,</w:t>
      </w:r>
      <w:r w:rsidR="009B664F">
        <w:rPr>
          <w:rFonts w:ascii="Arial" w:hAnsi="Arial" w:cs="Arial"/>
          <w:szCs w:val="24"/>
        </w:rPr>
        <w:t xml:space="preserve"> </w:t>
      </w:r>
      <w:r w:rsidR="00766A15" w:rsidRPr="00D93F7E">
        <w:rPr>
          <w:rFonts w:ascii="Arial" w:hAnsi="Arial" w:cs="Arial"/>
          <w:szCs w:val="24"/>
        </w:rPr>
        <w:t xml:space="preserve">en </w:t>
      </w:r>
      <w:r w:rsidR="001A7913" w:rsidRPr="00D93F7E">
        <w:rPr>
          <w:rFonts w:ascii="Arial" w:hAnsi="Arial" w:cs="Arial"/>
          <w:szCs w:val="24"/>
        </w:rPr>
        <w:t xml:space="preserve">el instrumento </w:t>
      </w:r>
      <w:r w:rsidR="009B664F">
        <w:rPr>
          <w:rFonts w:ascii="Arial" w:hAnsi="Arial" w:cs="Arial"/>
          <w:szCs w:val="24"/>
        </w:rPr>
        <w:t xml:space="preserve">respectivo, o en la norma de regulación, </w:t>
      </w:r>
      <w:r w:rsidR="00766A15" w:rsidRPr="00D93F7E">
        <w:rPr>
          <w:rFonts w:ascii="Arial" w:hAnsi="Arial" w:cs="Arial"/>
          <w:szCs w:val="24"/>
        </w:rPr>
        <w:t xml:space="preserve">se </w:t>
      </w:r>
      <w:r w:rsidR="009B664F">
        <w:rPr>
          <w:rFonts w:ascii="Arial" w:hAnsi="Arial" w:cs="Arial"/>
          <w:szCs w:val="24"/>
        </w:rPr>
        <w:t>establezca un destino diferente.</w:t>
      </w:r>
      <w:r w:rsidRPr="00D93F7E">
        <w:rPr>
          <w:rFonts w:ascii="Arial" w:hAnsi="Arial" w:cs="Arial"/>
          <w:szCs w:val="24"/>
        </w:rPr>
        <w:t xml:space="preserve"> </w:t>
      </w: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III</w:t>
      </w:r>
      <w:r w:rsidR="00824DFB" w:rsidRPr="00D93F7E">
        <w:rPr>
          <w:rFonts w:ascii="Arial" w:hAnsi="Arial" w:cs="Arial"/>
          <w:b/>
          <w:szCs w:val="24"/>
        </w:rPr>
        <w:br/>
      </w:r>
      <w:r w:rsidRPr="00D93F7E">
        <w:rPr>
          <w:rFonts w:ascii="Arial" w:hAnsi="Arial" w:cs="Arial"/>
          <w:b/>
          <w:szCs w:val="24"/>
        </w:rPr>
        <w:t>Sujetos públicos obligados</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24. Sujetos públicos obligados a pagar contribuciones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El estado, los municipios, los organismos descentralizados estatales y municipales, las empresas de participación estatal mayoritaria, las empresas de participación municipal mayoritaria, los fideicomisos públicos o privados de los que el Gobierno del estado o los municipios sean parte, así como las personas de derecho público con autonomía derivada de su norma de creación, de la Constitución Política de los Estados Unidos Mexicanos o de la Constitución Política del Estado de Yucatán, quedan obligados a pagar contribuciones, salvo que las leyes fiscales </w:t>
      </w:r>
      <w:r w:rsidR="00F656B1" w:rsidRPr="00D93F7E">
        <w:rPr>
          <w:rFonts w:ascii="Arial" w:hAnsi="Arial" w:cs="Arial"/>
          <w:szCs w:val="24"/>
        </w:rPr>
        <w:t xml:space="preserve">federales o </w:t>
      </w:r>
      <w:r w:rsidRPr="00D93F7E">
        <w:rPr>
          <w:rFonts w:ascii="Arial" w:hAnsi="Arial" w:cs="Arial"/>
          <w:szCs w:val="24"/>
        </w:rPr>
        <w:t>estatales los eximan expresamente.</w:t>
      </w: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Capítulo IV</w:t>
      </w:r>
      <w:r w:rsidR="00824DFB" w:rsidRPr="00D93F7E">
        <w:rPr>
          <w:rFonts w:ascii="Arial" w:hAnsi="Arial" w:cs="Arial"/>
          <w:b/>
          <w:szCs w:val="24"/>
        </w:rPr>
        <w:br/>
      </w:r>
      <w:r w:rsidRPr="00D93F7E">
        <w:rPr>
          <w:rFonts w:ascii="Arial" w:hAnsi="Arial" w:cs="Arial"/>
          <w:b/>
          <w:szCs w:val="24"/>
        </w:rPr>
        <w:t>Facilidades a los contribuyentes</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25. Inscripción al Registro Federal de Contribuyentes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ejercer las funciones administrativas de inscripción al Registro Federal de Contribuyentes que establece el Convenio de Colaboración Administrativa en Materia Fiscal Federal, las autoridades fiscales podrán utilizar los datos proporcionados por los contribuyentes a dicho registro.</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26. Medios de pago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los efectos del artículo 29, párrafos primero y segundo, del Código Fiscal del Estado de Yucatán, las tarjetas de crédito o débito emitidas por las instituciones de crédito autorizadas se aceptarán como medio de pago de contribuciones, aprovechamientos y sus accesorios</w:t>
      </w:r>
      <w:r w:rsidR="00C84FAC">
        <w:rPr>
          <w:rFonts w:ascii="Arial" w:hAnsi="Arial" w:cs="Arial"/>
          <w:szCs w:val="24"/>
        </w:rPr>
        <w:t>, así como de aquellos ingresos convenidos con otros entes de gobierno</w:t>
      </w:r>
      <w:r w:rsidRPr="00D93F7E">
        <w:rPr>
          <w:rFonts w:ascii="Arial" w:hAnsi="Arial" w:cs="Arial"/>
          <w:szCs w:val="24"/>
        </w:rPr>
        <w:t>.</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27. Tasa de recargos</w:t>
      </w:r>
    </w:p>
    <w:p w:rsidR="003D6FFD" w:rsidRPr="00A52022"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Para efectos de lo señalado en el artículo 30 del Código Fiscal del Estado de Yucatán, se entenderá como tasa de recargos la que fije anualmente el Congreso de la Unión en la Ley de Ingresos de la Federación, y deberá considerarse también la mecánica que de la misma forma el Congreso de la Unión establezca para la variación de dicha tasa de recargos para </w:t>
      </w:r>
      <w:r w:rsidRPr="00A52022">
        <w:rPr>
          <w:rFonts w:ascii="Arial" w:hAnsi="Arial" w:cs="Arial"/>
          <w:szCs w:val="24"/>
        </w:rPr>
        <w:t>cada uno de los meses.</w:t>
      </w:r>
    </w:p>
    <w:p w:rsidR="003D6FFD" w:rsidRPr="00A52022" w:rsidRDefault="00F656B1" w:rsidP="008A39AA">
      <w:pPr>
        <w:spacing w:before="100" w:beforeAutospacing="1" w:after="100" w:afterAutospacing="1" w:line="240" w:lineRule="auto"/>
        <w:jc w:val="both"/>
        <w:rPr>
          <w:rFonts w:ascii="Arial" w:hAnsi="Arial" w:cs="Arial"/>
          <w:b/>
          <w:szCs w:val="24"/>
        </w:rPr>
      </w:pPr>
      <w:r w:rsidRPr="00A52022">
        <w:rPr>
          <w:rFonts w:ascii="Arial" w:hAnsi="Arial" w:cs="Arial"/>
          <w:b/>
          <w:szCs w:val="24"/>
        </w:rPr>
        <w:t>Artículo 28. Tasa</w:t>
      </w:r>
      <w:r w:rsidR="003D6FFD" w:rsidRPr="00A52022">
        <w:rPr>
          <w:rFonts w:ascii="Arial" w:hAnsi="Arial" w:cs="Arial"/>
          <w:b/>
          <w:szCs w:val="24"/>
        </w:rPr>
        <w:t xml:space="preserve"> de recargos por prórroga</w:t>
      </w:r>
    </w:p>
    <w:p w:rsidR="003D6FFD" w:rsidRPr="00A52022" w:rsidRDefault="003D6FFD" w:rsidP="008A39AA">
      <w:pPr>
        <w:spacing w:before="100" w:beforeAutospacing="1" w:after="100" w:afterAutospacing="1" w:line="240" w:lineRule="auto"/>
        <w:jc w:val="both"/>
        <w:rPr>
          <w:rFonts w:ascii="Arial" w:hAnsi="Arial" w:cs="Arial"/>
          <w:szCs w:val="24"/>
        </w:rPr>
      </w:pPr>
      <w:r w:rsidRPr="00A52022">
        <w:rPr>
          <w:rFonts w:ascii="Arial" w:hAnsi="Arial" w:cs="Arial"/>
          <w:szCs w:val="24"/>
        </w:rPr>
        <w:t xml:space="preserve">En los casos de prórroga para el pago de créditos fiscales se causarán </w:t>
      </w:r>
      <w:r w:rsidR="00674D9C" w:rsidRPr="00A52022">
        <w:rPr>
          <w:rFonts w:ascii="Arial" w:hAnsi="Arial" w:cs="Arial"/>
          <w:szCs w:val="24"/>
        </w:rPr>
        <w:t xml:space="preserve">los siguientes </w:t>
      </w:r>
      <w:r w:rsidRPr="00A52022">
        <w:rPr>
          <w:rFonts w:ascii="Arial" w:hAnsi="Arial" w:cs="Arial"/>
          <w:szCs w:val="24"/>
        </w:rPr>
        <w:t>recargos:</w:t>
      </w:r>
    </w:p>
    <w:p w:rsidR="003D6FFD" w:rsidRPr="00A52022" w:rsidRDefault="003D6FFD" w:rsidP="008A39AA">
      <w:pPr>
        <w:spacing w:before="100" w:beforeAutospacing="1" w:after="100" w:afterAutospacing="1" w:line="240" w:lineRule="auto"/>
        <w:ind w:firstLine="708"/>
        <w:jc w:val="both"/>
        <w:rPr>
          <w:rFonts w:ascii="Arial" w:hAnsi="Arial" w:cs="Arial"/>
          <w:szCs w:val="24"/>
        </w:rPr>
      </w:pPr>
      <w:r w:rsidRPr="00A52022">
        <w:rPr>
          <w:rFonts w:ascii="Arial" w:hAnsi="Arial" w:cs="Arial"/>
          <w:szCs w:val="24"/>
        </w:rPr>
        <w:t>I. Al 0.98% mensual sobre los saldos insolutos.</w:t>
      </w:r>
    </w:p>
    <w:p w:rsidR="003D6FFD" w:rsidRPr="00A52022" w:rsidRDefault="003D6FFD" w:rsidP="008A39AA">
      <w:pPr>
        <w:spacing w:before="100" w:beforeAutospacing="1" w:after="100" w:afterAutospacing="1" w:line="240" w:lineRule="auto"/>
        <w:ind w:firstLine="708"/>
        <w:jc w:val="both"/>
        <w:rPr>
          <w:rFonts w:ascii="Arial" w:hAnsi="Arial" w:cs="Arial"/>
          <w:szCs w:val="24"/>
        </w:rPr>
      </w:pPr>
      <w:r w:rsidRPr="00A52022">
        <w:rPr>
          <w:rFonts w:ascii="Arial" w:hAnsi="Arial" w:cs="Arial"/>
          <w:szCs w:val="24"/>
        </w:rPr>
        <w:t xml:space="preserve">II. </w:t>
      </w:r>
      <w:r w:rsidR="000F5C01" w:rsidRPr="00A52022">
        <w:rPr>
          <w:rFonts w:ascii="Arial" w:hAnsi="Arial" w:cs="Arial"/>
          <w:szCs w:val="24"/>
        </w:rPr>
        <w:t>Cuando de conformidad con el Código Fiscal del Estado de Yucatán se autorice el pago a plazos, se aplicará la tasa de recargos que a continuación se establece, sobre los saldos y durante el periodo de que se trate</w:t>
      </w:r>
      <w:r w:rsidRPr="00A52022">
        <w:rPr>
          <w:rFonts w:ascii="Arial" w:hAnsi="Arial" w:cs="Arial"/>
          <w:szCs w:val="24"/>
        </w:rPr>
        <w:t>:</w:t>
      </w:r>
    </w:p>
    <w:p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A52022">
        <w:rPr>
          <w:rFonts w:ascii="Arial" w:hAnsi="Arial" w:cs="Arial"/>
          <w:szCs w:val="24"/>
        </w:rPr>
        <w:t>a) Tratándose de pagos a plazos en parcialidades hasta doce meses, la tasa de recargos será del 1.26% mensual</w:t>
      </w:r>
      <w:r w:rsidRPr="00D93F7E">
        <w:rPr>
          <w:rFonts w:ascii="Arial" w:hAnsi="Arial" w:cs="Arial"/>
          <w:szCs w:val="24"/>
        </w:rPr>
        <w:t>.</w:t>
      </w:r>
    </w:p>
    <w:p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b) Tratándose de pagos a plazos en parcialidades de más de doce meses y hasta de veinticuatro meses, la tasa de recargos será de 1.53% mensual.</w:t>
      </w:r>
    </w:p>
    <w:p w:rsidR="003D6FFD" w:rsidRPr="00D93F7E" w:rsidRDefault="003D6FFD" w:rsidP="008A39AA">
      <w:pPr>
        <w:spacing w:before="100" w:beforeAutospacing="1" w:after="100" w:afterAutospacing="1" w:line="240" w:lineRule="auto"/>
        <w:ind w:left="708" w:firstLine="708"/>
        <w:jc w:val="both"/>
        <w:rPr>
          <w:rFonts w:ascii="Arial" w:hAnsi="Arial" w:cs="Arial"/>
          <w:szCs w:val="24"/>
        </w:rPr>
      </w:pPr>
      <w:r w:rsidRPr="00D93F7E">
        <w:rPr>
          <w:rFonts w:ascii="Arial" w:hAnsi="Arial" w:cs="Arial"/>
          <w:szCs w:val="24"/>
        </w:rPr>
        <w:t>c)</w:t>
      </w:r>
      <w:r w:rsidR="00AB1135">
        <w:rPr>
          <w:rFonts w:ascii="Arial" w:hAnsi="Arial" w:cs="Arial"/>
          <w:szCs w:val="24"/>
        </w:rPr>
        <w:t xml:space="preserve"> </w:t>
      </w:r>
      <w:r w:rsidRPr="00D93F7E">
        <w:rPr>
          <w:rFonts w:ascii="Arial" w:hAnsi="Arial" w:cs="Arial"/>
          <w:szCs w:val="24"/>
        </w:rPr>
        <w:t>Tratándose de pagos a plazos en parcialidades superiores a veinticuatro meses o de pagos a plazo diferido, la tasa de recargos será de 1.82% mensual.</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Las tasas de recargos establecidas en la fracción II de este artículo incluyen la actualización realizada conforme a lo establecido por el propio Código Fiscal del Estado de Yucatán.</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29. Programas de apoyo</w:t>
      </w:r>
    </w:p>
    <w:p w:rsidR="003D6FFD" w:rsidRPr="00D93F7E" w:rsidRDefault="003815E7" w:rsidP="008A39AA">
      <w:pPr>
        <w:spacing w:before="100" w:beforeAutospacing="1" w:after="100" w:afterAutospacing="1" w:line="240" w:lineRule="auto"/>
        <w:jc w:val="both"/>
        <w:rPr>
          <w:rFonts w:ascii="Arial" w:hAnsi="Arial" w:cs="Arial"/>
          <w:szCs w:val="24"/>
        </w:rPr>
      </w:pPr>
      <w:r>
        <w:rPr>
          <w:rFonts w:ascii="Arial" w:hAnsi="Arial" w:cs="Arial"/>
          <w:szCs w:val="24"/>
        </w:rPr>
        <w:t>La persona</w:t>
      </w:r>
      <w:r w:rsidR="003D6FFD" w:rsidRPr="00D93F7E">
        <w:rPr>
          <w:rFonts w:ascii="Arial" w:hAnsi="Arial" w:cs="Arial"/>
          <w:szCs w:val="24"/>
        </w:rPr>
        <w:t xml:space="preserve"> titular del Poder Ejecutivo podrá establecer programas de apoyo o </w:t>
      </w:r>
      <w:r w:rsidR="00674D9C" w:rsidRPr="00D93F7E">
        <w:rPr>
          <w:rFonts w:ascii="Arial" w:hAnsi="Arial" w:cs="Arial"/>
          <w:szCs w:val="24"/>
        </w:rPr>
        <w:t xml:space="preserve">incentivos, según sea el caso, para los contribuyentes o </w:t>
      </w:r>
      <w:r w:rsidR="003D6FFD" w:rsidRPr="00D93F7E">
        <w:rPr>
          <w:rFonts w:ascii="Arial" w:hAnsi="Arial" w:cs="Arial"/>
          <w:szCs w:val="24"/>
        </w:rPr>
        <w:t xml:space="preserve">los sujetos obligados de esta ley, los cuales deberán publicarse en el Diario Oficial del Gobierno del Estado de Yucatán.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lastRenderedPageBreak/>
        <w:t xml:space="preserve">En dichos programas de apoyo o incentivos </w:t>
      </w:r>
      <w:r w:rsidR="00674D9C" w:rsidRPr="00D93F7E">
        <w:rPr>
          <w:rFonts w:ascii="Arial" w:hAnsi="Arial" w:cs="Arial"/>
          <w:szCs w:val="24"/>
        </w:rPr>
        <w:t>podrá establecerse</w:t>
      </w:r>
      <w:r w:rsidRPr="00D93F7E">
        <w:rPr>
          <w:rFonts w:ascii="Arial" w:hAnsi="Arial" w:cs="Arial"/>
          <w:szCs w:val="24"/>
        </w:rPr>
        <w:t xml:space="preserve">, entre otras acciones, la </w:t>
      </w:r>
      <w:r w:rsidR="00205F68">
        <w:rPr>
          <w:rFonts w:ascii="Arial" w:hAnsi="Arial" w:cs="Arial"/>
          <w:szCs w:val="24"/>
        </w:rPr>
        <w:t xml:space="preserve">reducción o </w:t>
      </w:r>
      <w:r w:rsidRPr="00D93F7E">
        <w:rPr>
          <w:rFonts w:ascii="Arial" w:hAnsi="Arial" w:cs="Arial"/>
          <w:szCs w:val="24"/>
        </w:rPr>
        <w:t>condonación tot</w:t>
      </w:r>
      <w:r w:rsidR="00674D9C" w:rsidRPr="00D93F7E">
        <w:rPr>
          <w:rFonts w:ascii="Arial" w:hAnsi="Arial" w:cs="Arial"/>
          <w:szCs w:val="24"/>
        </w:rPr>
        <w:t>al o parcial de contribuciones, derechos,</w:t>
      </w:r>
      <w:r w:rsidRPr="00D93F7E">
        <w:rPr>
          <w:rFonts w:ascii="Arial" w:hAnsi="Arial" w:cs="Arial"/>
          <w:szCs w:val="24"/>
        </w:rPr>
        <w:t xml:space="preserve"> aprovechamientos</w:t>
      </w:r>
      <w:r w:rsidR="00674D9C" w:rsidRPr="00D93F7E">
        <w:rPr>
          <w:rFonts w:ascii="Arial" w:hAnsi="Arial" w:cs="Arial"/>
          <w:szCs w:val="24"/>
        </w:rPr>
        <w:t xml:space="preserve"> </w:t>
      </w:r>
      <w:r w:rsidR="00C67EE7">
        <w:rPr>
          <w:rFonts w:ascii="Arial" w:hAnsi="Arial" w:cs="Arial"/>
          <w:szCs w:val="24"/>
        </w:rPr>
        <w:t>o</w:t>
      </w:r>
      <w:r w:rsidR="00674D9C" w:rsidRPr="00D93F7E">
        <w:rPr>
          <w:rFonts w:ascii="Arial" w:hAnsi="Arial" w:cs="Arial"/>
          <w:szCs w:val="24"/>
        </w:rPr>
        <w:t xml:space="preserve"> productos</w:t>
      </w:r>
      <w:r w:rsidRPr="00D93F7E">
        <w:rPr>
          <w:rFonts w:ascii="Arial" w:hAnsi="Arial" w:cs="Arial"/>
          <w:szCs w:val="24"/>
        </w:rPr>
        <w:t>, así como de sus accesorios.</w:t>
      </w:r>
    </w:p>
    <w:p w:rsidR="00135333" w:rsidRPr="00D93F7E" w:rsidRDefault="00135333"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30. Pago en parcialidades</w:t>
      </w:r>
    </w:p>
    <w:p w:rsidR="000F5C01" w:rsidRPr="00D93F7E" w:rsidRDefault="000F5C01"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Para los efectos de los artículos 89 y 90 del Código Fiscal del Estado de Yucatán, durante el ejercicio fiscal </w:t>
      </w:r>
      <w:r w:rsidR="00D33044">
        <w:rPr>
          <w:rFonts w:ascii="Arial" w:hAnsi="Arial" w:cs="Arial"/>
          <w:szCs w:val="24"/>
        </w:rPr>
        <w:t>2023</w:t>
      </w:r>
      <w:r w:rsidRPr="00D93F7E">
        <w:rPr>
          <w:rFonts w:ascii="Arial" w:hAnsi="Arial" w:cs="Arial"/>
          <w:szCs w:val="24"/>
        </w:rPr>
        <w:t xml:space="preserve">, se podrá autorizar el pago a plazos, ya sea diferido o en parcialidades, </w:t>
      </w:r>
      <w:r w:rsidR="00205F68">
        <w:rPr>
          <w:rFonts w:ascii="Arial" w:hAnsi="Arial" w:cs="Arial"/>
          <w:szCs w:val="24"/>
        </w:rPr>
        <w:t>de las contribuciones</w:t>
      </w:r>
      <w:r w:rsidRPr="00D93F7E">
        <w:rPr>
          <w:rFonts w:ascii="Arial" w:hAnsi="Arial" w:cs="Arial"/>
          <w:szCs w:val="24"/>
        </w:rPr>
        <w:t xml:space="preserve"> y de sus accesorios que debieron pagarse en el año en curso o los que se debieron pagar en los seis meses anteriores al mes en el que se solicite la autorización de pago a plazos.</w:t>
      </w:r>
    </w:p>
    <w:p w:rsidR="003D6FFD" w:rsidRPr="00D93F7E" w:rsidRDefault="003D6FFD"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w:t>
      </w:r>
      <w:r w:rsidR="00135333" w:rsidRPr="00D93F7E">
        <w:rPr>
          <w:rFonts w:ascii="Arial" w:hAnsi="Arial" w:cs="Arial"/>
          <w:b/>
          <w:szCs w:val="24"/>
        </w:rPr>
        <w:t>1</w:t>
      </w:r>
      <w:r w:rsidRPr="00D93F7E">
        <w:rPr>
          <w:rFonts w:ascii="Arial" w:hAnsi="Arial" w:cs="Arial"/>
          <w:b/>
          <w:szCs w:val="24"/>
        </w:rPr>
        <w:t>. Imposibilidad práctica de cobro</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faculta a las autoridades fiscales para que lleven a cabo la cance</w:t>
      </w:r>
      <w:r w:rsidR="00010FDB" w:rsidRPr="00D93F7E">
        <w:rPr>
          <w:rFonts w:ascii="Arial" w:hAnsi="Arial" w:cs="Arial"/>
          <w:szCs w:val="24"/>
        </w:rPr>
        <w:t>lación de los créditos fiscales</w:t>
      </w:r>
      <w:r w:rsidRPr="00D93F7E">
        <w:rPr>
          <w:rFonts w:ascii="Arial" w:hAnsi="Arial" w:cs="Arial"/>
          <w:szCs w:val="24"/>
        </w:rPr>
        <w:t xml:space="preserve"> cuyo cobro les corresponda efectuar</w:t>
      </w:r>
      <w:r w:rsidR="001062B3">
        <w:rPr>
          <w:rFonts w:ascii="Arial" w:hAnsi="Arial" w:cs="Arial"/>
          <w:szCs w:val="24"/>
        </w:rPr>
        <w:t xml:space="preserve"> </w:t>
      </w:r>
      <w:r w:rsidRPr="00D93F7E">
        <w:rPr>
          <w:rFonts w:ascii="Arial" w:hAnsi="Arial" w:cs="Arial"/>
          <w:szCs w:val="24"/>
        </w:rPr>
        <w:t xml:space="preserve">en los casos en que exista imposibilidad práctica de cobro. </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considera que existe imposibilidad práctica de cobro, entre otras circunstancias, cuando los deudores no tengan bienes embargables, el deudor hubie</w:t>
      </w:r>
      <w:r w:rsidR="001062B3">
        <w:rPr>
          <w:rFonts w:ascii="Arial" w:hAnsi="Arial" w:cs="Arial"/>
          <w:szCs w:val="24"/>
        </w:rPr>
        <w:t>se</w:t>
      </w:r>
      <w:r w:rsidRPr="00D93F7E">
        <w:rPr>
          <w:rFonts w:ascii="Arial" w:hAnsi="Arial" w:cs="Arial"/>
          <w:szCs w:val="24"/>
        </w:rPr>
        <w:t xml:space="preserve"> fallecido sin dejar bienes a su nombre o cuando por sentencia firme hubie</w:t>
      </w:r>
      <w:r w:rsidR="001062B3">
        <w:rPr>
          <w:rFonts w:ascii="Arial" w:hAnsi="Arial" w:cs="Arial"/>
          <w:szCs w:val="24"/>
        </w:rPr>
        <w:t>se</w:t>
      </w:r>
      <w:r w:rsidRPr="00D93F7E">
        <w:rPr>
          <w:rFonts w:ascii="Arial" w:hAnsi="Arial" w:cs="Arial"/>
          <w:szCs w:val="24"/>
        </w:rPr>
        <w:t xml:space="preserve"> sido declarado en quiebra por falta de activos.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 xml:space="preserve">Las autoridades, </w:t>
      </w:r>
      <w:r w:rsidR="001062B3">
        <w:rPr>
          <w:rFonts w:ascii="Arial" w:hAnsi="Arial" w:cs="Arial"/>
          <w:szCs w:val="24"/>
        </w:rPr>
        <w:t>de forma previa</w:t>
      </w:r>
      <w:r w:rsidRPr="00D93F7E">
        <w:rPr>
          <w:rFonts w:ascii="Arial" w:hAnsi="Arial" w:cs="Arial"/>
          <w:szCs w:val="24"/>
        </w:rPr>
        <w:t xml:space="preserve"> a la cancelación de un crédito fiscal, deberán integrar un expediente que contenga los documentos y constancias que acrediten la imposibilidad práctica de cobro.</w:t>
      </w:r>
    </w:p>
    <w:p w:rsidR="003D6FFD" w:rsidRPr="00D93F7E" w:rsidRDefault="00135333" w:rsidP="008A39AA">
      <w:pPr>
        <w:spacing w:before="100" w:beforeAutospacing="1" w:after="100" w:afterAutospacing="1" w:line="240" w:lineRule="auto"/>
        <w:jc w:val="both"/>
        <w:rPr>
          <w:rFonts w:ascii="Arial" w:hAnsi="Arial" w:cs="Arial"/>
          <w:b/>
          <w:szCs w:val="24"/>
        </w:rPr>
      </w:pPr>
      <w:r w:rsidRPr="00D93F7E">
        <w:rPr>
          <w:rFonts w:ascii="Arial" w:hAnsi="Arial" w:cs="Arial"/>
          <w:b/>
          <w:szCs w:val="24"/>
        </w:rPr>
        <w:t>Artículo 32</w:t>
      </w:r>
      <w:r w:rsidR="003D6FFD" w:rsidRPr="00D93F7E">
        <w:rPr>
          <w:rFonts w:ascii="Arial" w:hAnsi="Arial" w:cs="Arial"/>
          <w:b/>
          <w:szCs w:val="24"/>
        </w:rPr>
        <w:t>. Créditos fiscales incosteables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Se faculta a las autoridades fiscales para que lleven a cabo la cancelación de los créditos fiscales cuyo cobro les corresponda efectuar en los casos en que aquellos sean incosteables.</w:t>
      </w:r>
    </w:p>
    <w:p w:rsidR="003D6FFD" w:rsidRPr="00D93F7E" w:rsidRDefault="003D6FFD" w:rsidP="008A39AA">
      <w:pPr>
        <w:spacing w:before="100" w:beforeAutospacing="1" w:after="100" w:afterAutospacing="1" w:line="240" w:lineRule="auto"/>
        <w:jc w:val="both"/>
        <w:rPr>
          <w:rFonts w:ascii="Arial" w:hAnsi="Arial" w:cs="Arial"/>
          <w:szCs w:val="24"/>
        </w:rPr>
      </w:pPr>
      <w:r w:rsidRPr="00D93F7E">
        <w:rPr>
          <w:rFonts w:ascii="Arial" w:hAnsi="Arial" w:cs="Arial"/>
          <w:szCs w:val="24"/>
        </w:rPr>
        <w:t>Para que un crédito se considere incosteable, la autoridad fiscal evaluará los siguientes conceptos: monto del crédito, costo de las acciones de recuperación, antigüedad del crédito y probabilidad de cobro.</w:t>
      </w:r>
    </w:p>
    <w:p w:rsidR="003D6FFD" w:rsidRPr="00D93F7E" w:rsidRDefault="003D6FFD" w:rsidP="008A39AA">
      <w:pPr>
        <w:spacing w:before="100" w:beforeAutospacing="1" w:after="100" w:afterAutospacing="1" w:line="240" w:lineRule="auto"/>
        <w:jc w:val="both"/>
        <w:rPr>
          <w:rFonts w:ascii="Arial" w:hAnsi="Arial" w:cs="Arial"/>
          <w:szCs w:val="24"/>
        </w:rPr>
      </w:pPr>
      <w:r w:rsidRPr="006048F5">
        <w:rPr>
          <w:rFonts w:ascii="Arial" w:hAnsi="Arial" w:cs="Arial"/>
          <w:szCs w:val="24"/>
        </w:rPr>
        <w:t>La cancelación de los créditos a que se refiere este artículo no libera de su pago</w:t>
      </w:r>
      <w:r w:rsidRPr="00DA4AE8">
        <w:rPr>
          <w:rFonts w:ascii="Arial" w:hAnsi="Arial" w:cs="Arial"/>
          <w:szCs w:val="24"/>
        </w:rPr>
        <w:t>.</w:t>
      </w: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lastRenderedPageBreak/>
        <w:t>Artículos transitorios</w:t>
      </w:r>
    </w:p>
    <w:p w:rsidR="003D6FFD" w:rsidRPr="00D93F7E" w:rsidRDefault="003D6FFD" w:rsidP="009846A0">
      <w:pPr>
        <w:spacing w:before="200" w:line="240" w:lineRule="auto"/>
        <w:jc w:val="both"/>
        <w:rPr>
          <w:rFonts w:ascii="Arial" w:hAnsi="Arial" w:cs="Arial"/>
          <w:b/>
          <w:szCs w:val="24"/>
        </w:rPr>
      </w:pPr>
      <w:r w:rsidRPr="00D93F7E">
        <w:rPr>
          <w:rFonts w:ascii="Arial" w:hAnsi="Arial" w:cs="Arial"/>
          <w:b/>
          <w:szCs w:val="24"/>
        </w:rPr>
        <w:t>Primero. Entrada en vigor</w:t>
      </w:r>
    </w:p>
    <w:p w:rsidR="003D6FFD" w:rsidRPr="00D93F7E" w:rsidRDefault="003D6FFD" w:rsidP="009846A0">
      <w:pPr>
        <w:spacing w:before="200" w:line="240" w:lineRule="auto"/>
        <w:jc w:val="both"/>
        <w:rPr>
          <w:rFonts w:ascii="Arial" w:hAnsi="Arial" w:cs="Arial"/>
          <w:szCs w:val="24"/>
        </w:rPr>
      </w:pPr>
      <w:r w:rsidRPr="00D93F7E">
        <w:rPr>
          <w:rFonts w:ascii="Arial" w:hAnsi="Arial" w:cs="Arial"/>
          <w:szCs w:val="24"/>
        </w:rPr>
        <w:t xml:space="preserve">Este decreto entrará en vigor el 1 de enero de </w:t>
      </w:r>
      <w:r w:rsidR="00D33044">
        <w:rPr>
          <w:rFonts w:ascii="Arial" w:hAnsi="Arial" w:cs="Arial"/>
          <w:szCs w:val="24"/>
        </w:rPr>
        <w:t>2023</w:t>
      </w:r>
      <w:r w:rsidRPr="00D93F7E">
        <w:rPr>
          <w:rFonts w:ascii="Arial" w:hAnsi="Arial" w:cs="Arial"/>
          <w:szCs w:val="24"/>
        </w:rPr>
        <w:t>, previa publicación en el Diario Oficial del Gobierno del Estado de Yucatán y tendrá vigencia hasta el 31 de diciembre del mismo año.</w:t>
      </w:r>
    </w:p>
    <w:p w:rsidR="003D6FFD" w:rsidRPr="00D93F7E" w:rsidRDefault="003D6FFD" w:rsidP="009846A0">
      <w:pPr>
        <w:spacing w:before="200" w:line="240" w:lineRule="auto"/>
        <w:jc w:val="both"/>
        <w:rPr>
          <w:rFonts w:ascii="Arial" w:hAnsi="Arial" w:cs="Arial"/>
          <w:b/>
          <w:szCs w:val="24"/>
        </w:rPr>
      </w:pPr>
      <w:r w:rsidRPr="00D93F7E">
        <w:rPr>
          <w:rFonts w:ascii="Arial" w:hAnsi="Arial" w:cs="Arial"/>
          <w:b/>
          <w:szCs w:val="24"/>
        </w:rPr>
        <w:t xml:space="preserve">Segundo. Derogación </w:t>
      </w:r>
    </w:p>
    <w:p w:rsidR="003D6FFD" w:rsidRPr="00D93F7E" w:rsidRDefault="003D6FFD" w:rsidP="009846A0">
      <w:pPr>
        <w:spacing w:before="200" w:line="240" w:lineRule="auto"/>
        <w:jc w:val="both"/>
        <w:rPr>
          <w:rFonts w:ascii="Arial" w:hAnsi="Arial" w:cs="Arial"/>
          <w:szCs w:val="24"/>
        </w:rPr>
      </w:pPr>
      <w:r w:rsidRPr="00D93F7E">
        <w:rPr>
          <w:rFonts w:ascii="Arial" w:hAnsi="Arial" w:cs="Arial"/>
          <w:szCs w:val="24"/>
        </w:rPr>
        <w:t xml:space="preserve">Se derogan las disposiciones que contengan exenciones, totales o parciales, consideren a personas como no sujetos de contribuciones estatales, </w:t>
      </w:r>
      <w:r w:rsidR="00CB1535">
        <w:rPr>
          <w:rFonts w:ascii="Arial" w:hAnsi="Arial" w:cs="Arial"/>
          <w:szCs w:val="24"/>
        </w:rPr>
        <w:t xml:space="preserve">u </w:t>
      </w:r>
      <w:r w:rsidRPr="00D93F7E">
        <w:rPr>
          <w:rFonts w:ascii="Arial" w:hAnsi="Arial" w:cs="Arial"/>
          <w:szCs w:val="24"/>
        </w:rPr>
        <w:t xml:space="preserve">otorguen tratamientos preferenciales o diferenciales en materia de ingresos y contribuciones estatales, distintos de los establecidos en la Ley de Ingresos del Estado de Yucatán para el Ejercicio Fiscal </w:t>
      </w:r>
      <w:r w:rsidR="00D33044">
        <w:rPr>
          <w:rFonts w:ascii="Arial" w:hAnsi="Arial" w:cs="Arial"/>
          <w:szCs w:val="24"/>
        </w:rPr>
        <w:t>2023</w:t>
      </w:r>
      <w:r w:rsidRPr="00D93F7E">
        <w:rPr>
          <w:rFonts w:ascii="Arial" w:hAnsi="Arial" w:cs="Arial"/>
          <w:szCs w:val="24"/>
        </w:rPr>
        <w:t>, en el Código Fiscal del Estado de Yucatán, en los decretos expedidos por el Poder Ejecutivo del estado y en las leyes que establecen dichas contribuciones, así como sus reglamentos.</w:t>
      </w:r>
    </w:p>
    <w:p w:rsidR="003D6FFD" w:rsidRPr="00D93F7E" w:rsidRDefault="001D2525" w:rsidP="009846A0">
      <w:pPr>
        <w:spacing w:before="200" w:line="240" w:lineRule="auto"/>
        <w:jc w:val="both"/>
        <w:rPr>
          <w:rFonts w:ascii="Arial" w:hAnsi="Arial" w:cs="Arial"/>
          <w:b/>
          <w:szCs w:val="24"/>
        </w:rPr>
      </w:pPr>
      <w:r w:rsidRPr="00D93F7E">
        <w:rPr>
          <w:rFonts w:ascii="Arial" w:hAnsi="Arial" w:cs="Arial"/>
          <w:b/>
          <w:szCs w:val="24"/>
        </w:rPr>
        <w:t>Tercero</w:t>
      </w:r>
      <w:r w:rsidR="003D6FFD" w:rsidRPr="00D93F7E">
        <w:rPr>
          <w:rFonts w:ascii="Arial" w:hAnsi="Arial" w:cs="Arial"/>
          <w:b/>
          <w:szCs w:val="24"/>
        </w:rPr>
        <w:t>. Obligación de los entes públicos</w:t>
      </w:r>
    </w:p>
    <w:p w:rsidR="003D6FFD" w:rsidRPr="00D93F7E" w:rsidRDefault="003D6FFD" w:rsidP="009846A0">
      <w:pPr>
        <w:spacing w:before="200" w:line="240" w:lineRule="auto"/>
        <w:jc w:val="both"/>
        <w:rPr>
          <w:rFonts w:ascii="Arial" w:hAnsi="Arial" w:cs="Arial"/>
          <w:szCs w:val="24"/>
        </w:rPr>
      </w:pPr>
      <w:r w:rsidRPr="00D93F7E">
        <w:rPr>
          <w:rFonts w:ascii="Arial" w:hAnsi="Arial" w:cs="Arial"/>
          <w:szCs w:val="24"/>
        </w:rPr>
        <w:t xml:space="preserve">Los entes públicos que reciban ingresos de los previstos en la Ley de Ingresos del Estado de Yucatán para el Ejercicio Fiscal </w:t>
      </w:r>
      <w:r w:rsidR="00D33044">
        <w:rPr>
          <w:rFonts w:ascii="Arial" w:hAnsi="Arial" w:cs="Arial"/>
          <w:szCs w:val="24"/>
        </w:rPr>
        <w:t>2023</w:t>
      </w:r>
      <w:r w:rsidRPr="00D93F7E">
        <w:rPr>
          <w:rFonts w:ascii="Arial" w:hAnsi="Arial" w:cs="Arial"/>
          <w:szCs w:val="24"/>
        </w:rPr>
        <w:t xml:space="preserve"> deberán elaborar y difundir en sus respectivos sitios web documentos dirigidos a la ciudadanía </w:t>
      </w:r>
      <w:r w:rsidR="006C202E" w:rsidRPr="00D93F7E">
        <w:rPr>
          <w:rFonts w:ascii="Arial" w:hAnsi="Arial" w:cs="Arial"/>
          <w:szCs w:val="24"/>
        </w:rPr>
        <w:t xml:space="preserve">en los </w:t>
      </w:r>
      <w:r w:rsidRPr="00D93F7E">
        <w:rPr>
          <w:rFonts w:ascii="Arial" w:hAnsi="Arial" w:cs="Arial"/>
          <w:szCs w:val="24"/>
        </w:rPr>
        <w:t xml:space="preserve">que expliquen, de manera sencilla y en los formatos aprobados por el Consejo Nacional de Armonización Contable, el contenido de la Ley de Ingresos del Estado de Yucatán para el Ejercicio Fiscal </w:t>
      </w:r>
      <w:r w:rsidR="00D33044">
        <w:rPr>
          <w:rFonts w:ascii="Arial" w:hAnsi="Arial" w:cs="Arial"/>
          <w:szCs w:val="24"/>
        </w:rPr>
        <w:t>2023</w:t>
      </w:r>
      <w:r w:rsidRPr="00D93F7E">
        <w:rPr>
          <w:rFonts w:ascii="Arial" w:hAnsi="Arial" w:cs="Arial"/>
          <w:szCs w:val="24"/>
        </w:rPr>
        <w:t>.</w:t>
      </w:r>
    </w:p>
    <w:p w:rsidR="003D6FFD" w:rsidRPr="00D93F7E" w:rsidRDefault="003D6FFD" w:rsidP="009846A0">
      <w:pPr>
        <w:spacing w:before="200" w:line="240" w:lineRule="auto"/>
        <w:jc w:val="both"/>
        <w:rPr>
          <w:rFonts w:ascii="Arial" w:hAnsi="Arial" w:cs="Arial"/>
          <w:szCs w:val="24"/>
        </w:rPr>
      </w:pPr>
      <w:r w:rsidRPr="00D93F7E">
        <w:rPr>
          <w:rFonts w:ascii="Arial" w:hAnsi="Arial" w:cs="Arial"/>
          <w:szCs w:val="24"/>
        </w:rPr>
        <w:t>Asimismo, los entes públicos deberán difundir, en los términos establecidos en la Ley de Disciplina Financiera de las Entidades Federativas y los Municipios, la información y formatos correspondientes.</w:t>
      </w:r>
    </w:p>
    <w:p w:rsidR="003D6FFD" w:rsidRPr="00D93F7E" w:rsidRDefault="001D2525" w:rsidP="009846A0">
      <w:pPr>
        <w:spacing w:before="200" w:line="240" w:lineRule="auto"/>
        <w:jc w:val="both"/>
        <w:rPr>
          <w:rFonts w:ascii="Arial" w:hAnsi="Arial" w:cs="Arial"/>
          <w:b/>
          <w:szCs w:val="24"/>
        </w:rPr>
      </w:pPr>
      <w:r w:rsidRPr="00D93F7E">
        <w:rPr>
          <w:rFonts w:ascii="Arial" w:hAnsi="Arial" w:cs="Arial"/>
          <w:b/>
          <w:szCs w:val="24"/>
        </w:rPr>
        <w:t>Cuarto</w:t>
      </w:r>
      <w:r w:rsidR="003D6FFD" w:rsidRPr="00D93F7E">
        <w:rPr>
          <w:rFonts w:ascii="Arial" w:hAnsi="Arial" w:cs="Arial"/>
          <w:b/>
          <w:szCs w:val="24"/>
        </w:rPr>
        <w:t>. Modificaciones a la estructura administrativa</w:t>
      </w:r>
    </w:p>
    <w:p w:rsidR="003D6FFD" w:rsidRPr="00D93F7E" w:rsidRDefault="00F83B35" w:rsidP="009846A0">
      <w:pPr>
        <w:spacing w:before="200" w:line="240" w:lineRule="auto"/>
        <w:jc w:val="both"/>
        <w:rPr>
          <w:rFonts w:ascii="Arial" w:hAnsi="Arial" w:cs="Arial"/>
          <w:szCs w:val="24"/>
        </w:rPr>
      </w:pPr>
      <w:r w:rsidRPr="00F83B35">
        <w:rPr>
          <w:rFonts w:ascii="Arial" w:hAnsi="Arial" w:cs="Arial"/>
          <w:szCs w:val="24"/>
        </w:rPr>
        <w:t xml:space="preserve">Para los efectos de la Ley de Ingresos del Estado </w:t>
      </w:r>
      <w:r w:rsidR="00C0453B">
        <w:rPr>
          <w:rFonts w:ascii="Arial" w:hAnsi="Arial" w:cs="Arial"/>
          <w:szCs w:val="24"/>
        </w:rPr>
        <w:t xml:space="preserve">de Yucatán </w:t>
      </w:r>
      <w:r w:rsidRPr="00F83B35">
        <w:rPr>
          <w:rFonts w:ascii="Arial" w:hAnsi="Arial" w:cs="Arial"/>
          <w:szCs w:val="24"/>
        </w:rPr>
        <w:t xml:space="preserve">para el Ejercicio Fiscal 2023, cuando de conformidad con el Código de la Administración Pública de Yucatán, su reglamento o cualquier otra normativa, se modifique la denominación de alguna dependencia, entidad o ente público, o los existentes desaparezcan, los ingresos estimados para cualquiera de </w:t>
      </w:r>
      <w:r w:rsidR="00C0453B">
        <w:rPr>
          <w:rFonts w:ascii="Arial" w:hAnsi="Arial" w:cs="Arial"/>
          <w:szCs w:val="24"/>
        </w:rPr>
        <w:t>e</w:t>
      </w:r>
      <w:r w:rsidRPr="00F83B35">
        <w:rPr>
          <w:rFonts w:ascii="Arial" w:hAnsi="Arial" w:cs="Arial"/>
          <w:szCs w:val="24"/>
        </w:rPr>
        <w:t xml:space="preserve">stos en </w:t>
      </w:r>
      <w:r w:rsidR="00C0453B">
        <w:rPr>
          <w:rFonts w:ascii="Arial" w:hAnsi="Arial" w:cs="Arial"/>
          <w:szCs w:val="24"/>
        </w:rPr>
        <w:t>esta</w:t>
      </w:r>
      <w:r w:rsidRPr="00F83B35">
        <w:rPr>
          <w:rFonts w:ascii="Arial" w:hAnsi="Arial" w:cs="Arial"/>
          <w:szCs w:val="24"/>
        </w:rPr>
        <w:t xml:space="preserve"> </w:t>
      </w:r>
      <w:r w:rsidR="00C0453B">
        <w:rPr>
          <w:rFonts w:ascii="Arial" w:hAnsi="Arial" w:cs="Arial"/>
          <w:szCs w:val="24"/>
        </w:rPr>
        <w:t>l</w:t>
      </w:r>
      <w:r w:rsidRPr="00F83B35">
        <w:rPr>
          <w:rFonts w:ascii="Arial" w:hAnsi="Arial" w:cs="Arial"/>
          <w:szCs w:val="24"/>
        </w:rPr>
        <w:t>ey, corresponderán al ente público cuyas denominaciones hayan cambiado o al que absorba las facultades de aqu</w:t>
      </w:r>
      <w:r w:rsidR="00C0453B">
        <w:rPr>
          <w:rFonts w:ascii="Arial" w:hAnsi="Arial" w:cs="Arial"/>
          <w:szCs w:val="24"/>
        </w:rPr>
        <w:t>e</w:t>
      </w:r>
      <w:r w:rsidRPr="00F83B35">
        <w:rPr>
          <w:rFonts w:ascii="Arial" w:hAnsi="Arial" w:cs="Arial"/>
          <w:szCs w:val="24"/>
        </w:rPr>
        <w:t xml:space="preserve">llas que </w:t>
      </w:r>
      <w:r>
        <w:rPr>
          <w:rFonts w:ascii="Arial" w:hAnsi="Arial" w:cs="Arial"/>
          <w:szCs w:val="24"/>
        </w:rPr>
        <w:t>desaparezcan, según corresponda</w:t>
      </w:r>
      <w:r w:rsidR="003D6FFD" w:rsidRPr="00D93F7E">
        <w:rPr>
          <w:rFonts w:ascii="Arial" w:hAnsi="Arial" w:cs="Arial"/>
          <w:szCs w:val="24"/>
        </w:rPr>
        <w:t>.</w:t>
      </w:r>
    </w:p>
    <w:p w:rsidR="003D6FFD" w:rsidRPr="00D93F7E" w:rsidRDefault="00CB3B19" w:rsidP="009846A0">
      <w:pPr>
        <w:spacing w:before="200" w:line="240" w:lineRule="auto"/>
        <w:jc w:val="both"/>
        <w:rPr>
          <w:rFonts w:ascii="Arial" w:hAnsi="Arial" w:cs="Arial"/>
          <w:b/>
          <w:szCs w:val="24"/>
        </w:rPr>
      </w:pPr>
      <w:r w:rsidRPr="00CB3B19">
        <w:rPr>
          <w:rFonts w:ascii="Arial" w:hAnsi="Arial" w:cs="Arial"/>
          <w:noProof/>
          <w:szCs w:val="24"/>
        </w:rPr>
        <w:lastRenderedPageBreak/>
        <w:pict>
          <v:shapetype id="_x0000_t202" coordsize="21600,21600" o:spt="202" path="m,l,21600r21600,l21600,xe">
            <v:stroke joinstyle="miter"/>
            <v:path gradientshapeok="t" o:connecttype="rect"/>
          </v:shapetype>
          <v:shape id="Cuadro de texto 2" o:spid="_x0000_s1026" type="#_x0000_t202" style="position:absolute;left:0;text-align:left;margin-left:2722.85pt;margin-top:56.7pt;width:226.75pt;height:46.5pt;z-index:251666432;visibility:visible;mso-position-horizontal:righ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" fillcolor="white [3201]" stroked="f" strokeweight=".5pt">
            <v:textbox>
              <w:txbxContent>
                <w:p w:rsidR="007B32A5" w:rsidRPr="00931C5D" w:rsidRDefault="007B32A5" w:rsidP="00A43C57">
                  <w:pPr>
                    <w:spacing w:before="100" w:beforeAutospacing="1" w:after="100" w:afterAutospacing="1" w:line="240" w:lineRule="auto"/>
                    <w:jc w:val="both"/>
                    <w:rPr>
                      <w:rFonts w:ascii="Arial" w:hAnsi="Arial" w:cs="Arial"/>
                      <w:sz w:val="20"/>
                      <w:szCs w:val="20"/>
                    </w:rPr>
                  </w:pPr>
                  <w:r w:rsidRPr="00931C5D">
                    <w:rPr>
                      <w:rFonts w:ascii="Arial" w:hAnsi="Arial" w:cs="Arial"/>
                      <w:sz w:val="20"/>
                      <w:szCs w:val="20"/>
                      <w:lang w:val="es-ES"/>
                    </w:rPr>
                    <w:t xml:space="preserve">Esta hoja de firmas forma parte de la </w:t>
                  </w:r>
                  <w:r w:rsidRPr="00931C5D">
                    <w:rPr>
                      <w:rFonts w:ascii="Arial" w:hAnsi="Arial" w:cs="Arial"/>
                      <w:sz w:val="20"/>
                      <w:szCs w:val="20"/>
                    </w:rPr>
                    <w:t xml:space="preserve">Iniciativa para expedir la Ley de Ingresos del Estado de Yucatán para el Ejercicio Fiscal </w:t>
                  </w:r>
                  <w:r>
                    <w:rPr>
                      <w:rFonts w:ascii="Arial" w:hAnsi="Arial" w:cs="Arial"/>
                      <w:sz w:val="20"/>
                      <w:szCs w:val="20"/>
                    </w:rPr>
                    <w:t>2023.</w:t>
                  </w:r>
                </w:p>
                <w:p w:rsidR="007B32A5" w:rsidRPr="00931C5D" w:rsidRDefault="007B32A5" w:rsidP="00A43C57"/>
              </w:txbxContent>
            </v:textbox>
            <w10:wrap anchorx="margin" anchory="page"/>
          </v:shape>
        </w:pict>
      </w:r>
      <w:r w:rsidR="001D2525" w:rsidRPr="00D93F7E">
        <w:rPr>
          <w:rFonts w:ascii="Arial" w:hAnsi="Arial" w:cs="Arial"/>
          <w:b/>
          <w:szCs w:val="24"/>
        </w:rPr>
        <w:t>Quinto</w:t>
      </w:r>
      <w:r w:rsidR="003D6FFD" w:rsidRPr="00D93F7E">
        <w:rPr>
          <w:rFonts w:ascii="Arial" w:hAnsi="Arial" w:cs="Arial"/>
          <w:b/>
          <w:szCs w:val="24"/>
        </w:rPr>
        <w:t>. Fideicomisos</w:t>
      </w:r>
    </w:p>
    <w:p w:rsidR="006D1F0F" w:rsidRPr="00D93F7E" w:rsidRDefault="003D6FFD" w:rsidP="009846A0">
      <w:pPr>
        <w:spacing w:before="200" w:line="240" w:lineRule="auto"/>
        <w:jc w:val="both"/>
        <w:rPr>
          <w:rFonts w:ascii="Arial" w:hAnsi="Arial" w:cs="Arial"/>
          <w:szCs w:val="24"/>
        </w:rPr>
      </w:pPr>
      <w:r w:rsidRPr="00D93F7E">
        <w:rPr>
          <w:rFonts w:ascii="Arial" w:hAnsi="Arial" w:cs="Arial"/>
          <w:szCs w:val="24"/>
        </w:rPr>
        <w:t>Las dependencias y entidades</w:t>
      </w:r>
      <w:r w:rsidR="000E62A8" w:rsidRPr="000E62A8">
        <w:rPr>
          <w:rFonts w:ascii="Arial" w:hAnsi="Arial" w:cs="Arial"/>
          <w:szCs w:val="24"/>
        </w:rPr>
        <w:t xml:space="preserve"> </w:t>
      </w:r>
      <w:r w:rsidR="000E62A8" w:rsidRPr="00D93F7E">
        <w:rPr>
          <w:rFonts w:ascii="Arial" w:hAnsi="Arial" w:cs="Arial"/>
          <w:szCs w:val="24"/>
        </w:rPr>
        <w:t>de la Administración Pública estatal</w:t>
      </w:r>
      <w:r w:rsidR="000E62A8">
        <w:rPr>
          <w:rFonts w:ascii="Arial" w:hAnsi="Arial" w:cs="Arial"/>
          <w:szCs w:val="24"/>
        </w:rPr>
        <w:t>, los Poderes y los organismos constitucionales</w:t>
      </w:r>
      <w:r w:rsidR="00C0453B">
        <w:rPr>
          <w:rFonts w:ascii="Arial" w:hAnsi="Arial" w:cs="Arial"/>
          <w:szCs w:val="24"/>
        </w:rPr>
        <w:t xml:space="preserve"> autónomos </w:t>
      </w:r>
      <w:r w:rsidRPr="00D93F7E">
        <w:rPr>
          <w:rFonts w:ascii="Arial" w:hAnsi="Arial" w:cs="Arial"/>
          <w:szCs w:val="24"/>
        </w:rPr>
        <w:t>deberán remitir a la Secretaría de Administración y Finanzas, durante el primer trimestre de</w:t>
      </w:r>
      <w:r w:rsidR="00CB1535">
        <w:rPr>
          <w:rFonts w:ascii="Arial" w:hAnsi="Arial" w:cs="Arial"/>
          <w:szCs w:val="24"/>
        </w:rPr>
        <w:t>l</w:t>
      </w:r>
      <w:r w:rsidRPr="00D93F7E">
        <w:rPr>
          <w:rFonts w:ascii="Arial" w:hAnsi="Arial" w:cs="Arial"/>
          <w:szCs w:val="24"/>
        </w:rPr>
        <w:t xml:space="preserve"> ejercicio fiscal</w:t>
      </w:r>
      <w:r w:rsidR="00CB1535">
        <w:rPr>
          <w:rFonts w:ascii="Arial" w:hAnsi="Arial" w:cs="Arial"/>
          <w:szCs w:val="24"/>
        </w:rPr>
        <w:t xml:space="preserve"> </w:t>
      </w:r>
      <w:r w:rsidR="00D33044">
        <w:rPr>
          <w:rFonts w:ascii="Arial" w:hAnsi="Arial" w:cs="Arial"/>
          <w:szCs w:val="24"/>
        </w:rPr>
        <w:t>2023</w:t>
      </w:r>
      <w:r w:rsidRPr="00D93F7E">
        <w:rPr>
          <w:rFonts w:ascii="Arial" w:hAnsi="Arial" w:cs="Arial"/>
          <w:szCs w:val="24"/>
        </w:rPr>
        <w:t>, un informe de los fideicomisos, mandatos o análogos públicos susceptibles de extinguirse en términos de</w:t>
      </w:r>
      <w:r w:rsidR="006C202E" w:rsidRPr="00D93F7E">
        <w:rPr>
          <w:rFonts w:ascii="Arial" w:hAnsi="Arial" w:cs="Arial"/>
          <w:szCs w:val="24"/>
        </w:rPr>
        <w:t xml:space="preserve"> las disposiciones aplicables. L</w:t>
      </w:r>
      <w:r w:rsidRPr="00D93F7E">
        <w:rPr>
          <w:rFonts w:ascii="Arial" w:hAnsi="Arial" w:cs="Arial"/>
          <w:szCs w:val="24"/>
        </w:rPr>
        <w:t>o anterior</w:t>
      </w:r>
      <w:r w:rsidR="006C202E" w:rsidRPr="00D93F7E">
        <w:rPr>
          <w:rFonts w:ascii="Arial" w:hAnsi="Arial" w:cs="Arial"/>
          <w:szCs w:val="24"/>
        </w:rPr>
        <w:t>,</w:t>
      </w:r>
      <w:r w:rsidRPr="00D93F7E">
        <w:rPr>
          <w:rFonts w:ascii="Arial" w:hAnsi="Arial" w:cs="Arial"/>
          <w:szCs w:val="24"/>
        </w:rPr>
        <w:t xml:space="preserve"> a efecto de que se lleven a cabo los actos necesarios para la extinción de </w:t>
      </w:r>
      <w:r w:rsidR="006C202E" w:rsidRPr="00D93F7E">
        <w:rPr>
          <w:rFonts w:ascii="Arial" w:hAnsi="Arial" w:cs="Arial"/>
          <w:szCs w:val="24"/>
        </w:rPr>
        <w:t>dichas figuras</w:t>
      </w:r>
      <w:r w:rsidRPr="00D93F7E">
        <w:rPr>
          <w:rFonts w:ascii="Arial" w:hAnsi="Arial" w:cs="Arial"/>
          <w:szCs w:val="24"/>
        </w:rPr>
        <w:t>, conforme a lo establecido en la Ley del Presupuesto y Contabilidad Gubernamental del Estado de Yucatán y su reglamento.</w:t>
      </w: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Atentamente</w:t>
      </w:r>
    </w:p>
    <w:p w:rsidR="0028433C" w:rsidRPr="00D93F7E" w:rsidRDefault="0028433C" w:rsidP="008A39AA">
      <w:pPr>
        <w:spacing w:before="100" w:beforeAutospacing="1" w:after="100" w:afterAutospacing="1" w:line="240" w:lineRule="auto"/>
        <w:jc w:val="both"/>
        <w:rPr>
          <w:rFonts w:ascii="Arial" w:hAnsi="Arial" w:cs="Arial"/>
          <w:szCs w:val="24"/>
        </w:rPr>
      </w:pPr>
    </w:p>
    <w:p w:rsidR="003D6FFD" w:rsidRPr="00D93F7E" w:rsidRDefault="003D6FFD" w:rsidP="008A39AA">
      <w:pPr>
        <w:spacing w:before="100" w:beforeAutospacing="1" w:after="100" w:afterAutospacing="1" w:line="240" w:lineRule="auto"/>
        <w:jc w:val="center"/>
        <w:rPr>
          <w:rFonts w:ascii="Arial" w:hAnsi="Arial" w:cs="Arial"/>
          <w:b/>
          <w:szCs w:val="24"/>
        </w:rPr>
      </w:pPr>
      <w:r w:rsidRPr="00D93F7E">
        <w:rPr>
          <w:rFonts w:ascii="Arial" w:hAnsi="Arial" w:cs="Arial"/>
          <w:b/>
          <w:szCs w:val="24"/>
        </w:rPr>
        <w:t>Lic. Mauricio Vila Dosal</w:t>
      </w:r>
      <w:r w:rsidR="0028433C" w:rsidRPr="00D93F7E">
        <w:rPr>
          <w:rFonts w:ascii="Arial" w:hAnsi="Arial" w:cs="Arial"/>
          <w:b/>
          <w:szCs w:val="24"/>
        </w:rPr>
        <w:br/>
      </w:r>
      <w:r w:rsidR="00AB49FD" w:rsidRPr="00D93F7E">
        <w:rPr>
          <w:rFonts w:ascii="Arial" w:hAnsi="Arial" w:cs="Arial"/>
          <w:b/>
          <w:szCs w:val="24"/>
        </w:rPr>
        <w:t>Gobernador del E</w:t>
      </w:r>
      <w:r w:rsidRPr="00D93F7E">
        <w:rPr>
          <w:rFonts w:ascii="Arial" w:hAnsi="Arial" w:cs="Arial"/>
          <w:b/>
          <w:szCs w:val="24"/>
        </w:rPr>
        <w:t>stado de Yucatán</w:t>
      </w:r>
    </w:p>
    <w:p w:rsidR="0028433C" w:rsidRPr="00D93F7E" w:rsidRDefault="0028433C" w:rsidP="008A39AA">
      <w:pPr>
        <w:spacing w:before="100" w:beforeAutospacing="1" w:after="100" w:afterAutospacing="1" w:line="240" w:lineRule="auto"/>
        <w:jc w:val="both"/>
        <w:rPr>
          <w:rFonts w:ascii="Arial" w:hAnsi="Arial" w:cs="Arial"/>
          <w:szCs w:val="24"/>
        </w:rPr>
      </w:pPr>
    </w:p>
    <w:p w:rsidR="005C4419" w:rsidRPr="00D93F7E" w:rsidRDefault="003D6FFD" w:rsidP="008A39AA">
      <w:pPr>
        <w:spacing w:before="100" w:beforeAutospacing="1" w:after="100" w:afterAutospacing="1" w:line="240" w:lineRule="auto"/>
        <w:rPr>
          <w:rFonts w:ascii="Arial" w:hAnsi="Arial" w:cs="Arial"/>
          <w:szCs w:val="24"/>
        </w:rPr>
        <w:sectPr w:rsidR="005C4419" w:rsidRPr="00D93F7E" w:rsidSect="008A39AA">
          <w:footerReference w:type="default" r:id="rId8"/>
          <w:pgSz w:w="12240" w:h="15840"/>
          <w:pgMar w:top="3005" w:right="1418" w:bottom="1985" w:left="1418" w:header="709" w:footer="709" w:gutter="0"/>
          <w:cols w:space="708"/>
          <w:docGrid w:linePitch="360"/>
        </w:sectPr>
      </w:pPr>
      <w:r w:rsidRPr="00D93F7E">
        <w:rPr>
          <w:rFonts w:ascii="Arial" w:hAnsi="Arial" w:cs="Arial"/>
          <w:b/>
          <w:szCs w:val="24"/>
        </w:rPr>
        <w:t>Abog. María Dolores Fritz Sierra</w:t>
      </w:r>
      <w:r w:rsidR="0028433C" w:rsidRPr="00D93F7E">
        <w:rPr>
          <w:rFonts w:ascii="Arial" w:hAnsi="Arial" w:cs="Arial"/>
          <w:b/>
          <w:szCs w:val="24"/>
        </w:rPr>
        <w:br/>
      </w:r>
      <w:r w:rsidRPr="00D93F7E">
        <w:rPr>
          <w:rFonts w:ascii="Arial" w:hAnsi="Arial" w:cs="Arial"/>
          <w:b/>
          <w:szCs w:val="24"/>
        </w:rPr>
        <w:t>Secretaria general de Gobierno</w:t>
      </w:r>
      <w:r w:rsidR="005C4419" w:rsidRPr="00D93F7E">
        <w:rPr>
          <w:rFonts w:ascii="Arial" w:hAnsi="Arial" w:cs="Arial"/>
          <w:szCs w:val="24"/>
        </w:rPr>
        <w:br w:type="page"/>
      </w:r>
    </w:p>
    <w:p w:rsidR="003F2C7B" w:rsidRDefault="003F2C7B" w:rsidP="003F2C7B">
      <w:pPr>
        <w:spacing w:after="0" w:line="240" w:lineRule="auto"/>
        <w:jc w:val="center"/>
        <w:rPr>
          <w:rFonts w:ascii="Arial" w:hAnsi="Arial" w:cs="Arial"/>
          <w:b/>
        </w:rPr>
      </w:pPr>
      <w:r w:rsidRPr="00D93F7E">
        <w:rPr>
          <w:rFonts w:ascii="Arial" w:hAnsi="Arial" w:cs="Arial"/>
          <w:b/>
        </w:rPr>
        <w:lastRenderedPageBreak/>
        <w:t>Anexo I</w:t>
      </w:r>
      <w:r>
        <w:rPr>
          <w:rFonts w:ascii="Arial" w:hAnsi="Arial" w:cs="Arial"/>
          <w:b/>
        </w:rPr>
        <w:br/>
      </w:r>
      <w:r w:rsidRPr="00D93F7E">
        <w:rPr>
          <w:rFonts w:ascii="Arial" w:hAnsi="Arial" w:cs="Arial"/>
          <w:b/>
        </w:rPr>
        <w:t>Proyecciones de ingresos a cinco años</w:t>
      </w:r>
    </w:p>
    <w:p w:rsidR="003F2C7B" w:rsidRPr="00D93F7E" w:rsidRDefault="003F2C7B" w:rsidP="003F2C7B">
      <w:pPr>
        <w:spacing w:after="0" w:line="240" w:lineRule="auto"/>
        <w:jc w:val="center"/>
        <w:rPr>
          <w:rFonts w:ascii="Arial" w:hAnsi="Arial" w:cs="Arial"/>
          <w:b/>
        </w:rPr>
      </w:pPr>
    </w:p>
    <w:tbl>
      <w:tblPr>
        <w:tblW w:w="3829" w:type="pct"/>
        <w:tblInd w:w="921" w:type="dxa"/>
        <w:tblCellMar>
          <w:left w:w="70" w:type="dxa"/>
          <w:right w:w="70" w:type="dxa"/>
        </w:tblCellMar>
        <w:tblLook w:val="04A0"/>
      </w:tblPr>
      <w:tblGrid>
        <w:gridCol w:w="3660"/>
        <w:gridCol w:w="1257"/>
        <w:gridCol w:w="1236"/>
        <w:gridCol w:w="1243"/>
        <w:gridCol w:w="1242"/>
        <w:gridCol w:w="1274"/>
        <w:gridCol w:w="1223"/>
      </w:tblGrid>
      <w:tr w:rsidR="003F2C7B" w:rsidRPr="00BD22D1" w:rsidTr="00E36605">
        <w:trPr>
          <w:trHeight w:val="859"/>
        </w:trPr>
        <w:tc>
          <w:tcPr>
            <w:tcW w:w="5000" w:type="pct"/>
            <w:gridSpan w:val="7"/>
            <w:tcBorders>
              <w:top w:val="single" w:sz="4" w:space="0" w:color="auto"/>
              <w:left w:val="single" w:sz="4" w:space="0" w:color="auto"/>
              <w:bottom w:val="single" w:sz="4" w:space="0" w:color="auto"/>
              <w:right w:val="single" w:sz="4" w:space="0" w:color="000000"/>
            </w:tcBorders>
            <w:shd w:val="clear" w:color="000000" w:fill="D9D9D9"/>
            <w:vAlign w:val="center"/>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Poder Ejecutivo del Gobierno del Estado de Yucatán</w:t>
            </w:r>
            <w:r w:rsidRPr="00BD22D1">
              <w:rPr>
                <w:rFonts w:ascii="Barlow" w:eastAsia="Times New Roman" w:hAnsi="Barlow" w:cs="Times New Roman"/>
                <w:b/>
                <w:bCs/>
                <w:color w:val="000000"/>
                <w:sz w:val="16"/>
                <w:szCs w:val="16"/>
              </w:rPr>
              <w:br/>
              <w:t>Proyecciones de Ingresos - LDF</w:t>
            </w:r>
            <w:r w:rsidRPr="00BD22D1">
              <w:rPr>
                <w:rFonts w:ascii="Barlow" w:eastAsia="Times New Roman" w:hAnsi="Barlow" w:cs="Times New Roman"/>
                <w:b/>
                <w:bCs/>
                <w:color w:val="000000"/>
                <w:sz w:val="16"/>
                <w:szCs w:val="16"/>
              </w:rPr>
              <w:br/>
              <w:t>(Pesos)</w:t>
            </w:r>
            <w:r w:rsidRPr="00BD22D1">
              <w:rPr>
                <w:rFonts w:ascii="Barlow" w:eastAsia="Times New Roman" w:hAnsi="Barlow" w:cs="Times New Roman"/>
                <w:b/>
                <w:bCs/>
                <w:color w:val="000000"/>
                <w:sz w:val="16"/>
                <w:szCs w:val="16"/>
              </w:rPr>
              <w:br/>
              <w:t>(Cifras Nominales)</w:t>
            </w:r>
          </w:p>
        </w:tc>
      </w:tr>
      <w:tr w:rsidR="00E36605" w:rsidRPr="00BD22D1" w:rsidTr="00E36605">
        <w:trPr>
          <w:trHeight w:val="227"/>
        </w:trPr>
        <w:tc>
          <w:tcPr>
            <w:tcW w:w="1645" w:type="pct"/>
            <w:tcBorders>
              <w:top w:val="nil"/>
              <w:left w:val="single" w:sz="4" w:space="0" w:color="auto"/>
              <w:bottom w:val="single" w:sz="4" w:space="0" w:color="auto"/>
              <w:right w:val="nil"/>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2023</w:t>
            </w:r>
          </w:p>
        </w:tc>
        <w:tc>
          <w:tcPr>
            <w:tcW w:w="556" w:type="pct"/>
            <w:tcBorders>
              <w:top w:val="nil"/>
              <w:left w:val="nil"/>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2024</w:t>
            </w:r>
          </w:p>
        </w:tc>
        <w:tc>
          <w:tcPr>
            <w:tcW w:w="558" w:type="pct"/>
            <w:tcBorders>
              <w:top w:val="nil"/>
              <w:left w:val="nil"/>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2025</w:t>
            </w:r>
          </w:p>
        </w:tc>
        <w:tc>
          <w:tcPr>
            <w:tcW w:w="560" w:type="pct"/>
            <w:tcBorders>
              <w:top w:val="nil"/>
              <w:left w:val="nil"/>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2026</w:t>
            </w:r>
          </w:p>
        </w:tc>
        <w:tc>
          <w:tcPr>
            <w:tcW w:w="573" w:type="pct"/>
            <w:tcBorders>
              <w:top w:val="nil"/>
              <w:left w:val="nil"/>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2027</w:t>
            </w:r>
          </w:p>
        </w:tc>
        <w:tc>
          <w:tcPr>
            <w:tcW w:w="544" w:type="pct"/>
            <w:tcBorders>
              <w:top w:val="nil"/>
              <w:left w:val="nil"/>
              <w:bottom w:val="single" w:sz="4" w:space="0" w:color="auto"/>
              <w:right w:val="single" w:sz="4" w:space="0" w:color="auto"/>
            </w:tcBorders>
            <w:shd w:val="clear" w:color="000000" w:fill="D9D9D9"/>
            <w:vAlign w:val="bottom"/>
            <w:hideMark/>
          </w:tcPr>
          <w:p w:rsidR="003F2C7B" w:rsidRPr="00BD22D1" w:rsidRDefault="003F2C7B" w:rsidP="00090DD9">
            <w:pPr>
              <w:spacing w:after="0" w:line="240" w:lineRule="auto"/>
              <w:jc w:val="center"/>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2028</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27,312,813,551</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28,160,491,171</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30,258,269,804</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31,848,223,896</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33,873,738,394</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35,839,653,209</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A. Impuestos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3,329,627,742</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3,528,872,666</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3,740,040,406</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3,963,844,424</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4,201,040,874</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4,452,431,160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D. Derechos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2,015,803,265</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2,136,428,932</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2,264,272,839</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2,399,766,926</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2,543,368,979</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2,695,564,179</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E. Productos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200,869,801</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212,889,849</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225,629,178</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239,130,828</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253,440,417</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268,606,291</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323,671,692</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343,040,206</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363,567,731</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385,323,625</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408,381,390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432,818,933</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H. Participaciones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20,450,495,112</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20,887,531,599</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22,550,096,332</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23,678,793,322</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25,215,449,095</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26,663,251,878</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992,345,939</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1,051,727,919</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1,114,663,318</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1,181,364,771</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1,252,057,639</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1,326,980,768</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K. Convenios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22,565,420,405</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23,382,349,255</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24,836,273,579</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26,060,644,210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27,522,887,848</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28,977,511,514</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A. Aportaciones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17,298,638,573</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17,943,767,948</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19,220,155,147</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20,261,054,953</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21,533,691,170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22,792,360,840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B. Convenios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2,971,174,972</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3,054,937,204</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3,141,060,829</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3,229,612,418</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3,320,660,420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3,414,275,213</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D. Transferencias, Asignaciones, Subsidios y Subvenciones, y Pensiones y Jubilaciones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2,295,606,860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2,383,644,103</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2,475,057,603</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2,569,976,839</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2,668,536,258</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2,770,875,461</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E. Otras Transferencias Federales Etiquetadas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3. Ingresos Derivados de Financiamientos (3=A)</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1</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A. Ingresos Derivados de Financiamientos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49,878,233,957</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51,542,840,426</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55,094,543,383</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57,908,868,106</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61,396,626,242</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64,817,164,723</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b/>
                <w:bCs/>
                <w:color w:val="000000"/>
                <w:sz w:val="16"/>
                <w:szCs w:val="16"/>
              </w:rPr>
            </w:pPr>
            <w:r w:rsidRPr="00BD22D1">
              <w:rPr>
                <w:rFonts w:ascii="Barlow" w:eastAsia="Times New Roman" w:hAnsi="Barlow" w:cs="Times New Roman"/>
                <w:b/>
                <w:bCs/>
                <w:color w:val="000000"/>
                <w:sz w:val="16"/>
                <w:szCs w:val="16"/>
              </w:rPr>
              <w:t>Datos Informativos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 </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1</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nil"/>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nil"/>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r w:rsidR="00E36605" w:rsidRPr="00BD22D1" w:rsidTr="00E36605">
        <w:trPr>
          <w:trHeight w:val="227"/>
        </w:trPr>
        <w:tc>
          <w:tcPr>
            <w:tcW w:w="1645" w:type="pct"/>
            <w:tcBorders>
              <w:top w:val="nil"/>
              <w:left w:val="single" w:sz="4" w:space="0" w:color="auto"/>
              <w:bottom w:val="single" w:sz="4" w:space="0" w:color="auto"/>
              <w:right w:val="nil"/>
            </w:tcBorders>
            <w:shd w:val="clear" w:color="auto" w:fill="auto"/>
            <w:vAlign w:val="bottom"/>
            <w:hideMark/>
          </w:tcPr>
          <w:p w:rsidR="003F2C7B" w:rsidRPr="00BD22D1" w:rsidRDefault="003F2C7B" w:rsidP="00090DD9">
            <w:pPr>
              <w:spacing w:after="0" w:line="240" w:lineRule="auto"/>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6" w:type="pct"/>
            <w:tcBorders>
              <w:top w:val="nil"/>
              <w:left w:val="nil"/>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58" w:type="pct"/>
            <w:tcBorders>
              <w:top w:val="nil"/>
              <w:left w:val="nil"/>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60" w:type="pct"/>
            <w:tcBorders>
              <w:top w:val="nil"/>
              <w:left w:val="nil"/>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73" w:type="pct"/>
            <w:tcBorders>
              <w:top w:val="nil"/>
              <w:left w:val="nil"/>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c>
          <w:tcPr>
            <w:tcW w:w="544" w:type="pct"/>
            <w:tcBorders>
              <w:top w:val="nil"/>
              <w:left w:val="nil"/>
              <w:bottom w:val="single" w:sz="4" w:space="0" w:color="auto"/>
              <w:right w:val="single" w:sz="4" w:space="0" w:color="auto"/>
            </w:tcBorders>
            <w:shd w:val="clear" w:color="auto" w:fill="auto"/>
            <w:vAlign w:val="bottom"/>
            <w:hideMark/>
          </w:tcPr>
          <w:p w:rsidR="003F2C7B" w:rsidRPr="00BD22D1" w:rsidRDefault="003F2C7B" w:rsidP="00090DD9">
            <w:pPr>
              <w:spacing w:after="0" w:line="240" w:lineRule="auto"/>
              <w:jc w:val="right"/>
              <w:rPr>
                <w:rFonts w:ascii="Barlow" w:eastAsia="Times New Roman" w:hAnsi="Barlow" w:cs="Times New Roman"/>
                <w:color w:val="000000"/>
                <w:sz w:val="16"/>
                <w:szCs w:val="16"/>
              </w:rPr>
            </w:pPr>
            <w:r w:rsidRPr="00BD22D1">
              <w:rPr>
                <w:rFonts w:ascii="Barlow" w:eastAsia="Times New Roman" w:hAnsi="Barlow" w:cs="Times New Roman"/>
                <w:color w:val="000000"/>
                <w:sz w:val="16"/>
                <w:szCs w:val="16"/>
              </w:rPr>
              <w:t>0</w:t>
            </w:r>
          </w:p>
        </w:tc>
      </w:tr>
    </w:tbl>
    <w:p w:rsidR="003F2C7B" w:rsidRPr="00D93F7E" w:rsidRDefault="003F2C7B" w:rsidP="003F2C7B">
      <w:pPr>
        <w:spacing w:after="0" w:line="240" w:lineRule="auto"/>
        <w:jc w:val="center"/>
      </w:pPr>
    </w:p>
    <w:p w:rsidR="003F2C7B" w:rsidRPr="00E36605" w:rsidRDefault="003F2C7B" w:rsidP="00E36605">
      <w:pPr>
        <w:spacing w:after="0" w:line="240" w:lineRule="auto"/>
        <w:ind w:left="851" w:right="2493"/>
        <w:jc w:val="both"/>
        <w:rPr>
          <w:rFonts w:ascii="Barlow" w:hAnsi="Barlow" w:cs="Arial"/>
          <w:sz w:val="20"/>
        </w:rPr>
      </w:pPr>
      <w:r w:rsidRPr="00E36605">
        <w:rPr>
          <w:rFonts w:ascii="Barlow" w:hAnsi="Barlow" w:cs="Arial"/>
          <w:sz w:val="20"/>
        </w:rPr>
        <w:t>Esta hoja pertenece a la Iniciativa para expedir la Ley de Ingresos Estado de Yucatán para el Ejercicio Fiscal 2023.</w:t>
      </w:r>
      <w:r w:rsidRPr="00E36605">
        <w:rPr>
          <w:rFonts w:ascii="Barlow" w:hAnsi="Barlow" w:cs="Arial"/>
          <w:sz w:val="20"/>
        </w:rPr>
        <w:br w:type="page"/>
      </w:r>
    </w:p>
    <w:p w:rsidR="003F2C7B" w:rsidRPr="00BD22D1" w:rsidRDefault="003F2C7B" w:rsidP="003F2C7B">
      <w:pPr>
        <w:spacing w:after="0" w:line="240" w:lineRule="auto"/>
        <w:jc w:val="center"/>
        <w:rPr>
          <w:rFonts w:ascii="Arial" w:hAnsi="Arial" w:cs="Arial"/>
          <w:b/>
        </w:rPr>
      </w:pPr>
      <w:r w:rsidRPr="00BD22D1">
        <w:rPr>
          <w:rFonts w:ascii="Arial" w:hAnsi="Arial" w:cs="Arial"/>
          <w:b/>
        </w:rPr>
        <w:lastRenderedPageBreak/>
        <w:t>Anexo II</w:t>
      </w:r>
    </w:p>
    <w:p w:rsidR="003F2C7B" w:rsidRPr="00BD22D1" w:rsidRDefault="003F2C7B" w:rsidP="003F2C7B">
      <w:pPr>
        <w:spacing w:after="0" w:line="240" w:lineRule="auto"/>
        <w:jc w:val="center"/>
        <w:rPr>
          <w:rFonts w:ascii="Arial" w:hAnsi="Arial" w:cs="Arial"/>
          <w:b/>
        </w:rPr>
      </w:pPr>
      <w:r w:rsidRPr="00BD22D1">
        <w:rPr>
          <w:rFonts w:ascii="Arial" w:hAnsi="Arial" w:cs="Arial"/>
          <w:b/>
        </w:rPr>
        <w:t>Resultados de ingresos de cinco años anteriores</w:t>
      </w:r>
    </w:p>
    <w:p w:rsidR="003F2C7B" w:rsidRPr="00A52022" w:rsidRDefault="003F2C7B" w:rsidP="003F2C7B">
      <w:pPr>
        <w:spacing w:after="0" w:line="240" w:lineRule="auto"/>
        <w:jc w:val="center"/>
        <w:rPr>
          <w:rFonts w:ascii="Arial" w:hAnsi="Arial" w:cs="Arial"/>
          <w:b/>
          <w:sz w:val="12"/>
        </w:rPr>
      </w:pPr>
    </w:p>
    <w:tbl>
      <w:tblPr>
        <w:tblW w:w="3778" w:type="pct"/>
        <w:tblInd w:w="856" w:type="dxa"/>
        <w:tblCellMar>
          <w:left w:w="70" w:type="dxa"/>
          <w:right w:w="70" w:type="dxa"/>
        </w:tblCellMar>
        <w:tblLook w:val="04A0"/>
      </w:tblPr>
      <w:tblGrid>
        <w:gridCol w:w="3446"/>
        <w:gridCol w:w="1241"/>
        <w:gridCol w:w="1380"/>
        <w:gridCol w:w="1237"/>
        <w:gridCol w:w="1202"/>
        <w:gridCol w:w="1261"/>
        <w:gridCol w:w="1219"/>
      </w:tblGrid>
      <w:tr w:rsidR="003F2C7B" w:rsidRPr="00AB1135" w:rsidTr="00BD22D1">
        <w:trPr>
          <w:trHeight w:val="270"/>
        </w:trPr>
        <w:tc>
          <w:tcPr>
            <w:tcW w:w="5000" w:type="pct"/>
            <w:gridSpan w:val="7"/>
            <w:tcBorders>
              <w:top w:val="single" w:sz="4" w:space="0" w:color="auto"/>
              <w:left w:val="single" w:sz="4" w:space="0" w:color="auto"/>
              <w:bottom w:val="single" w:sz="4" w:space="0" w:color="auto"/>
              <w:right w:val="single" w:sz="4" w:space="0" w:color="auto"/>
            </w:tcBorders>
            <w:shd w:val="clear" w:color="000000" w:fill="D9D9D9"/>
            <w:vAlign w:val="bottom"/>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Poder Ejecutivo del Gobierno del Estado de Yucatán</w:t>
            </w:r>
            <w:r w:rsidRPr="00AB1135">
              <w:rPr>
                <w:rFonts w:ascii="Barlow" w:eastAsia="Times New Roman" w:hAnsi="Barlow" w:cs="Times New Roman"/>
                <w:b/>
                <w:bCs/>
                <w:color w:val="000000"/>
                <w:sz w:val="16"/>
                <w:szCs w:val="16"/>
              </w:rPr>
              <w:br/>
              <w:t>Resultado de Ingresos - LDF</w:t>
            </w:r>
            <w:r w:rsidRPr="00AB1135">
              <w:rPr>
                <w:rFonts w:ascii="Barlow" w:eastAsia="Times New Roman" w:hAnsi="Barlow" w:cs="Times New Roman"/>
                <w:b/>
                <w:bCs/>
                <w:color w:val="000000"/>
                <w:sz w:val="16"/>
                <w:szCs w:val="16"/>
              </w:rPr>
              <w:br/>
              <w:t>(Pesos)</w:t>
            </w:r>
          </w:p>
        </w:tc>
      </w:tr>
      <w:tr w:rsidR="00AB1135" w:rsidRPr="00AB1135" w:rsidTr="00BD22D1">
        <w:trPr>
          <w:trHeight w:val="270"/>
        </w:trPr>
        <w:tc>
          <w:tcPr>
            <w:tcW w:w="1568" w:type="pct"/>
            <w:tcBorders>
              <w:top w:val="nil"/>
              <w:left w:val="single" w:sz="4" w:space="0" w:color="auto"/>
              <w:bottom w:val="single" w:sz="4" w:space="0" w:color="auto"/>
              <w:right w:val="nil"/>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Concepto</w:t>
            </w:r>
          </w:p>
        </w:tc>
        <w:tc>
          <w:tcPr>
            <w:tcW w:w="565" w:type="pct"/>
            <w:tcBorders>
              <w:top w:val="nil"/>
              <w:left w:val="single" w:sz="4" w:space="0" w:color="auto"/>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2017</w:t>
            </w:r>
            <w:r w:rsidRPr="00AB1135">
              <w:rPr>
                <w:rFonts w:ascii="Barlow" w:eastAsia="Times New Roman" w:hAnsi="Barlow" w:cs="Times New Roman"/>
                <w:b/>
                <w:bCs/>
                <w:color w:val="000000"/>
                <w:sz w:val="16"/>
                <w:szCs w:val="16"/>
                <w:vertAlign w:val="superscript"/>
              </w:rPr>
              <w:t>1</w:t>
            </w:r>
          </w:p>
        </w:tc>
        <w:tc>
          <w:tcPr>
            <w:tcW w:w="628" w:type="pct"/>
            <w:tcBorders>
              <w:top w:val="nil"/>
              <w:left w:val="nil"/>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2018</w:t>
            </w:r>
            <w:r w:rsidRPr="00AB1135">
              <w:rPr>
                <w:rFonts w:ascii="Barlow" w:eastAsia="Times New Roman" w:hAnsi="Barlow" w:cs="Times New Roman"/>
                <w:b/>
                <w:bCs/>
                <w:color w:val="000000"/>
                <w:sz w:val="16"/>
                <w:szCs w:val="16"/>
                <w:vertAlign w:val="superscript"/>
              </w:rPr>
              <w:t>1</w:t>
            </w:r>
          </w:p>
        </w:tc>
        <w:tc>
          <w:tcPr>
            <w:tcW w:w="563" w:type="pct"/>
            <w:tcBorders>
              <w:top w:val="nil"/>
              <w:left w:val="nil"/>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2019</w:t>
            </w:r>
            <w:r w:rsidRPr="00AB1135">
              <w:rPr>
                <w:rFonts w:ascii="Barlow" w:eastAsia="Times New Roman" w:hAnsi="Barlow" w:cs="Times New Roman"/>
                <w:b/>
                <w:bCs/>
                <w:color w:val="000000"/>
                <w:sz w:val="16"/>
                <w:szCs w:val="16"/>
                <w:vertAlign w:val="superscript"/>
              </w:rPr>
              <w:t>1</w:t>
            </w:r>
          </w:p>
        </w:tc>
        <w:tc>
          <w:tcPr>
            <w:tcW w:w="547" w:type="pct"/>
            <w:tcBorders>
              <w:top w:val="nil"/>
              <w:left w:val="nil"/>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2020</w:t>
            </w:r>
            <w:r w:rsidRPr="00AB1135">
              <w:rPr>
                <w:rFonts w:ascii="Barlow" w:eastAsia="Times New Roman" w:hAnsi="Barlow" w:cs="Times New Roman"/>
                <w:b/>
                <w:bCs/>
                <w:color w:val="000000"/>
                <w:sz w:val="16"/>
                <w:szCs w:val="16"/>
                <w:vertAlign w:val="superscript"/>
              </w:rPr>
              <w:t>1</w:t>
            </w:r>
          </w:p>
        </w:tc>
        <w:tc>
          <w:tcPr>
            <w:tcW w:w="574" w:type="pct"/>
            <w:tcBorders>
              <w:top w:val="nil"/>
              <w:left w:val="nil"/>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2021</w:t>
            </w:r>
            <w:r w:rsidRPr="00AB1135">
              <w:rPr>
                <w:rFonts w:ascii="Barlow" w:eastAsia="Times New Roman" w:hAnsi="Barlow" w:cs="Times New Roman"/>
                <w:b/>
                <w:bCs/>
                <w:color w:val="000000"/>
                <w:sz w:val="16"/>
                <w:szCs w:val="16"/>
                <w:vertAlign w:val="superscript"/>
              </w:rPr>
              <w:t>1</w:t>
            </w:r>
          </w:p>
        </w:tc>
        <w:tc>
          <w:tcPr>
            <w:tcW w:w="555" w:type="pct"/>
            <w:tcBorders>
              <w:top w:val="nil"/>
              <w:left w:val="nil"/>
              <w:bottom w:val="single" w:sz="4" w:space="0" w:color="auto"/>
              <w:right w:val="single" w:sz="4" w:space="0" w:color="auto"/>
            </w:tcBorders>
            <w:shd w:val="clear" w:color="000000" w:fill="D9D9D9"/>
            <w:vAlign w:val="bottom"/>
            <w:hideMark/>
          </w:tcPr>
          <w:p w:rsidR="003F2C7B" w:rsidRPr="00AB1135" w:rsidRDefault="003F2C7B" w:rsidP="00090DD9">
            <w:pPr>
              <w:spacing w:after="0" w:line="240" w:lineRule="auto"/>
              <w:jc w:val="center"/>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2022</w:t>
            </w:r>
            <w:r w:rsidRPr="00AB1135">
              <w:rPr>
                <w:rFonts w:ascii="Barlow" w:eastAsia="Times New Roman" w:hAnsi="Barlow" w:cs="Times New Roman"/>
                <w:b/>
                <w:bCs/>
                <w:color w:val="000000"/>
                <w:sz w:val="16"/>
                <w:szCs w:val="16"/>
                <w:vertAlign w:val="superscript"/>
              </w:rPr>
              <w:t>2</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 xml:space="preserve">1. Ingresos de Libre Disposición (1=A+B+C+D+E+F+G+H+I+J+K+L) </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16,810,135,969</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18,716,987,370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19,334,420,197</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18,725,980,412</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20,052,810,441</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23,198,280,880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A. Impuestos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1,847,773,499</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1,912,884,611</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2,141,174,680</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1,852,494,186</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2,498,927,583</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2,891,251,609</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B. Cuotas y Aportaciones de Seguridad Social</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C. Contribuciones de Mejoras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D. Derechos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1,299,332,443</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1,015,702,760</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1,347,895,991</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846,373,461</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1,507,041,623</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2,032,806,468</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E. Productos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392,541,346</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849,802,159</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122,870,389</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94,364,035</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141,149,777</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175,538,198</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F. Aprovechamientos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199,959,376</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190,335,457</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172,003,240</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112,270,059</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142,506,410</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222,225,496</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G. Ingresos por Venta de Bienes y Prestación de Servicios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H. Participaciones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12,608,152,543</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14,291,031,626</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14,988,596,542</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15,431,424,773</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15,089,827,267</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17,102,815,625</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I. Incentivos Derivados de la Colaboración Fiscal</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462,376,762</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457,230,757</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561,879,355</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389,053,898</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673,357,781</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773,643,484</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J. Transferencias y Asignaciones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K. Convenios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L. Otros Ingresos de Libre Disposición</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 Transferencias Federales Etiquetadas (2=A+B+C+D+E)</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20,563,110,584</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20,175,826,598</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18,729,216,031</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19,739,532,677</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19,392,020,523</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20,616,632,553</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A. Aportaciones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11,975,616,866</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12,752,309,665</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13,550,628,926</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13,975,622,844</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14,197,099,226</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15,340,058,591</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B. Convenios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6,712,995,153</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5,461,093,428</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3,151,398,729</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3,670,494,897</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3,058,160,374</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3,102,296,794</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C. Fondos Distintos de Aportaciones</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D. Transferencias, Asignaciones, Subsidios y Subvenciones, y Pensiones y Jubilaciones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1,831,614,709</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1,915,110,847</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2,005,174,504</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2,084,097,524</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2,136,760,923</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2,174,277,168</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E. Otras Transferencias Federales Etiquetadas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42,883,856</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47,312,658</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22,013,872</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9,317,412</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3. Ingresos Derivados de Financiamientos (3=A)</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2,187,200,000</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0</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784,088,270</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4,504,620,000</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0</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1,734,999,999</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A. Ingresos Derivados de Financiamientos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2,187,200,000</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784,088,270</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4,504,620,000</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1,734,999,999</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4. Total de Ingresos Proyectados (4=1+2+3)</w:t>
            </w:r>
          </w:p>
        </w:tc>
        <w:tc>
          <w:tcPr>
            <w:tcW w:w="565"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39,560,446,553</w:t>
            </w:r>
          </w:p>
        </w:tc>
        <w:tc>
          <w:tcPr>
            <w:tcW w:w="628"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38,892,813,968</w:t>
            </w:r>
          </w:p>
        </w:tc>
        <w:tc>
          <w:tcPr>
            <w:tcW w:w="563"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38,847,724,498</w:t>
            </w:r>
          </w:p>
        </w:tc>
        <w:tc>
          <w:tcPr>
            <w:tcW w:w="547" w:type="pct"/>
            <w:tcBorders>
              <w:top w:val="nil"/>
              <w:left w:val="nil"/>
              <w:bottom w:val="nil"/>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42,970,133,089</w:t>
            </w:r>
          </w:p>
        </w:tc>
        <w:tc>
          <w:tcPr>
            <w:tcW w:w="574" w:type="pct"/>
            <w:tcBorders>
              <w:top w:val="nil"/>
              <w:left w:val="single" w:sz="4" w:space="0" w:color="auto"/>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39,444,830,964</w:t>
            </w:r>
          </w:p>
        </w:tc>
        <w:tc>
          <w:tcPr>
            <w:tcW w:w="555" w:type="pct"/>
            <w:tcBorders>
              <w:top w:val="nil"/>
              <w:left w:val="nil"/>
              <w:bottom w:val="nil"/>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45,549,913,432</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b/>
                <w:bCs/>
                <w:color w:val="000000"/>
                <w:sz w:val="16"/>
                <w:szCs w:val="16"/>
              </w:rPr>
            </w:pPr>
            <w:r w:rsidRPr="00AB1135">
              <w:rPr>
                <w:rFonts w:ascii="Barlow" w:eastAsia="Times New Roman" w:hAnsi="Barlow" w:cs="Times New Roman"/>
                <w:b/>
                <w:bCs/>
                <w:color w:val="000000"/>
                <w:sz w:val="16"/>
                <w:szCs w:val="16"/>
              </w:rPr>
              <w:t>Datos Informativos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 </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 </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 </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 </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 Ingresos Derivados de Financiamientos con Fuente de Pago de Recursos de Libre Disposición</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1,387,200,000</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784,088,270</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4,504,620,000</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1,734,999,999</w:t>
            </w:r>
          </w:p>
        </w:tc>
      </w:tr>
      <w:tr w:rsidR="00AB1135" w:rsidRPr="00AB1135" w:rsidTr="00BD22D1">
        <w:trPr>
          <w:trHeight w:val="240"/>
        </w:trPr>
        <w:tc>
          <w:tcPr>
            <w:tcW w:w="1568" w:type="pct"/>
            <w:tcBorders>
              <w:top w:val="nil"/>
              <w:left w:val="single" w:sz="4" w:space="0" w:color="auto"/>
              <w:bottom w:val="nil"/>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 Ingresos Derivados de Financiamientos con Fuente de Pago de Transferencias Federales Etiquetadas</w:t>
            </w:r>
          </w:p>
        </w:tc>
        <w:tc>
          <w:tcPr>
            <w:tcW w:w="565"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800,000,000</w:t>
            </w:r>
          </w:p>
        </w:tc>
        <w:tc>
          <w:tcPr>
            <w:tcW w:w="628"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47" w:type="pct"/>
            <w:tcBorders>
              <w:top w:val="nil"/>
              <w:left w:val="nil"/>
              <w:bottom w:val="nil"/>
              <w:right w:val="nil"/>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74" w:type="pct"/>
            <w:tcBorders>
              <w:top w:val="nil"/>
              <w:left w:val="single" w:sz="4" w:space="0" w:color="auto"/>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nil"/>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r>
      <w:tr w:rsidR="00AB1135" w:rsidRPr="00AB1135" w:rsidTr="00BD22D1">
        <w:trPr>
          <w:trHeight w:val="240"/>
        </w:trPr>
        <w:tc>
          <w:tcPr>
            <w:tcW w:w="1568" w:type="pct"/>
            <w:tcBorders>
              <w:top w:val="nil"/>
              <w:left w:val="single" w:sz="4" w:space="0" w:color="auto"/>
              <w:bottom w:val="single" w:sz="4" w:space="0" w:color="auto"/>
              <w:right w:val="nil"/>
            </w:tcBorders>
            <w:shd w:val="clear" w:color="auto" w:fill="auto"/>
            <w:vAlign w:val="bottom"/>
            <w:hideMark/>
          </w:tcPr>
          <w:p w:rsidR="003F2C7B" w:rsidRPr="00AB1135" w:rsidRDefault="003F2C7B" w:rsidP="00090DD9">
            <w:pPr>
              <w:spacing w:after="0" w:line="240" w:lineRule="auto"/>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3. Ingresos Derivados de Financiamiento (3 = 1 + 2)</w:t>
            </w:r>
          </w:p>
        </w:tc>
        <w:tc>
          <w:tcPr>
            <w:tcW w:w="565" w:type="pct"/>
            <w:tcBorders>
              <w:top w:val="nil"/>
              <w:left w:val="single" w:sz="4" w:space="0" w:color="auto"/>
              <w:bottom w:val="single" w:sz="4" w:space="0" w:color="auto"/>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2,187,200,000</w:t>
            </w:r>
          </w:p>
        </w:tc>
        <w:tc>
          <w:tcPr>
            <w:tcW w:w="628" w:type="pct"/>
            <w:tcBorders>
              <w:top w:val="nil"/>
              <w:left w:val="nil"/>
              <w:bottom w:val="single" w:sz="4" w:space="0" w:color="auto"/>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63" w:type="pct"/>
            <w:tcBorders>
              <w:top w:val="nil"/>
              <w:left w:val="single" w:sz="4" w:space="0" w:color="auto"/>
              <w:bottom w:val="single" w:sz="4" w:space="0" w:color="auto"/>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784,088,270</w:t>
            </w:r>
          </w:p>
        </w:tc>
        <w:tc>
          <w:tcPr>
            <w:tcW w:w="547" w:type="pct"/>
            <w:tcBorders>
              <w:top w:val="nil"/>
              <w:left w:val="nil"/>
              <w:bottom w:val="single" w:sz="4" w:space="0" w:color="auto"/>
              <w:right w:val="nil"/>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4,504,620,000</w:t>
            </w:r>
          </w:p>
        </w:tc>
        <w:tc>
          <w:tcPr>
            <w:tcW w:w="574" w:type="pct"/>
            <w:tcBorders>
              <w:top w:val="nil"/>
              <w:left w:val="single" w:sz="4" w:space="0" w:color="auto"/>
              <w:bottom w:val="single" w:sz="4" w:space="0" w:color="auto"/>
              <w:right w:val="single" w:sz="4" w:space="0" w:color="auto"/>
            </w:tcBorders>
            <w:shd w:val="clear" w:color="auto" w:fill="auto"/>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0</w:t>
            </w:r>
          </w:p>
        </w:tc>
        <w:tc>
          <w:tcPr>
            <w:tcW w:w="555" w:type="pct"/>
            <w:tcBorders>
              <w:top w:val="nil"/>
              <w:left w:val="nil"/>
              <w:bottom w:val="single" w:sz="4" w:space="0" w:color="auto"/>
              <w:right w:val="single" w:sz="4" w:space="0" w:color="auto"/>
            </w:tcBorders>
            <w:shd w:val="clear" w:color="auto" w:fill="auto"/>
            <w:noWrap/>
            <w:vAlign w:val="bottom"/>
            <w:hideMark/>
          </w:tcPr>
          <w:p w:rsidR="003F2C7B" w:rsidRPr="00AB1135" w:rsidRDefault="003F2C7B" w:rsidP="00090DD9">
            <w:pPr>
              <w:spacing w:after="0" w:line="240" w:lineRule="auto"/>
              <w:jc w:val="right"/>
              <w:rPr>
                <w:rFonts w:ascii="Barlow" w:eastAsia="Times New Roman" w:hAnsi="Barlow" w:cs="Times New Roman"/>
                <w:color w:val="000000"/>
                <w:sz w:val="16"/>
                <w:szCs w:val="16"/>
              </w:rPr>
            </w:pPr>
            <w:r w:rsidRPr="00AB1135">
              <w:rPr>
                <w:rFonts w:ascii="Barlow" w:eastAsia="Times New Roman" w:hAnsi="Barlow" w:cs="Times New Roman"/>
                <w:color w:val="000000"/>
                <w:sz w:val="16"/>
                <w:szCs w:val="16"/>
              </w:rPr>
              <w:t>1,734,999,999</w:t>
            </w:r>
          </w:p>
        </w:tc>
      </w:tr>
    </w:tbl>
    <w:p w:rsidR="003F2C7B" w:rsidRPr="00AB1135" w:rsidRDefault="003F2C7B" w:rsidP="00BD22D1">
      <w:pPr>
        <w:spacing w:after="0" w:line="240" w:lineRule="auto"/>
        <w:ind w:left="851" w:right="2918"/>
        <w:jc w:val="both"/>
        <w:rPr>
          <w:rFonts w:ascii="Barlow" w:hAnsi="Barlow" w:cs="Arial"/>
          <w:sz w:val="16"/>
          <w:szCs w:val="18"/>
        </w:rPr>
      </w:pPr>
      <w:r w:rsidRPr="00AB1135">
        <w:rPr>
          <w:rFonts w:ascii="Barlow" w:hAnsi="Barlow" w:cs="Arial"/>
          <w:sz w:val="16"/>
          <w:szCs w:val="18"/>
          <w:vertAlign w:val="superscript"/>
        </w:rPr>
        <w:t>1</w:t>
      </w:r>
      <w:r w:rsidR="00AB1135" w:rsidRPr="00AB1135">
        <w:rPr>
          <w:rFonts w:ascii="Barlow" w:hAnsi="Barlow" w:cs="Arial"/>
          <w:sz w:val="16"/>
          <w:szCs w:val="18"/>
          <w:vertAlign w:val="superscript"/>
        </w:rPr>
        <w:t xml:space="preserve"> </w:t>
      </w:r>
      <w:r w:rsidRPr="00AB1135">
        <w:rPr>
          <w:rFonts w:ascii="Barlow" w:hAnsi="Barlow" w:cs="Arial"/>
          <w:sz w:val="16"/>
          <w:szCs w:val="18"/>
        </w:rPr>
        <w:t>Los importes corresponden al momento contable de los ingresos devengados.</w:t>
      </w:r>
    </w:p>
    <w:p w:rsidR="00AB1135" w:rsidRPr="00AB1135" w:rsidRDefault="003F2C7B" w:rsidP="00BD22D1">
      <w:pPr>
        <w:spacing w:after="0" w:line="240" w:lineRule="auto"/>
        <w:ind w:left="851" w:right="2918"/>
        <w:jc w:val="both"/>
        <w:rPr>
          <w:rFonts w:ascii="Barlow" w:hAnsi="Barlow" w:cs="Arial"/>
          <w:sz w:val="16"/>
          <w:szCs w:val="18"/>
        </w:rPr>
      </w:pPr>
      <w:r w:rsidRPr="00AB1135">
        <w:rPr>
          <w:rFonts w:ascii="Barlow" w:hAnsi="Barlow" w:cs="Arial"/>
          <w:sz w:val="16"/>
          <w:szCs w:val="18"/>
          <w:vertAlign w:val="superscript"/>
        </w:rPr>
        <w:t>2</w:t>
      </w:r>
      <w:r w:rsidR="00AB1135" w:rsidRPr="00AB1135">
        <w:rPr>
          <w:rFonts w:ascii="Barlow" w:hAnsi="Barlow" w:cs="Arial"/>
          <w:sz w:val="16"/>
          <w:szCs w:val="18"/>
          <w:vertAlign w:val="superscript"/>
        </w:rPr>
        <w:t xml:space="preserve"> </w:t>
      </w:r>
      <w:r w:rsidRPr="00AB1135">
        <w:rPr>
          <w:rFonts w:ascii="Barlow" w:hAnsi="Barlow" w:cs="Arial"/>
          <w:sz w:val="16"/>
          <w:szCs w:val="18"/>
        </w:rPr>
        <w:t>Los importes corresponden a los ingresos devengados al cierre trimestral más reciente disponible y estimados para el resto del ejercicio.</w:t>
      </w:r>
    </w:p>
    <w:p w:rsidR="003F2C7B" w:rsidRPr="00AB1135" w:rsidRDefault="003F2C7B" w:rsidP="00BD22D1">
      <w:pPr>
        <w:spacing w:after="0" w:line="240" w:lineRule="auto"/>
        <w:ind w:left="851" w:right="2918"/>
        <w:jc w:val="both"/>
        <w:rPr>
          <w:rFonts w:ascii="Barlow" w:hAnsi="Barlow" w:cs="Arial"/>
          <w:sz w:val="16"/>
          <w:szCs w:val="18"/>
        </w:rPr>
      </w:pPr>
      <w:r w:rsidRPr="00AB1135">
        <w:rPr>
          <w:rFonts w:ascii="Barlow" w:hAnsi="Barlow" w:cs="Arial"/>
          <w:b/>
          <w:sz w:val="16"/>
          <w:szCs w:val="18"/>
        </w:rPr>
        <w:t>Nota ejercicio 2022:</w:t>
      </w:r>
      <w:r w:rsidRPr="00AB1135">
        <w:rPr>
          <w:rFonts w:ascii="Barlow" w:hAnsi="Barlow" w:cs="Arial"/>
          <w:sz w:val="16"/>
          <w:szCs w:val="18"/>
        </w:rPr>
        <w:t xml:space="preserve"> Los recursos del financiamiento "IETRAM y Obras Complementarias” se aportarán al Fideicomiso de Inversión y Administración número F/4130480, mediante el cual se ejercen los recursos del crédito.</w:t>
      </w:r>
    </w:p>
    <w:p w:rsidR="003F2C7B" w:rsidRDefault="00AB1135" w:rsidP="002B4594">
      <w:pPr>
        <w:spacing w:line="240" w:lineRule="auto"/>
        <w:jc w:val="center"/>
      </w:pPr>
      <w:r w:rsidRPr="00AB1135">
        <w:rPr>
          <w:rFonts w:ascii="Barlow" w:hAnsi="Barlow" w:cs="Arial"/>
          <w:b/>
          <w:sz w:val="20"/>
          <w:szCs w:val="18"/>
        </w:rPr>
        <w:br w:type="page"/>
      </w:r>
      <w:r w:rsidR="003F2C7B" w:rsidRPr="00D93F7E">
        <w:rPr>
          <w:rFonts w:ascii="Arial" w:hAnsi="Arial" w:cs="Arial"/>
          <w:b/>
        </w:rPr>
        <w:lastRenderedPageBreak/>
        <w:t>Anexo III</w:t>
      </w:r>
      <w:r w:rsidR="002B4594">
        <w:rPr>
          <w:rFonts w:ascii="Arial" w:hAnsi="Arial" w:cs="Arial"/>
          <w:b/>
        </w:rPr>
        <w:br/>
      </w:r>
      <w:r w:rsidR="003F2C7B" w:rsidRPr="00D93F7E">
        <w:rPr>
          <w:rFonts w:ascii="Arial" w:hAnsi="Arial" w:cs="Arial"/>
          <w:b/>
        </w:rPr>
        <w:t>Calendarización de amortizaciones de los siguientes ejercicios fiscales</w:t>
      </w:r>
    </w:p>
    <w:tbl>
      <w:tblPr>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37"/>
        <w:gridCol w:w="1878"/>
        <w:gridCol w:w="1767"/>
        <w:gridCol w:w="1825"/>
        <w:gridCol w:w="1632"/>
        <w:gridCol w:w="1985"/>
        <w:gridCol w:w="1699"/>
      </w:tblGrid>
      <w:tr w:rsidR="00E36605" w:rsidRPr="00E36605" w:rsidTr="002B4594">
        <w:trPr>
          <w:trHeight w:val="340"/>
        </w:trPr>
        <w:tc>
          <w:tcPr>
            <w:tcW w:w="360" w:type="pct"/>
            <w:vMerge w:val="restar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Año</w:t>
            </w:r>
          </w:p>
        </w:tc>
        <w:tc>
          <w:tcPr>
            <w:tcW w:w="3909" w:type="pct"/>
            <w:gridSpan w:val="5"/>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Deuda pública largo plazo</w:t>
            </w:r>
          </w:p>
        </w:tc>
        <w:tc>
          <w:tcPr>
            <w:tcW w:w="731"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Deuda pública con garantía</w:t>
            </w:r>
          </w:p>
        </w:tc>
      </w:tr>
      <w:tr w:rsidR="00E36605" w:rsidRPr="00E36605" w:rsidTr="002B4594">
        <w:trPr>
          <w:trHeight w:val="340"/>
        </w:trPr>
        <w:tc>
          <w:tcPr>
            <w:tcW w:w="360" w:type="pct"/>
            <w:vMerge/>
            <w:shd w:val="clear" w:color="auto" w:fill="D9D9D9" w:themeFill="background1" w:themeFillShade="D9"/>
            <w:vAlign w:val="center"/>
            <w:hideMark/>
          </w:tcPr>
          <w:p w:rsidR="003F2C7B" w:rsidRPr="00E36605" w:rsidRDefault="003F2C7B" w:rsidP="00090DD9">
            <w:pPr>
              <w:spacing w:after="0" w:line="240" w:lineRule="auto"/>
              <w:rPr>
                <w:rFonts w:ascii="Arial" w:eastAsia="Times New Roman" w:hAnsi="Arial" w:cs="Arial"/>
                <w:b/>
                <w:bCs/>
                <w:sz w:val="18"/>
                <w:szCs w:val="18"/>
              </w:rPr>
            </w:pPr>
          </w:p>
        </w:tc>
        <w:tc>
          <w:tcPr>
            <w:tcW w:w="808"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Banobras, S.N.C.</w:t>
            </w:r>
          </w:p>
        </w:tc>
        <w:tc>
          <w:tcPr>
            <w:tcW w:w="760"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Banobras, S.N.C.</w:t>
            </w:r>
          </w:p>
        </w:tc>
        <w:tc>
          <w:tcPr>
            <w:tcW w:w="785"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Banobras, S.N.C.</w:t>
            </w:r>
          </w:p>
        </w:tc>
        <w:tc>
          <w:tcPr>
            <w:tcW w:w="702"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Banamex, S.A.</w:t>
            </w:r>
          </w:p>
        </w:tc>
        <w:tc>
          <w:tcPr>
            <w:tcW w:w="854"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BBVA México, S.A.</w:t>
            </w:r>
          </w:p>
        </w:tc>
        <w:tc>
          <w:tcPr>
            <w:tcW w:w="731" w:type="pct"/>
            <w:shd w:val="clear" w:color="auto" w:fill="D9D9D9" w:themeFill="background1" w:themeFillShade="D9"/>
            <w:vAlign w:val="center"/>
            <w:hideMark/>
          </w:tcPr>
          <w:p w:rsidR="003F2C7B" w:rsidRPr="00E36605" w:rsidRDefault="003F2C7B" w:rsidP="00090DD9">
            <w:pPr>
              <w:spacing w:after="0" w:line="240" w:lineRule="auto"/>
              <w:jc w:val="center"/>
              <w:rPr>
                <w:rFonts w:ascii="Arial" w:eastAsia="Times New Roman" w:hAnsi="Arial" w:cs="Arial"/>
                <w:b/>
                <w:bCs/>
                <w:sz w:val="18"/>
                <w:szCs w:val="18"/>
              </w:rPr>
            </w:pPr>
            <w:r w:rsidRPr="00E36605">
              <w:rPr>
                <w:rFonts w:ascii="Arial" w:eastAsia="Times New Roman" w:hAnsi="Arial" w:cs="Arial"/>
                <w:b/>
                <w:bCs/>
                <w:sz w:val="18"/>
                <w:szCs w:val="18"/>
              </w:rPr>
              <w:t>Banobras, S.N.C.</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2023</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9,609,876</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14,409,093</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16,585,158</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35,943,328</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4,228,473</w:t>
            </w:r>
          </w:p>
        </w:tc>
        <w:tc>
          <w:tcPr>
            <w:tcW w:w="731" w:type="pct"/>
            <w:shd w:val="clear" w:color="auto" w:fill="auto"/>
            <w:vAlign w:val="center"/>
            <w:hideMark/>
          </w:tcPr>
          <w:p w:rsidR="003F2C7B" w:rsidRPr="00E36605" w:rsidRDefault="003F2C7B" w:rsidP="0093144C">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sidR="0093144C">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2024</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11,154,707</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16,725,420</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19,251,298</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41,721,380</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18,109,366</w:t>
            </w:r>
          </w:p>
        </w:tc>
        <w:tc>
          <w:tcPr>
            <w:tcW w:w="731" w:type="pct"/>
            <w:shd w:val="clear" w:color="auto" w:fill="auto"/>
            <w:vAlign w:val="center"/>
            <w:hideMark/>
          </w:tcPr>
          <w:p w:rsidR="003F2C7B" w:rsidRPr="00E36605" w:rsidRDefault="0093144C" w:rsidP="00090D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2025</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12,947,876</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19,414,105</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22,346,030</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48,428,281</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21,020,529</w:t>
            </w:r>
          </w:p>
        </w:tc>
        <w:tc>
          <w:tcPr>
            <w:tcW w:w="731" w:type="pct"/>
            <w:shd w:val="clear" w:color="auto" w:fill="auto"/>
            <w:vAlign w:val="center"/>
            <w:hideMark/>
          </w:tcPr>
          <w:p w:rsidR="003F2C7B" w:rsidRPr="00E36605" w:rsidRDefault="0093144C" w:rsidP="00090D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2026</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15,029,306</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22,535,010</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25,938,255</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56,213,346</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24,399,674</w:t>
            </w:r>
          </w:p>
        </w:tc>
        <w:tc>
          <w:tcPr>
            <w:tcW w:w="731" w:type="pct"/>
            <w:shd w:val="clear" w:color="auto" w:fill="auto"/>
            <w:vAlign w:val="center"/>
            <w:hideMark/>
          </w:tcPr>
          <w:p w:rsidR="003F2C7B" w:rsidRPr="00E36605" w:rsidRDefault="0093144C" w:rsidP="00090D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r w:rsidR="003F2C7B"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2027</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17,445,334</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26,157,615</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30,107,946</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65,249,895</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28,322,032</w:t>
            </w:r>
          </w:p>
        </w:tc>
        <w:tc>
          <w:tcPr>
            <w:tcW w:w="731" w:type="pct"/>
            <w:shd w:val="clear" w:color="auto" w:fill="auto"/>
            <w:vAlign w:val="center"/>
            <w:hideMark/>
          </w:tcPr>
          <w:p w:rsidR="003F2C7B" w:rsidRPr="00E36605" w:rsidRDefault="0093144C" w:rsidP="00090D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2028</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20,249,750</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30,362,569</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34,947,934</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75,739,110</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32,874,926</w:t>
            </w:r>
          </w:p>
        </w:tc>
        <w:tc>
          <w:tcPr>
            <w:tcW w:w="731" w:type="pct"/>
            <w:shd w:val="clear" w:color="auto" w:fill="auto"/>
            <w:vAlign w:val="center"/>
            <w:hideMark/>
          </w:tcPr>
          <w:p w:rsidR="003F2C7B" w:rsidRPr="00E36605" w:rsidRDefault="0093144C" w:rsidP="00090DD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r w:rsidR="003F2C7B"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2029</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23,504,990</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35,243,490</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40,565,973</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87,914,514</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38,159,719</w:t>
            </w:r>
          </w:p>
        </w:tc>
        <w:tc>
          <w:tcPr>
            <w:tcW w:w="731" w:type="pct"/>
            <w:shd w:val="clear" w:color="auto" w:fill="auto"/>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sidR="0093144C">
              <w:rPr>
                <w:rFonts w:ascii="Arial" w:eastAsia="Times New Roman" w:hAnsi="Arial" w:cs="Arial"/>
                <w:color w:val="000000"/>
                <w:sz w:val="18"/>
                <w:szCs w:val="18"/>
              </w:rPr>
              <w:t>0</w:t>
            </w:r>
            <w:r w:rsidR="0093144C" w:rsidRPr="00E36605">
              <w:rPr>
                <w:rFonts w:ascii="Arial" w:eastAsia="Times New Roman" w:hAnsi="Arial" w:cs="Arial"/>
                <w:color w:val="000000"/>
                <w:sz w:val="18"/>
                <w:szCs w:val="18"/>
              </w:rPr>
              <w:t xml:space="preserve">   </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2030</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27,283,522</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40,909,040</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47,087,136</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102,047,170</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44,294,066</w:t>
            </w:r>
          </w:p>
        </w:tc>
        <w:tc>
          <w:tcPr>
            <w:tcW w:w="731" w:type="pct"/>
            <w:shd w:val="clear" w:color="auto" w:fill="auto"/>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sidR="0093144C">
              <w:rPr>
                <w:rFonts w:ascii="Arial" w:eastAsia="Times New Roman" w:hAnsi="Arial" w:cs="Arial"/>
                <w:color w:val="000000"/>
                <w:sz w:val="18"/>
                <w:szCs w:val="18"/>
              </w:rPr>
              <w:t>0</w:t>
            </w:r>
            <w:r w:rsidR="0093144C"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2031</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31,669,471</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47,485,352</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54,656,605</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118,451,713</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51,414,538</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2032</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36,760,481</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55,118,835</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63,442,899</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137,493,361</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59,679,657</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E36605" w:rsidRPr="00E36605" w:rsidTr="002B4594">
        <w:trPr>
          <w:trHeight w:val="340"/>
        </w:trPr>
        <w:tc>
          <w:tcPr>
            <w:tcW w:w="360" w:type="pct"/>
            <w:shd w:val="clear" w:color="auto" w:fill="auto"/>
            <w:noWrap/>
            <w:vAlign w:val="center"/>
            <w:hideMark/>
          </w:tcPr>
          <w:p w:rsidR="003F2C7B" w:rsidRPr="00E36605" w:rsidRDefault="003F2C7B"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2033</w:t>
            </w:r>
          </w:p>
        </w:tc>
        <w:tc>
          <w:tcPr>
            <w:tcW w:w="808"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42,669,896</w:t>
            </w:r>
          </w:p>
        </w:tc>
        <w:tc>
          <w:tcPr>
            <w:tcW w:w="760"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63,979,439</w:t>
            </w:r>
          </w:p>
        </w:tc>
        <w:tc>
          <w:tcPr>
            <w:tcW w:w="785"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73,641,635</w:t>
            </w:r>
          </w:p>
        </w:tc>
        <w:tc>
          <w:tcPr>
            <w:tcW w:w="702"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159,596,040</w:t>
            </w:r>
          </w:p>
        </w:tc>
        <w:tc>
          <w:tcPr>
            <w:tcW w:w="854"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69,273,431</w:t>
            </w:r>
          </w:p>
        </w:tc>
        <w:tc>
          <w:tcPr>
            <w:tcW w:w="731" w:type="pct"/>
            <w:shd w:val="clear" w:color="auto" w:fill="auto"/>
            <w:vAlign w:val="center"/>
            <w:hideMark/>
          </w:tcPr>
          <w:p w:rsidR="003F2C7B" w:rsidRPr="00E36605" w:rsidRDefault="003F2C7B"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306,931,762</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2034</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49,529,274</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74,264,422</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85,479,859</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185,251,825</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80,409,448</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2035</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57,491,329</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86,202,764</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99,221,133</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215,031,892</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93,335,630</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2036</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66,733,319</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100,060,247</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115,171,378</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249,599,241</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108,339,755</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2037</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77,461,002</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116,145,384</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133,685,697</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289,723,446</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125,755,860</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2038</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89,913,206</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134,816,277</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155,176,275</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336,297,799</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145,971,682</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2039</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104,367,162</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156,488,605</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180,121,564</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355,561,005</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169,437,290</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2040</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89,679,334</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135,276,779</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154,772,647</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196,675,099</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2041</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228,291,510</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 xml:space="preserve">                                     </w:t>
            </w: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r w:rsidR="0093144C" w:rsidRPr="00E36605" w:rsidTr="002B4594">
        <w:trPr>
          <w:trHeight w:val="340"/>
        </w:trPr>
        <w:tc>
          <w:tcPr>
            <w:tcW w:w="360" w:type="pct"/>
            <w:shd w:val="clear" w:color="auto" w:fill="auto"/>
            <w:noWrap/>
            <w:vAlign w:val="center"/>
            <w:hideMark/>
          </w:tcPr>
          <w:p w:rsidR="0093144C" w:rsidRPr="00E36605" w:rsidRDefault="0093144C" w:rsidP="00090DD9">
            <w:pPr>
              <w:spacing w:after="0" w:line="240" w:lineRule="auto"/>
              <w:jc w:val="center"/>
              <w:rPr>
                <w:rFonts w:ascii="Arial" w:eastAsia="Times New Roman" w:hAnsi="Arial" w:cs="Arial"/>
                <w:color w:val="000000"/>
                <w:sz w:val="18"/>
                <w:szCs w:val="18"/>
              </w:rPr>
            </w:pPr>
            <w:r w:rsidRPr="00E36605">
              <w:rPr>
                <w:rFonts w:ascii="Arial" w:eastAsia="Times New Roman" w:hAnsi="Arial" w:cs="Arial"/>
                <w:color w:val="000000"/>
                <w:sz w:val="18"/>
                <w:szCs w:val="18"/>
              </w:rPr>
              <w:t>2042</w:t>
            </w:r>
          </w:p>
        </w:tc>
        <w:tc>
          <w:tcPr>
            <w:tcW w:w="808"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60"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85"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702"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0</w:t>
            </w:r>
          </w:p>
        </w:tc>
        <w:tc>
          <w:tcPr>
            <w:tcW w:w="854" w:type="pct"/>
            <w:shd w:val="clear" w:color="auto" w:fill="auto"/>
            <w:vAlign w:val="center"/>
            <w:hideMark/>
          </w:tcPr>
          <w:p w:rsidR="0093144C" w:rsidRPr="00E36605" w:rsidRDefault="0093144C" w:rsidP="00090DD9">
            <w:pPr>
              <w:spacing w:after="0" w:line="240" w:lineRule="auto"/>
              <w:jc w:val="right"/>
              <w:rPr>
                <w:rFonts w:ascii="Arial" w:eastAsia="Times New Roman" w:hAnsi="Arial" w:cs="Arial"/>
                <w:color w:val="000000"/>
                <w:sz w:val="18"/>
                <w:szCs w:val="18"/>
              </w:rPr>
            </w:pPr>
            <w:r w:rsidRPr="00E36605">
              <w:rPr>
                <w:rFonts w:ascii="Arial" w:eastAsia="Times New Roman" w:hAnsi="Arial" w:cs="Arial"/>
                <w:color w:val="000000"/>
                <w:sz w:val="18"/>
                <w:szCs w:val="18"/>
              </w:rPr>
              <w:t>194,994,779</w:t>
            </w:r>
          </w:p>
        </w:tc>
        <w:tc>
          <w:tcPr>
            <w:tcW w:w="731" w:type="pct"/>
            <w:shd w:val="clear" w:color="auto" w:fill="auto"/>
            <w:vAlign w:val="center"/>
            <w:hideMark/>
          </w:tcPr>
          <w:p w:rsidR="0093144C" w:rsidRPr="00E36605" w:rsidRDefault="0093144C" w:rsidP="0018390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0</w:t>
            </w:r>
            <w:r w:rsidRPr="00E36605">
              <w:rPr>
                <w:rFonts w:ascii="Arial" w:eastAsia="Times New Roman" w:hAnsi="Arial" w:cs="Arial"/>
                <w:color w:val="000000"/>
                <w:sz w:val="18"/>
                <w:szCs w:val="18"/>
              </w:rPr>
              <w:t xml:space="preserve">   </w:t>
            </w:r>
          </w:p>
        </w:tc>
      </w:tr>
    </w:tbl>
    <w:p w:rsidR="003F2C7B" w:rsidRPr="00E36605" w:rsidRDefault="003F2C7B" w:rsidP="00E36605">
      <w:pPr>
        <w:spacing w:after="0" w:line="240" w:lineRule="auto"/>
        <w:ind w:left="567"/>
        <w:rPr>
          <w:rFonts w:ascii="Barlow" w:hAnsi="Barlow"/>
          <w:sz w:val="20"/>
        </w:rPr>
      </w:pPr>
      <w:r w:rsidRPr="00E36605">
        <w:rPr>
          <w:rFonts w:ascii="Barlow" w:hAnsi="Barlow" w:cs="Arial"/>
          <w:sz w:val="20"/>
        </w:rPr>
        <w:t xml:space="preserve">  Esta hoja pertenece a la Iniciativa para expedir la Ley de Ingresos Estado de Yucatán para el Ejercicio Fiscal 2023.</w:t>
      </w:r>
    </w:p>
    <w:sectPr w:rsidR="003F2C7B" w:rsidRPr="00E36605" w:rsidSect="00AB1135">
      <w:pgSz w:w="15840" w:h="12240"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BA9" w:rsidRDefault="00882BA9" w:rsidP="003D6FFD">
      <w:pPr>
        <w:spacing w:after="0" w:line="240" w:lineRule="auto"/>
      </w:pPr>
      <w:r>
        <w:separator/>
      </w:r>
    </w:p>
  </w:endnote>
  <w:endnote w:type="continuationSeparator" w:id="1">
    <w:p w:rsidR="00882BA9" w:rsidRDefault="00882BA9" w:rsidP="003D6FFD">
      <w:pPr>
        <w:spacing w:after="0" w:line="240" w:lineRule="auto"/>
      </w:pPr>
      <w:r>
        <w:continuationSeparator/>
      </w:r>
    </w:p>
  </w:endnote>
  <w:endnote w:type="continuationNotice" w:id="2">
    <w:p w:rsidR="00882BA9" w:rsidRDefault="00882BA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377839"/>
      <w:docPartObj>
        <w:docPartGallery w:val="Page Numbers (Bottom of Page)"/>
        <w:docPartUnique/>
      </w:docPartObj>
    </w:sdtPr>
    <w:sdtEndPr>
      <w:rPr>
        <w:rFonts w:ascii="Arial" w:hAnsi="Arial" w:cs="Arial"/>
        <w:sz w:val="20"/>
      </w:rPr>
    </w:sdtEndPr>
    <w:sdtContent>
      <w:p w:rsidR="007B32A5" w:rsidRPr="003D6FFD" w:rsidRDefault="00CB3B19">
        <w:pPr>
          <w:pStyle w:val="Piedepgina"/>
          <w:jc w:val="right"/>
          <w:rPr>
            <w:rFonts w:ascii="Arial" w:hAnsi="Arial" w:cs="Arial"/>
            <w:sz w:val="20"/>
          </w:rPr>
        </w:pPr>
        <w:r w:rsidRPr="003D6FFD">
          <w:rPr>
            <w:rFonts w:ascii="Arial" w:hAnsi="Arial" w:cs="Arial"/>
            <w:sz w:val="20"/>
          </w:rPr>
          <w:fldChar w:fldCharType="begin"/>
        </w:r>
        <w:r w:rsidR="007B32A5" w:rsidRPr="003D6FFD">
          <w:rPr>
            <w:rFonts w:ascii="Arial" w:hAnsi="Arial" w:cs="Arial"/>
            <w:sz w:val="20"/>
          </w:rPr>
          <w:instrText xml:space="preserve"> PAGE   \* MERGEFORMAT </w:instrText>
        </w:r>
        <w:r w:rsidRPr="003D6FFD">
          <w:rPr>
            <w:rFonts w:ascii="Arial" w:hAnsi="Arial" w:cs="Arial"/>
            <w:sz w:val="20"/>
          </w:rPr>
          <w:fldChar w:fldCharType="separate"/>
        </w:r>
        <w:r w:rsidR="0093144C">
          <w:rPr>
            <w:rFonts w:ascii="Arial" w:hAnsi="Arial" w:cs="Arial"/>
            <w:noProof/>
            <w:sz w:val="20"/>
          </w:rPr>
          <w:t>45</w:t>
        </w:r>
        <w:r w:rsidRPr="003D6FFD">
          <w:rPr>
            <w:rFonts w:ascii="Arial" w:hAnsi="Arial" w:cs="Arial"/>
            <w:sz w:val="20"/>
          </w:rPr>
          <w:fldChar w:fldCharType="end"/>
        </w:r>
      </w:p>
    </w:sdtContent>
  </w:sdt>
  <w:p w:rsidR="007B32A5" w:rsidRPr="003D6FFD" w:rsidRDefault="007B32A5">
    <w:pPr>
      <w:pStyle w:val="Piedepgina"/>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BA9" w:rsidRDefault="00882BA9" w:rsidP="003D6FFD">
      <w:pPr>
        <w:spacing w:after="0" w:line="240" w:lineRule="auto"/>
      </w:pPr>
      <w:r>
        <w:separator/>
      </w:r>
    </w:p>
  </w:footnote>
  <w:footnote w:type="continuationSeparator" w:id="1">
    <w:p w:rsidR="00882BA9" w:rsidRDefault="00882BA9" w:rsidP="003D6FFD">
      <w:pPr>
        <w:spacing w:after="0" w:line="240" w:lineRule="auto"/>
      </w:pPr>
      <w:r>
        <w:continuationSeparator/>
      </w:r>
    </w:p>
  </w:footnote>
  <w:footnote w:type="continuationNotice" w:id="2">
    <w:p w:rsidR="00882BA9" w:rsidRDefault="00882BA9">
      <w:pPr>
        <w:spacing w:after="0" w:line="240" w:lineRule="auto"/>
      </w:pPr>
    </w:p>
  </w:footnote>
  <w:footnote w:id="3">
    <w:p w:rsidR="0034235B" w:rsidRPr="00C0453B" w:rsidRDefault="0034235B" w:rsidP="00C0453B">
      <w:pPr>
        <w:pStyle w:val="Textonotapie"/>
        <w:jc w:val="both"/>
        <w:rPr>
          <w:rFonts w:ascii="Arial" w:hAnsi="Arial" w:cs="Arial"/>
        </w:rPr>
      </w:pPr>
      <w:r w:rsidRPr="00C0453B">
        <w:rPr>
          <w:rStyle w:val="Refdenotaalpie"/>
          <w:rFonts w:ascii="Arial" w:hAnsi="Arial" w:cs="Arial"/>
        </w:rPr>
        <w:footnoteRef/>
      </w:r>
      <w:r w:rsidRPr="00C0453B">
        <w:rPr>
          <w:rFonts w:ascii="Arial" w:hAnsi="Arial" w:cs="Arial"/>
        </w:rPr>
        <w:t xml:space="preserve"> Datos del Instituto Mexicano del Seguro Social, disponible en rede: </w:t>
      </w:r>
      <w:hyperlink r:id="rId1" w:history="1">
        <w:r w:rsidRPr="00C0453B">
          <w:rPr>
            <w:rStyle w:val="Hipervnculo"/>
            <w:rFonts w:ascii="Arial" w:hAnsi="Arial" w:cs="Arial"/>
          </w:rPr>
          <w:t>https://public.tableau.com/app/profile/imss.cpe/viz/Histrico_4/Empleo_h?publish=yes</w:t>
        </w:r>
      </w:hyperlink>
      <w:r w:rsidRPr="00C0453B">
        <w:rPr>
          <w:rFonts w:ascii="Arial" w:hAnsi="Arial" w:cs="Arial"/>
        </w:rPr>
        <w:t xml:space="preserve"> </w:t>
      </w:r>
    </w:p>
  </w:footnote>
  <w:footnote w:id="4">
    <w:p w:rsidR="0034235B" w:rsidRPr="00C0453B" w:rsidRDefault="0034235B" w:rsidP="00C0453B">
      <w:pPr>
        <w:pStyle w:val="Textonotapie"/>
        <w:jc w:val="both"/>
        <w:rPr>
          <w:rFonts w:ascii="Arial" w:hAnsi="Arial" w:cs="Arial"/>
        </w:rPr>
      </w:pPr>
      <w:r w:rsidRPr="00C0453B">
        <w:rPr>
          <w:rStyle w:val="Refdenotaalpie"/>
          <w:rFonts w:ascii="Arial" w:hAnsi="Arial" w:cs="Arial"/>
        </w:rPr>
        <w:footnoteRef/>
      </w:r>
      <w:r w:rsidRPr="00C0453B">
        <w:rPr>
          <w:rFonts w:ascii="Arial" w:hAnsi="Arial" w:cs="Arial"/>
        </w:rPr>
        <w:t xml:space="preserve"> ídem.</w:t>
      </w:r>
    </w:p>
  </w:footnote>
  <w:footnote w:id="5">
    <w:p w:rsidR="0034235B" w:rsidRDefault="0034235B" w:rsidP="00C0453B">
      <w:pPr>
        <w:pStyle w:val="Textonotapie"/>
        <w:jc w:val="both"/>
      </w:pPr>
      <w:r w:rsidRPr="00C0453B">
        <w:rPr>
          <w:rStyle w:val="Refdenotaalpie"/>
          <w:rFonts w:ascii="Arial" w:hAnsi="Arial" w:cs="Arial"/>
        </w:rPr>
        <w:footnoteRef/>
      </w:r>
      <w:r w:rsidRPr="00C0453B">
        <w:rPr>
          <w:rFonts w:ascii="Arial" w:hAnsi="Arial" w:cs="Arial"/>
        </w:rPr>
        <w:t xml:space="preserve"> Calculadora de inflación INEGI, disponible en red:</w:t>
      </w:r>
      <w:r w:rsidR="00C0453B">
        <w:rPr>
          <w:rFonts w:ascii="Arial" w:hAnsi="Arial" w:cs="Arial"/>
        </w:rPr>
        <w:t xml:space="preserve"> </w:t>
      </w:r>
      <w:hyperlink r:id="rId2" w:history="1">
        <w:r w:rsidRPr="00C0453B">
          <w:rPr>
            <w:rStyle w:val="Hipervnculo"/>
            <w:rFonts w:ascii="Arial" w:hAnsi="Arial" w:cs="Arial"/>
          </w:rPr>
          <w:t>https://www.inegi.org.mx/app/indicesdeprecios/CalculadoraInflacion.aspx</w:t>
        </w:r>
      </w:hyperlink>
      <w:r w:rsidRPr="00C0453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66363"/>
    <w:multiLevelType w:val="hybridMultilevel"/>
    <w:tmpl w:val="0C10073E"/>
    <w:lvl w:ilvl="0" w:tplc="94DE86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EE646D"/>
    <w:multiLevelType w:val="hybridMultilevel"/>
    <w:tmpl w:val="E2464B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
    <w:nsid w:val="10780785"/>
    <w:multiLevelType w:val="multilevel"/>
    <w:tmpl w:val="3602312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62766D"/>
    <w:multiLevelType w:val="hybridMultilevel"/>
    <w:tmpl w:val="F26CB83A"/>
    <w:lvl w:ilvl="0" w:tplc="080A0011">
      <w:start w:val="1"/>
      <w:numFmt w:val="decimal"/>
      <w:lvlText w:val="%1)"/>
      <w:lvlJc w:val="left"/>
      <w:pPr>
        <w:ind w:left="766" w:hanging="360"/>
      </w:p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abstractNum w:abstractNumId="4">
    <w:nsid w:val="14A07300"/>
    <w:multiLevelType w:val="hybridMultilevel"/>
    <w:tmpl w:val="81FE716E"/>
    <w:lvl w:ilvl="0" w:tplc="65F4C3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5">
    <w:nsid w:val="1C6F0940"/>
    <w:multiLevelType w:val="hybridMultilevel"/>
    <w:tmpl w:val="F57639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B3310B"/>
    <w:multiLevelType w:val="hybridMultilevel"/>
    <w:tmpl w:val="443AB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9A49F8"/>
    <w:multiLevelType w:val="hybridMultilevel"/>
    <w:tmpl w:val="E50C7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EA1D2A"/>
    <w:multiLevelType w:val="hybridMultilevel"/>
    <w:tmpl w:val="3162FF20"/>
    <w:lvl w:ilvl="0" w:tplc="E514D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E90B88"/>
    <w:multiLevelType w:val="hybridMultilevel"/>
    <w:tmpl w:val="25B4F3CC"/>
    <w:lvl w:ilvl="0" w:tplc="080A001B">
      <w:start w:val="1"/>
      <w:numFmt w:val="lowerRoman"/>
      <w:lvlText w:val="%1."/>
      <w:lvlJc w:val="righ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0">
    <w:nsid w:val="33D534E5"/>
    <w:multiLevelType w:val="hybridMultilevel"/>
    <w:tmpl w:val="48345B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0B46B77"/>
    <w:multiLevelType w:val="hybridMultilevel"/>
    <w:tmpl w:val="14487D4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start w:val="1"/>
      <w:numFmt w:val="bullet"/>
      <w:lvlText w:val=""/>
      <w:lvlJc w:val="left"/>
      <w:pPr>
        <w:ind w:left="3588" w:hanging="360"/>
      </w:pPr>
      <w:rPr>
        <w:rFonts w:ascii="Symbol" w:hAnsi="Symbol" w:hint="default"/>
      </w:rPr>
    </w:lvl>
    <w:lvl w:ilvl="4" w:tplc="080A0003">
      <w:start w:val="1"/>
      <w:numFmt w:val="bullet"/>
      <w:lvlText w:val="o"/>
      <w:lvlJc w:val="left"/>
      <w:pPr>
        <w:ind w:left="4308" w:hanging="360"/>
      </w:pPr>
      <w:rPr>
        <w:rFonts w:ascii="Courier New" w:hAnsi="Courier New" w:cs="Courier New" w:hint="default"/>
      </w:rPr>
    </w:lvl>
    <w:lvl w:ilvl="5" w:tplc="080A0005">
      <w:start w:val="1"/>
      <w:numFmt w:val="bullet"/>
      <w:lvlText w:val=""/>
      <w:lvlJc w:val="left"/>
      <w:pPr>
        <w:ind w:left="5028" w:hanging="360"/>
      </w:pPr>
      <w:rPr>
        <w:rFonts w:ascii="Wingdings" w:hAnsi="Wingdings" w:hint="default"/>
      </w:rPr>
    </w:lvl>
    <w:lvl w:ilvl="6" w:tplc="080A0001">
      <w:start w:val="1"/>
      <w:numFmt w:val="bullet"/>
      <w:lvlText w:val=""/>
      <w:lvlJc w:val="left"/>
      <w:pPr>
        <w:ind w:left="5748" w:hanging="360"/>
      </w:pPr>
      <w:rPr>
        <w:rFonts w:ascii="Symbol" w:hAnsi="Symbol" w:hint="default"/>
      </w:rPr>
    </w:lvl>
    <w:lvl w:ilvl="7" w:tplc="080A0003">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12">
    <w:nsid w:val="417C799A"/>
    <w:multiLevelType w:val="hybridMultilevel"/>
    <w:tmpl w:val="F2B0DA52"/>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nsid w:val="443734FC"/>
    <w:multiLevelType w:val="hybridMultilevel"/>
    <w:tmpl w:val="BAE6B5B6"/>
    <w:lvl w:ilvl="0" w:tplc="080A0001">
      <w:start w:val="1"/>
      <w:numFmt w:val="bullet"/>
      <w:lvlText w:val=""/>
      <w:lvlJc w:val="left"/>
      <w:pPr>
        <w:ind w:left="720" w:hanging="360"/>
      </w:pPr>
      <w:rPr>
        <w:rFonts w:ascii="Symbol" w:hAnsi="Symbol" w:hint="default"/>
      </w:rPr>
    </w:lvl>
    <w:lvl w:ilvl="1" w:tplc="80862D0E">
      <w:numFmt w:val="bullet"/>
      <w:lvlText w:val="•"/>
      <w:lvlJc w:val="left"/>
      <w:pPr>
        <w:ind w:left="1440" w:hanging="360"/>
      </w:pPr>
      <w:rPr>
        <w:rFonts w:ascii="Barlow" w:eastAsia="Calibri" w:hAnsi="Barlow"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8036EC8"/>
    <w:multiLevelType w:val="hybridMultilevel"/>
    <w:tmpl w:val="7B1677E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8E426A5"/>
    <w:multiLevelType w:val="hybridMultilevel"/>
    <w:tmpl w:val="BF1AE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000BF1"/>
    <w:multiLevelType w:val="multilevel"/>
    <w:tmpl w:val="A25E65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4D47E0E"/>
    <w:multiLevelType w:val="hybridMultilevel"/>
    <w:tmpl w:val="5F664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9E735F9"/>
    <w:multiLevelType w:val="hybridMultilevel"/>
    <w:tmpl w:val="96D27D4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5A5B27EE"/>
    <w:multiLevelType w:val="hybridMultilevel"/>
    <w:tmpl w:val="0816A4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EE24D00"/>
    <w:multiLevelType w:val="hybridMultilevel"/>
    <w:tmpl w:val="03CE35AC"/>
    <w:lvl w:ilvl="0" w:tplc="1E3AE8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13"/>
  </w:num>
  <w:num w:numId="4">
    <w:abstractNumId w:val="7"/>
  </w:num>
  <w:num w:numId="5">
    <w:abstractNumId w:val="14"/>
  </w:num>
  <w:num w:numId="6">
    <w:abstractNumId w:val="4"/>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3"/>
  </w:num>
  <w:num w:numId="13">
    <w:abstractNumId w:val="6"/>
  </w:num>
  <w:num w:numId="14">
    <w:abstractNumId w:val="1"/>
  </w:num>
  <w:num w:numId="15">
    <w:abstractNumId w:val="19"/>
  </w:num>
  <w:num w:numId="16">
    <w:abstractNumId w:val="15"/>
  </w:num>
  <w:num w:numId="17">
    <w:abstractNumId w:val="10"/>
  </w:num>
  <w:num w:numId="18">
    <w:abstractNumId w:val="5"/>
  </w:num>
  <w:num w:numId="19">
    <w:abstractNumId w:val="8"/>
  </w:num>
  <w:num w:numId="20">
    <w:abstractNumId w:val="17"/>
  </w:num>
  <w:num w:numId="21">
    <w:abstractNumId w:val="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 w:id="2"/>
  </w:footnotePr>
  <w:endnotePr>
    <w:endnote w:id="0"/>
    <w:endnote w:id="1"/>
    <w:endnote w:id="2"/>
  </w:endnotePr>
  <w:compat/>
  <w:rsids>
    <w:rsidRoot w:val="003D6FFD"/>
    <w:rsid w:val="00000103"/>
    <w:rsid w:val="000013C7"/>
    <w:rsid w:val="0000162A"/>
    <w:rsid w:val="00002F5B"/>
    <w:rsid w:val="000032EA"/>
    <w:rsid w:val="00004816"/>
    <w:rsid w:val="00004C6F"/>
    <w:rsid w:val="00004FBA"/>
    <w:rsid w:val="00005592"/>
    <w:rsid w:val="00005B2B"/>
    <w:rsid w:val="00007D0B"/>
    <w:rsid w:val="00010185"/>
    <w:rsid w:val="00010D9B"/>
    <w:rsid w:val="00010DEE"/>
    <w:rsid w:val="00010FDB"/>
    <w:rsid w:val="000119B0"/>
    <w:rsid w:val="00011FA3"/>
    <w:rsid w:val="0001391A"/>
    <w:rsid w:val="00014406"/>
    <w:rsid w:val="00014455"/>
    <w:rsid w:val="000160F3"/>
    <w:rsid w:val="00016313"/>
    <w:rsid w:val="000172F6"/>
    <w:rsid w:val="000173E9"/>
    <w:rsid w:val="00020CF3"/>
    <w:rsid w:val="00021CFF"/>
    <w:rsid w:val="00022107"/>
    <w:rsid w:val="00022B85"/>
    <w:rsid w:val="00023824"/>
    <w:rsid w:val="00025A28"/>
    <w:rsid w:val="000270EA"/>
    <w:rsid w:val="00027674"/>
    <w:rsid w:val="00027ED8"/>
    <w:rsid w:val="00031A4B"/>
    <w:rsid w:val="00031FEC"/>
    <w:rsid w:val="0003218D"/>
    <w:rsid w:val="00037A00"/>
    <w:rsid w:val="00037FBB"/>
    <w:rsid w:val="000403DD"/>
    <w:rsid w:val="000415A5"/>
    <w:rsid w:val="00041E3F"/>
    <w:rsid w:val="0004273C"/>
    <w:rsid w:val="0004339A"/>
    <w:rsid w:val="00044B01"/>
    <w:rsid w:val="00044C89"/>
    <w:rsid w:val="000450F5"/>
    <w:rsid w:val="00045764"/>
    <w:rsid w:val="00046470"/>
    <w:rsid w:val="00046B1D"/>
    <w:rsid w:val="000522E6"/>
    <w:rsid w:val="0005262F"/>
    <w:rsid w:val="00052B14"/>
    <w:rsid w:val="00052B1B"/>
    <w:rsid w:val="00052EAF"/>
    <w:rsid w:val="00053830"/>
    <w:rsid w:val="000542B3"/>
    <w:rsid w:val="00054F64"/>
    <w:rsid w:val="000551F1"/>
    <w:rsid w:val="000558E7"/>
    <w:rsid w:val="00055E00"/>
    <w:rsid w:val="000603E3"/>
    <w:rsid w:val="000607DF"/>
    <w:rsid w:val="00062534"/>
    <w:rsid w:val="00062F43"/>
    <w:rsid w:val="000632A5"/>
    <w:rsid w:val="0006386F"/>
    <w:rsid w:val="00063F34"/>
    <w:rsid w:val="00064A36"/>
    <w:rsid w:val="00066295"/>
    <w:rsid w:val="000676DF"/>
    <w:rsid w:val="00072C18"/>
    <w:rsid w:val="00075B55"/>
    <w:rsid w:val="000767C4"/>
    <w:rsid w:val="00076D36"/>
    <w:rsid w:val="00077764"/>
    <w:rsid w:val="000800E4"/>
    <w:rsid w:val="000814A0"/>
    <w:rsid w:val="0008208A"/>
    <w:rsid w:val="00082D00"/>
    <w:rsid w:val="00082DDF"/>
    <w:rsid w:val="000831B8"/>
    <w:rsid w:val="00083D2D"/>
    <w:rsid w:val="00083FC7"/>
    <w:rsid w:val="000846B3"/>
    <w:rsid w:val="00084C67"/>
    <w:rsid w:val="00085E3C"/>
    <w:rsid w:val="000862F1"/>
    <w:rsid w:val="00086843"/>
    <w:rsid w:val="000870C6"/>
    <w:rsid w:val="00087966"/>
    <w:rsid w:val="00087D67"/>
    <w:rsid w:val="000907E1"/>
    <w:rsid w:val="00090DD9"/>
    <w:rsid w:val="0009115C"/>
    <w:rsid w:val="00091B89"/>
    <w:rsid w:val="00092DC9"/>
    <w:rsid w:val="00093027"/>
    <w:rsid w:val="00093BD7"/>
    <w:rsid w:val="00093F6B"/>
    <w:rsid w:val="0009463D"/>
    <w:rsid w:val="00095C40"/>
    <w:rsid w:val="00096615"/>
    <w:rsid w:val="0009749A"/>
    <w:rsid w:val="000976DD"/>
    <w:rsid w:val="0009787B"/>
    <w:rsid w:val="000A1FEB"/>
    <w:rsid w:val="000A2927"/>
    <w:rsid w:val="000A2E8A"/>
    <w:rsid w:val="000A47A3"/>
    <w:rsid w:val="000A4D95"/>
    <w:rsid w:val="000A56AC"/>
    <w:rsid w:val="000A5A16"/>
    <w:rsid w:val="000B0D57"/>
    <w:rsid w:val="000B3205"/>
    <w:rsid w:val="000B3F93"/>
    <w:rsid w:val="000B5607"/>
    <w:rsid w:val="000B5CA0"/>
    <w:rsid w:val="000B60A6"/>
    <w:rsid w:val="000B656F"/>
    <w:rsid w:val="000B7A61"/>
    <w:rsid w:val="000C006C"/>
    <w:rsid w:val="000C09DC"/>
    <w:rsid w:val="000C1263"/>
    <w:rsid w:val="000C1BF0"/>
    <w:rsid w:val="000C257C"/>
    <w:rsid w:val="000C29EA"/>
    <w:rsid w:val="000C3601"/>
    <w:rsid w:val="000C3B90"/>
    <w:rsid w:val="000C42CD"/>
    <w:rsid w:val="000C4897"/>
    <w:rsid w:val="000C48AC"/>
    <w:rsid w:val="000C5BED"/>
    <w:rsid w:val="000C65B1"/>
    <w:rsid w:val="000C7ADF"/>
    <w:rsid w:val="000D0A61"/>
    <w:rsid w:val="000D2AAE"/>
    <w:rsid w:val="000D36E4"/>
    <w:rsid w:val="000D3A31"/>
    <w:rsid w:val="000D4870"/>
    <w:rsid w:val="000D4933"/>
    <w:rsid w:val="000D4C1A"/>
    <w:rsid w:val="000D4E2C"/>
    <w:rsid w:val="000D5CA8"/>
    <w:rsid w:val="000D65DD"/>
    <w:rsid w:val="000D78A3"/>
    <w:rsid w:val="000E15F0"/>
    <w:rsid w:val="000E5417"/>
    <w:rsid w:val="000E5D5B"/>
    <w:rsid w:val="000E62A8"/>
    <w:rsid w:val="000E6BA7"/>
    <w:rsid w:val="000F0D65"/>
    <w:rsid w:val="000F2D60"/>
    <w:rsid w:val="000F452E"/>
    <w:rsid w:val="000F4645"/>
    <w:rsid w:val="000F4E43"/>
    <w:rsid w:val="000F5C01"/>
    <w:rsid w:val="000F6DC6"/>
    <w:rsid w:val="000F738A"/>
    <w:rsid w:val="00100AC0"/>
    <w:rsid w:val="0010140D"/>
    <w:rsid w:val="0010281D"/>
    <w:rsid w:val="001033BD"/>
    <w:rsid w:val="00103742"/>
    <w:rsid w:val="0010386F"/>
    <w:rsid w:val="00103A21"/>
    <w:rsid w:val="00103D11"/>
    <w:rsid w:val="00103D5F"/>
    <w:rsid w:val="00105224"/>
    <w:rsid w:val="00105DFD"/>
    <w:rsid w:val="0010613C"/>
    <w:rsid w:val="001062B3"/>
    <w:rsid w:val="001101C0"/>
    <w:rsid w:val="001107A2"/>
    <w:rsid w:val="0011093A"/>
    <w:rsid w:val="00110D22"/>
    <w:rsid w:val="0011114A"/>
    <w:rsid w:val="00111264"/>
    <w:rsid w:val="00111819"/>
    <w:rsid w:val="00111DF5"/>
    <w:rsid w:val="00111E0C"/>
    <w:rsid w:val="00112573"/>
    <w:rsid w:val="00112966"/>
    <w:rsid w:val="00113FA5"/>
    <w:rsid w:val="001156B5"/>
    <w:rsid w:val="00121F5B"/>
    <w:rsid w:val="0012225F"/>
    <w:rsid w:val="001228AD"/>
    <w:rsid w:val="00122C7A"/>
    <w:rsid w:val="00123A04"/>
    <w:rsid w:val="00124F4A"/>
    <w:rsid w:val="00125C11"/>
    <w:rsid w:val="001260AB"/>
    <w:rsid w:val="00126320"/>
    <w:rsid w:val="001274EC"/>
    <w:rsid w:val="00127C4D"/>
    <w:rsid w:val="001302F4"/>
    <w:rsid w:val="00131857"/>
    <w:rsid w:val="00132494"/>
    <w:rsid w:val="00135333"/>
    <w:rsid w:val="00135C83"/>
    <w:rsid w:val="00137424"/>
    <w:rsid w:val="00140248"/>
    <w:rsid w:val="0014224E"/>
    <w:rsid w:val="0014339B"/>
    <w:rsid w:val="0014354A"/>
    <w:rsid w:val="00144122"/>
    <w:rsid w:val="0014555F"/>
    <w:rsid w:val="00145FC8"/>
    <w:rsid w:val="001465BB"/>
    <w:rsid w:val="00150973"/>
    <w:rsid w:val="0015178F"/>
    <w:rsid w:val="0015192C"/>
    <w:rsid w:val="00151F45"/>
    <w:rsid w:val="00152B6F"/>
    <w:rsid w:val="00152DB8"/>
    <w:rsid w:val="00152EC3"/>
    <w:rsid w:val="00152F23"/>
    <w:rsid w:val="0015350F"/>
    <w:rsid w:val="0015375B"/>
    <w:rsid w:val="00153F21"/>
    <w:rsid w:val="00155720"/>
    <w:rsid w:val="00155C94"/>
    <w:rsid w:val="00156ACC"/>
    <w:rsid w:val="00156AD8"/>
    <w:rsid w:val="00157826"/>
    <w:rsid w:val="001578B2"/>
    <w:rsid w:val="00162D78"/>
    <w:rsid w:val="00162F4B"/>
    <w:rsid w:val="00162FF1"/>
    <w:rsid w:val="0016312B"/>
    <w:rsid w:val="001638CB"/>
    <w:rsid w:val="001660AF"/>
    <w:rsid w:val="00166694"/>
    <w:rsid w:val="00166A9C"/>
    <w:rsid w:val="00166E84"/>
    <w:rsid w:val="00167953"/>
    <w:rsid w:val="00167DFD"/>
    <w:rsid w:val="001714B3"/>
    <w:rsid w:val="00172A10"/>
    <w:rsid w:val="00173C07"/>
    <w:rsid w:val="00174F70"/>
    <w:rsid w:val="00175036"/>
    <w:rsid w:val="0017556A"/>
    <w:rsid w:val="0018014C"/>
    <w:rsid w:val="001801E3"/>
    <w:rsid w:val="00181F15"/>
    <w:rsid w:val="001820B7"/>
    <w:rsid w:val="00182C8D"/>
    <w:rsid w:val="00182F48"/>
    <w:rsid w:val="001834D6"/>
    <w:rsid w:val="00184DA4"/>
    <w:rsid w:val="00184ED8"/>
    <w:rsid w:val="00185913"/>
    <w:rsid w:val="00185FF4"/>
    <w:rsid w:val="001875F6"/>
    <w:rsid w:val="00187F9C"/>
    <w:rsid w:val="00190C68"/>
    <w:rsid w:val="0019137D"/>
    <w:rsid w:val="00191E7A"/>
    <w:rsid w:val="00191FC5"/>
    <w:rsid w:val="00193C00"/>
    <w:rsid w:val="0019468A"/>
    <w:rsid w:val="00195263"/>
    <w:rsid w:val="001965AA"/>
    <w:rsid w:val="00196AA8"/>
    <w:rsid w:val="00197A4E"/>
    <w:rsid w:val="001A134A"/>
    <w:rsid w:val="001A184B"/>
    <w:rsid w:val="001A1B7B"/>
    <w:rsid w:val="001A3ECF"/>
    <w:rsid w:val="001A4D51"/>
    <w:rsid w:val="001A50B4"/>
    <w:rsid w:val="001A5BF7"/>
    <w:rsid w:val="001A71D4"/>
    <w:rsid w:val="001A72EC"/>
    <w:rsid w:val="001A7913"/>
    <w:rsid w:val="001A7AF1"/>
    <w:rsid w:val="001B0154"/>
    <w:rsid w:val="001B066C"/>
    <w:rsid w:val="001B3174"/>
    <w:rsid w:val="001B3BCF"/>
    <w:rsid w:val="001B3CC0"/>
    <w:rsid w:val="001B4670"/>
    <w:rsid w:val="001B592E"/>
    <w:rsid w:val="001B6058"/>
    <w:rsid w:val="001B6BFA"/>
    <w:rsid w:val="001B76D2"/>
    <w:rsid w:val="001C058E"/>
    <w:rsid w:val="001C18CB"/>
    <w:rsid w:val="001C2078"/>
    <w:rsid w:val="001C3379"/>
    <w:rsid w:val="001C5552"/>
    <w:rsid w:val="001C5A99"/>
    <w:rsid w:val="001C5D31"/>
    <w:rsid w:val="001C61A8"/>
    <w:rsid w:val="001C789C"/>
    <w:rsid w:val="001C78E5"/>
    <w:rsid w:val="001D0599"/>
    <w:rsid w:val="001D1F3D"/>
    <w:rsid w:val="001D24D8"/>
    <w:rsid w:val="001D2525"/>
    <w:rsid w:val="001D3411"/>
    <w:rsid w:val="001D374E"/>
    <w:rsid w:val="001D3802"/>
    <w:rsid w:val="001D4BA3"/>
    <w:rsid w:val="001D5C8C"/>
    <w:rsid w:val="001D65A6"/>
    <w:rsid w:val="001D6694"/>
    <w:rsid w:val="001D78DA"/>
    <w:rsid w:val="001E072F"/>
    <w:rsid w:val="001E106E"/>
    <w:rsid w:val="001E1334"/>
    <w:rsid w:val="001E1A36"/>
    <w:rsid w:val="001E1E39"/>
    <w:rsid w:val="001E2279"/>
    <w:rsid w:val="001E23F9"/>
    <w:rsid w:val="001E29E9"/>
    <w:rsid w:val="001E5045"/>
    <w:rsid w:val="001E5129"/>
    <w:rsid w:val="001E64C0"/>
    <w:rsid w:val="001E729E"/>
    <w:rsid w:val="001F16FA"/>
    <w:rsid w:val="001F21E7"/>
    <w:rsid w:val="001F22F5"/>
    <w:rsid w:val="001F35AA"/>
    <w:rsid w:val="001F46B1"/>
    <w:rsid w:val="001F4CC4"/>
    <w:rsid w:val="001F558B"/>
    <w:rsid w:val="001F5F60"/>
    <w:rsid w:val="001F6444"/>
    <w:rsid w:val="001F6874"/>
    <w:rsid w:val="001F6EBD"/>
    <w:rsid w:val="001F7E61"/>
    <w:rsid w:val="00200245"/>
    <w:rsid w:val="002018D2"/>
    <w:rsid w:val="00201C5F"/>
    <w:rsid w:val="002026F4"/>
    <w:rsid w:val="00202B99"/>
    <w:rsid w:val="00203215"/>
    <w:rsid w:val="00204979"/>
    <w:rsid w:val="00205000"/>
    <w:rsid w:val="0020570A"/>
    <w:rsid w:val="00205F68"/>
    <w:rsid w:val="00206B97"/>
    <w:rsid w:val="00206C09"/>
    <w:rsid w:val="00207D26"/>
    <w:rsid w:val="00212BB4"/>
    <w:rsid w:val="00212D5D"/>
    <w:rsid w:val="00212E3F"/>
    <w:rsid w:val="00213291"/>
    <w:rsid w:val="002136DF"/>
    <w:rsid w:val="002138E1"/>
    <w:rsid w:val="00213ADB"/>
    <w:rsid w:val="00213DDF"/>
    <w:rsid w:val="00214916"/>
    <w:rsid w:val="00214EBC"/>
    <w:rsid w:val="002155AF"/>
    <w:rsid w:val="00216AE9"/>
    <w:rsid w:val="00217AED"/>
    <w:rsid w:val="002200AD"/>
    <w:rsid w:val="00220EC6"/>
    <w:rsid w:val="002216A4"/>
    <w:rsid w:val="002226DA"/>
    <w:rsid w:val="00222C17"/>
    <w:rsid w:val="00223B83"/>
    <w:rsid w:val="00224CA2"/>
    <w:rsid w:val="002251E4"/>
    <w:rsid w:val="002265D0"/>
    <w:rsid w:val="00226D2B"/>
    <w:rsid w:val="00227EDF"/>
    <w:rsid w:val="00227F17"/>
    <w:rsid w:val="00230058"/>
    <w:rsid w:val="00230E6E"/>
    <w:rsid w:val="00231FD3"/>
    <w:rsid w:val="002320E4"/>
    <w:rsid w:val="002321B9"/>
    <w:rsid w:val="0023287D"/>
    <w:rsid w:val="00232945"/>
    <w:rsid w:val="00233B7D"/>
    <w:rsid w:val="002340EA"/>
    <w:rsid w:val="00234499"/>
    <w:rsid w:val="002345D5"/>
    <w:rsid w:val="00235BED"/>
    <w:rsid w:val="00236CBE"/>
    <w:rsid w:val="00236CD0"/>
    <w:rsid w:val="00240432"/>
    <w:rsid w:val="0024145D"/>
    <w:rsid w:val="00242113"/>
    <w:rsid w:val="00242244"/>
    <w:rsid w:val="00244229"/>
    <w:rsid w:val="002449A2"/>
    <w:rsid w:val="00245B21"/>
    <w:rsid w:val="00245FEA"/>
    <w:rsid w:val="0024604B"/>
    <w:rsid w:val="00250157"/>
    <w:rsid w:val="00250490"/>
    <w:rsid w:val="002504BC"/>
    <w:rsid w:val="002510F6"/>
    <w:rsid w:val="002517EB"/>
    <w:rsid w:val="00253233"/>
    <w:rsid w:val="00253664"/>
    <w:rsid w:val="00257A6D"/>
    <w:rsid w:val="00260430"/>
    <w:rsid w:val="0026058C"/>
    <w:rsid w:val="00262D2E"/>
    <w:rsid w:val="00263027"/>
    <w:rsid w:val="002633BF"/>
    <w:rsid w:val="00265502"/>
    <w:rsid w:val="00265982"/>
    <w:rsid w:val="002663DD"/>
    <w:rsid w:val="002668F2"/>
    <w:rsid w:val="00267640"/>
    <w:rsid w:val="002677CC"/>
    <w:rsid w:val="00267F35"/>
    <w:rsid w:val="00270896"/>
    <w:rsid w:val="002708E4"/>
    <w:rsid w:val="00271FA5"/>
    <w:rsid w:val="00272C58"/>
    <w:rsid w:val="00272D6B"/>
    <w:rsid w:val="002737FA"/>
    <w:rsid w:val="00274342"/>
    <w:rsid w:val="0027436F"/>
    <w:rsid w:val="002745A4"/>
    <w:rsid w:val="002745DC"/>
    <w:rsid w:val="002748B8"/>
    <w:rsid w:val="00276446"/>
    <w:rsid w:val="002768EE"/>
    <w:rsid w:val="00276E22"/>
    <w:rsid w:val="0028004C"/>
    <w:rsid w:val="00280576"/>
    <w:rsid w:val="00280F5C"/>
    <w:rsid w:val="0028114F"/>
    <w:rsid w:val="00282271"/>
    <w:rsid w:val="002831B3"/>
    <w:rsid w:val="00283EA4"/>
    <w:rsid w:val="0028433C"/>
    <w:rsid w:val="0028460C"/>
    <w:rsid w:val="002847C4"/>
    <w:rsid w:val="00284C71"/>
    <w:rsid w:val="00285AA0"/>
    <w:rsid w:val="00286081"/>
    <w:rsid w:val="002863FD"/>
    <w:rsid w:val="002867E0"/>
    <w:rsid w:val="002869C5"/>
    <w:rsid w:val="00286AD2"/>
    <w:rsid w:val="002874B0"/>
    <w:rsid w:val="00290571"/>
    <w:rsid w:val="00290CD6"/>
    <w:rsid w:val="002935D3"/>
    <w:rsid w:val="0029588E"/>
    <w:rsid w:val="002958B2"/>
    <w:rsid w:val="002959B5"/>
    <w:rsid w:val="00296321"/>
    <w:rsid w:val="00296ADD"/>
    <w:rsid w:val="00297042"/>
    <w:rsid w:val="002A042F"/>
    <w:rsid w:val="002A0831"/>
    <w:rsid w:val="002A143B"/>
    <w:rsid w:val="002A195F"/>
    <w:rsid w:val="002A2043"/>
    <w:rsid w:val="002A29D1"/>
    <w:rsid w:val="002A38F8"/>
    <w:rsid w:val="002A41BD"/>
    <w:rsid w:val="002A5A85"/>
    <w:rsid w:val="002A66CD"/>
    <w:rsid w:val="002A7A48"/>
    <w:rsid w:val="002B08E3"/>
    <w:rsid w:val="002B093A"/>
    <w:rsid w:val="002B0DC9"/>
    <w:rsid w:val="002B107E"/>
    <w:rsid w:val="002B1497"/>
    <w:rsid w:val="002B1EA4"/>
    <w:rsid w:val="002B2469"/>
    <w:rsid w:val="002B299F"/>
    <w:rsid w:val="002B30A9"/>
    <w:rsid w:val="002B3A97"/>
    <w:rsid w:val="002B4594"/>
    <w:rsid w:val="002B46CA"/>
    <w:rsid w:val="002B4971"/>
    <w:rsid w:val="002B5279"/>
    <w:rsid w:val="002B59D0"/>
    <w:rsid w:val="002B60CC"/>
    <w:rsid w:val="002B7809"/>
    <w:rsid w:val="002C004B"/>
    <w:rsid w:val="002C25C9"/>
    <w:rsid w:val="002C31F2"/>
    <w:rsid w:val="002C4AE1"/>
    <w:rsid w:val="002C54B0"/>
    <w:rsid w:val="002C6FF3"/>
    <w:rsid w:val="002D0D16"/>
    <w:rsid w:val="002D1C5D"/>
    <w:rsid w:val="002D1C6A"/>
    <w:rsid w:val="002D2B30"/>
    <w:rsid w:val="002D2B9D"/>
    <w:rsid w:val="002D2D4A"/>
    <w:rsid w:val="002D3196"/>
    <w:rsid w:val="002D416C"/>
    <w:rsid w:val="002D4783"/>
    <w:rsid w:val="002D5018"/>
    <w:rsid w:val="002D5F64"/>
    <w:rsid w:val="002D794E"/>
    <w:rsid w:val="002E1183"/>
    <w:rsid w:val="002E1B81"/>
    <w:rsid w:val="002E1CED"/>
    <w:rsid w:val="002E223E"/>
    <w:rsid w:val="002E2BCE"/>
    <w:rsid w:val="002E2C33"/>
    <w:rsid w:val="002E403E"/>
    <w:rsid w:val="002E406C"/>
    <w:rsid w:val="002E4B4E"/>
    <w:rsid w:val="002E4E35"/>
    <w:rsid w:val="002E5573"/>
    <w:rsid w:val="002E58E4"/>
    <w:rsid w:val="002E6852"/>
    <w:rsid w:val="002E6BF7"/>
    <w:rsid w:val="002E6E49"/>
    <w:rsid w:val="002E7A3A"/>
    <w:rsid w:val="002F0328"/>
    <w:rsid w:val="002F0486"/>
    <w:rsid w:val="002F1693"/>
    <w:rsid w:val="002F1E0E"/>
    <w:rsid w:val="002F1FC4"/>
    <w:rsid w:val="002F2034"/>
    <w:rsid w:val="002F24EE"/>
    <w:rsid w:val="002F2D8B"/>
    <w:rsid w:val="002F3916"/>
    <w:rsid w:val="002F46FA"/>
    <w:rsid w:val="002F5A45"/>
    <w:rsid w:val="002F66CB"/>
    <w:rsid w:val="002F74E7"/>
    <w:rsid w:val="002F7783"/>
    <w:rsid w:val="002F79A9"/>
    <w:rsid w:val="002F79BB"/>
    <w:rsid w:val="00300086"/>
    <w:rsid w:val="0030082C"/>
    <w:rsid w:val="003029B7"/>
    <w:rsid w:val="00302AF2"/>
    <w:rsid w:val="00303C7F"/>
    <w:rsid w:val="00304086"/>
    <w:rsid w:val="00305EBD"/>
    <w:rsid w:val="003076DE"/>
    <w:rsid w:val="00307936"/>
    <w:rsid w:val="003109E6"/>
    <w:rsid w:val="00310F06"/>
    <w:rsid w:val="003112F8"/>
    <w:rsid w:val="00311A77"/>
    <w:rsid w:val="00311D55"/>
    <w:rsid w:val="00311DB7"/>
    <w:rsid w:val="00311E72"/>
    <w:rsid w:val="0031297B"/>
    <w:rsid w:val="00312B19"/>
    <w:rsid w:val="00313FE8"/>
    <w:rsid w:val="0031443F"/>
    <w:rsid w:val="003158AF"/>
    <w:rsid w:val="00315F76"/>
    <w:rsid w:val="003164FB"/>
    <w:rsid w:val="00316C3B"/>
    <w:rsid w:val="0032090C"/>
    <w:rsid w:val="0032090F"/>
    <w:rsid w:val="00321546"/>
    <w:rsid w:val="00321747"/>
    <w:rsid w:val="0032193B"/>
    <w:rsid w:val="003236A0"/>
    <w:rsid w:val="003243F0"/>
    <w:rsid w:val="00324C3B"/>
    <w:rsid w:val="00324D66"/>
    <w:rsid w:val="00324F24"/>
    <w:rsid w:val="0032511A"/>
    <w:rsid w:val="00326A95"/>
    <w:rsid w:val="00326DF1"/>
    <w:rsid w:val="003271D9"/>
    <w:rsid w:val="00330776"/>
    <w:rsid w:val="00331159"/>
    <w:rsid w:val="0033211E"/>
    <w:rsid w:val="00332D13"/>
    <w:rsid w:val="00332FFA"/>
    <w:rsid w:val="00333184"/>
    <w:rsid w:val="00333363"/>
    <w:rsid w:val="00333CA4"/>
    <w:rsid w:val="003351F5"/>
    <w:rsid w:val="00335ECE"/>
    <w:rsid w:val="00336299"/>
    <w:rsid w:val="003379AD"/>
    <w:rsid w:val="0034026B"/>
    <w:rsid w:val="00340650"/>
    <w:rsid w:val="00340A5F"/>
    <w:rsid w:val="00341393"/>
    <w:rsid w:val="0034235B"/>
    <w:rsid w:val="00342C1E"/>
    <w:rsid w:val="00342F0D"/>
    <w:rsid w:val="00343EA1"/>
    <w:rsid w:val="00343FAE"/>
    <w:rsid w:val="00344088"/>
    <w:rsid w:val="003442DE"/>
    <w:rsid w:val="00345BE2"/>
    <w:rsid w:val="00345D2E"/>
    <w:rsid w:val="00346038"/>
    <w:rsid w:val="00346226"/>
    <w:rsid w:val="00347B68"/>
    <w:rsid w:val="00347D89"/>
    <w:rsid w:val="00350400"/>
    <w:rsid w:val="00351151"/>
    <w:rsid w:val="003529AF"/>
    <w:rsid w:val="0035397B"/>
    <w:rsid w:val="003544A2"/>
    <w:rsid w:val="0035457F"/>
    <w:rsid w:val="00354FEA"/>
    <w:rsid w:val="003550ED"/>
    <w:rsid w:val="0035546E"/>
    <w:rsid w:val="00356498"/>
    <w:rsid w:val="00357015"/>
    <w:rsid w:val="003603D2"/>
    <w:rsid w:val="003618A7"/>
    <w:rsid w:val="00361EC5"/>
    <w:rsid w:val="00361F70"/>
    <w:rsid w:val="003627F3"/>
    <w:rsid w:val="00362F02"/>
    <w:rsid w:val="003645A3"/>
    <w:rsid w:val="00364820"/>
    <w:rsid w:val="003649CD"/>
    <w:rsid w:val="003662FF"/>
    <w:rsid w:val="0036746A"/>
    <w:rsid w:val="00367C32"/>
    <w:rsid w:val="00367C7F"/>
    <w:rsid w:val="003711E2"/>
    <w:rsid w:val="003729CE"/>
    <w:rsid w:val="00372DBD"/>
    <w:rsid w:val="00372E23"/>
    <w:rsid w:val="00373C0F"/>
    <w:rsid w:val="00374D04"/>
    <w:rsid w:val="00375912"/>
    <w:rsid w:val="00380000"/>
    <w:rsid w:val="003812A5"/>
    <w:rsid w:val="003815E7"/>
    <w:rsid w:val="0038161D"/>
    <w:rsid w:val="00381F5E"/>
    <w:rsid w:val="00381FF9"/>
    <w:rsid w:val="0038374C"/>
    <w:rsid w:val="00383754"/>
    <w:rsid w:val="00383A01"/>
    <w:rsid w:val="003849F5"/>
    <w:rsid w:val="00384D81"/>
    <w:rsid w:val="00385C39"/>
    <w:rsid w:val="00386262"/>
    <w:rsid w:val="003867FB"/>
    <w:rsid w:val="003869ED"/>
    <w:rsid w:val="00386C29"/>
    <w:rsid w:val="003903DC"/>
    <w:rsid w:val="003904B7"/>
    <w:rsid w:val="00390EAE"/>
    <w:rsid w:val="00393A99"/>
    <w:rsid w:val="00393E9E"/>
    <w:rsid w:val="003958A7"/>
    <w:rsid w:val="00396186"/>
    <w:rsid w:val="003965A0"/>
    <w:rsid w:val="003979B1"/>
    <w:rsid w:val="003A0A91"/>
    <w:rsid w:val="003A18DD"/>
    <w:rsid w:val="003A191D"/>
    <w:rsid w:val="003A19D4"/>
    <w:rsid w:val="003A1C88"/>
    <w:rsid w:val="003A2D86"/>
    <w:rsid w:val="003A3EA7"/>
    <w:rsid w:val="003A40E5"/>
    <w:rsid w:val="003A47A4"/>
    <w:rsid w:val="003A4A3E"/>
    <w:rsid w:val="003A6136"/>
    <w:rsid w:val="003A6F94"/>
    <w:rsid w:val="003A7295"/>
    <w:rsid w:val="003B1203"/>
    <w:rsid w:val="003B276E"/>
    <w:rsid w:val="003B371B"/>
    <w:rsid w:val="003B3B8D"/>
    <w:rsid w:val="003B4A6F"/>
    <w:rsid w:val="003B4AA0"/>
    <w:rsid w:val="003B5478"/>
    <w:rsid w:val="003B63FF"/>
    <w:rsid w:val="003B6468"/>
    <w:rsid w:val="003B7FF0"/>
    <w:rsid w:val="003C3808"/>
    <w:rsid w:val="003C3CDA"/>
    <w:rsid w:val="003C3D20"/>
    <w:rsid w:val="003C4D1A"/>
    <w:rsid w:val="003C51BE"/>
    <w:rsid w:val="003C6003"/>
    <w:rsid w:val="003C6008"/>
    <w:rsid w:val="003C6EBF"/>
    <w:rsid w:val="003C70FD"/>
    <w:rsid w:val="003C71E0"/>
    <w:rsid w:val="003C7C03"/>
    <w:rsid w:val="003C7E8F"/>
    <w:rsid w:val="003D0C8E"/>
    <w:rsid w:val="003D17CB"/>
    <w:rsid w:val="003D1EF3"/>
    <w:rsid w:val="003D36AC"/>
    <w:rsid w:val="003D373E"/>
    <w:rsid w:val="003D3A40"/>
    <w:rsid w:val="003D3CD1"/>
    <w:rsid w:val="003D4585"/>
    <w:rsid w:val="003D45E1"/>
    <w:rsid w:val="003D477F"/>
    <w:rsid w:val="003D47F9"/>
    <w:rsid w:val="003D6E57"/>
    <w:rsid w:val="003D6FFD"/>
    <w:rsid w:val="003D76D5"/>
    <w:rsid w:val="003E13C9"/>
    <w:rsid w:val="003E149F"/>
    <w:rsid w:val="003E1729"/>
    <w:rsid w:val="003E2FC2"/>
    <w:rsid w:val="003E362B"/>
    <w:rsid w:val="003E4D17"/>
    <w:rsid w:val="003E525A"/>
    <w:rsid w:val="003E5A56"/>
    <w:rsid w:val="003F0084"/>
    <w:rsid w:val="003F01F9"/>
    <w:rsid w:val="003F0959"/>
    <w:rsid w:val="003F0A93"/>
    <w:rsid w:val="003F2BC3"/>
    <w:rsid w:val="003F2C7B"/>
    <w:rsid w:val="003F2F7A"/>
    <w:rsid w:val="003F33EF"/>
    <w:rsid w:val="003F358E"/>
    <w:rsid w:val="003F3A0A"/>
    <w:rsid w:val="003F5EB9"/>
    <w:rsid w:val="003F6B4B"/>
    <w:rsid w:val="003F6E70"/>
    <w:rsid w:val="003F6F64"/>
    <w:rsid w:val="003F7133"/>
    <w:rsid w:val="00401184"/>
    <w:rsid w:val="00401452"/>
    <w:rsid w:val="004016DA"/>
    <w:rsid w:val="00401C2C"/>
    <w:rsid w:val="00402E73"/>
    <w:rsid w:val="00402FA2"/>
    <w:rsid w:val="00403290"/>
    <w:rsid w:val="00403648"/>
    <w:rsid w:val="00403C4A"/>
    <w:rsid w:val="004052AA"/>
    <w:rsid w:val="00405AA4"/>
    <w:rsid w:val="00406541"/>
    <w:rsid w:val="00406DC2"/>
    <w:rsid w:val="00407164"/>
    <w:rsid w:val="00407469"/>
    <w:rsid w:val="00410594"/>
    <w:rsid w:val="0041067E"/>
    <w:rsid w:val="00411206"/>
    <w:rsid w:val="00412099"/>
    <w:rsid w:val="004120B0"/>
    <w:rsid w:val="00412DA5"/>
    <w:rsid w:val="004133E0"/>
    <w:rsid w:val="00413549"/>
    <w:rsid w:val="0041355A"/>
    <w:rsid w:val="00414602"/>
    <w:rsid w:val="0041473A"/>
    <w:rsid w:val="004152D2"/>
    <w:rsid w:val="00415506"/>
    <w:rsid w:val="0041742B"/>
    <w:rsid w:val="004207BF"/>
    <w:rsid w:val="00421EC0"/>
    <w:rsid w:val="0042211F"/>
    <w:rsid w:val="004226BA"/>
    <w:rsid w:val="00422A32"/>
    <w:rsid w:val="00422A34"/>
    <w:rsid w:val="00424680"/>
    <w:rsid w:val="00424F95"/>
    <w:rsid w:val="00425182"/>
    <w:rsid w:val="00425186"/>
    <w:rsid w:val="00425ED9"/>
    <w:rsid w:val="00426044"/>
    <w:rsid w:val="00426B8F"/>
    <w:rsid w:val="00427203"/>
    <w:rsid w:val="00430F5E"/>
    <w:rsid w:val="004324FC"/>
    <w:rsid w:val="004329D5"/>
    <w:rsid w:val="004336A7"/>
    <w:rsid w:val="00437039"/>
    <w:rsid w:val="00437306"/>
    <w:rsid w:val="0043754E"/>
    <w:rsid w:val="00440212"/>
    <w:rsid w:val="004415F8"/>
    <w:rsid w:val="00441AA3"/>
    <w:rsid w:val="00441D1B"/>
    <w:rsid w:val="004429EF"/>
    <w:rsid w:val="00443DF0"/>
    <w:rsid w:val="004463B9"/>
    <w:rsid w:val="00446CE6"/>
    <w:rsid w:val="0044713F"/>
    <w:rsid w:val="00447E98"/>
    <w:rsid w:val="0045342D"/>
    <w:rsid w:val="0045352D"/>
    <w:rsid w:val="00453C66"/>
    <w:rsid w:val="00454E4E"/>
    <w:rsid w:val="004552A5"/>
    <w:rsid w:val="00455A56"/>
    <w:rsid w:val="00455E49"/>
    <w:rsid w:val="004566AB"/>
    <w:rsid w:val="00456FB3"/>
    <w:rsid w:val="00457578"/>
    <w:rsid w:val="00461641"/>
    <w:rsid w:val="0046178A"/>
    <w:rsid w:val="004618BE"/>
    <w:rsid w:val="00462033"/>
    <w:rsid w:val="00462271"/>
    <w:rsid w:val="00462A0F"/>
    <w:rsid w:val="00462CF4"/>
    <w:rsid w:val="00463C2B"/>
    <w:rsid w:val="00466982"/>
    <w:rsid w:val="00467D07"/>
    <w:rsid w:val="00467D40"/>
    <w:rsid w:val="00467E88"/>
    <w:rsid w:val="00472DA0"/>
    <w:rsid w:val="00473533"/>
    <w:rsid w:val="004736DB"/>
    <w:rsid w:val="00473AC2"/>
    <w:rsid w:val="00473E12"/>
    <w:rsid w:val="004754F3"/>
    <w:rsid w:val="00475816"/>
    <w:rsid w:val="004758B3"/>
    <w:rsid w:val="00475CF9"/>
    <w:rsid w:val="00476A77"/>
    <w:rsid w:val="004809C1"/>
    <w:rsid w:val="004826CA"/>
    <w:rsid w:val="00482821"/>
    <w:rsid w:val="00482DDE"/>
    <w:rsid w:val="004850F6"/>
    <w:rsid w:val="00486248"/>
    <w:rsid w:val="00486C24"/>
    <w:rsid w:val="00487785"/>
    <w:rsid w:val="004911FC"/>
    <w:rsid w:val="0049177E"/>
    <w:rsid w:val="00491D27"/>
    <w:rsid w:val="0049323F"/>
    <w:rsid w:val="004933EC"/>
    <w:rsid w:val="00493F87"/>
    <w:rsid w:val="00494C99"/>
    <w:rsid w:val="004951BD"/>
    <w:rsid w:val="0049719D"/>
    <w:rsid w:val="004973A7"/>
    <w:rsid w:val="004974BE"/>
    <w:rsid w:val="00497DB2"/>
    <w:rsid w:val="004A0745"/>
    <w:rsid w:val="004A22B1"/>
    <w:rsid w:val="004A3A0F"/>
    <w:rsid w:val="004A4429"/>
    <w:rsid w:val="004A4B0A"/>
    <w:rsid w:val="004A5362"/>
    <w:rsid w:val="004A5697"/>
    <w:rsid w:val="004A6701"/>
    <w:rsid w:val="004B0982"/>
    <w:rsid w:val="004B1B7E"/>
    <w:rsid w:val="004B3B8F"/>
    <w:rsid w:val="004B43E9"/>
    <w:rsid w:val="004B5E38"/>
    <w:rsid w:val="004B5FA9"/>
    <w:rsid w:val="004B6267"/>
    <w:rsid w:val="004C0E6B"/>
    <w:rsid w:val="004C179B"/>
    <w:rsid w:val="004C1D06"/>
    <w:rsid w:val="004C37CD"/>
    <w:rsid w:val="004C3C75"/>
    <w:rsid w:val="004C578A"/>
    <w:rsid w:val="004C5FD9"/>
    <w:rsid w:val="004C66F5"/>
    <w:rsid w:val="004C6BFE"/>
    <w:rsid w:val="004C7A74"/>
    <w:rsid w:val="004D076B"/>
    <w:rsid w:val="004D40B5"/>
    <w:rsid w:val="004D4187"/>
    <w:rsid w:val="004D5706"/>
    <w:rsid w:val="004D60DB"/>
    <w:rsid w:val="004E087C"/>
    <w:rsid w:val="004E2247"/>
    <w:rsid w:val="004E2CFC"/>
    <w:rsid w:val="004E2E5B"/>
    <w:rsid w:val="004E565D"/>
    <w:rsid w:val="004E56BA"/>
    <w:rsid w:val="004E6D05"/>
    <w:rsid w:val="004E6D97"/>
    <w:rsid w:val="004E7303"/>
    <w:rsid w:val="004E7B5F"/>
    <w:rsid w:val="004F0641"/>
    <w:rsid w:val="004F06CF"/>
    <w:rsid w:val="004F10A1"/>
    <w:rsid w:val="004F1449"/>
    <w:rsid w:val="004F15D3"/>
    <w:rsid w:val="004F1E90"/>
    <w:rsid w:val="004F4070"/>
    <w:rsid w:val="004F5DE5"/>
    <w:rsid w:val="004F66DB"/>
    <w:rsid w:val="004F7B82"/>
    <w:rsid w:val="005000E9"/>
    <w:rsid w:val="005022B9"/>
    <w:rsid w:val="00502A67"/>
    <w:rsid w:val="00502DC5"/>
    <w:rsid w:val="00502F38"/>
    <w:rsid w:val="00503734"/>
    <w:rsid w:val="005040CD"/>
    <w:rsid w:val="005040E7"/>
    <w:rsid w:val="005049D6"/>
    <w:rsid w:val="00504C4D"/>
    <w:rsid w:val="00505D18"/>
    <w:rsid w:val="00505F1E"/>
    <w:rsid w:val="00507162"/>
    <w:rsid w:val="005073CA"/>
    <w:rsid w:val="00510195"/>
    <w:rsid w:val="00512161"/>
    <w:rsid w:val="0051273F"/>
    <w:rsid w:val="00512AE1"/>
    <w:rsid w:val="005139AA"/>
    <w:rsid w:val="00513E72"/>
    <w:rsid w:val="005149A3"/>
    <w:rsid w:val="00514CC2"/>
    <w:rsid w:val="005159CD"/>
    <w:rsid w:val="00515BF5"/>
    <w:rsid w:val="0051607C"/>
    <w:rsid w:val="00516814"/>
    <w:rsid w:val="00517261"/>
    <w:rsid w:val="00517408"/>
    <w:rsid w:val="00517EC8"/>
    <w:rsid w:val="00521003"/>
    <w:rsid w:val="00521360"/>
    <w:rsid w:val="00521E91"/>
    <w:rsid w:val="00523DD6"/>
    <w:rsid w:val="00524057"/>
    <w:rsid w:val="00524615"/>
    <w:rsid w:val="005248E9"/>
    <w:rsid w:val="00525C06"/>
    <w:rsid w:val="00525C34"/>
    <w:rsid w:val="00525F97"/>
    <w:rsid w:val="00526143"/>
    <w:rsid w:val="00526682"/>
    <w:rsid w:val="00526CD3"/>
    <w:rsid w:val="00526F8F"/>
    <w:rsid w:val="00530661"/>
    <w:rsid w:val="00530A7B"/>
    <w:rsid w:val="00530F32"/>
    <w:rsid w:val="0053120F"/>
    <w:rsid w:val="00532991"/>
    <w:rsid w:val="00533A96"/>
    <w:rsid w:val="0053429C"/>
    <w:rsid w:val="00534CFE"/>
    <w:rsid w:val="00535ED8"/>
    <w:rsid w:val="005400BC"/>
    <w:rsid w:val="005412FA"/>
    <w:rsid w:val="0054159D"/>
    <w:rsid w:val="0054189C"/>
    <w:rsid w:val="00542A29"/>
    <w:rsid w:val="00542EE0"/>
    <w:rsid w:val="00544CAE"/>
    <w:rsid w:val="00545A00"/>
    <w:rsid w:val="00546240"/>
    <w:rsid w:val="005467DA"/>
    <w:rsid w:val="00550429"/>
    <w:rsid w:val="00550E75"/>
    <w:rsid w:val="005514D0"/>
    <w:rsid w:val="00551676"/>
    <w:rsid w:val="005524A1"/>
    <w:rsid w:val="00552628"/>
    <w:rsid w:val="00552FA9"/>
    <w:rsid w:val="0055325B"/>
    <w:rsid w:val="0055344D"/>
    <w:rsid w:val="00553AF8"/>
    <w:rsid w:val="00554B64"/>
    <w:rsid w:val="00555CA2"/>
    <w:rsid w:val="005571D7"/>
    <w:rsid w:val="0055746A"/>
    <w:rsid w:val="00560015"/>
    <w:rsid w:val="005625F5"/>
    <w:rsid w:val="00562ECF"/>
    <w:rsid w:val="005643C9"/>
    <w:rsid w:val="00564E5C"/>
    <w:rsid w:val="00570304"/>
    <w:rsid w:val="00570EDD"/>
    <w:rsid w:val="00571950"/>
    <w:rsid w:val="005720B8"/>
    <w:rsid w:val="00572813"/>
    <w:rsid w:val="0057453A"/>
    <w:rsid w:val="00574D20"/>
    <w:rsid w:val="005750D8"/>
    <w:rsid w:val="005761A1"/>
    <w:rsid w:val="00576EC6"/>
    <w:rsid w:val="00577862"/>
    <w:rsid w:val="005779D1"/>
    <w:rsid w:val="00577D8C"/>
    <w:rsid w:val="00580169"/>
    <w:rsid w:val="00580F4F"/>
    <w:rsid w:val="00581271"/>
    <w:rsid w:val="00581DBF"/>
    <w:rsid w:val="00582369"/>
    <w:rsid w:val="00583368"/>
    <w:rsid w:val="00583BD6"/>
    <w:rsid w:val="00584A21"/>
    <w:rsid w:val="00585CF6"/>
    <w:rsid w:val="00586CBF"/>
    <w:rsid w:val="0058795E"/>
    <w:rsid w:val="00590860"/>
    <w:rsid w:val="005909EB"/>
    <w:rsid w:val="00592658"/>
    <w:rsid w:val="00594B29"/>
    <w:rsid w:val="0059573D"/>
    <w:rsid w:val="00595A5B"/>
    <w:rsid w:val="00595B63"/>
    <w:rsid w:val="00595CAC"/>
    <w:rsid w:val="00596BCE"/>
    <w:rsid w:val="00597A36"/>
    <w:rsid w:val="005A021D"/>
    <w:rsid w:val="005A0314"/>
    <w:rsid w:val="005A0B7A"/>
    <w:rsid w:val="005A1406"/>
    <w:rsid w:val="005A15E4"/>
    <w:rsid w:val="005A189D"/>
    <w:rsid w:val="005A22CA"/>
    <w:rsid w:val="005A4489"/>
    <w:rsid w:val="005A47F3"/>
    <w:rsid w:val="005A57B6"/>
    <w:rsid w:val="005A7A70"/>
    <w:rsid w:val="005B0A1A"/>
    <w:rsid w:val="005B13B5"/>
    <w:rsid w:val="005B163A"/>
    <w:rsid w:val="005B1E32"/>
    <w:rsid w:val="005B1E54"/>
    <w:rsid w:val="005B231B"/>
    <w:rsid w:val="005B2381"/>
    <w:rsid w:val="005B254E"/>
    <w:rsid w:val="005B3798"/>
    <w:rsid w:val="005B45F8"/>
    <w:rsid w:val="005B493B"/>
    <w:rsid w:val="005B4F80"/>
    <w:rsid w:val="005B5217"/>
    <w:rsid w:val="005B59C2"/>
    <w:rsid w:val="005B6244"/>
    <w:rsid w:val="005B64DF"/>
    <w:rsid w:val="005B6518"/>
    <w:rsid w:val="005B72AB"/>
    <w:rsid w:val="005B798E"/>
    <w:rsid w:val="005B7BAD"/>
    <w:rsid w:val="005B7CCD"/>
    <w:rsid w:val="005C0737"/>
    <w:rsid w:val="005C0958"/>
    <w:rsid w:val="005C0E7A"/>
    <w:rsid w:val="005C2123"/>
    <w:rsid w:val="005C28E3"/>
    <w:rsid w:val="005C3190"/>
    <w:rsid w:val="005C3423"/>
    <w:rsid w:val="005C351E"/>
    <w:rsid w:val="005C43C6"/>
    <w:rsid w:val="005C4419"/>
    <w:rsid w:val="005C48CE"/>
    <w:rsid w:val="005C517A"/>
    <w:rsid w:val="005C5EBD"/>
    <w:rsid w:val="005C71D3"/>
    <w:rsid w:val="005C729F"/>
    <w:rsid w:val="005C75E3"/>
    <w:rsid w:val="005C77EC"/>
    <w:rsid w:val="005D09DD"/>
    <w:rsid w:val="005D11F7"/>
    <w:rsid w:val="005D2236"/>
    <w:rsid w:val="005D323A"/>
    <w:rsid w:val="005D37CF"/>
    <w:rsid w:val="005D3CF8"/>
    <w:rsid w:val="005D47DD"/>
    <w:rsid w:val="005D5233"/>
    <w:rsid w:val="005D67C3"/>
    <w:rsid w:val="005D68C1"/>
    <w:rsid w:val="005D6A59"/>
    <w:rsid w:val="005D7356"/>
    <w:rsid w:val="005D74DA"/>
    <w:rsid w:val="005E030B"/>
    <w:rsid w:val="005E03E1"/>
    <w:rsid w:val="005E0763"/>
    <w:rsid w:val="005E179C"/>
    <w:rsid w:val="005E1D8D"/>
    <w:rsid w:val="005E4DB4"/>
    <w:rsid w:val="005E51A8"/>
    <w:rsid w:val="005E5B3A"/>
    <w:rsid w:val="005E615A"/>
    <w:rsid w:val="005E6C4F"/>
    <w:rsid w:val="005E6FAE"/>
    <w:rsid w:val="005F0761"/>
    <w:rsid w:val="005F115F"/>
    <w:rsid w:val="005F1402"/>
    <w:rsid w:val="005F2BDA"/>
    <w:rsid w:val="005F2CE6"/>
    <w:rsid w:val="005F3129"/>
    <w:rsid w:val="005F5013"/>
    <w:rsid w:val="005F5D71"/>
    <w:rsid w:val="005F65FF"/>
    <w:rsid w:val="005F72D6"/>
    <w:rsid w:val="005F76D9"/>
    <w:rsid w:val="005F7FDB"/>
    <w:rsid w:val="006040F8"/>
    <w:rsid w:val="0060434C"/>
    <w:rsid w:val="006048F5"/>
    <w:rsid w:val="00604A89"/>
    <w:rsid w:val="00605650"/>
    <w:rsid w:val="00605873"/>
    <w:rsid w:val="0060597C"/>
    <w:rsid w:val="00607CB5"/>
    <w:rsid w:val="006105F5"/>
    <w:rsid w:val="00610A56"/>
    <w:rsid w:val="00610C1C"/>
    <w:rsid w:val="00610FD8"/>
    <w:rsid w:val="006116F3"/>
    <w:rsid w:val="006122CE"/>
    <w:rsid w:val="0061255B"/>
    <w:rsid w:val="006127A9"/>
    <w:rsid w:val="00612DC7"/>
    <w:rsid w:val="00613168"/>
    <w:rsid w:val="0061374F"/>
    <w:rsid w:val="00613D77"/>
    <w:rsid w:val="006144D1"/>
    <w:rsid w:val="006146BA"/>
    <w:rsid w:val="006146CC"/>
    <w:rsid w:val="006146ED"/>
    <w:rsid w:val="00614D50"/>
    <w:rsid w:val="00615EBE"/>
    <w:rsid w:val="00616500"/>
    <w:rsid w:val="00616661"/>
    <w:rsid w:val="00617EBF"/>
    <w:rsid w:val="00622530"/>
    <w:rsid w:val="00622724"/>
    <w:rsid w:val="00623768"/>
    <w:rsid w:val="00623ABB"/>
    <w:rsid w:val="00626AAC"/>
    <w:rsid w:val="00627132"/>
    <w:rsid w:val="00627557"/>
    <w:rsid w:val="0062775F"/>
    <w:rsid w:val="00627C86"/>
    <w:rsid w:val="00627D3B"/>
    <w:rsid w:val="00630C1E"/>
    <w:rsid w:val="00630E8D"/>
    <w:rsid w:val="00633575"/>
    <w:rsid w:val="00634107"/>
    <w:rsid w:val="006342DC"/>
    <w:rsid w:val="00634675"/>
    <w:rsid w:val="00634B2B"/>
    <w:rsid w:val="00635499"/>
    <w:rsid w:val="00635860"/>
    <w:rsid w:val="00635DA1"/>
    <w:rsid w:val="00637780"/>
    <w:rsid w:val="00637E61"/>
    <w:rsid w:val="00637E73"/>
    <w:rsid w:val="00640F82"/>
    <w:rsid w:val="006412E5"/>
    <w:rsid w:val="0064243A"/>
    <w:rsid w:val="006434A2"/>
    <w:rsid w:val="00643D20"/>
    <w:rsid w:val="00644D8A"/>
    <w:rsid w:val="00644F8F"/>
    <w:rsid w:val="00645665"/>
    <w:rsid w:val="00645C20"/>
    <w:rsid w:val="0064606A"/>
    <w:rsid w:val="00646850"/>
    <w:rsid w:val="00647CDC"/>
    <w:rsid w:val="00650A87"/>
    <w:rsid w:val="006512A7"/>
    <w:rsid w:val="00653096"/>
    <w:rsid w:val="006538EC"/>
    <w:rsid w:val="00654068"/>
    <w:rsid w:val="006543A2"/>
    <w:rsid w:val="0065628C"/>
    <w:rsid w:val="00656BB2"/>
    <w:rsid w:val="00660264"/>
    <w:rsid w:val="006605B2"/>
    <w:rsid w:val="006609C6"/>
    <w:rsid w:val="00660F7B"/>
    <w:rsid w:val="0066115F"/>
    <w:rsid w:val="006614D4"/>
    <w:rsid w:val="00661B7D"/>
    <w:rsid w:val="00661D41"/>
    <w:rsid w:val="006634AA"/>
    <w:rsid w:val="006653C9"/>
    <w:rsid w:val="006660D1"/>
    <w:rsid w:val="006672DE"/>
    <w:rsid w:val="00671AAC"/>
    <w:rsid w:val="006720EE"/>
    <w:rsid w:val="00672ADB"/>
    <w:rsid w:val="00672C26"/>
    <w:rsid w:val="00672F1E"/>
    <w:rsid w:val="00673F4C"/>
    <w:rsid w:val="0067451E"/>
    <w:rsid w:val="00674D9C"/>
    <w:rsid w:val="00677309"/>
    <w:rsid w:val="006775C6"/>
    <w:rsid w:val="00677D00"/>
    <w:rsid w:val="00683137"/>
    <w:rsid w:val="00684498"/>
    <w:rsid w:val="006855B6"/>
    <w:rsid w:val="00687AC4"/>
    <w:rsid w:val="00687DDC"/>
    <w:rsid w:val="00687E0F"/>
    <w:rsid w:val="0069075B"/>
    <w:rsid w:val="0069099F"/>
    <w:rsid w:val="00690E3F"/>
    <w:rsid w:val="00690FAA"/>
    <w:rsid w:val="00691E05"/>
    <w:rsid w:val="006927D2"/>
    <w:rsid w:val="0069302F"/>
    <w:rsid w:val="00693E89"/>
    <w:rsid w:val="00697518"/>
    <w:rsid w:val="00697782"/>
    <w:rsid w:val="006A053C"/>
    <w:rsid w:val="006A3E12"/>
    <w:rsid w:val="006A4F41"/>
    <w:rsid w:val="006A50F0"/>
    <w:rsid w:val="006A51BE"/>
    <w:rsid w:val="006A56A1"/>
    <w:rsid w:val="006A5E33"/>
    <w:rsid w:val="006A652E"/>
    <w:rsid w:val="006A79AA"/>
    <w:rsid w:val="006A7D11"/>
    <w:rsid w:val="006B0CE7"/>
    <w:rsid w:val="006B1E9A"/>
    <w:rsid w:val="006B2C77"/>
    <w:rsid w:val="006B4297"/>
    <w:rsid w:val="006B49AC"/>
    <w:rsid w:val="006B53B3"/>
    <w:rsid w:val="006B6313"/>
    <w:rsid w:val="006B67A2"/>
    <w:rsid w:val="006C10D3"/>
    <w:rsid w:val="006C202E"/>
    <w:rsid w:val="006C24B2"/>
    <w:rsid w:val="006C38B5"/>
    <w:rsid w:val="006C3B42"/>
    <w:rsid w:val="006C3C5F"/>
    <w:rsid w:val="006C4212"/>
    <w:rsid w:val="006C531A"/>
    <w:rsid w:val="006C6B45"/>
    <w:rsid w:val="006C74C5"/>
    <w:rsid w:val="006C77C9"/>
    <w:rsid w:val="006D0229"/>
    <w:rsid w:val="006D03B4"/>
    <w:rsid w:val="006D04AB"/>
    <w:rsid w:val="006D0C1D"/>
    <w:rsid w:val="006D121B"/>
    <w:rsid w:val="006D182B"/>
    <w:rsid w:val="006D1C8B"/>
    <w:rsid w:val="006D1F0F"/>
    <w:rsid w:val="006D1F78"/>
    <w:rsid w:val="006D2242"/>
    <w:rsid w:val="006D29FF"/>
    <w:rsid w:val="006D2A86"/>
    <w:rsid w:val="006D2E0B"/>
    <w:rsid w:val="006D40BB"/>
    <w:rsid w:val="006D4311"/>
    <w:rsid w:val="006D4E93"/>
    <w:rsid w:val="006D59E8"/>
    <w:rsid w:val="006D5A05"/>
    <w:rsid w:val="006D5E29"/>
    <w:rsid w:val="006D61D1"/>
    <w:rsid w:val="006D63F2"/>
    <w:rsid w:val="006D657B"/>
    <w:rsid w:val="006D7117"/>
    <w:rsid w:val="006D73F9"/>
    <w:rsid w:val="006D75FB"/>
    <w:rsid w:val="006D767B"/>
    <w:rsid w:val="006E065F"/>
    <w:rsid w:val="006E0F79"/>
    <w:rsid w:val="006E2185"/>
    <w:rsid w:val="006E25AC"/>
    <w:rsid w:val="006E362F"/>
    <w:rsid w:val="006E391C"/>
    <w:rsid w:val="006E4EA6"/>
    <w:rsid w:val="006E6130"/>
    <w:rsid w:val="006E7405"/>
    <w:rsid w:val="006E782A"/>
    <w:rsid w:val="006F0349"/>
    <w:rsid w:val="006F0CDB"/>
    <w:rsid w:val="006F13E4"/>
    <w:rsid w:val="006F1A39"/>
    <w:rsid w:val="006F1D1D"/>
    <w:rsid w:val="006F1D34"/>
    <w:rsid w:val="006F3BAE"/>
    <w:rsid w:val="006F48A6"/>
    <w:rsid w:val="006F5789"/>
    <w:rsid w:val="006F5B56"/>
    <w:rsid w:val="006F7899"/>
    <w:rsid w:val="007014AF"/>
    <w:rsid w:val="00701CBA"/>
    <w:rsid w:val="0070289B"/>
    <w:rsid w:val="00703FDC"/>
    <w:rsid w:val="00705525"/>
    <w:rsid w:val="00706AF7"/>
    <w:rsid w:val="00706DC5"/>
    <w:rsid w:val="00710930"/>
    <w:rsid w:val="00711779"/>
    <w:rsid w:val="00712B00"/>
    <w:rsid w:val="00715071"/>
    <w:rsid w:val="007158D6"/>
    <w:rsid w:val="007165E2"/>
    <w:rsid w:val="007207C3"/>
    <w:rsid w:val="00720950"/>
    <w:rsid w:val="00720EF0"/>
    <w:rsid w:val="00721B93"/>
    <w:rsid w:val="00722520"/>
    <w:rsid w:val="0072252A"/>
    <w:rsid w:val="00722782"/>
    <w:rsid w:val="00722AFC"/>
    <w:rsid w:val="00723916"/>
    <w:rsid w:val="00723D3F"/>
    <w:rsid w:val="00724300"/>
    <w:rsid w:val="007247F3"/>
    <w:rsid w:val="00725BA9"/>
    <w:rsid w:val="00725C0B"/>
    <w:rsid w:val="00726484"/>
    <w:rsid w:val="00727507"/>
    <w:rsid w:val="007301FC"/>
    <w:rsid w:val="00732819"/>
    <w:rsid w:val="007343D3"/>
    <w:rsid w:val="00734948"/>
    <w:rsid w:val="00734ED2"/>
    <w:rsid w:val="00735584"/>
    <w:rsid w:val="007358A7"/>
    <w:rsid w:val="00737B3C"/>
    <w:rsid w:val="00737DC1"/>
    <w:rsid w:val="00740C01"/>
    <w:rsid w:val="007410B3"/>
    <w:rsid w:val="0074139F"/>
    <w:rsid w:val="007415F8"/>
    <w:rsid w:val="007416CA"/>
    <w:rsid w:val="007419FF"/>
    <w:rsid w:val="00743156"/>
    <w:rsid w:val="00744B8C"/>
    <w:rsid w:val="00745031"/>
    <w:rsid w:val="007453DA"/>
    <w:rsid w:val="00745541"/>
    <w:rsid w:val="0074677E"/>
    <w:rsid w:val="007469D9"/>
    <w:rsid w:val="00746AFB"/>
    <w:rsid w:val="007500B6"/>
    <w:rsid w:val="0075107A"/>
    <w:rsid w:val="00751ABC"/>
    <w:rsid w:val="0075300E"/>
    <w:rsid w:val="007554E3"/>
    <w:rsid w:val="00755E39"/>
    <w:rsid w:val="00756C01"/>
    <w:rsid w:val="0076042B"/>
    <w:rsid w:val="0076145F"/>
    <w:rsid w:val="00761D32"/>
    <w:rsid w:val="00762368"/>
    <w:rsid w:val="007626BB"/>
    <w:rsid w:val="00762AA4"/>
    <w:rsid w:val="00762FF9"/>
    <w:rsid w:val="00763027"/>
    <w:rsid w:val="007647C4"/>
    <w:rsid w:val="007656ED"/>
    <w:rsid w:val="0076632D"/>
    <w:rsid w:val="007668BF"/>
    <w:rsid w:val="00766A15"/>
    <w:rsid w:val="007706A6"/>
    <w:rsid w:val="007709A3"/>
    <w:rsid w:val="00772CA6"/>
    <w:rsid w:val="00772CD4"/>
    <w:rsid w:val="00773742"/>
    <w:rsid w:val="00773E66"/>
    <w:rsid w:val="00774A7C"/>
    <w:rsid w:val="00774C2F"/>
    <w:rsid w:val="00775D40"/>
    <w:rsid w:val="00776025"/>
    <w:rsid w:val="0077643A"/>
    <w:rsid w:val="00776BB3"/>
    <w:rsid w:val="00776D15"/>
    <w:rsid w:val="00776F9D"/>
    <w:rsid w:val="0077749A"/>
    <w:rsid w:val="00780813"/>
    <w:rsid w:val="007818E8"/>
    <w:rsid w:val="00782528"/>
    <w:rsid w:val="007839C2"/>
    <w:rsid w:val="00783E43"/>
    <w:rsid w:val="00785CDF"/>
    <w:rsid w:val="00786F62"/>
    <w:rsid w:val="00787932"/>
    <w:rsid w:val="007900CB"/>
    <w:rsid w:val="00790D66"/>
    <w:rsid w:val="0079130D"/>
    <w:rsid w:val="00791AD4"/>
    <w:rsid w:val="00792B6D"/>
    <w:rsid w:val="00793C65"/>
    <w:rsid w:val="00796C97"/>
    <w:rsid w:val="007975BB"/>
    <w:rsid w:val="007A091E"/>
    <w:rsid w:val="007A189B"/>
    <w:rsid w:val="007A1C9F"/>
    <w:rsid w:val="007A2384"/>
    <w:rsid w:val="007A2BEF"/>
    <w:rsid w:val="007A2F47"/>
    <w:rsid w:val="007A2F82"/>
    <w:rsid w:val="007A362B"/>
    <w:rsid w:val="007A3F0D"/>
    <w:rsid w:val="007A41C6"/>
    <w:rsid w:val="007A43FE"/>
    <w:rsid w:val="007A4E13"/>
    <w:rsid w:val="007A5403"/>
    <w:rsid w:val="007A6671"/>
    <w:rsid w:val="007B0E34"/>
    <w:rsid w:val="007B11AF"/>
    <w:rsid w:val="007B1372"/>
    <w:rsid w:val="007B22D7"/>
    <w:rsid w:val="007B2C27"/>
    <w:rsid w:val="007B2D63"/>
    <w:rsid w:val="007B2F6A"/>
    <w:rsid w:val="007B32A5"/>
    <w:rsid w:val="007B3376"/>
    <w:rsid w:val="007B348F"/>
    <w:rsid w:val="007B5A0D"/>
    <w:rsid w:val="007B629F"/>
    <w:rsid w:val="007C1B6F"/>
    <w:rsid w:val="007C1FA5"/>
    <w:rsid w:val="007C2195"/>
    <w:rsid w:val="007C21F7"/>
    <w:rsid w:val="007C2670"/>
    <w:rsid w:val="007C26B6"/>
    <w:rsid w:val="007C3318"/>
    <w:rsid w:val="007C37F7"/>
    <w:rsid w:val="007C4325"/>
    <w:rsid w:val="007C4C98"/>
    <w:rsid w:val="007C5010"/>
    <w:rsid w:val="007C54E6"/>
    <w:rsid w:val="007C7E6E"/>
    <w:rsid w:val="007D059F"/>
    <w:rsid w:val="007D087B"/>
    <w:rsid w:val="007D1002"/>
    <w:rsid w:val="007D1225"/>
    <w:rsid w:val="007D19FA"/>
    <w:rsid w:val="007D2145"/>
    <w:rsid w:val="007D2318"/>
    <w:rsid w:val="007D262B"/>
    <w:rsid w:val="007D29A5"/>
    <w:rsid w:val="007D3071"/>
    <w:rsid w:val="007D31BA"/>
    <w:rsid w:val="007D4445"/>
    <w:rsid w:val="007D4B1F"/>
    <w:rsid w:val="007D4D80"/>
    <w:rsid w:val="007D5089"/>
    <w:rsid w:val="007D6F68"/>
    <w:rsid w:val="007E0014"/>
    <w:rsid w:val="007E09C7"/>
    <w:rsid w:val="007E1B3C"/>
    <w:rsid w:val="007E2F31"/>
    <w:rsid w:val="007E304C"/>
    <w:rsid w:val="007E4834"/>
    <w:rsid w:val="007E63B9"/>
    <w:rsid w:val="007E63C0"/>
    <w:rsid w:val="007E6469"/>
    <w:rsid w:val="007E686E"/>
    <w:rsid w:val="007E754A"/>
    <w:rsid w:val="007E7848"/>
    <w:rsid w:val="007F1FF0"/>
    <w:rsid w:val="007F2C09"/>
    <w:rsid w:val="007F2D2C"/>
    <w:rsid w:val="007F34DA"/>
    <w:rsid w:val="007F36A9"/>
    <w:rsid w:val="007F45CE"/>
    <w:rsid w:val="007F66D4"/>
    <w:rsid w:val="007F755A"/>
    <w:rsid w:val="007F7959"/>
    <w:rsid w:val="007F7A45"/>
    <w:rsid w:val="008000A2"/>
    <w:rsid w:val="00802869"/>
    <w:rsid w:val="00802C31"/>
    <w:rsid w:val="00802C55"/>
    <w:rsid w:val="0080338B"/>
    <w:rsid w:val="00805B38"/>
    <w:rsid w:val="008063A1"/>
    <w:rsid w:val="00807243"/>
    <w:rsid w:val="00812394"/>
    <w:rsid w:val="00812DA6"/>
    <w:rsid w:val="00813E02"/>
    <w:rsid w:val="00813FEA"/>
    <w:rsid w:val="0081430B"/>
    <w:rsid w:val="0081704B"/>
    <w:rsid w:val="00817DD8"/>
    <w:rsid w:val="008206F2"/>
    <w:rsid w:val="008207D0"/>
    <w:rsid w:val="00820B3C"/>
    <w:rsid w:val="00821A63"/>
    <w:rsid w:val="00821A66"/>
    <w:rsid w:val="00822291"/>
    <w:rsid w:val="008224A2"/>
    <w:rsid w:val="00823CBD"/>
    <w:rsid w:val="0082417E"/>
    <w:rsid w:val="00824DFB"/>
    <w:rsid w:val="00826AA9"/>
    <w:rsid w:val="00826FFA"/>
    <w:rsid w:val="00827793"/>
    <w:rsid w:val="00827BBC"/>
    <w:rsid w:val="0083046E"/>
    <w:rsid w:val="0083111D"/>
    <w:rsid w:val="0083211D"/>
    <w:rsid w:val="00832757"/>
    <w:rsid w:val="008333C5"/>
    <w:rsid w:val="008356AC"/>
    <w:rsid w:val="00837D0E"/>
    <w:rsid w:val="00841805"/>
    <w:rsid w:val="008430AB"/>
    <w:rsid w:val="00843EDF"/>
    <w:rsid w:val="00844F8F"/>
    <w:rsid w:val="008457B1"/>
    <w:rsid w:val="00846415"/>
    <w:rsid w:val="00846C71"/>
    <w:rsid w:val="00846D07"/>
    <w:rsid w:val="00847239"/>
    <w:rsid w:val="00847403"/>
    <w:rsid w:val="008476CD"/>
    <w:rsid w:val="00851B72"/>
    <w:rsid w:val="008531E8"/>
    <w:rsid w:val="00853224"/>
    <w:rsid w:val="0085526B"/>
    <w:rsid w:val="00855716"/>
    <w:rsid w:val="00855797"/>
    <w:rsid w:val="00855BE6"/>
    <w:rsid w:val="008560E4"/>
    <w:rsid w:val="00857A88"/>
    <w:rsid w:val="00860403"/>
    <w:rsid w:val="00860568"/>
    <w:rsid w:val="00860BEA"/>
    <w:rsid w:val="00863A87"/>
    <w:rsid w:val="00863D8D"/>
    <w:rsid w:val="00863F2A"/>
    <w:rsid w:val="00864795"/>
    <w:rsid w:val="00865505"/>
    <w:rsid w:val="00865CC4"/>
    <w:rsid w:val="008661AB"/>
    <w:rsid w:val="00866470"/>
    <w:rsid w:val="00867ADF"/>
    <w:rsid w:val="00873E7B"/>
    <w:rsid w:val="008747FC"/>
    <w:rsid w:val="00874A8F"/>
    <w:rsid w:val="00875BC0"/>
    <w:rsid w:val="008761AF"/>
    <w:rsid w:val="0087632B"/>
    <w:rsid w:val="0087640D"/>
    <w:rsid w:val="00876C30"/>
    <w:rsid w:val="00876D7D"/>
    <w:rsid w:val="008779A3"/>
    <w:rsid w:val="00877DC4"/>
    <w:rsid w:val="00880FE2"/>
    <w:rsid w:val="008813B2"/>
    <w:rsid w:val="00882A08"/>
    <w:rsid w:val="00882BA9"/>
    <w:rsid w:val="008847B9"/>
    <w:rsid w:val="00884CB1"/>
    <w:rsid w:val="008851BC"/>
    <w:rsid w:val="00885D4F"/>
    <w:rsid w:val="008869AB"/>
    <w:rsid w:val="008878C4"/>
    <w:rsid w:val="00887FC7"/>
    <w:rsid w:val="008900FE"/>
    <w:rsid w:val="008902CE"/>
    <w:rsid w:val="00890BCA"/>
    <w:rsid w:val="00891F83"/>
    <w:rsid w:val="0089215B"/>
    <w:rsid w:val="00892998"/>
    <w:rsid w:val="0089359C"/>
    <w:rsid w:val="00893610"/>
    <w:rsid w:val="008936AB"/>
    <w:rsid w:val="00893C39"/>
    <w:rsid w:val="008951B4"/>
    <w:rsid w:val="00895702"/>
    <w:rsid w:val="008A00C2"/>
    <w:rsid w:val="008A037F"/>
    <w:rsid w:val="008A1445"/>
    <w:rsid w:val="008A1AFE"/>
    <w:rsid w:val="008A20DF"/>
    <w:rsid w:val="008A22AF"/>
    <w:rsid w:val="008A2D44"/>
    <w:rsid w:val="008A2FF8"/>
    <w:rsid w:val="008A39AA"/>
    <w:rsid w:val="008A4ADB"/>
    <w:rsid w:val="008A5614"/>
    <w:rsid w:val="008A5818"/>
    <w:rsid w:val="008A584F"/>
    <w:rsid w:val="008A6A35"/>
    <w:rsid w:val="008A7238"/>
    <w:rsid w:val="008A7264"/>
    <w:rsid w:val="008A7BA3"/>
    <w:rsid w:val="008A7DF4"/>
    <w:rsid w:val="008B0195"/>
    <w:rsid w:val="008B1895"/>
    <w:rsid w:val="008B19C7"/>
    <w:rsid w:val="008B1FAD"/>
    <w:rsid w:val="008B2F72"/>
    <w:rsid w:val="008B3346"/>
    <w:rsid w:val="008B3AB1"/>
    <w:rsid w:val="008B3F5D"/>
    <w:rsid w:val="008B515E"/>
    <w:rsid w:val="008B5ABB"/>
    <w:rsid w:val="008B6C19"/>
    <w:rsid w:val="008B7E64"/>
    <w:rsid w:val="008C0A03"/>
    <w:rsid w:val="008C3387"/>
    <w:rsid w:val="008C46A1"/>
    <w:rsid w:val="008C4AB5"/>
    <w:rsid w:val="008C4E4C"/>
    <w:rsid w:val="008C50ED"/>
    <w:rsid w:val="008C54DF"/>
    <w:rsid w:val="008C640C"/>
    <w:rsid w:val="008C7EFA"/>
    <w:rsid w:val="008D03E4"/>
    <w:rsid w:val="008D087A"/>
    <w:rsid w:val="008D0B9E"/>
    <w:rsid w:val="008D165A"/>
    <w:rsid w:val="008D1A62"/>
    <w:rsid w:val="008D1C5B"/>
    <w:rsid w:val="008D27B1"/>
    <w:rsid w:val="008D29F4"/>
    <w:rsid w:val="008D36C7"/>
    <w:rsid w:val="008D3A3C"/>
    <w:rsid w:val="008D3A99"/>
    <w:rsid w:val="008D4DA7"/>
    <w:rsid w:val="008D5050"/>
    <w:rsid w:val="008D5A99"/>
    <w:rsid w:val="008D6A77"/>
    <w:rsid w:val="008D70ED"/>
    <w:rsid w:val="008D76D3"/>
    <w:rsid w:val="008D76ED"/>
    <w:rsid w:val="008E024E"/>
    <w:rsid w:val="008E201C"/>
    <w:rsid w:val="008E28BA"/>
    <w:rsid w:val="008E2931"/>
    <w:rsid w:val="008E2FB9"/>
    <w:rsid w:val="008E30F6"/>
    <w:rsid w:val="008E3835"/>
    <w:rsid w:val="008E3A69"/>
    <w:rsid w:val="008E3B9A"/>
    <w:rsid w:val="008E4944"/>
    <w:rsid w:val="008E4C7B"/>
    <w:rsid w:val="008E4E82"/>
    <w:rsid w:val="008E54B9"/>
    <w:rsid w:val="008E6A63"/>
    <w:rsid w:val="008E7255"/>
    <w:rsid w:val="008F0A1C"/>
    <w:rsid w:val="008F1A1A"/>
    <w:rsid w:val="008F2675"/>
    <w:rsid w:val="008F290D"/>
    <w:rsid w:val="008F37CA"/>
    <w:rsid w:val="008F5DB3"/>
    <w:rsid w:val="008F63D2"/>
    <w:rsid w:val="008F67A4"/>
    <w:rsid w:val="008F67B2"/>
    <w:rsid w:val="008F6A38"/>
    <w:rsid w:val="008F6E47"/>
    <w:rsid w:val="00900961"/>
    <w:rsid w:val="0090204D"/>
    <w:rsid w:val="00903A7E"/>
    <w:rsid w:val="00903BC4"/>
    <w:rsid w:val="00904757"/>
    <w:rsid w:val="0090633D"/>
    <w:rsid w:val="00906532"/>
    <w:rsid w:val="0090672E"/>
    <w:rsid w:val="00906924"/>
    <w:rsid w:val="00911AE0"/>
    <w:rsid w:val="009121AE"/>
    <w:rsid w:val="00912B82"/>
    <w:rsid w:val="00913C94"/>
    <w:rsid w:val="00913F58"/>
    <w:rsid w:val="00914B11"/>
    <w:rsid w:val="009158D3"/>
    <w:rsid w:val="00916280"/>
    <w:rsid w:val="00916667"/>
    <w:rsid w:val="0091762B"/>
    <w:rsid w:val="00917D38"/>
    <w:rsid w:val="00920D41"/>
    <w:rsid w:val="00920E7E"/>
    <w:rsid w:val="0092222F"/>
    <w:rsid w:val="00922C39"/>
    <w:rsid w:val="00923904"/>
    <w:rsid w:val="009244BB"/>
    <w:rsid w:val="00924C22"/>
    <w:rsid w:val="009259CE"/>
    <w:rsid w:val="0092655A"/>
    <w:rsid w:val="00926872"/>
    <w:rsid w:val="00927190"/>
    <w:rsid w:val="00930844"/>
    <w:rsid w:val="0093144C"/>
    <w:rsid w:val="00931C5D"/>
    <w:rsid w:val="00932880"/>
    <w:rsid w:val="00933A8C"/>
    <w:rsid w:val="00933AAA"/>
    <w:rsid w:val="009346DB"/>
    <w:rsid w:val="0093473D"/>
    <w:rsid w:val="00934BF1"/>
    <w:rsid w:val="0093508D"/>
    <w:rsid w:val="0093651F"/>
    <w:rsid w:val="009365B3"/>
    <w:rsid w:val="009366FA"/>
    <w:rsid w:val="0093691A"/>
    <w:rsid w:val="00936FDF"/>
    <w:rsid w:val="00937B1A"/>
    <w:rsid w:val="00937E34"/>
    <w:rsid w:val="009404E9"/>
    <w:rsid w:val="00940BA4"/>
    <w:rsid w:val="0094113D"/>
    <w:rsid w:val="00941316"/>
    <w:rsid w:val="009417C6"/>
    <w:rsid w:val="0094222F"/>
    <w:rsid w:val="00942C4C"/>
    <w:rsid w:val="00942D2D"/>
    <w:rsid w:val="00943266"/>
    <w:rsid w:val="009436DE"/>
    <w:rsid w:val="00944B5C"/>
    <w:rsid w:val="00945AE3"/>
    <w:rsid w:val="00946A61"/>
    <w:rsid w:val="0094773A"/>
    <w:rsid w:val="00951D7A"/>
    <w:rsid w:val="009525E8"/>
    <w:rsid w:val="00954F4C"/>
    <w:rsid w:val="00955773"/>
    <w:rsid w:val="00956122"/>
    <w:rsid w:val="00956491"/>
    <w:rsid w:val="009571B7"/>
    <w:rsid w:val="00957C82"/>
    <w:rsid w:val="00961031"/>
    <w:rsid w:val="00961337"/>
    <w:rsid w:val="00962B32"/>
    <w:rsid w:val="00963675"/>
    <w:rsid w:val="00963F98"/>
    <w:rsid w:val="00963FBC"/>
    <w:rsid w:val="0096444C"/>
    <w:rsid w:val="00965AB2"/>
    <w:rsid w:val="009662C6"/>
    <w:rsid w:val="009672BB"/>
    <w:rsid w:val="009701D7"/>
    <w:rsid w:val="009712FD"/>
    <w:rsid w:val="0097206B"/>
    <w:rsid w:val="0097209B"/>
    <w:rsid w:val="00972CF4"/>
    <w:rsid w:val="00973813"/>
    <w:rsid w:val="00973837"/>
    <w:rsid w:val="00973A1E"/>
    <w:rsid w:val="0097405E"/>
    <w:rsid w:val="00974323"/>
    <w:rsid w:val="0097464A"/>
    <w:rsid w:val="00974940"/>
    <w:rsid w:val="00974F6B"/>
    <w:rsid w:val="009756C7"/>
    <w:rsid w:val="00975962"/>
    <w:rsid w:val="00976767"/>
    <w:rsid w:val="009768EF"/>
    <w:rsid w:val="009808D7"/>
    <w:rsid w:val="00980A7B"/>
    <w:rsid w:val="0098161E"/>
    <w:rsid w:val="00982369"/>
    <w:rsid w:val="009846A0"/>
    <w:rsid w:val="009866DA"/>
    <w:rsid w:val="0098755C"/>
    <w:rsid w:val="00990147"/>
    <w:rsid w:val="009921A3"/>
    <w:rsid w:val="009926F8"/>
    <w:rsid w:val="009937A7"/>
    <w:rsid w:val="00993880"/>
    <w:rsid w:val="00994F69"/>
    <w:rsid w:val="00996907"/>
    <w:rsid w:val="009976A9"/>
    <w:rsid w:val="00997983"/>
    <w:rsid w:val="009A07AD"/>
    <w:rsid w:val="009A0A87"/>
    <w:rsid w:val="009A1DED"/>
    <w:rsid w:val="009A35EA"/>
    <w:rsid w:val="009A4030"/>
    <w:rsid w:val="009A4100"/>
    <w:rsid w:val="009A55BF"/>
    <w:rsid w:val="009A562E"/>
    <w:rsid w:val="009A6051"/>
    <w:rsid w:val="009A63D5"/>
    <w:rsid w:val="009A7BB3"/>
    <w:rsid w:val="009A7E90"/>
    <w:rsid w:val="009B0D47"/>
    <w:rsid w:val="009B223A"/>
    <w:rsid w:val="009B2EE9"/>
    <w:rsid w:val="009B30ED"/>
    <w:rsid w:val="009B35A7"/>
    <w:rsid w:val="009B396D"/>
    <w:rsid w:val="009B41CC"/>
    <w:rsid w:val="009B5903"/>
    <w:rsid w:val="009B664F"/>
    <w:rsid w:val="009B66B4"/>
    <w:rsid w:val="009B74F0"/>
    <w:rsid w:val="009C1976"/>
    <w:rsid w:val="009C2668"/>
    <w:rsid w:val="009C26FB"/>
    <w:rsid w:val="009C2C2E"/>
    <w:rsid w:val="009C36CB"/>
    <w:rsid w:val="009C4E2A"/>
    <w:rsid w:val="009C4F9D"/>
    <w:rsid w:val="009C5E8B"/>
    <w:rsid w:val="009D031B"/>
    <w:rsid w:val="009D10DE"/>
    <w:rsid w:val="009D293B"/>
    <w:rsid w:val="009D3B7E"/>
    <w:rsid w:val="009D4AB6"/>
    <w:rsid w:val="009D4DB4"/>
    <w:rsid w:val="009D4E58"/>
    <w:rsid w:val="009D54BA"/>
    <w:rsid w:val="009D5B56"/>
    <w:rsid w:val="009D6156"/>
    <w:rsid w:val="009D6775"/>
    <w:rsid w:val="009D69F7"/>
    <w:rsid w:val="009D7229"/>
    <w:rsid w:val="009D7665"/>
    <w:rsid w:val="009E0FFC"/>
    <w:rsid w:val="009E1CD5"/>
    <w:rsid w:val="009E2C8C"/>
    <w:rsid w:val="009E2D51"/>
    <w:rsid w:val="009E2EC4"/>
    <w:rsid w:val="009E32DB"/>
    <w:rsid w:val="009E3669"/>
    <w:rsid w:val="009E75D1"/>
    <w:rsid w:val="009E7738"/>
    <w:rsid w:val="009E7A72"/>
    <w:rsid w:val="009F0FFD"/>
    <w:rsid w:val="009F2DDB"/>
    <w:rsid w:val="009F2EEF"/>
    <w:rsid w:val="009F3121"/>
    <w:rsid w:val="009F321C"/>
    <w:rsid w:val="009F4B11"/>
    <w:rsid w:val="009F4B45"/>
    <w:rsid w:val="009F4D9A"/>
    <w:rsid w:val="009F5B8B"/>
    <w:rsid w:val="009F5DCC"/>
    <w:rsid w:val="009F72E7"/>
    <w:rsid w:val="009F7398"/>
    <w:rsid w:val="009F755D"/>
    <w:rsid w:val="009F7AFB"/>
    <w:rsid w:val="00A0044B"/>
    <w:rsid w:val="00A0120E"/>
    <w:rsid w:val="00A01697"/>
    <w:rsid w:val="00A019B6"/>
    <w:rsid w:val="00A01A4D"/>
    <w:rsid w:val="00A02738"/>
    <w:rsid w:val="00A03BE5"/>
    <w:rsid w:val="00A04324"/>
    <w:rsid w:val="00A043A4"/>
    <w:rsid w:val="00A045C2"/>
    <w:rsid w:val="00A053C0"/>
    <w:rsid w:val="00A06019"/>
    <w:rsid w:val="00A06064"/>
    <w:rsid w:val="00A13345"/>
    <w:rsid w:val="00A13E7C"/>
    <w:rsid w:val="00A143E8"/>
    <w:rsid w:val="00A144A9"/>
    <w:rsid w:val="00A151FE"/>
    <w:rsid w:val="00A156AC"/>
    <w:rsid w:val="00A16155"/>
    <w:rsid w:val="00A165EE"/>
    <w:rsid w:val="00A17AE3"/>
    <w:rsid w:val="00A17E0F"/>
    <w:rsid w:val="00A205D9"/>
    <w:rsid w:val="00A20716"/>
    <w:rsid w:val="00A209CF"/>
    <w:rsid w:val="00A21D58"/>
    <w:rsid w:val="00A225CD"/>
    <w:rsid w:val="00A232E0"/>
    <w:rsid w:val="00A23DBC"/>
    <w:rsid w:val="00A246DB"/>
    <w:rsid w:val="00A25398"/>
    <w:rsid w:val="00A254C6"/>
    <w:rsid w:val="00A25BA6"/>
    <w:rsid w:val="00A2647B"/>
    <w:rsid w:val="00A26ACD"/>
    <w:rsid w:val="00A27734"/>
    <w:rsid w:val="00A27E84"/>
    <w:rsid w:val="00A3049C"/>
    <w:rsid w:val="00A328F6"/>
    <w:rsid w:val="00A354B1"/>
    <w:rsid w:val="00A357AC"/>
    <w:rsid w:val="00A35BB7"/>
    <w:rsid w:val="00A35D4E"/>
    <w:rsid w:val="00A3618F"/>
    <w:rsid w:val="00A36E1F"/>
    <w:rsid w:val="00A3750C"/>
    <w:rsid w:val="00A40712"/>
    <w:rsid w:val="00A40B82"/>
    <w:rsid w:val="00A42659"/>
    <w:rsid w:val="00A42CD7"/>
    <w:rsid w:val="00A42CEA"/>
    <w:rsid w:val="00A43C57"/>
    <w:rsid w:val="00A45DB8"/>
    <w:rsid w:val="00A46E87"/>
    <w:rsid w:val="00A5034F"/>
    <w:rsid w:val="00A51462"/>
    <w:rsid w:val="00A52022"/>
    <w:rsid w:val="00A527EE"/>
    <w:rsid w:val="00A54416"/>
    <w:rsid w:val="00A54A7B"/>
    <w:rsid w:val="00A55C6D"/>
    <w:rsid w:val="00A5605D"/>
    <w:rsid w:val="00A568F1"/>
    <w:rsid w:val="00A600ED"/>
    <w:rsid w:val="00A6045A"/>
    <w:rsid w:val="00A60A76"/>
    <w:rsid w:val="00A61727"/>
    <w:rsid w:val="00A6182A"/>
    <w:rsid w:val="00A63AEC"/>
    <w:rsid w:val="00A641B9"/>
    <w:rsid w:val="00A64413"/>
    <w:rsid w:val="00A64939"/>
    <w:rsid w:val="00A6595E"/>
    <w:rsid w:val="00A6604A"/>
    <w:rsid w:val="00A66659"/>
    <w:rsid w:val="00A669CD"/>
    <w:rsid w:val="00A67049"/>
    <w:rsid w:val="00A670FC"/>
    <w:rsid w:val="00A70E9E"/>
    <w:rsid w:val="00A70F1F"/>
    <w:rsid w:val="00A710ED"/>
    <w:rsid w:val="00A71F19"/>
    <w:rsid w:val="00A7284D"/>
    <w:rsid w:val="00A73A86"/>
    <w:rsid w:val="00A746B3"/>
    <w:rsid w:val="00A7481E"/>
    <w:rsid w:val="00A748AF"/>
    <w:rsid w:val="00A75596"/>
    <w:rsid w:val="00A75749"/>
    <w:rsid w:val="00A75F1D"/>
    <w:rsid w:val="00A75FFF"/>
    <w:rsid w:val="00A7601F"/>
    <w:rsid w:val="00A761FD"/>
    <w:rsid w:val="00A76C32"/>
    <w:rsid w:val="00A77DFD"/>
    <w:rsid w:val="00A81592"/>
    <w:rsid w:val="00A81825"/>
    <w:rsid w:val="00A81D49"/>
    <w:rsid w:val="00A8225E"/>
    <w:rsid w:val="00A82BF1"/>
    <w:rsid w:val="00A85894"/>
    <w:rsid w:val="00A85AA8"/>
    <w:rsid w:val="00A85C86"/>
    <w:rsid w:val="00A86C1C"/>
    <w:rsid w:val="00A873DC"/>
    <w:rsid w:val="00A90945"/>
    <w:rsid w:val="00A9141B"/>
    <w:rsid w:val="00A9212A"/>
    <w:rsid w:val="00A937F1"/>
    <w:rsid w:val="00A94273"/>
    <w:rsid w:val="00A942F4"/>
    <w:rsid w:val="00A949A9"/>
    <w:rsid w:val="00A96279"/>
    <w:rsid w:val="00A968E0"/>
    <w:rsid w:val="00A96CBC"/>
    <w:rsid w:val="00A96E44"/>
    <w:rsid w:val="00AA1389"/>
    <w:rsid w:val="00AA300D"/>
    <w:rsid w:val="00AA4901"/>
    <w:rsid w:val="00AA53DD"/>
    <w:rsid w:val="00AA5528"/>
    <w:rsid w:val="00AA59F6"/>
    <w:rsid w:val="00AA732C"/>
    <w:rsid w:val="00AA7F06"/>
    <w:rsid w:val="00AB0C2C"/>
    <w:rsid w:val="00AB1135"/>
    <w:rsid w:val="00AB20F6"/>
    <w:rsid w:val="00AB3890"/>
    <w:rsid w:val="00AB3AF9"/>
    <w:rsid w:val="00AB49FD"/>
    <w:rsid w:val="00AB5030"/>
    <w:rsid w:val="00AB6E93"/>
    <w:rsid w:val="00AB715A"/>
    <w:rsid w:val="00AB774A"/>
    <w:rsid w:val="00AC0070"/>
    <w:rsid w:val="00AC0C1B"/>
    <w:rsid w:val="00AC3056"/>
    <w:rsid w:val="00AC3CF0"/>
    <w:rsid w:val="00AC4370"/>
    <w:rsid w:val="00AC4416"/>
    <w:rsid w:val="00AC4BDC"/>
    <w:rsid w:val="00AC563B"/>
    <w:rsid w:val="00AC6EE7"/>
    <w:rsid w:val="00AD163E"/>
    <w:rsid w:val="00AD2952"/>
    <w:rsid w:val="00AD454D"/>
    <w:rsid w:val="00AD4CC4"/>
    <w:rsid w:val="00AD54C9"/>
    <w:rsid w:val="00AD5C17"/>
    <w:rsid w:val="00AD60AE"/>
    <w:rsid w:val="00AD6C6D"/>
    <w:rsid w:val="00AD7F2C"/>
    <w:rsid w:val="00AE103F"/>
    <w:rsid w:val="00AE212D"/>
    <w:rsid w:val="00AE21AD"/>
    <w:rsid w:val="00AE24A3"/>
    <w:rsid w:val="00AE2753"/>
    <w:rsid w:val="00AE287E"/>
    <w:rsid w:val="00AE2986"/>
    <w:rsid w:val="00AE2BE4"/>
    <w:rsid w:val="00AE2C20"/>
    <w:rsid w:val="00AE2DF8"/>
    <w:rsid w:val="00AE3779"/>
    <w:rsid w:val="00AE5277"/>
    <w:rsid w:val="00AE552E"/>
    <w:rsid w:val="00AE6A1A"/>
    <w:rsid w:val="00AE6F5B"/>
    <w:rsid w:val="00AE732F"/>
    <w:rsid w:val="00AF017B"/>
    <w:rsid w:val="00AF088F"/>
    <w:rsid w:val="00AF2456"/>
    <w:rsid w:val="00AF2F46"/>
    <w:rsid w:val="00AF450B"/>
    <w:rsid w:val="00AF4736"/>
    <w:rsid w:val="00AF47DA"/>
    <w:rsid w:val="00AF4BA5"/>
    <w:rsid w:val="00AF5363"/>
    <w:rsid w:val="00AF574A"/>
    <w:rsid w:val="00AF57E2"/>
    <w:rsid w:val="00AF59A7"/>
    <w:rsid w:val="00B01042"/>
    <w:rsid w:val="00B012B1"/>
    <w:rsid w:val="00B01590"/>
    <w:rsid w:val="00B01C60"/>
    <w:rsid w:val="00B026C3"/>
    <w:rsid w:val="00B02722"/>
    <w:rsid w:val="00B027EC"/>
    <w:rsid w:val="00B033EC"/>
    <w:rsid w:val="00B05732"/>
    <w:rsid w:val="00B05D19"/>
    <w:rsid w:val="00B065C1"/>
    <w:rsid w:val="00B0677A"/>
    <w:rsid w:val="00B06F1A"/>
    <w:rsid w:val="00B07821"/>
    <w:rsid w:val="00B07D10"/>
    <w:rsid w:val="00B10839"/>
    <w:rsid w:val="00B10D65"/>
    <w:rsid w:val="00B10DD6"/>
    <w:rsid w:val="00B112C9"/>
    <w:rsid w:val="00B12131"/>
    <w:rsid w:val="00B1245D"/>
    <w:rsid w:val="00B1385E"/>
    <w:rsid w:val="00B146D7"/>
    <w:rsid w:val="00B148EB"/>
    <w:rsid w:val="00B1490E"/>
    <w:rsid w:val="00B156F0"/>
    <w:rsid w:val="00B15900"/>
    <w:rsid w:val="00B17B19"/>
    <w:rsid w:val="00B21DFF"/>
    <w:rsid w:val="00B22B86"/>
    <w:rsid w:val="00B23028"/>
    <w:rsid w:val="00B232DA"/>
    <w:rsid w:val="00B23315"/>
    <w:rsid w:val="00B238E4"/>
    <w:rsid w:val="00B24362"/>
    <w:rsid w:val="00B245E6"/>
    <w:rsid w:val="00B24E2A"/>
    <w:rsid w:val="00B25097"/>
    <w:rsid w:val="00B25FB5"/>
    <w:rsid w:val="00B2739E"/>
    <w:rsid w:val="00B27739"/>
    <w:rsid w:val="00B30634"/>
    <w:rsid w:val="00B30887"/>
    <w:rsid w:val="00B324CC"/>
    <w:rsid w:val="00B329C4"/>
    <w:rsid w:val="00B33C5B"/>
    <w:rsid w:val="00B34297"/>
    <w:rsid w:val="00B342A1"/>
    <w:rsid w:val="00B34480"/>
    <w:rsid w:val="00B349A7"/>
    <w:rsid w:val="00B34AEC"/>
    <w:rsid w:val="00B3697B"/>
    <w:rsid w:val="00B37DA6"/>
    <w:rsid w:val="00B41133"/>
    <w:rsid w:val="00B41D24"/>
    <w:rsid w:val="00B41FEB"/>
    <w:rsid w:val="00B4389B"/>
    <w:rsid w:val="00B44D53"/>
    <w:rsid w:val="00B4511D"/>
    <w:rsid w:val="00B451FA"/>
    <w:rsid w:val="00B453B1"/>
    <w:rsid w:val="00B45D4E"/>
    <w:rsid w:val="00B46264"/>
    <w:rsid w:val="00B4704E"/>
    <w:rsid w:val="00B508DD"/>
    <w:rsid w:val="00B5102A"/>
    <w:rsid w:val="00B512EC"/>
    <w:rsid w:val="00B5195E"/>
    <w:rsid w:val="00B52FFC"/>
    <w:rsid w:val="00B53B05"/>
    <w:rsid w:val="00B54042"/>
    <w:rsid w:val="00B54A18"/>
    <w:rsid w:val="00B554BC"/>
    <w:rsid w:val="00B55C24"/>
    <w:rsid w:val="00B56A14"/>
    <w:rsid w:val="00B5708E"/>
    <w:rsid w:val="00B608CC"/>
    <w:rsid w:val="00B6177E"/>
    <w:rsid w:val="00B62058"/>
    <w:rsid w:val="00B64F1E"/>
    <w:rsid w:val="00B6538E"/>
    <w:rsid w:val="00B65BC8"/>
    <w:rsid w:val="00B66D47"/>
    <w:rsid w:val="00B66E2E"/>
    <w:rsid w:val="00B67569"/>
    <w:rsid w:val="00B6769D"/>
    <w:rsid w:val="00B70B80"/>
    <w:rsid w:val="00B71754"/>
    <w:rsid w:val="00B728F9"/>
    <w:rsid w:val="00B72D79"/>
    <w:rsid w:val="00B7302E"/>
    <w:rsid w:val="00B743F3"/>
    <w:rsid w:val="00B76775"/>
    <w:rsid w:val="00B806A8"/>
    <w:rsid w:val="00B80C05"/>
    <w:rsid w:val="00B80C69"/>
    <w:rsid w:val="00B81CA8"/>
    <w:rsid w:val="00B81D0F"/>
    <w:rsid w:val="00B8236D"/>
    <w:rsid w:val="00B82D5F"/>
    <w:rsid w:val="00B8313D"/>
    <w:rsid w:val="00B8354E"/>
    <w:rsid w:val="00B835DF"/>
    <w:rsid w:val="00B83951"/>
    <w:rsid w:val="00B84A1E"/>
    <w:rsid w:val="00B859EF"/>
    <w:rsid w:val="00B866F2"/>
    <w:rsid w:val="00B86AD2"/>
    <w:rsid w:val="00B86FF6"/>
    <w:rsid w:val="00B8748A"/>
    <w:rsid w:val="00B908A2"/>
    <w:rsid w:val="00B90B07"/>
    <w:rsid w:val="00B90D88"/>
    <w:rsid w:val="00B917E8"/>
    <w:rsid w:val="00B91966"/>
    <w:rsid w:val="00B91E57"/>
    <w:rsid w:val="00B921D9"/>
    <w:rsid w:val="00B92848"/>
    <w:rsid w:val="00B932D4"/>
    <w:rsid w:val="00B93AFD"/>
    <w:rsid w:val="00B9406E"/>
    <w:rsid w:val="00B95466"/>
    <w:rsid w:val="00B973AF"/>
    <w:rsid w:val="00B97F14"/>
    <w:rsid w:val="00BA1285"/>
    <w:rsid w:val="00BA2992"/>
    <w:rsid w:val="00BA3A88"/>
    <w:rsid w:val="00BA3DCA"/>
    <w:rsid w:val="00BA3DCD"/>
    <w:rsid w:val="00BA407C"/>
    <w:rsid w:val="00BA43E1"/>
    <w:rsid w:val="00BA4C6B"/>
    <w:rsid w:val="00BA6207"/>
    <w:rsid w:val="00BA6642"/>
    <w:rsid w:val="00BA6789"/>
    <w:rsid w:val="00BA69D1"/>
    <w:rsid w:val="00BA6B4A"/>
    <w:rsid w:val="00BB0233"/>
    <w:rsid w:val="00BB1A0D"/>
    <w:rsid w:val="00BB1F57"/>
    <w:rsid w:val="00BB24F4"/>
    <w:rsid w:val="00BB2710"/>
    <w:rsid w:val="00BB2F04"/>
    <w:rsid w:val="00BB3182"/>
    <w:rsid w:val="00BB4ED6"/>
    <w:rsid w:val="00BB5037"/>
    <w:rsid w:val="00BB55B0"/>
    <w:rsid w:val="00BB5702"/>
    <w:rsid w:val="00BB57F1"/>
    <w:rsid w:val="00BB5AF1"/>
    <w:rsid w:val="00BB6298"/>
    <w:rsid w:val="00BB7F2F"/>
    <w:rsid w:val="00BC10F4"/>
    <w:rsid w:val="00BC1ADB"/>
    <w:rsid w:val="00BC1C77"/>
    <w:rsid w:val="00BC2903"/>
    <w:rsid w:val="00BC2E15"/>
    <w:rsid w:val="00BC3893"/>
    <w:rsid w:val="00BC415A"/>
    <w:rsid w:val="00BC4B3F"/>
    <w:rsid w:val="00BC4CD9"/>
    <w:rsid w:val="00BC5C24"/>
    <w:rsid w:val="00BC61F0"/>
    <w:rsid w:val="00BC633E"/>
    <w:rsid w:val="00BC7081"/>
    <w:rsid w:val="00BC7332"/>
    <w:rsid w:val="00BC782C"/>
    <w:rsid w:val="00BD0241"/>
    <w:rsid w:val="00BD0727"/>
    <w:rsid w:val="00BD1156"/>
    <w:rsid w:val="00BD22D1"/>
    <w:rsid w:val="00BD3488"/>
    <w:rsid w:val="00BD359C"/>
    <w:rsid w:val="00BD384E"/>
    <w:rsid w:val="00BD4AA4"/>
    <w:rsid w:val="00BD4D9B"/>
    <w:rsid w:val="00BD6052"/>
    <w:rsid w:val="00BD681F"/>
    <w:rsid w:val="00BD70A9"/>
    <w:rsid w:val="00BE0ABB"/>
    <w:rsid w:val="00BE0F90"/>
    <w:rsid w:val="00BE1BB1"/>
    <w:rsid w:val="00BE2433"/>
    <w:rsid w:val="00BE28CB"/>
    <w:rsid w:val="00BE3152"/>
    <w:rsid w:val="00BE3606"/>
    <w:rsid w:val="00BE3AEE"/>
    <w:rsid w:val="00BE3DA9"/>
    <w:rsid w:val="00BE4FE3"/>
    <w:rsid w:val="00BE699B"/>
    <w:rsid w:val="00BE6DAA"/>
    <w:rsid w:val="00BE7FD3"/>
    <w:rsid w:val="00BF21F5"/>
    <w:rsid w:val="00BF2C69"/>
    <w:rsid w:val="00BF409C"/>
    <w:rsid w:val="00BF4650"/>
    <w:rsid w:val="00BF492A"/>
    <w:rsid w:val="00BF4A1C"/>
    <w:rsid w:val="00BF5CA2"/>
    <w:rsid w:val="00BF5F81"/>
    <w:rsid w:val="00BF6195"/>
    <w:rsid w:val="00BF61A9"/>
    <w:rsid w:val="00BF6320"/>
    <w:rsid w:val="00BF68F1"/>
    <w:rsid w:val="00BF6915"/>
    <w:rsid w:val="00BF7C13"/>
    <w:rsid w:val="00BF7E8F"/>
    <w:rsid w:val="00C03CF2"/>
    <w:rsid w:val="00C0453B"/>
    <w:rsid w:val="00C04CD6"/>
    <w:rsid w:val="00C05634"/>
    <w:rsid w:val="00C05B98"/>
    <w:rsid w:val="00C05F29"/>
    <w:rsid w:val="00C065AA"/>
    <w:rsid w:val="00C12DAF"/>
    <w:rsid w:val="00C141CE"/>
    <w:rsid w:val="00C14E6A"/>
    <w:rsid w:val="00C16D5F"/>
    <w:rsid w:val="00C178F9"/>
    <w:rsid w:val="00C17DFE"/>
    <w:rsid w:val="00C213AC"/>
    <w:rsid w:val="00C2151B"/>
    <w:rsid w:val="00C22646"/>
    <w:rsid w:val="00C22C9F"/>
    <w:rsid w:val="00C22E88"/>
    <w:rsid w:val="00C23156"/>
    <w:rsid w:val="00C23FA6"/>
    <w:rsid w:val="00C248D1"/>
    <w:rsid w:val="00C25209"/>
    <w:rsid w:val="00C25DE4"/>
    <w:rsid w:val="00C26483"/>
    <w:rsid w:val="00C266E0"/>
    <w:rsid w:val="00C268D6"/>
    <w:rsid w:val="00C269A9"/>
    <w:rsid w:val="00C27456"/>
    <w:rsid w:val="00C27509"/>
    <w:rsid w:val="00C276F3"/>
    <w:rsid w:val="00C27A81"/>
    <w:rsid w:val="00C309DC"/>
    <w:rsid w:val="00C318CB"/>
    <w:rsid w:val="00C32832"/>
    <w:rsid w:val="00C328B9"/>
    <w:rsid w:val="00C33FB7"/>
    <w:rsid w:val="00C3443A"/>
    <w:rsid w:val="00C35152"/>
    <w:rsid w:val="00C35453"/>
    <w:rsid w:val="00C35971"/>
    <w:rsid w:val="00C3717C"/>
    <w:rsid w:val="00C376C3"/>
    <w:rsid w:val="00C4099A"/>
    <w:rsid w:val="00C413F7"/>
    <w:rsid w:val="00C418B5"/>
    <w:rsid w:val="00C42269"/>
    <w:rsid w:val="00C42DF2"/>
    <w:rsid w:val="00C43CB5"/>
    <w:rsid w:val="00C443BC"/>
    <w:rsid w:val="00C447B9"/>
    <w:rsid w:val="00C4508D"/>
    <w:rsid w:val="00C45C0E"/>
    <w:rsid w:val="00C45DFC"/>
    <w:rsid w:val="00C4616C"/>
    <w:rsid w:val="00C468EA"/>
    <w:rsid w:val="00C47519"/>
    <w:rsid w:val="00C4780E"/>
    <w:rsid w:val="00C47843"/>
    <w:rsid w:val="00C50A96"/>
    <w:rsid w:val="00C5113D"/>
    <w:rsid w:val="00C52289"/>
    <w:rsid w:val="00C53BA3"/>
    <w:rsid w:val="00C543AE"/>
    <w:rsid w:val="00C548C4"/>
    <w:rsid w:val="00C5541C"/>
    <w:rsid w:val="00C557B1"/>
    <w:rsid w:val="00C55F24"/>
    <w:rsid w:val="00C562FA"/>
    <w:rsid w:val="00C57130"/>
    <w:rsid w:val="00C60112"/>
    <w:rsid w:val="00C63863"/>
    <w:rsid w:val="00C63A8F"/>
    <w:rsid w:val="00C6407C"/>
    <w:rsid w:val="00C660B2"/>
    <w:rsid w:val="00C67EE7"/>
    <w:rsid w:val="00C70B5D"/>
    <w:rsid w:val="00C7164C"/>
    <w:rsid w:val="00C71E28"/>
    <w:rsid w:val="00C722CF"/>
    <w:rsid w:val="00C7318E"/>
    <w:rsid w:val="00C73DA4"/>
    <w:rsid w:val="00C744E1"/>
    <w:rsid w:val="00C75256"/>
    <w:rsid w:val="00C75900"/>
    <w:rsid w:val="00C75F3E"/>
    <w:rsid w:val="00C7641D"/>
    <w:rsid w:val="00C77AE6"/>
    <w:rsid w:val="00C807DF"/>
    <w:rsid w:val="00C80C0E"/>
    <w:rsid w:val="00C82737"/>
    <w:rsid w:val="00C83750"/>
    <w:rsid w:val="00C846AD"/>
    <w:rsid w:val="00C84FAC"/>
    <w:rsid w:val="00C85381"/>
    <w:rsid w:val="00C854E3"/>
    <w:rsid w:val="00C85B05"/>
    <w:rsid w:val="00C86752"/>
    <w:rsid w:val="00C87263"/>
    <w:rsid w:val="00C9196F"/>
    <w:rsid w:val="00C91CCD"/>
    <w:rsid w:val="00C92827"/>
    <w:rsid w:val="00C93320"/>
    <w:rsid w:val="00C93B81"/>
    <w:rsid w:val="00C93C00"/>
    <w:rsid w:val="00C94DAF"/>
    <w:rsid w:val="00C94E0F"/>
    <w:rsid w:val="00C95958"/>
    <w:rsid w:val="00C975A1"/>
    <w:rsid w:val="00C97939"/>
    <w:rsid w:val="00C97C21"/>
    <w:rsid w:val="00C97E27"/>
    <w:rsid w:val="00CA0EAE"/>
    <w:rsid w:val="00CA15CC"/>
    <w:rsid w:val="00CA2137"/>
    <w:rsid w:val="00CA2A24"/>
    <w:rsid w:val="00CA2A5A"/>
    <w:rsid w:val="00CA2EAC"/>
    <w:rsid w:val="00CA4201"/>
    <w:rsid w:val="00CA4261"/>
    <w:rsid w:val="00CA4FDA"/>
    <w:rsid w:val="00CA5401"/>
    <w:rsid w:val="00CA5A17"/>
    <w:rsid w:val="00CA5C4B"/>
    <w:rsid w:val="00CA5FD6"/>
    <w:rsid w:val="00CA6D82"/>
    <w:rsid w:val="00CA6F65"/>
    <w:rsid w:val="00CA7366"/>
    <w:rsid w:val="00CA74EB"/>
    <w:rsid w:val="00CA75B1"/>
    <w:rsid w:val="00CA7C39"/>
    <w:rsid w:val="00CA7CCB"/>
    <w:rsid w:val="00CB05F6"/>
    <w:rsid w:val="00CB0863"/>
    <w:rsid w:val="00CB1535"/>
    <w:rsid w:val="00CB1A40"/>
    <w:rsid w:val="00CB2210"/>
    <w:rsid w:val="00CB3578"/>
    <w:rsid w:val="00CB3B19"/>
    <w:rsid w:val="00CB414B"/>
    <w:rsid w:val="00CB41AE"/>
    <w:rsid w:val="00CB6451"/>
    <w:rsid w:val="00CB66F3"/>
    <w:rsid w:val="00CB69F9"/>
    <w:rsid w:val="00CB7D7E"/>
    <w:rsid w:val="00CC1637"/>
    <w:rsid w:val="00CC1C19"/>
    <w:rsid w:val="00CC1EA6"/>
    <w:rsid w:val="00CC2059"/>
    <w:rsid w:val="00CC23FF"/>
    <w:rsid w:val="00CC2A72"/>
    <w:rsid w:val="00CC2C71"/>
    <w:rsid w:val="00CC4346"/>
    <w:rsid w:val="00CC58FB"/>
    <w:rsid w:val="00CC5E9D"/>
    <w:rsid w:val="00CC6858"/>
    <w:rsid w:val="00CD05D3"/>
    <w:rsid w:val="00CD23D5"/>
    <w:rsid w:val="00CD34C3"/>
    <w:rsid w:val="00CD3B93"/>
    <w:rsid w:val="00CD4C6C"/>
    <w:rsid w:val="00CD4E23"/>
    <w:rsid w:val="00CD4FEE"/>
    <w:rsid w:val="00CD5198"/>
    <w:rsid w:val="00CD5C4F"/>
    <w:rsid w:val="00CD62EB"/>
    <w:rsid w:val="00CE0AF0"/>
    <w:rsid w:val="00CE220B"/>
    <w:rsid w:val="00CE23BF"/>
    <w:rsid w:val="00CE37A9"/>
    <w:rsid w:val="00CE3CA5"/>
    <w:rsid w:val="00CE43FD"/>
    <w:rsid w:val="00CE4410"/>
    <w:rsid w:val="00CE4506"/>
    <w:rsid w:val="00CE534F"/>
    <w:rsid w:val="00CE60B0"/>
    <w:rsid w:val="00CE64E7"/>
    <w:rsid w:val="00CE6E7F"/>
    <w:rsid w:val="00CE74A6"/>
    <w:rsid w:val="00CF0014"/>
    <w:rsid w:val="00CF020A"/>
    <w:rsid w:val="00CF0DA4"/>
    <w:rsid w:val="00CF2060"/>
    <w:rsid w:val="00CF2169"/>
    <w:rsid w:val="00CF23F6"/>
    <w:rsid w:val="00CF247A"/>
    <w:rsid w:val="00CF2543"/>
    <w:rsid w:val="00CF4202"/>
    <w:rsid w:val="00CF46A9"/>
    <w:rsid w:val="00CF5331"/>
    <w:rsid w:val="00CF5994"/>
    <w:rsid w:val="00CF6228"/>
    <w:rsid w:val="00D026EC"/>
    <w:rsid w:val="00D0289A"/>
    <w:rsid w:val="00D035E4"/>
    <w:rsid w:val="00D0363D"/>
    <w:rsid w:val="00D0378E"/>
    <w:rsid w:val="00D0427A"/>
    <w:rsid w:val="00D06177"/>
    <w:rsid w:val="00D06224"/>
    <w:rsid w:val="00D06ADE"/>
    <w:rsid w:val="00D07140"/>
    <w:rsid w:val="00D077FB"/>
    <w:rsid w:val="00D07E44"/>
    <w:rsid w:val="00D10C63"/>
    <w:rsid w:val="00D11999"/>
    <w:rsid w:val="00D11ED3"/>
    <w:rsid w:val="00D12040"/>
    <w:rsid w:val="00D125BD"/>
    <w:rsid w:val="00D13736"/>
    <w:rsid w:val="00D13C65"/>
    <w:rsid w:val="00D13E06"/>
    <w:rsid w:val="00D141FA"/>
    <w:rsid w:val="00D14B47"/>
    <w:rsid w:val="00D1505E"/>
    <w:rsid w:val="00D150BC"/>
    <w:rsid w:val="00D173C5"/>
    <w:rsid w:val="00D17E1A"/>
    <w:rsid w:val="00D20A18"/>
    <w:rsid w:val="00D21967"/>
    <w:rsid w:val="00D22A54"/>
    <w:rsid w:val="00D22B46"/>
    <w:rsid w:val="00D22E78"/>
    <w:rsid w:val="00D23123"/>
    <w:rsid w:val="00D235E7"/>
    <w:rsid w:val="00D23BC0"/>
    <w:rsid w:val="00D24E1A"/>
    <w:rsid w:val="00D263E5"/>
    <w:rsid w:val="00D271C4"/>
    <w:rsid w:val="00D2740F"/>
    <w:rsid w:val="00D27B43"/>
    <w:rsid w:val="00D3069D"/>
    <w:rsid w:val="00D3069E"/>
    <w:rsid w:val="00D311E7"/>
    <w:rsid w:val="00D31D65"/>
    <w:rsid w:val="00D31F90"/>
    <w:rsid w:val="00D32134"/>
    <w:rsid w:val="00D33044"/>
    <w:rsid w:val="00D341C6"/>
    <w:rsid w:val="00D34EFB"/>
    <w:rsid w:val="00D353DD"/>
    <w:rsid w:val="00D356D6"/>
    <w:rsid w:val="00D36E44"/>
    <w:rsid w:val="00D37387"/>
    <w:rsid w:val="00D374EC"/>
    <w:rsid w:val="00D37AAC"/>
    <w:rsid w:val="00D4022A"/>
    <w:rsid w:val="00D40606"/>
    <w:rsid w:val="00D41679"/>
    <w:rsid w:val="00D41C7E"/>
    <w:rsid w:val="00D42134"/>
    <w:rsid w:val="00D42436"/>
    <w:rsid w:val="00D43788"/>
    <w:rsid w:val="00D448FA"/>
    <w:rsid w:val="00D4512A"/>
    <w:rsid w:val="00D46532"/>
    <w:rsid w:val="00D46A48"/>
    <w:rsid w:val="00D46B44"/>
    <w:rsid w:val="00D515DA"/>
    <w:rsid w:val="00D51607"/>
    <w:rsid w:val="00D51D05"/>
    <w:rsid w:val="00D52DD1"/>
    <w:rsid w:val="00D53A5B"/>
    <w:rsid w:val="00D541EE"/>
    <w:rsid w:val="00D624A4"/>
    <w:rsid w:val="00D640A0"/>
    <w:rsid w:val="00D641E2"/>
    <w:rsid w:val="00D642FA"/>
    <w:rsid w:val="00D66072"/>
    <w:rsid w:val="00D66491"/>
    <w:rsid w:val="00D66DC7"/>
    <w:rsid w:val="00D678DA"/>
    <w:rsid w:val="00D707E6"/>
    <w:rsid w:val="00D70E51"/>
    <w:rsid w:val="00D71DD4"/>
    <w:rsid w:val="00D728E9"/>
    <w:rsid w:val="00D72E1C"/>
    <w:rsid w:val="00D72E42"/>
    <w:rsid w:val="00D730BF"/>
    <w:rsid w:val="00D7323F"/>
    <w:rsid w:val="00D73F21"/>
    <w:rsid w:val="00D7480B"/>
    <w:rsid w:val="00D771E9"/>
    <w:rsid w:val="00D8001B"/>
    <w:rsid w:val="00D802A3"/>
    <w:rsid w:val="00D80962"/>
    <w:rsid w:val="00D81B77"/>
    <w:rsid w:val="00D83415"/>
    <w:rsid w:val="00D839CA"/>
    <w:rsid w:val="00D83FB6"/>
    <w:rsid w:val="00D84EC7"/>
    <w:rsid w:val="00D85195"/>
    <w:rsid w:val="00D85AD7"/>
    <w:rsid w:val="00D86530"/>
    <w:rsid w:val="00D86997"/>
    <w:rsid w:val="00D86F23"/>
    <w:rsid w:val="00D90A2A"/>
    <w:rsid w:val="00D9206A"/>
    <w:rsid w:val="00D93665"/>
    <w:rsid w:val="00D93F7E"/>
    <w:rsid w:val="00D9417A"/>
    <w:rsid w:val="00D94209"/>
    <w:rsid w:val="00D959C0"/>
    <w:rsid w:val="00D95C8A"/>
    <w:rsid w:val="00D96A3E"/>
    <w:rsid w:val="00DA0281"/>
    <w:rsid w:val="00DA11C5"/>
    <w:rsid w:val="00DA17BB"/>
    <w:rsid w:val="00DA23B1"/>
    <w:rsid w:val="00DA29D2"/>
    <w:rsid w:val="00DA3169"/>
    <w:rsid w:val="00DA35F3"/>
    <w:rsid w:val="00DA4519"/>
    <w:rsid w:val="00DA4AE8"/>
    <w:rsid w:val="00DA5253"/>
    <w:rsid w:val="00DA52A3"/>
    <w:rsid w:val="00DA663D"/>
    <w:rsid w:val="00DA798C"/>
    <w:rsid w:val="00DA7A47"/>
    <w:rsid w:val="00DB1E66"/>
    <w:rsid w:val="00DB1FE1"/>
    <w:rsid w:val="00DB3262"/>
    <w:rsid w:val="00DB448D"/>
    <w:rsid w:val="00DB4682"/>
    <w:rsid w:val="00DB4719"/>
    <w:rsid w:val="00DB6746"/>
    <w:rsid w:val="00DB70CE"/>
    <w:rsid w:val="00DB751B"/>
    <w:rsid w:val="00DB773E"/>
    <w:rsid w:val="00DB7A9B"/>
    <w:rsid w:val="00DC01A3"/>
    <w:rsid w:val="00DC0CE8"/>
    <w:rsid w:val="00DC0D14"/>
    <w:rsid w:val="00DC172E"/>
    <w:rsid w:val="00DC25E8"/>
    <w:rsid w:val="00DC2C2E"/>
    <w:rsid w:val="00DC37F7"/>
    <w:rsid w:val="00DC4787"/>
    <w:rsid w:val="00DC48D0"/>
    <w:rsid w:val="00DC68B8"/>
    <w:rsid w:val="00DC6EEB"/>
    <w:rsid w:val="00DC75AC"/>
    <w:rsid w:val="00DC79F9"/>
    <w:rsid w:val="00DD056C"/>
    <w:rsid w:val="00DD0B71"/>
    <w:rsid w:val="00DD1091"/>
    <w:rsid w:val="00DD12AC"/>
    <w:rsid w:val="00DD23AF"/>
    <w:rsid w:val="00DD371B"/>
    <w:rsid w:val="00DD3A57"/>
    <w:rsid w:val="00DD3FD6"/>
    <w:rsid w:val="00DD56BD"/>
    <w:rsid w:val="00DD5FD5"/>
    <w:rsid w:val="00DD6AEF"/>
    <w:rsid w:val="00DD6ECE"/>
    <w:rsid w:val="00DD79C1"/>
    <w:rsid w:val="00DD7EE2"/>
    <w:rsid w:val="00DE08C5"/>
    <w:rsid w:val="00DE0C2E"/>
    <w:rsid w:val="00DE1707"/>
    <w:rsid w:val="00DE178E"/>
    <w:rsid w:val="00DE2507"/>
    <w:rsid w:val="00DE27AB"/>
    <w:rsid w:val="00DE302B"/>
    <w:rsid w:val="00DE328E"/>
    <w:rsid w:val="00DE431C"/>
    <w:rsid w:val="00DE4EDE"/>
    <w:rsid w:val="00DE5F96"/>
    <w:rsid w:val="00DE663A"/>
    <w:rsid w:val="00DE6646"/>
    <w:rsid w:val="00DE6764"/>
    <w:rsid w:val="00DE68B1"/>
    <w:rsid w:val="00DE7497"/>
    <w:rsid w:val="00DE7714"/>
    <w:rsid w:val="00DE7F48"/>
    <w:rsid w:val="00DE7F8D"/>
    <w:rsid w:val="00DF0AF0"/>
    <w:rsid w:val="00DF2E3F"/>
    <w:rsid w:val="00DF30CE"/>
    <w:rsid w:val="00DF383D"/>
    <w:rsid w:val="00DF38CD"/>
    <w:rsid w:val="00DF5898"/>
    <w:rsid w:val="00DF641B"/>
    <w:rsid w:val="00DF6DE8"/>
    <w:rsid w:val="00DF7AE1"/>
    <w:rsid w:val="00E0020C"/>
    <w:rsid w:val="00E0114C"/>
    <w:rsid w:val="00E02B5A"/>
    <w:rsid w:val="00E03BBF"/>
    <w:rsid w:val="00E04197"/>
    <w:rsid w:val="00E0441A"/>
    <w:rsid w:val="00E04631"/>
    <w:rsid w:val="00E05EDF"/>
    <w:rsid w:val="00E062E0"/>
    <w:rsid w:val="00E06C48"/>
    <w:rsid w:val="00E10031"/>
    <w:rsid w:val="00E10390"/>
    <w:rsid w:val="00E12AC9"/>
    <w:rsid w:val="00E12C3F"/>
    <w:rsid w:val="00E146FB"/>
    <w:rsid w:val="00E14988"/>
    <w:rsid w:val="00E14E48"/>
    <w:rsid w:val="00E14EDF"/>
    <w:rsid w:val="00E14F5B"/>
    <w:rsid w:val="00E15F16"/>
    <w:rsid w:val="00E16268"/>
    <w:rsid w:val="00E17697"/>
    <w:rsid w:val="00E176E2"/>
    <w:rsid w:val="00E17823"/>
    <w:rsid w:val="00E17BB1"/>
    <w:rsid w:val="00E20467"/>
    <w:rsid w:val="00E213F0"/>
    <w:rsid w:val="00E21EC0"/>
    <w:rsid w:val="00E22BF5"/>
    <w:rsid w:val="00E304F0"/>
    <w:rsid w:val="00E30D3C"/>
    <w:rsid w:val="00E31846"/>
    <w:rsid w:val="00E31B1D"/>
    <w:rsid w:val="00E31D89"/>
    <w:rsid w:val="00E31DE3"/>
    <w:rsid w:val="00E31F0C"/>
    <w:rsid w:val="00E31FDA"/>
    <w:rsid w:val="00E326B1"/>
    <w:rsid w:val="00E33E8C"/>
    <w:rsid w:val="00E34346"/>
    <w:rsid w:val="00E344DC"/>
    <w:rsid w:val="00E34EA3"/>
    <w:rsid w:val="00E3565D"/>
    <w:rsid w:val="00E36527"/>
    <w:rsid w:val="00E36552"/>
    <w:rsid w:val="00E36605"/>
    <w:rsid w:val="00E3681D"/>
    <w:rsid w:val="00E379C1"/>
    <w:rsid w:val="00E41778"/>
    <w:rsid w:val="00E41AE9"/>
    <w:rsid w:val="00E424CA"/>
    <w:rsid w:val="00E42D4C"/>
    <w:rsid w:val="00E43C8B"/>
    <w:rsid w:val="00E444D8"/>
    <w:rsid w:val="00E449BE"/>
    <w:rsid w:val="00E44F54"/>
    <w:rsid w:val="00E45520"/>
    <w:rsid w:val="00E45DE5"/>
    <w:rsid w:val="00E465C2"/>
    <w:rsid w:val="00E468AC"/>
    <w:rsid w:val="00E47204"/>
    <w:rsid w:val="00E472B1"/>
    <w:rsid w:val="00E47F4D"/>
    <w:rsid w:val="00E50132"/>
    <w:rsid w:val="00E50352"/>
    <w:rsid w:val="00E512E4"/>
    <w:rsid w:val="00E51BB1"/>
    <w:rsid w:val="00E538D8"/>
    <w:rsid w:val="00E53A6F"/>
    <w:rsid w:val="00E554B6"/>
    <w:rsid w:val="00E5561D"/>
    <w:rsid w:val="00E55CE9"/>
    <w:rsid w:val="00E56465"/>
    <w:rsid w:val="00E56A5A"/>
    <w:rsid w:val="00E571E9"/>
    <w:rsid w:val="00E57C07"/>
    <w:rsid w:val="00E57E4E"/>
    <w:rsid w:val="00E6041B"/>
    <w:rsid w:val="00E60C16"/>
    <w:rsid w:val="00E61695"/>
    <w:rsid w:val="00E62223"/>
    <w:rsid w:val="00E6320E"/>
    <w:rsid w:val="00E646C6"/>
    <w:rsid w:val="00E65705"/>
    <w:rsid w:val="00E65C15"/>
    <w:rsid w:val="00E672C0"/>
    <w:rsid w:val="00E70991"/>
    <w:rsid w:val="00E727E1"/>
    <w:rsid w:val="00E751DE"/>
    <w:rsid w:val="00E7664D"/>
    <w:rsid w:val="00E7675A"/>
    <w:rsid w:val="00E76773"/>
    <w:rsid w:val="00E8045F"/>
    <w:rsid w:val="00E80C4C"/>
    <w:rsid w:val="00E82B9A"/>
    <w:rsid w:val="00E838B7"/>
    <w:rsid w:val="00E840A2"/>
    <w:rsid w:val="00E848FF"/>
    <w:rsid w:val="00E85ADA"/>
    <w:rsid w:val="00E865CE"/>
    <w:rsid w:val="00E86FA9"/>
    <w:rsid w:val="00E9060B"/>
    <w:rsid w:val="00E9082E"/>
    <w:rsid w:val="00E90CC4"/>
    <w:rsid w:val="00E9117F"/>
    <w:rsid w:val="00E91C4B"/>
    <w:rsid w:val="00E91DB3"/>
    <w:rsid w:val="00E934DA"/>
    <w:rsid w:val="00E93765"/>
    <w:rsid w:val="00E93D8C"/>
    <w:rsid w:val="00E9436E"/>
    <w:rsid w:val="00E94C06"/>
    <w:rsid w:val="00E959F1"/>
    <w:rsid w:val="00E9653E"/>
    <w:rsid w:val="00E96A83"/>
    <w:rsid w:val="00E96B9A"/>
    <w:rsid w:val="00EA02A1"/>
    <w:rsid w:val="00EA07F2"/>
    <w:rsid w:val="00EA07FE"/>
    <w:rsid w:val="00EA1245"/>
    <w:rsid w:val="00EA135C"/>
    <w:rsid w:val="00EA25B5"/>
    <w:rsid w:val="00EA2BA5"/>
    <w:rsid w:val="00EA3059"/>
    <w:rsid w:val="00EA3DCC"/>
    <w:rsid w:val="00EA42EB"/>
    <w:rsid w:val="00EA6536"/>
    <w:rsid w:val="00EA7D1D"/>
    <w:rsid w:val="00EB016C"/>
    <w:rsid w:val="00EB06E0"/>
    <w:rsid w:val="00EB140A"/>
    <w:rsid w:val="00EB14E1"/>
    <w:rsid w:val="00EB1717"/>
    <w:rsid w:val="00EB201E"/>
    <w:rsid w:val="00EB26AE"/>
    <w:rsid w:val="00EB3C40"/>
    <w:rsid w:val="00EB3FC9"/>
    <w:rsid w:val="00EB4DD1"/>
    <w:rsid w:val="00EB64B5"/>
    <w:rsid w:val="00EB66DF"/>
    <w:rsid w:val="00EB733C"/>
    <w:rsid w:val="00EC1560"/>
    <w:rsid w:val="00EC1F26"/>
    <w:rsid w:val="00EC261F"/>
    <w:rsid w:val="00EC2652"/>
    <w:rsid w:val="00EC27E2"/>
    <w:rsid w:val="00EC363C"/>
    <w:rsid w:val="00EC4B7C"/>
    <w:rsid w:val="00EC546F"/>
    <w:rsid w:val="00EC5892"/>
    <w:rsid w:val="00EC6F48"/>
    <w:rsid w:val="00EC766D"/>
    <w:rsid w:val="00ED2571"/>
    <w:rsid w:val="00ED2C0D"/>
    <w:rsid w:val="00ED2CC1"/>
    <w:rsid w:val="00ED482D"/>
    <w:rsid w:val="00ED4905"/>
    <w:rsid w:val="00ED4BA1"/>
    <w:rsid w:val="00ED5EAF"/>
    <w:rsid w:val="00ED6105"/>
    <w:rsid w:val="00ED64F0"/>
    <w:rsid w:val="00ED688C"/>
    <w:rsid w:val="00ED6E2A"/>
    <w:rsid w:val="00EE17A9"/>
    <w:rsid w:val="00EE1D20"/>
    <w:rsid w:val="00EE1F97"/>
    <w:rsid w:val="00EE345C"/>
    <w:rsid w:val="00EE354B"/>
    <w:rsid w:val="00EE3C9B"/>
    <w:rsid w:val="00EE4056"/>
    <w:rsid w:val="00EE4B81"/>
    <w:rsid w:val="00EE53C0"/>
    <w:rsid w:val="00EE7797"/>
    <w:rsid w:val="00EE7CFD"/>
    <w:rsid w:val="00EF00F9"/>
    <w:rsid w:val="00EF0B37"/>
    <w:rsid w:val="00EF0C67"/>
    <w:rsid w:val="00EF1974"/>
    <w:rsid w:val="00EF1B25"/>
    <w:rsid w:val="00EF342F"/>
    <w:rsid w:val="00EF4456"/>
    <w:rsid w:val="00EF4A04"/>
    <w:rsid w:val="00EF5F91"/>
    <w:rsid w:val="00EF6C25"/>
    <w:rsid w:val="00EF7424"/>
    <w:rsid w:val="00EF7B84"/>
    <w:rsid w:val="00F00B13"/>
    <w:rsid w:val="00F00DFC"/>
    <w:rsid w:val="00F01670"/>
    <w:rsid w:val="00F02A6D"/>
    <w:rsid w:val="00F02D0B"/>
    <w:rsid w:val="00F042F9"/>
    <w:rsid w:val="00F043DE"/>
    <w:rsid w:val="00F04C4B"/>
    <w:rsid w:val="00F05AAC"/>
    <w:rsid w:val="00F05D95"/>
    <w:rsid w:val="00F10476"/>
    <w:rsid w:val="00F1082C"/>
    <w:rsid w:val="00F111B6"/>
    <w:rsid w:val="00F119AF"/>
    <w:rsid w:val="00F11E5A"/>
    <w:rsid w:val="00F12912"/>
    <w:rsid w:val="00F12ED1"/>
    <w:rsid w:val="00F13F0A"/>
    <w:rsid w:val="00F1445D"/>
    <w:rsid w:val="00F15E65"/>
    <w:rsid w:val="00F15F5F"/>
    <w:rsid w:val="00F15F68"/>
    <w:rsid w:val="00F1603D"/>
    <w:rsid w:val="00F200D6"/>
    <w:rsid w:val="00F204E9"/>
    <w:rsid w:val="00F20DC3"/>
    <w:rsid w:val="00F20EF6"/>
    <w:rsid w:val="00F210E4"/>
    <w:rsid w:val="00F222F6"/>
    <w:rsid w:val="00F23D96"/>
    <w:rsid w:val="00F24B10"/>
    <w:rsid w:val="00F24CAA"/>
    <w:rsid w:val="00F24F7D"/>
    <w:rsid w:val="00F25622"/>
    <w:rsid w:val="00F25B68"/>
    <w:rsid w:val="00F25EF7"/>
    <w:rsid w:val="00F26622"/>
    <w:rsid w:val="00F26919"/>
    <w:rsid w:val="00F26F18"/>
    <w:rsid w:val="00F270B8"/>
    <w:rsid w:val="00F27634"/>
    <w:rsid w:val="00F31788"/>
    <w:rsid w:val="00F3209E"/>
    <w:rsid w:val="00F32B45"/>
    <w:rsid w:val="00F32CDE"/>
    <w:rsid w:val="00F33413"/>
    <w:rsid w:val="00F336EE"/>
    <w:rsid w:val="00F34230"/>
    <w:rsid w:val="00F35804"/>
    <w:rsid w:val="00F35D32"/>
    <w:rsid w:val="00F3632F"/>
    <w:rsid w:val="00F3634E"/>
    <w:rsid w:val="00F376E0"/>
    <w:rsid w:val="00F377CB"/>
    <w:rsid w:val="00F37D7F"/>
    <w:rsid w:val="00F410B1"/>
    <w:rsid w:val="00F418F0"/>
    <w:rsid w:val="00F41940"/>
    <w:rsid w:val="00F421C7"/>
    <w:rsid w:val="00F42852"/>
    <w:rsid w:val="00F42BF2"/>
    <w:rsid w:val="00F43047"/>
    <w:rsid w:val="00F43549"/>
    <w:rsid w:val="00F44232"/>
    <w:rsid w:val="00F46F40"/>
    <w:rsid w:val="00F51DAF"/>
    <w:rsid w:val="00F52258"/>
    <w:rsid w:val="00F53355"/>
    <w:rsid w:val="00F53671"/>
    <w:rsid w:val="00F54068"/>
    <w:rsid w:val="00F54337"/>
    <w:rsid w:val="00F55574"/>
    <w:rsid w:val="00F55DE8"/>
    <w:rsid w:val="00F575A0"/>
    <w:rsid w:val="00F5780D"/>
    <w:rsid w:val="00F60B1A"/>
    <w:rsid w:val="00F61C84"/>
    <w:rsid w:val="00F61D4E"/>
    <w:rsid w:val="00F6204B"/>
    <w:rsid w:val="00F6235C"/>
    <w:rsid w:val="00F62E9F"/>
    <w:rsid w:val="00F63E50"/>
    <w:rsid w:val="00F64638"/>
    <w:rsid w:val="00F64A02"/>
    <w:rsid w:val="00F656B1"/>
    <w:rsid w:val="00F67EAA"/>
    <w:rsid w:val="00F67ECE"/>
    <w:rsid w:val="00F72B61"/>
    <w:rsid w:val="00F72D15"/>
    <w:rsid w:val="00F73C78"/>
    <w:rsid w:val="00F743C9"/>
    <w:rsid w:val="00F74D13"/>
    <w:rsid w:val="00F74D90"/>
    <w:rsid w:val="00F74FFC"/>
    <w:rsid w:val="00F75447"/>
    <w:rsid w:val="00F76C89"/>
    <w:rsid w:val="00F800FD"/>
    <w:rsid w:val="00F802E6"/>
    <w:rsid w:val="00F80357"/>
    <w:rsid w:val="00F80490"/>
    <w:rsid w:val="00F814F1"/>
    <w:rsid w:val="00F81584"/>
    <w:rsid w:val="00F81D9B"/>
    <w:rsid w:val="00F82F88"/>
    <w:rsid w:val="00F83B35"/>
    <w:rsid w:val="00F83E2A"/>
    <w:rsid w:val="00F843E2"/>
    <w:rsid w:val="00F84BE5"/>
    <w:rsid w:val="00F8567C"/>
    <w:rsid w:val="00F862CE"/>
    <w:rsid w:val="00F875A0"/>
    <w:rsid w:val="00F91270"/>
    <w:rsid w:val="00F912E0"/>
    <w:rsid w:val="00F91456"/>
    <w:rsid w:val="00F9195E"/>
    <w:rsid w:val="00F92068"/>
    <w:rsid w:val="00F92856"/>
    <w:rsid w:val="00F92B94"/>
    <w:rsid w:val="00F937DB"/>
    <w:rsid w:val="00F94DD9"/>
    <w:rsid w:val="00F96879"/>
    <w:rsid w:val="00F9749E"/>
    <w:rsid w:val="00F97A03"/>
    <w:rsid w:val="00FA101B"/>
    <w:rsid w:val="00FA32FC"/>
    <w:rsid w:val="00FA360D"/>
    <w:rsid w:val="00FA4C06"/>
    <w:rsid w:val="00FA4F0B"/>
    <w:rsid w:val="00FA51EA"/>
    <w:rsid w:val="00FA5315"/>
    <w:rsid w:val="00FA5D9F"/>
    <w:rsid w:val="00FA60E1"/>
    <w:rsid w:val="00FA6375"/>
    <w:rsid w:val="00FA67C3"/>
    <w:rsid w:val="00FA70B4"/>
    <w:rsid w:val="00FA7234"/>
    <w:rsid w:val="00FB0E82"/>
    <w:rsid w:val="00FB10DA"/>
    <w:rsid w:val="00FB1137"/>
    <w:rsid w:val="00FB1599"/>
    <w:rsid w:val="00FB1900"/>
    <w:rsid w:val="00FB1EFB"/>
    <w:rsid w:val="00FB25DF"/>
    <w:rsid w:val="00FB2F8C"/>
    <w:rsid w:val="00FB3329"/>
    <w:rsid w:val="00FB33B0"/>
    <w:rsid w:val="00FB4E45"/>
    <w:rsid w:val="00FB5B66"/>
    <w:rsid w:val="00FB5F54"/>
    <w:rsid w:val="00FB62B9"/>
    <w:rsid w:val="00FB6688"/>
    <w:rsid w:val="00FB66CC"/>
    <w:rsid w:val="00FB73B8"/>
    <w:rsid w:val="00FB79A0"/>
    <w:rsid w:val="00FC0B5A"/>
    <w:rsid w:val="00FC0FBE"/>
    <w:rsid w:val="00FC206C"/>
    <w:rsid w:val="00FC215B"/>
    <w:rsid w:val="00FC424A"/>
    <w:rsid w:val="00FC44C9"/>
    <w:rsid w:val="00FC465B"/>
    <w:rsid w:val="00FC553F"/>
    <w:rsid w:val="00FC5B0A"/>
    <w:rsid w:val="00FC5ED9"/>
    <w:rsid w:val="00FC5F90"/>
    <w:rsid w:val="00FC7144"/>
    <w:rsid w:val="00FC7F61"/>
    <w:rsid w:val="00FD1A9E"/>
    <w:rsid w:val="00FD1DCE"/>
    <w:rsid w:val="00FD2CEC"/>
    <w:rsid w:val="00FD2E69"/>
    <w:rsid w:val="00FD3430"/>
    <w:rsid w:val="00FD5BAC"/>
    <w:rsid w:val="00FD6A73"/>
    <w:rsid w:val="00FE03D7"/>
    <w:rsid w:val="00FE2B3A"/>
    <w:rsid w:val="00FE2C4E"/>
    <w:rsid w:val="00FE356B"/>
    <w:rsid w:val="00FE4B0A"/>
    <w:rsid w:val="00FE5E85"/>
    <w:rsid w:val="00FE611B"/>
    <w:rsid w:val="00FE6FA0"/>
    <w:rsid w:val="00FE7A8E"/>
    <w:rsid w:val="00FE7B66"/>
    <w:rsid w:val="00FF1A65"/>
    <w:rsid w:val="00FF1D88"/>
    <w:rsid w:val="00FF2453"/>
    <w:rsid w:val="00FF3373"/>
    <w:rsid w:val="00FF3AED"/>
    <w:rsid w:val="00FF578B"/>
    <w:rsid w:val="00FF57AA"/>
    <w:rsid w:val="00FF6A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cadémico"/>
    <w:qFormat/>
    <w:rsid w:val="00FA5315"/>
    <w:rPr>
      <w:rFonts w:eastAsiaTheme="minorEastAsia"/>
      <w:lang w:eastAsia="es-MX"/>
    </w:rPr>
  </w:style>
  <w:style w:type="paragraph" w:styleId="Ttulo1">
    <w:name w:val="heading 1"/>
    <w:basedOn w:val="Normal"/>
    <w:next w:val="Normal"/>
    <w:link w:val="Ttulo1Car"/>
    <w:uiPriority w:val="9"/>
    <w:qFormat/>
    <w:rsid w:val="00723916"/>
    <w:pPr>
      <w:keepNext/>
      <w:keepLines/>
      <w:spacing w:before="480" w:after="0"/>
      <w:outlineLvl w:val="0"/>
    </w:pPr>
    <w:rPr>
      <w:rFonts w:ascii="Arial" w:eastAsia="Times New Roman" w:hAnsi="Arial" w:cs="Times New Roman"/>
      <w:b/>
      <w:szCs w:val="32"/>
      <w:lang w:eastAsia="en-US"/>
    </w:rPr>
  </w:style>
  <w:style w:type="paragraph" w:styleId="Ttulo2">
    <w:name w:val="heading 2"/>
    <w:basedOn w:val="Normal"/>
    <w:next w:val="Normal"/>
    <w:link w:val="Ttulo2Car"/>
    <w:uiPriority w:val="9"/>
    <w:semiHidden/>
    <w:unhideWhenUsed/>
    <w:qFormat/>
    <w:rsid w:val="00723916"/>
    <w:pPr>
      <w:keepNext/>
      <w:keepLines/>
      <w:spacing w:before="200" w:after="0"/>
      <w:outlineLvl w:val="1"/>
    </w:pPr>
    <w:rPr>
      <w:rFonts w:ascii="Arial" w:eastAsia="Times New Roman" w:hAnsi="Arial" w:cs="Times New Roman"/>
      <w:i/>
      <w:szCs w:val="26"/>
      <w:lang w:eastAsia="en-US"/>
    </w:rPr>
  </w:style>
  <w:style w:type="paragraph" w:styleId="Ttulo3">
    <w:name w:val="heading 3"/>
    <w:basedOn w:val="Normal"/>
    <w:link w:val="Ttulo3Car"/>
    <w:uiPriority w:val="9"/>
    <w:qFormat/>
    <w:rsid w:val="00723916"/>
    <w:pPr>
      <w:spacing w:before="120" w:after="120" w:line="240" w:lineRule="auto"/>
      <w:outlineLvl w:val="2"/>
    </w:pPr>
    <w:rPr>
      <w:rFonts w:ascii="Arial" w:eastAsia="Times New Roman" w:hAnsi="Arial" w:cs="Times New Roman"/>
      <w:bCs/>
      <w:i/>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6FFD"/>
    <w:rPr>
      <w:rFonts w:eastAsiaTheme="minorEastAsia"/>
      <w:lang w:eastAsia="es-MX"/>
    </w:rPr>
  </w:style>
  <w:style w:type="paragraph" w:styleId="Piedepgina">
    <w:name w:val="footer"/>
    <w:basedOn w:val="Normal"/>
    <w:link w:val="PiedepginaCar"/>
    <w:uiPriority w:val="99"/>
    <w:unhideWhenUsed/>
    <w:rsid w:val="003D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FD"/>
    <w:rPr>
      <w:rFonts w:eastAsiaTheme="minorEastAsia"/>
      <w:lang w:eastAsia="es-MX"/>
    </w:rPr>
  </w:style>
  <w:style w:type="paragraph" w:customStyle="1" w:styleId="Ttulo11">
    <w:name w:val="Título 11"/>
    <w:basedOn w:val="Normal"/>
    <w:next w:val="Normal"/>
    <w:uiPriority w:val="9"/>
    <w:qFormat/>
    <w:rsid w:val="00723916"/>
    <w:pPr>
      <w:keepNext/>
      <w:keepLines/>
      <w:spacing w:before="120" w:after="120" w:line="240" w:lineRule="auto"/>
      <w:outlineLvl w:val="0"/>
    </w:pPr>
    <w:rPr>
      <w:rFonts w:ascii="Arial" w:eastAsia="Times New Roman" w:hAnsi="Arial" w:cs="Times New Roman"/>
      <w:b/>
      <w:szCs w:val="32"/>
      <w:lang w:eastAsia="en-US"/>
    </w:rPr>
  </w:style>
  <w:style w:type="paragraph" w:customStyle="1" w:styleId="Ttulo21">
    <w:name w:val="Título 21"/>
    <w:basedOn w:val="Normal"/>
    <w:next w:val="Normal"/>
    <w:uiPriority w:val="9"/>
    <w:unhideWhenUsed/>
    <w:qFormat/>
    <w:rsid w:val="00723916"/>
    <w:pPr>
      <w:keepNext/>
      <w:keepLines/>
      <w:spacing w:before="120" w:after="120" w:line="240" w:lineRule="auto"/>
      <w:outlineLvl w:val="1"/>
    </w:pPr>
    <w:rPr>
      <w:rFonts w:ascii="Arial" w:eastAsia="Times New Roman" w:hAnsi="Arial" w:cs="Times New Roman"/>
      <w:i/>
      <w:szCs w:val="26"/>
      <w:lang w:eastAsia="en-US"/>
    </w:rPr>
  </w:style>
  <w:style w:type="character" w:customStyle="1" w:styleId="Ttulo3Car">
    <w:name w:val="Título 3 Car"/>
    <w:basedOn w:val="Fuentedeprrafopredeter"/>
    <w:link w:val="Ttulo3"/>
    <w:uiPriority w:val="9"/>
    <w:rsid w:val="00723916"/>
    <w:rPr>
      <w:rFonts w:ascii="Arial" w:eastAsia="Times New Roman" w:hAnsi="Arial" w:cs="Times New Roman"/>
      <w:bCs/>
      <w:i/>
      <w:szCs w:val="27"/>
      <w:lang w:eastAsia="es-MX"/>
    </w:rPr>
  </w:style>
  <w:style w:type="numbering" w:customStyle="1" w:styleId="Sinlista1">
    <w:name w:val="Sin lista1"/>
    <w:next w:val="Sinlista"/>
    <w:uiPriority w:val="99"/>
    <w:semiHidden/>
    <w:unhideWhenUsed/>
    <w:rsid w:val="00723916"/>
  </w:style>
  <w:style w:type="paragraph" w:styleId="Textonotapie">
    <w:name w:val="footnote text"/>
    <w:basedOn w:val="Normal"/>
    <w:link w:val="TextonotapieCar"/>
    <w:uiPriority w:val="99"/>
    <w:unhideWhenUsed/>
    <w:rsid w:val="00723916"/>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rsid w:val="00723916"/>
    <w:rPr>
      <w:rFonts w:ascii="Calibri" w:eastAsia="Calibri" w:hAnsi="Calibri" w:cs="Times New Roman"/>
      <w:sz w:val="20"/>
      <w:szCs w:val="20"/>
    </w:rPr>
  </w:style>
  <w:style w:type="character" w:styleId="Refdenotaalpie">
    <w:name w:val="footnote reference"/>
    <w:uiPriority w:val="99"/>
    <w:semiHidden/>
    <w:unhideWhenUsed/>
    <w:rsid w:val="00723916"/>
    <w:rPr>
      <w:vertAlign w:val="superscript"/>
    </w:rPr>
  </w:style>
  <w:style w:type="paragraph" w:styleId="Prrafodelista">
    <w:name w:val="List Paragraph"/>
    <w:basedOn w:val="Normal"/>
    <w:uiPriority w:val="34"/>
    <w:qFormat/>
    <w:rsid w:val="00723916"/>
    <w:pPr>
      <w:spacing w:line="276" w:lineRule="auto"/>
      <w:ind w:left="720"/>
      <w:contextualSpacing/>
    </w:pPr>
    <w:rPr>
      <w:rFonts w:ascii="Calibri" w:eastAsia="Calibri" w:hAnsi="Calibri" w:cs="Times New Roman"/>
      <w:sz w:val="22"/>
      <w:lang w:eastAsia="en-U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723916"/>
    <w:pPr>
      <w:spacing w:beforeLines="1" w:afterLines="1" w:line="240" w:lineRule="auto"/>
    </w:pPr>
    <w:rPr>
      <w:rFonts w:ascii="Times" w:eastAsia="Times New Roman" w:hAnsi="Times" w:cs="Times New Roman"/>
      <w:sz w:val="20"/>
      <w:szCs w:val="20"/>
      <w:lang w:val="es-ES_tradnl" w:eastAsia="es-ES_tradnl"/>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uiPriority w:val="99"/>
    <w:rsid w:val="00723916"/>
    <w:rPr>
      <w:rFonts w:ascii="Times" w:eastAsia="Times New Roman" w:hAnsi="Times" w:cs="Times New Roman"/>
      <w:sz w:val="20"/>
      <w:szCs w:val="20"/>
      <w:lang w:val="es-ES_tradnl" w:eastAsia="es-ES_tradnl"/>
    </w:rPr>
  </w:style>
  <w:style w:type="paragraph" w:styleId="Textodeglobo">
    <w:name w:val="Balloon Text"/>
    <w:basedOn w:val="Normal"/>
    <w:link w:val="TextodegloboCar"/>
    <w:uiPriority w:val="99"/>
    <w:semiHidden/>
    <w:unhideWhenUsed/>
    <w:rsid w:val="00723916"/>
    <w:pPr>
      <w:spacing w:after="0" w:line="240" w:lineRule="auto"/>
    </w:pPr>
    <w:rPr>
      <w:rFonts w:ascii="Segoe UI" w:eastAsia="Calibri" w:hAnsi="Segoe UI" w:cs="Times New Roman"/>
      <w:sz w:val="18"/>
      <w:szCs w:val="18"/>
      <w:lang w:eastAsia="en-US"/>
    </w:rPr>
  </w:style>
  <w:style w:type="character" w:customStyle="1" w:styleId="TextodegloboCar">
    <w:name w:val="Texto de globo Car"/>
    <w:basedOn w:val="Fuentedeprrafopredeter"/>
    <w:link w:val="Textodeglobo"/>
    <w:uiPriority w:val="99"/>
    <w:semiHidden/>
    <w:rsid w:val="00723916"/>
    <w:rPr>
      <w:rFonts w:ascii="Segoe UI" w:eastAsia="Calibri" w:hAnsi="Segoe UI" w:cs="Times New Roman"/>
      <w:sz w:val="18"/>
      <w:szCs w:val="18"/>
    </w:rPr>
  </w:style>
  <w:style w:type="table" w:styleId="Tablaconcuadrcula">
    <w:name w:val="Table Grid"/>
    <w:basedOn w:val="Tablanormal"/>
    <w:uiPriority w:val="39"/>
    <w:rsid w:val="00723916"/>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723916"/>
    <w:rPr>
      <w:sz w:val="16"/>
      <w:szCs w:val="16"/>
    </w:rPr>
  </w:style>
  <w:style w:type="paragraph" w:styleId="Textocomentario">
    <w:name w:val="annotation text"/>
    <w:basedOn w:val="Normal"/>
    <w:link w:val="TextocomentarioCar"/>
    <w:uiPriority w:val="99"/>
    <w:unhideWhenUsed/>
    <w:rsid w:val="005F76D9"/>
    <w:pPr>
      <w:spacing w:after="160" w:line="240" w:lineRule="auto"/>
    </w:pPr>
    <w:rPr>
      <w:rFonts w:ascii="Barlow" w:eastAsia="Calibri" w:hAnsi="Barlow" w:cs="Times New Roman"/>
      <w:sz w:val="20"/>
      <w:szCs w:val="20"/>
      <w:lang w:eastAsia="en-US"/>
    </w:rPr>
  </w:style>
  <w:style w:type="character" w:customStyle="1" w:styleId="TextocomentarioCar">
    <w:name w:val="Texto comentario Car"/>
    <w:basedOn w:val="Fuentedeprrafopredeter"/>
    <w:link w:val="Textocomentario"/>
    <w:uiPriority w:val="99"/>
    <w:rsid w:val="00723916"/>
    <w:rPr>
      <w:rFonts w:ascii="Barlow" w:eastAsia="Calibri" w:hAnsi="Barlow"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23916"/>
    <w:rPr>
      <w:b/>
      <w:bCs/>
    </w:rPr>
  </w:style>
  <w:style w:type="character" w:customStyle="1" w:styleId="AsuntodelcomentarioCar">
    <w:name w:val="Asunto del comentario Car"/>
    <w:basedOn w:val="TextocomentarioCar"/>
    <w:link w:val="Asuntodelcomentario"/>
    <w:uiPriority w:val="99"/>
    <w:semiHidden/>
    <w:rsid w:val="00723916"/>
    <w:rPr>
      <w:rFonts w:ascii="Barlow" w:eastAsia="Calibri" w:hAnsi="Barlow" w:cs="Times New Roman"/>
      <w:b/>
      <w:bCs/>
      <w:sz w:val="20"/>
      <w:szCs w:val="20"/>
    </w:rPr>
  </w:style>
  <w:style w:type="paragraph" w:customStyle="1" w:styleId="paragraph">
    <w:name w:val="paragraph"/>
    <w:basedOn w:val="Normal"/>
    <w:rsid w:val="00723916"/>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Fuentedeprrafopredeter"/>
    <w:rsid w:val="00723916"/>
  </w:style>
  <w:style w:type="character" w:customStyle="1" w:styleId="eop">
    <w:name w:val="eop"/>
    <w:basedOn w:val="Fuentedeprrafopredeter"/>
    <w:rsid w:val="00723916"/>
  </w:style>
  <w:style w:type="character" w:customStyle="1" w:styleId="spellingerror">
    <w:name w:val="spellingerror"/>
    <w:basedOn w:val="Fuentedeprrafopredeter"/>
    <w:rsid w:val="00723916"/>
  </w:style>
  <w:style w:type="character" w:customStyle="1" w:styleId="findhit">
    <w:name w:val="findhit"/>
    <w:basedOn w:val="Fuentedeprrafopredeter"/>
    <w:rsid w:val="00723916"/>
  </w:style>
  <w:style w:type="character" w:styleId="Hipervnculo">
    <w:name w:val="Hyperlink"/>
    <w:uiPriority w:val="99"/>
    <w:unhideWhenUsed/>
    <w:rsid w:val="00723916"/>
    <w:rPr>
      <w:color w:val="0563C1"/>
      <w:u w:val="single"/>
    </w:rPr>
  </w:style>
  <w:style w:type="character" w:styleId="Hipervnculovisitado">
    <w:name w:val="FollowedHyperlink"/>
    <w:uiPriority w:val="99"/>
    <w:semiHidden/>
    <w:unhideWhenUsed/>
    <w:rsid w:val="00723916"/>
    <w:rPr>
      <w:color w:val="954F72"/>
      <w:u w:val="single"/>
    </w:rPr>
  </w:style>
  <w:style w:type="paragraph" w:customStyle="1" w:styleId="msonormal0">
    <w:name w:val="msonormal"/>
    <w:basedOn w:val="Normal"/>
    <w:rsid w:val="00723916"/>
    <w:pPr>
      <w:spacing w:before="100" w:beforeAutospacing="1" w:after="100" w:afterAutospacing="1" w:line="240" w:lineRule="auto"/>
    </w:pPr>
    <w:rPr>
      <w:rFonts w:eastAsia="Times New Roman" w:cs="Times New Roman"/>
      <w:szCs w:val="24"/>
    </w:rPr>
  </w:style>
  <w:style w:type="paragraph" w:customStyle="1" w:styleId="xl65">
    <w:name w:val="xl65"/>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66">
    <w:name w:val="xl66"/>
    <w:basedOn w:val="Normal"/>
    <w:rsid w:val="00723916"/>
    <w:pPr>
      <w:pBdr>
        <w:top w:val="single" w:sz="4" w:space="0" w:color="BFBFBF"/>
        <w:left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67">
    <w:name w:val="xl67"/>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Barlow" w:eastAsia="Times New Roman" w:hAnsi="Barlow" w:cs="Times New Roman"/>
      <w:szCs w:val="24"/>
    </w:rPr>
  </w:style>
  <w:style w:type="paragraph" w:customStyle="1" w:styleId="xl68">
    <w:name w:val="xl68"/>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jc w:val="center"/>
    </w:pPr>
    <w:rPr>
      <w:rFonts w:ascii="Barlow" w:eastAsia="Times New Roman" w:hAnsi="Barlow" w:cs="Times New Roman"/>
      <w:b/>
      <w:bCs/>
      <w:szCs w:val="24"/>
    </w:rPr>
  </w:style>
  <w:style w:type="paragraph" w:customStyle="1" w:styleId="xl69">
    <w:name w:val="xl69"/>
    <w:basedOn w:val="Normal"/>
    <w:rsid w:val="00723916"/>
    <w:pPr>
      <w:spacing w:before="100" w:beforeAutospacing="1" w:after="100" w:afterAutospacing="1" w:line="240" w:lineRule="auto"/>
      <w:jc w:val="center"/>
    </w:pPr>
    <w:rPr>
      <w:rFonts w:ascii="Barlow" w:eastAsia="Times New Roman" w:hAnsi="Barlow" w:cs="Times New Roman"/>
      <w:szCs w:val="24"/>
    </w:rPr>
  </w:style>
  <w:style w:type="paragraph" w:customStyle="1" w:styleId="xl70">
    <w:name w:val="xl70"/>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1">
    <w:name w:val="xl71"/>
    <w:basedOn w:val="Normal"/>
    <w:rsid w:val="00723916"/>
    <w:pPr>
      <w:spacing w:before="100" w:beforeAutospacing="1" w:after="100" w:afterAutospacing="1" w:line="240" w:lineRule="auto"/>
    </w:pPr>
    <w:rPr>
      <w:rFonts w:ascii="Barlow" w:eastAsia="Times New Roman" w:hAnsi="Barlow" w:cs="Times New Roman"/>
      <w:szCs w:val="24"/>
    </w:rPr>
  </w:style>
  <w:style w:type="paragraph" w:customStyle="1" w:styleId="xl72">
    <w:name w:val="xl72"/>
    <w:basedOn w:val="Normal"/>
    <w:rsid w:val="00723916"/>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Barlow" w:eastAsia="Times New Roman" w:hAnsi="Barlow" w:cs="Times New Roman"/>
      <w:szCs w:val="24"/>
    </w:rPr>
  </w:style>
  <w:style w:type="paragraph" w:customStyle="1" w:styleId="xl73">
    <w:name w:val="xl73"/>
    <w:basedOn w:val="Normal"/>
    <w:rsid w:val="00723916"/>
    <w:pPr>
      <w:pBdr>
        <w:top w:val="single" w:sz="4" w:space="0" w:color="BFBFBF"/>
        <w:left w:val="single" w:sz="4" w:space="0" w:color="BFBFBF"/>
        <w:bottom w:val="single" w:sz="4" w:space="0" w:color="BFBFBF"/>
        <w:right w:val="single" w:sz="4" w:space="0" w:color="BFBFBF"/>
      </w:pBdr>
      <w:shd w:val="clear" w:color="000000" w:fill="BFBFBF"/>
      <w:spacing w:before="100" w:beforeAutospacing="1" w:after="100" w:afterAutospacing="1" w:line="240" w:lineRule="auto"/>
    </w:pPr>
    <w:rPr>
      <w:rFonts w:ascii="Barlow" w:eastAsia="Times New Roman" w:hAnsi="Barlow" w:cs="Times New Roman"/>
      <w:szCs w:val="24"/>
    </w:rPr>
  </w:style>
  <w:style w:type="paragraph" w:customStyle="1" w:styleId="xl74">
    <w:name w:val="xl74"/>
    <w:basedOn w:val="Normal"/>
    <w:rsid w:val="00723916"/>
    <w:pPr>
      <w:pBdr>
        <w:top w:val="single" w:sz="4" w:space="0" w:color="BFBFBF"/>
        <w:left w:val="single" w:sz="4" w:space="0" w:color="BFBFBF"/>
        <w:bottom w:val="single" w:sz="4" w:space="0" w:color="BFBFBF"/>
        <w:right w:val="single" w:sz="4" w:space="0" w:color="BFBFBF"/>
      </w:pBdr>
      <w:shd w:val="clear" w:color="000000" w:fill="auto"/>
      <w:spacing w:before="100" w:beforeAutospacing="1" w:after="100" w:afterAutospacing="1" w:line="240" w:lineRule="auto"/>
    </w:pPr>
    <w:rPr>
      <w:rFonts w:ascii="Barlow" w:eastAsia="Times New Roman" w:hAnsi="Barlow" w:cs="Times New Roman"/>
      <w:szCs w:val="24"/>
    </w:rPr>
  </w:style>
  <w:style w:type="paragraph" w:customStyle="1" w:styleId="xl75">
    <w:name w:val="xl75"/>
    <w:basedOn w:val="Normal"/>
    <w:rsid w:val="00723916"/>
    <w:pPr>
      <w:pBdr>
        <w:top w:val="single" w:sz="4" w:space="0" w:color="BFBFBF"/>
        <w:left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6">
    <w:name w:val="xl76"/>
    <w:basedOn w:val="Normal"/>
    <w:rsid w:val="00723916"/>
    <w:pPr>
      <w:pBdr>
        <w:top w:val="single" w:sz="4" w:space="0" w:color="BFBFBF"/>
        <w:bottom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7">
    <w:name w:val="xl77"/>
    <w:basedOn w:val="Normal"/>
    <w:rsid w:val="00723916"/>
    <w:pPr>
      <w:pBdr>
        <w:top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8">
    <w:name w:val="xl78"/>
    <w:basedOn w:val="Normal"/>
    <w:rsid w:val="00723916"/>
    <w:pPr>
      <w:pBdr>
        <w:left w:val="single" w:sz="4" w:space="0" w:color="BFBFBF"/>
        <w:bottom w:val="single" w:sz="4" w:space="0" w:color="BFBFBF"/>
        <w:right w:val="single" w:sz="4" w:space="0" w:color="BFBFBF"/>
      </w:pBdr>
      <w:shd w:val="clear" w:color="000000" w:fill="002060"/>
      <w:spacing w:before="100" w:beforeAutospacing="1" w:after="100" w:afterAutospacing="1" w:line="240" w:lineRule="auto"/>
      <w:jc w:val="center"/>
      <w:textAlignment w:val="center"/>
    </w:pPr>
    <w:rPr>
      <w:rFonts w:ascii="Barlow" w:eastAsia="Times New Roman" w:hAnsi="Barlow" w:cs="Times New Roman"/>
      <w:b/>
      <w:bCs/>
      <w:color w:val="FFFFFF"/>
      <w:szCs w:val="24"/>
    </w:rPr>
  </w:style>
  <w:style w:type="paragraph" w:customStyle="1" w:styleId="xl79">
    <w:name w:val="xl79"/>
    <w:basedOn w:val="Normal"/>
    <w:rsid w:val="00723916"/>
    <w:pPr>
      <w:spacing w:before="100" w:beforeAutospacing="1" w:after="100" w:afterAutospacing="1" w:line="240" w:lineRule="auto"/>
      <w:ind w:firstLineChars="200" w:firstLine="200"/>
      <w:textAlignment w:val="top"/>
    </w:pPr>
    <w:rPr>
      <w:rFonts w:ascii="Barlow" w:eastAsia="Times New Roman" w:hAnsi="Barlow" w:cs="Times New Roman"/>
      <w:b/>
      <w:bCs/>
      <w:sz w:val="18"/>
      <w:szCs w:val="18"/>
    </w:rPr>
  </w:style>
  <w:style w:type="paragraph" w:customStyle="1" w:styleId="xl80">
    <w:name w:val="xl80"/>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1">
    <w:name w:val="xl81"/>
    <w:basedOn w:val="Normal"/>
    <w:rsid w:val="00723916"/>
    <w:pPr>
      <w:spacing w:before="100" w:beforeAutospacing="1" w:after="100" w:afterAutospacing="1" w:line="240" w:lineRule="auto"/>
      <w:ind w:firstLineChars="400" w:firstLine="400"/>
      <w:textAlignment w:val="top"/>
    </w:pPr>
    <w:rPr>
      <w:rFonts w:ascii="Barlow" w:eastAsia="Times New Roman" w:hAnsi="Barlow" w:cs="Times New Roman"/>
      <w:b/>
      <w:bCs/>
      <w:sz w:val="18"/>
      <w:szCs w:val="18"/>
    </w:rPr>
  </w:style>
  <w:style w:type="paragraph" w:customStyle="1" w:styleId="xl82">
    <w:name w:val="xl82"/>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3">
    <w:name w:val="xl83"/>
    <w:basedOn w:val="Normal"/>
    <w:rsid w:val="00723916"/>
    <w:pPr>
      <w:spacing w:before="100" w:beforeAutospacing="1" w:after="100" w:afterAutospacing="1" w:line="240" w:lineRule="auto"/>
      <w:jc w:val="right"/>
      <w:textAlignment w:val="top"/>
    </w:pPr>
    <w:rPr>
      <w:rFonts w:ascii="Barlow" w:eastAsia="Times New Roman" w:hAnsi="Barlow" w:cs="Times New Roman"/>
      <w:sz w:val="18"/>
      <w:szCs w:val="18"/>
    </w:rPr>
  </w:style>
  <w:style w:type="paragraph" w:customStyle="1" w:styleId="xl84">
    <w:name w:val="xl84"/>
    <w:basedOn w:val="Normal"/>
    <w:rsid w:val="00723916"/>
    <w:pPr>
      <w:spacing w:before="100" w:beforeAutospacing="1" w:after="100" w:afterAutospacing="1" w:line="240" w:lineRule="auto"/>
      <w:textAlignment w:val="top"/>
    </w:pPr>
    <w:rPr>
      <w:rFonts w:ascii="Barlow" w:eastAsia="Times New Roman" w:hAnsi="Barlow" w:cs="Times New Roman"/>
      <w:b/>
      <w:bCs/>
      <w:color w:val="FFFFFF"/>
      <w:sz w:val="18"/>
      <w:szCs w:val="18"/>
    </w:rPr>
  </w:style>
  <w:style w:type="paragraph" w:customStyle="1" w:styleId="xl85">
    <w:name w:val="xl85"/>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6">
    <w:name w:val="xl86"/>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7">
    <w:name w:val="xl87"/>
    <w:basedOn w:val="Normal"/>
    <w:rsid w:val="00723916"/>
    <w:pPr>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xl88">
    <w:name w:val="xl88"/>
    <w:basedOn w:val="Normal"/>
    <w:rsid w:val="00723916"/>
    <w:pPr>
      <w:spacing w:before="100" w:beforeAutospacing="1" w:after="100" w:afterAutospacing="1" w:line="240" w:lineRule="auto"/>
    </w:pPr>
    <w:rPr>
      <w:rFonts w:eastAsia="Times New Roman" w:cs="Times New Roman"/>
      <w:szCs w:val="24"/>
    </w:rPr>
  </w:style>
  <w:style w:type="paragraph" w:customStyle="1" w:styleId="xl89">
    <w:name w:val="xl89"/>
    <w:basedOn w:val="Normal"/>
    <w:rsid w:val="00723916"/>
    <w:pPr>
      <w:shd w:val="clear" w:color="000000" w:fill="FFFF00"/>
      <w:spacing w:before="100" w:beforeAutospacing="1" w:after="100" w:afterAutospacing="1" w:line="240" w:lineRule="auto"/>
      <w:textAlignment w:val="top"/>
    </w:pPr>
    <w:rPr>
      <w:rFonts w:ascii="Barlow" w:eastAsia="Times New Roman" w:hAnsi="Barlow" w:cs="Times New Roman"/>
      <w:sz w:val="18"/>
      <w:szCs w:val="18"/>
    </w:rPr>
  </w:style>
  <w:style w:type="paragraph" w:customStyle="1" w:styleId="font5">
    <w:name w:val="font5"/>
    <w:basedOn w:val="Normal"/>
    <w:rsid w:val="00723916"/>
    <w:pPr>
      <w:spacing w:before="100" w:beforeAutospacing="1" w:after="100" w:afterAutospacing="1" w:line="240" w:lineRule="auto"/>
    </w:pPr>
    <w:rPr>
      <w:rFonts w:ascii="Calibri" w:eastAsia="Times New Roman" w:hAnsi="Calibri" w:cs="Times New Roman"/>
      <w:color w:val="000000"/>
      <w:sz w:val="22"/>
      <w:lang w:val="en-US" w:eastAsia="en-US"/>
    </w:rPr>
  </w:style>
  <w:style w:type="paragraph" w:customStyle="1" w:styleId="font6">
    <w:name w:val="font6"/>
    <w:basedOn w:val="Normal"/>
    <w:rsid w:val="00723916"/>
    <w:pPr>
      <w:spacing w:before="100" w:beforeAutospacing="1" w:after="100" w:afterAutospacing="1" w:line="240" w:lineRule="auto"/>
    </w:pPr>
    <w:rPr>
      <w:rFonts w:ascii="Tahoma" w:eastAsia="Times New Roman" w:hAnsi="Tahoma" w:cs="Tahoma"/>
      <w:b/>
      <w:bCs/>
      <w:color w:val="000000"/>
      <w:sz w:val="18"/>
      <w:szCs w:val="18"/>
      <w:lang w:val="en-US" w:eastAsia="en-US"/>
    </w:rPr>
  </w:style>
  <w:style w:type="character" w:customStyle="1" w:styleId="Ttulo1Car">
    <w:name w:val="Título 1 Car"/>
    <w:basedOn w:val="Fuentedeprrafopredeter"/>
    <w:link w:val="Ttulo1"/>
    <w:uiPriority w:val="9"/>
    <w:rsid w:val="00723916"/>
    <w:rPr>
      <w:rFonts w:ascii="Arial" w:eastAsia="Times New Roman" w:hAnsi="Arial" w:cs="Times New Roman"/>
      <w:b/>
      <w:sz w:val="24"/>
      <w:szCs w:val="32"/>
    </w:rPr>
  </w:style>
  <w:style w:type="character" w:customStyle="1" w:styleId="Ttulo2Car">
    <w:name w:val="Título 2 Car"/>
    <w:basedOn w:val="Fuentedeprrafopredeter"/>
    <w:link w:val="Ttulo2"/>
    <w:uiPriority w:val="9"/>
    <w:rsid w:val="00723916"/>
    <w:rPr>
      <w:rFonts w:ascii="Arial" w:eastAsia="Times New Roman" w:hAnsi="Arial" w:cs="Times New Roman"/>
      <w:i/>
      <w:sz w:val="24"/>
      <w:szCs w:val="26"/>
    </w:rPr>
  </w:style>
  <w:style w:type="paragraph" w:customStyle="1" w:styleId="TtulodeTDC1">
    <w:name w:val="Título de TDC1"/>
    <w:basedOn w:val="Ttulo1"/>
    <w:next w:val="Normal"/>
    <w:uiPriority w:val="39"/>
    <w:unhideWhenUsed/>
    <w:qFormat/>
    <w:rsid w:val="00723916"/>
  </w:style>
  <w:style w:type="paragraph" w:styleId="TDC1">
    <w:name w:val="toc 1"/>
    <w:basedOn w:val="Normal"/>
    <w:next w:val="Normal"/>
    <w:autoRedefine/>
    <w:uiPriority w:val="39"/>
    <w:unhideWhenUsed/>
    <w:rsid w:val="00723916"/>
    <w:pPr>
      <w:spacing w:after="100" w:line="259" w:lineRule="auto"/>
    </w:pPr>
    <w:rPr>
      <w:rFonts w:ascii="Barlow" w:eastAsia="Calibri" w:hAnsi="Barlow" w:cs="Times New Roman"/>
      <w:sz w:val="22"/>
      <w:lang w:eastAsia="en-US"/>
    </w:rPr>
  </w:style>
  <w:style w:type="paragraph" w:styleId="TDC2">
    <w:name w:val="toc 2"/>
    <w:basedOn w:val="Normal"/>
    <w:next w:val="Normal"/>
    <w:autoRedefine/>
    <w:uiPriority w:val="39"/>
    <w:unhideWhenUsed/>
    <w:rsid w:val="00723916"/>
    <w:pPr>
      <w:spacing w:after="100" w:line="259" w:lineRule="auto"/>
      <w:ind w:left="220"/>
    </w:pPr>
    <w:rPr>
      <w:rFonts w:ascii="Barlow" w:eastAsia="Calibri" w:hAnsi="Barlow" w:cs="Times New Roman"/>
      <w:sz w:val="22"/>
      <w:lang w:eastAsia="en-US"/>
    </w:rPr>
  </w:style>
  <w:style w:type="paragraph" w:styleId="TDC3">
    <w:name w:val="toc 3"/>
    <w:basedOn w:val="Normal"/>
    <w:next w:val="Normal"/>
    <w:autoRedefine/>
    <w:uiPriority w:val="39"/>
    <w:unhideWhenUsed/>
    <w:rsid w:val="00723916"/>
    <w:pPr>
      <w:spacing w:after="100" w:line="259" w:lineRule="auto"/>
      <w:ind w:left="440"/>
    </w:pPr>
    <w:rPr>
      <w:rFonts w:ascii="Barlow" w:eastAsia="Calibri" w:hAnsi="Barlow" w:cs="Times New Roman"/>
      <w:sz w:val="22"/>
      <w:lang w:eastAsia="en-US"/>
    </w:rPr>
  </w:style>
  <w:style w:type="paragraph" w:customStyle="1" w:styleId="xl63">
    <w:name w:val="xl63"/>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64">
    <w:name w:val="xl64"/>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0">
    <w:name w:val="xl90"/>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91">
    <w:name w:val="xl91"/>
    <w:basedOn w:val="Normal"/>
    <w:rsid w:val="00723916"/>
    <w:pPr>
      <w:pBdr>
        <w:top w:val="single" w:sz="8" w:space="0" w:color="auto"/>
        <w:bottom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92">
    <w:name w:val="xl92"/>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3">
    <w:name w:val="xl93"/>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b/>
      <w:bCs/>
      <w:szCs w:val="24"/>
    </w:rPr>
  </w:style>
  <w:style w:type="paragraph" w:customStyle="1" w:styleId="xl94">
    <w:name w:val="xl94"/>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5">
    <w:name w:val="xl95"/>
    <w:basedOn w:val="Normal"/>
    <w:rsid w:val="00723916"/>
    <w:pP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96">
    <w:name w:val="xl96"/>
    <w:basedOn w:val="Normal"/>
    <w:rsid w:val="00723916"/>
    <w:pP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7">
    <w:name w:val="xl97"/>
    <w:basedOn w:val="Normal"/>
    <w:rsid w:val="00723916"/>
    <w:pPr>
      <w:pBdr>
        <w:right w:val="single" w:sz="8" w:space="0" w:color="auto"/>
      </w:pBdr>
      <w:shd w:val="clear" w:color="90EE9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8">
    <w:name w:val="xl98"/>
    <w:basedOn w:val="Normal"/>
    <w:rsid w:val="00723916"/>
    <w:pP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99">
    <w:name w:val="xl99"/>
    <w:basedOn w:val="Normal"/>
    <w:rsid w:val="00723916"/>
    <w:pPr>
      <w:pBdr>
        <w:right w:val="single" w:sz="8" w:space="0" w:color="auto"/>
      </w:pBdr>
      <w:shd w:val="clear" w:color="000000" w:fill="BFBFB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00">
    <w:name w:val="xl100"/>
    <w:basedOn w:val="Normal"/>
    <w:rsid w:val="00723916"/>
    <w:pP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1">
    <w:name w:val="xl101"/>
    <w:basedOn w:val="Normal"/>
    <w:rsid w:val="00723916"/>
    <w:pPr>
      <w:pBdr>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2">
    <w:name w:val="xl102"/>
    <w:basedOn w:val="Normal"/>
    <w:rsid w:val="00723916"/>
    <w:pPr>
      <w:pBdr>
        <w:bottom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3">
    <w:name w:val="xl103"/>
    <w:basedOn w:val="Normal"/>
    <w:rsid w:val="00723916"/>
    <w:pPr>
      <w:pBdr>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eastAsia="Times New Roman" w:cs="Times New Roman"/>
      <w:b/>
      <w:bCs/>
      <w:szCs w:val="24"/>
    </w:rPr>
  </w:style>
  <w:style w:type="paragraph" w:customStyle="1" w:styleId="xl104">
    <w:name w:val="xl104"/>
    <w:basedOn w:val="Normal"/>
    <w:rsid w:val="00723916"/>
    <w:pPr>
      <w:pBdr>
        <w:top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5">
    <w:name w:val="xl105"/>
    <w:basedOn w:val="Normal"/>
    <w:rsid w:val="00723916"/>
    <w:pPr>
      <w:pBdr>
        <w:top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6">
    <w:name w:val="xl106"/>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7">
    <w:name w:val="xl107"/>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08">
    <w:name w:val="xl108"/>
    <w:basedOn w:val="Normal"/>
    <w:rsid w:val="00723916"/>
    <w:pP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09">
    <w:name w:val="xl109"/>
    <w:basedOn w:val="Normal"/>
    <w:rsid w:val="00723916"/>
    <w:pPr>
      <w:pBdr>
        <w:righ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0">
    <w:name w:val="xl110"/>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1">
    <w:name w:val="xl111"/>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2">
    <w:name w:val="xl112"/>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3">
    <w:name w:val="xl113"/>
    <w:basedOn w:val="Normal"/>
    <w:rsid w:val="00723916"/>
    <w:pP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14">
    <w:name w:val="xl114"/>
    <w:basedOn w:val="Normal"/>
    <w:rsid w:val="00723916"/>
    <w:pP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5">
    <w:name w:val="xl115"/>
    <w:basedOn w:val="Normal"/>
    <w:rsid w:val="00723916"/>
    <w:pPr>
      <w:pBdr>
        <w:righ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16">
    <w:name w:val="xl116"/>
    <w:basedOn w:val="Normal"/>
    <w:rsid w:val="00723916"/>
    <w:pP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17">
    <w:name w:val="xl117"/>
    <w:basedOn w:val="Normal"/>
    <w:rsid w:val="00723916"/>
    <w:pPr>
      <w:spacing w:before="100" w:beforeAutospacing="1" w:after="100" w:afterAutospacing="1" w:line="240" w:lineRule="auto"/>
      <w:textAlignment w:val="center"/>
    </w:pPr>
    <w:rPr>
      <w:rFonts w:eastAsia="Times New Roman" w:cs="Times New Roman"/>
      <w:szCs w:val="24"/>
    </w:rPr>
  </w:style>
  <w:style w:type="paragraph" w:customStyle="1" w:styleId="xl118">
    <w:name w:val="xl118"/>
    <w:basedOn w:val="Normal"/>
    <w:rsid w:val="00723916"/>
    <w:pP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19">
    <w:name w:val="xl119"/>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000000"/>
      <w:szCs w:val="24"/>
    </w:rPr>
  </w:style>
  <w:style w:type="paragraph" w:customStyle="1" w:styleId="xl120">
    <w:name w:val="xl120"/>
    <w:basedOn w:val="Normal"/>
    <w:rsid w:val="00723916"/>
    <w:pPr>
      <w:pBdr>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1">
    <w:name w:val="xl12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2">
    <w:name w:val="xl122"/>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23">
    <w:name w:val="xl123"/>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4">
    <w:name w:val="xl124"/>
    <w:basedOn w:val="Normal"/>
    <w:rsid w:val="00723916"/>
    <w:pPr>
      <w:pBdr>
        <w:left w:val="single" w:sz="8" w:space="0" w:color="auto"/>
      </w:pBdr>
      <w:shd w:val="clear" w:color="D3D3D3" w:fill="9BC2E6"/>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5">
    <w:name w:val="xl125"/>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b/>
      <w:bCs/>
      <w:color w:val="000000"/>
      <w:szCs w:val="24"/>
    </w:rPr>
  </w:style>
  <w:style w:type="paragraph" w:customStyle="1" w:styleId="xl126">
    <w:name w:val="xl126"/>
    <w:basedOn w:val="Normal"/>
    <w:rsid w:val="00723916"/>
    <w:pPr>
      <w:pBdr>
        <w:left w:val="single" w:sz="8" w:space="7" w:color="auto"/>
      </w:pBdr>
      <w:shd w:val="clear" w:color="000000" w:fill="FFFFFF"/>
      <w:spacing w:before="100" w:beforeAutospacing="1" w:after="100" w:afterAutospacing="1" w:line="240" w:lineRule="auto"/>
      <w:ind w:firstLineChars="100" w:firstLine="100"/>
      <w:textAlignment w:val="center"/>
    </w:pPr>
    <w:rPr>
      <w:rFonts w:eastAsia="Times New Roman" w:cs="Times New Roman"/>
      <w:color w:val="000000"/>
      <w:szCs w:val="24"/>
    </w:rPr>
  </w:style>
  <w:style w:type="paragraph" w:customStyle="1" w:styleId="xl127">
    <w:name w:val="xl127"/>
    <w:basedOn w:val="Normal"/>
    <w:rsid w:val="00723916"/>
    <w:pPr>
      <w:pBdr>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8">
    <w:name w:val="xl128"/>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29">
    <w:name w:val="xl129"/>
    <w:basedOn w:val="Normal"/>
    <w:rsid w:val="00723916"/>
    <w:pPr>
      <w:pBdr>
        <w:left w:val="single" w:sz="8" w:space="0" w:color="auto"/>
      </w:pBdr>
      <w:shd w:val="clear" w:color="00000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0">
    <w:name w:val="xl130"/>
    <w:basedOn w:val="Normal"/>
    <w:rsid w:val="00723916"/>
    <w:pPr>
      <w:pBdr>
        <w:left w:val="single" w:sz="8" w:space="0" w:color="auto"/>
      </w:pBdr>
      <w:shd w:val="clear" w:color="000000" w:fill="D9D9D9"/>
      <w:spacing w:before="100" w:beforeAutospacing="1" w:after="100" w:afterAutospacing="1" w:line="240" w:lineRule="auto"/>
      <w:textAlignment w:val="center"/>
    </w:pPr>
    <w:rPr>
      <w:rFonts w:eastAsia="Times New Roman" w:cs="Times New Roman"/>
      <w:color w:val="000000"/>
      <w:szCs w:val="24"/>
    </w:rPr>
  </w:style>
  <w:style w:type="paragraph" w:customStyle="1" w:styleId="xl131">
    <w:name w:val="xl131"/>
    <w:basedOn w:val="Normal"/>
    <w:rsid w:val="00723916"/>
    <w:pPr>
      <w:pBdr>
        <w:left w:val="single" w:sz="8" w:space="0" w:color="auto"/>
        <w:bottom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2">
    <w:name w:val="xl132"/>
    <w:basedOn w:val="Normal"/>
    <w:rsid w:val="00723916"/>
    <w:pPr>
      <w:pBdr>
        <w:top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3">
    <w:name w:val="xl133"/>
    <w:basedOn w:val="Normal"/>
    <w:rsid w:val="00723916"/>
    <w:pPr>
      <w:pBdr>
        <w:top w:val="single" w:sz="8" w:space="0" w:color="auto"/>
        <w:right w:val="single" w:sz="8" w:space="0" w:color="auto"/>
      </w:pBdr>
      <w:shd w:val="clear" w:color="000000" w:fill="D9D9D9"/>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4">
    <w:name w:val="xl134"/>
    <w:basedOn w:val="Normal"/>
    <w:rsid w:val="00723916"/>
    <w:pPr>
      <w:pBdr>
        <w:top w:val="single" w:sz="8" w:space="0" w:color="auto"/>
        <w:lef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5">
    <w:name w:val="xl135"/>
    <w:basedOn w:val="Normal"/>
    <w:rsid w:val="00723916"/>
    <w:pPr>
      <w:pBdr>
        <w:left w:val="single" w:sz="8" w:space="0" w:color="auto"/>
      </w:pBdr>
      <w:shd w:val="clear" w:color="90EE9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6">
    <w:name w:val="xl136"/>
    <w:basedOn w:val="Normal"/>
    <w:rsid w:val="00723916"/>
    <w:pPr>
      <w:pBdr>
        <w:left w:val="single" w:sz="8" w:space="0" w:color="auto"/>
      </w:pBdr>
      <w:shd w:val="clear" w:color="000000" w:fill="A9D08E"/>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7">
    <w:name w:val="xl137"/>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38">
    <w:name w:val="xl138"/>
    <w:basedOn w:val="Normal"/>
    <w:rsid w:val="00723916"/>
    <w:pPr>
      <w:pBdr>
        <w:left w:val="single" w:sz="8" w:space="0" w:color="auto"/>
      </w:pBdr>
      <w:shd w:val="clear" w:color="F0E68C" w:fill="C6E0B4"/>
      <w:spacing w:before="100" w:beforeAutospacing="1" w:after="100" w:afterAutospacing="1" w:line="240" w:lineRule="auto"/>
      <w:textAlignment w:val="center"/>
    </w:pPr>
    <w:rPr>
      <w:rFonts w:eastAsia="Times New Roman" w:cs="Times New Roman"/>
      <w:b/>
      <w:bCs/>
      <w:color w:val="000000"/>
      <w:szCs w:val="24"/>
    </w:rPr>
  </w:style>
  <w:style w:type="paragraph" w:customStyle="1" w:styleId="xl139">
    <w:name w:val="xl139"/>
    <w:basedOn w:val="Normal"/>
    <w:rsid w:val="00723916"/>
    <w:pPr>
      <w:pBdr>
        <w:left w:val="single" w:sz="8" w:space="0" w:color="auto"/>
      </w:pBdr>
      <w:shd w:val="clear" w:color="000000" w:fill="FFFFF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0">
    <w:name w:val="xl140"/>
    <w:basedOn w:val="Normal"/>
    <w:rsid w:val="00723916"/>
    <w:pPr>
      <w:pBdr>
        <w:left w:val="single" w:sz="8" w:space="0" w:color="auto"/>
        <w:bottom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1">
    <w:name w:val="xl14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2">
    <w:name w:val="xl142"/>
    <w:basedOn w:val="Normal"/>
    <w:rsid w:val="00723916"/>
    <w:pPr>
      <w:pBdr>
        <w:bottom w:val="single" w:sz="8" w:space="0" w:color="auto"/>
        <w:right w:val="single" w:sz="8" w:space="0" w:color="auto"/>
      </w:pBdr>
      <w:shd w:val="clear" w:color="90EE90" w:fill="BFBFBF"/>
      <w:spacing w:before="100" w:beforeAutospacing="1" w:after="100" w:afterAutospacing="1" w:line="240" w:lineRule="auto"/>
      <w:textAlignment w:val="center"/>
    </w:pPr>
    <w:rPr>
      <w:rFonts w:eastAsia="Times New Roman" w:cs="Times New Roman"/>
      <w:b/>
      <w:bCs/>
      <w:color w:val="000000"/>
      <w:szCs w:val="24"/>
    </w:rPr>
  </w:style>
  <w:style w:type="paragraph" w:customStyle="1" w:styleId="xl143">
    <w:name w:val="xl143"/>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ind w:firstLineChars="600" w:firstLine="600"/>
      <w:textAlignment w:val="center"/>
    </w:pPr>
    <w:rPr>
      <w:rFonts w:eastAsia="Times New Roman" w:cs="Times New Roman"/>
      <w:b/>
      <w:bCs/>
      <w:color w:val="FFFFFF"/>
      <w:szCs w:val="24"/>
    </w:rPr>
  </w:style>
  <w:style w:type="paragraph" w:customStyle="1" w:styleId="xl144">
    <w:name w:val="xl144"/>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45">
    <w:name w:val="xl145"/>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000000"/>
      <w:szCs w:val="24"/>
    </w:rPr>
  </w:style>
  <w:style w:type="paragraph" w:customStyle="1" w:styleId="xl146">
    <w:name w:val="xl146"/>
    <w:basedOn w:val="Normal"/>
    <w:rsid w:val="00723916"/>
    <w:pPr>
      <w:pBdr>
        <w:right w:val="single" w:sz="8" w:space="0" w:color="auto"/>
      </w:pBdr>
      <w:shd w:val="clear" w:color="F0E68C" w:fill="D9E1F2"/>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7">
    <w:name w:val="xl147"/>
    <w:basedOn w:val="Normal"/>
    <w:rsid w:val="00723916"/>
    <w:pPr>
      <w:pBdr>
        <w:right w:val="single" w:sz="8" w:space="0" w:color="auto"/>
      </w:pBdr>
      <w:shd w:val="clear" w:color="F0E68C" w:fill="FFFFFF"/>
      <w:spacing w:before="100" w:beforeAutospacing="1" w:after="100" w:afterAutospacing="1" w:line="240" w:lineRule="auto"/>
      <w:jc w:val="right"/>
      <w:textAlignment w:val="center"/>
    </w:pPr>
    <w:rPr>
      <w:rFonts w:eastAsia="Times New Roman" w:cs="Times New Roman"/>
      <w:b/>
      <w:bCs/>
      <w:color w:val="000000"/>
      <w:szCs w:val="24"/>
    </w:rPr>
  </w:style>
  <w:style w:type="paragraph" w:customStyle="1" w:styleId="xl148">
    <w:name w:val="xl148"/>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49">
    <w:name w:val="xl149"/>
    <w:basedOn w:val="Normal"/>
    <w:rsid w:val="00723916"/>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Cs w:val="24"/>
    </w:rPr>
  </w:style>
  <w:style w:type="paragraph" w:customStyle="1" w:styleId="xl150">
    <w:name w:val="xl150"/>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szCs w:val="24"/>
    </w:rPr>
  </w:style>
  <w:style w:type="paragraph" w:customStyle="1" w:styleId="xl151">
    <w:name w:val="xl151"/>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2">
    <w:name w:val="xl152"/>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b/>
      <w:bCs/>
      <w:szCs w:val="24"/>
    </w:rPr>
  </w:style>
  <w:style w:type="paragraph" w:customStyle="1" w:styleId="xl153">
    <w:name w:val="xl153"/>
    <w:basedOn w:val="Normal"/>
    <w:rsid w:val="00723916"/>
    <w:pPr>
      <w:pBdr>
        <w:right w:val="single" w:sz="8" w:space="0" w:color="auto"/>
      </w:pBdr>
      <w:shd w:val="clear" w:color="000000" w:fill="FFFFFF"/>
      <w:spacing w:before="100" w:beforeAutospacing="1" w:after="100" w:afterAutospacing="1" w:line="240" w:lineRule="auto"/>
      <w:textAlignment w:val="center"/>
    </w:pPr>
    <w:rPr>
      <w:rFonts w:eastAsia="Times New Roman" w:cs="Times New Roman"/>
      <w:color w:val="FFFFFF"/>
      <w:szCs w:val="24"/>
    </w:rPr>
  </w:style>
  <w:style w:type="paragraph" w:customStyle="1" w:styleId="xl154">
    <w:name w:val="xl154"/>
    <w:basedOn w:val="Normal"/>
    <w:rsid w:val="00723916"/>
    <w:pPr>
      <w:pBdr>
        <w:right w:val="single" w:sz="8" w:space="0" w:color="auto"/>
      </w:pBdr>
      <w:shd w:val="clear" w:color="000000" w:fill="FFFFFF"/>
      <w:spacing w:before="100" w:beforeAutospacing="1" w:after="100" w:afterAutospacing="1" w:line="240" w:lineRule="auto"/>
      <w:jc w:val="right"/>
      <w:textAlignment w:val="center"/>
    </w:pPr>
    <w:rPr>
      <w:rFonts w:eastAsia="Times New Roman" w:cs="Times New Roman"/>
      <w:color w:val="FFFFFF"/>
      <w:szCs w:val="24"/>
    </w:rPr>
  </w:style>
  <w:style w:type="paragraph" w:customStyle="1" w:styleId="xl155">
    <w:name w:val="xl155"/>
    <w:basedOn w:val="Normal"/>
    <w:rsid w:val="00723916"/>
    <w:pPr>
      <w:pBdr>
        <w:top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6">
    <w:name w:val="xl156"/>
    <w:basedOn w:val="Normal"/>
    <w:rsid w:val="00723916"/>
    <w:pPr>
      <w:pBdr>
        <w:top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7">
    <w:name w:val="xl157"/>
    <w:basedOn w:val="Normal"/>
    <w:rsid w:val="00723916"/>
    <w:pPr>
      <w:pBdr>
        <w:top w:val="single" w:sz="8" w:space="0" w:color="auto"/>
        <w:left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8">
    <w:name w:val="xl158"/>
    <w:basedOn w:val="Normal"/>
    <w:rsid w:val="00723916"/>
    <w:pPr>
      <w:pBdr>
        <w:top w:val="single" w:sz="8" w:space="0" w:color="auto"/>
        <w:bottom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59">
    <w:name w:val="xl159"/>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jc w:val="center"/>
      <w:textAlignment w:val="center"/>
    </w:pPr>
    <w:rPr>
      <w:rFonts w:eastAsia="Times New Roman" w:cs="Times New Roman"/>
      <w:b/>
      <w:bCs/>
      <w:color w:val="FFFFFF"/>
      <w:szCs w:val="24"/>
    </w:rPr>
  </w:style>
  <w:style w:type="paragraph" w:customStyle="1" w:styleId="xl160">
    <w:name w:val="xl160"/>
    <w:basedOn w:val="Normal"/>
    <w:rsid w:val="00723916"/>
    <w:pPr>
      <w:pBdr>
        <w:top w:val="single" w:sz="8" w:space="0" w:color="auto"/>
        <w:bottom w:val="single" w:sz="8" w:space="0" w:color="auto"/>
        <w:right w:val="single" w:sz="8" w:space="0" w:color="auto"/>
      </w:pBdr>
      <w:shd w:val="clear" w:color="00008B" w:fill="00008B"/>
      <w:spacing w:before="100" w:beforeAutospacing="1" w:after="100" w:afterAutospacing="1" w:line="240" w:lineRule="auto"/>
      <w:textAlignment w:val="center"/>
    </w:pPr>
    <w:rPr>
      <w:rFonts w:eastAsia="Times New Roman" w:cs="Times New Roman"/>
      <w:b/>
      <w:bCs/>
      <w:color w:val="FFFFFF"/>
      <w:szCs w:val="24"/>
    </w:rPr>
  </w:style>
  <w:style w:type="paragraph" w:customStyle="1" w:styleId="xl161">
    <w:name w:val="xl161"/>
    <w:basedOn w:val="Normal"/>
    <w:rsid w:val="00723916"/>
    <w:pPr>
      <w:shd w:val="clear" w:color="000000" w:fill="FFFFFF"/>
      <w:spacing w:before="100" w:beforeAutospacing="1" w:after="100" w:afterAutospacing="1" w:line="240" w:lineRule="auto"/>
      <w:textAlignment w:val="center"/>
    </w:pPr>
    <w:rPr>
      <w:rFonts w:eastAsia="Times New Roman" w:cs="Times New Roman"/>
      <w:szCs w:val="24"/>
    </w:rPr>
  </w:style>
  <w:style w:type="paragraph" w:customStyle="1" w:styleId="xl162">
    <w:name w:val="xl162"/>
    <w:basedOn w:val="Normal"/>
    <w:rsid w:val="00723916"/>
    <w:pPr>
      <w:pBdr>
        <w:top w:val="single" w:sz="8" w:space="0" w:color="auto"/>
        <w:left w:val="single" w:sz="8" w:space="0" w:color="auto"/>
        <w:bottom w:val="single" w:sz="8" w:space="0" w:color="auto"/>
        <w:right w:val="single" w:sz="8" w:space="0" w:color="auto"/>
      </w:pBdr>
      <w:shd w:val="clear" w:color="000000" w:fill="00008B"/>
      <w:spacing w:before="100" w:beforeAutospacing="1" w:after="100" w:afterAutospacing="1" w:line="240" w:lineRule="auto"/>
    </w:pPr>
    <w:rPr>
      <w:rFonts w:eastAsia="Times New Roman" w:cs="Times New Roman"/>
      <w:b/>
      <w:bCs/>
      <w:color w:val="FFFFFF"/>
      <w:szCs w:val="24"/>
    </w:rPr>
  </w:style>
  <w:style w:type="paragraph" w:customStyle="1" w:styleId="xl163">
    <w:name w:val="xl163"/>
    <w:basedOn w:val="Normal"/>
    <w:rsid w:val="00723916"/>
    <w:pPr>
      <w:pBdr>
        <w:top w:val="single" w:sz="8" w:space="0" w:color="auto"/>
        <w:left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4">
    <w:name w:val="xl164"/>
    <w:basedOn w:val="Normal"/>
    <w:rsid w:val="00723916"/>
    <w:pPr>
      <w:pBdr>
        <w:top w:val="single" w:sz="8" w:space="0" w:color="auto"/>
        <w:bottom w:val="single" w:sz="8" w:space="0" w:color="auto"/>
      </w:pBdr>
      <w:spacing w:before="100" w:beforeAutospacing="1" w:after="100" w:afterAutospacing="1" w:line="240" w:lineRule="auto"/>
    </w:pPr>
    <w:rPr>
      <w:rFonts w:eastAsia="Times New Roman" w:cs="Times New Roman"/>
      <w:b/>
      <w:bCs/>
      <w:szCs w:val="24"/>
    </w:rPr>
  </w:style>
  <w:style w:type="paragraph" w:customStyle="1" w:styleId="xl165">
    <w:name w:val="xl165"/>
    <w:basedOn w:val="Normal"/>
    <w:rsid w:val="00723916"/>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Times New Roman"/>
      <w:b/>
      <w:bCs/>
      <w:szCs w:val="24"/>
    </w:rPr>
  </w:style>
  <w:style w:type="table" w:customStyle="1" w:styleId="TableNormal">
    <w:name w:val="Table Normal"/>
    <w:uiPriority w:val="2"/>
    <w:semiHidden/>
    <w:unhideWhenUsed/>
    <w:qFormat/>
    <w:rsid w:val="00723916"/>
    <w:pPr>
      <w:widowControl w:val="0"/>
      <w:autoSpaceDE w:val="0"/>
      <w:autoSpaceDN w:val="0"/>
      <w:spacing w:after="0" w:line="240" w:lineRule="auto"/>
    </w:pPr>
    <w:rPr>
      <w:rFonts w:ascii="Calibri" w:hAnsi="Calibri"/>
      <w:sz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23916"/>
    <w:pPr>
      <w:widowControl w:val="0"/>
      <w:autoSpaceDE w:val="0"/>
      <w:autoSpaceDN w:val="0"/>
      <w:spacing w:after="0" w:line="240" w:lineRule="auto"/>
    </w:pPr>
    <w:rPr>
      <w:rFonts w:ascii="Tahoma" w:eastAsia="Tahoma" w:hAnsi="Tahoma" w:cs="Tahoma"/>
      <w:sz w:val="22"/>
      <w:lang w:val="es-ES" w:eastAsia="en-US"/>
    </w:rPr>
  </w:style>
  <w:style w:type="character" w:customStyle="1" w:styleId="Ttulo1Car1">
    <w:name w:val="Título 1 Car1"/>
    <w:basedOn w:val="Fuentedeprrafopredeter"/>
    <w:uiPriority w:val="9"/>
    <w:rsid w:val="00723916"/>
    <w:rPr>
      <w:rFonts w:asciiTheme="majorHAnsi" w:eastAsiaTheme="majorEastAsia" w:hAnsiTheme="majorHAnsi" w:cstheme="majorBidi"/>
      <w:b/>
      <w:bCs/>
      <w:color w:val="365F91" w:themeColor="accent1" w:themeShade="BF"/>
      <w:sz w:val="28"/>
      <w:szCs w:val="28"/>
      <w:lang w:eastAsia="es-MX"/>
    </w:rPr>
  </w:style>
  <w:style w:type="character" w:customStyle="1" w:styleId="Ttulo2Car1">
    <w:name w:val="Título 2 Car1"/>
    <w:basedOn w:val="Fuentedeprrafopredeter"/>
    <w:uiPriority w:val="9"/>
    <w:semiHidden/>
    <w:rsid w:val="00723916"/>
    <w:rPr>
      <w:rFonts w:asciiTheme="majorHAnsi" w:eastAsiaTheme="majorEastAsia" w:hAnsiTheme="majorHAnsi" w:cstheme="majorBidi"/>
      <w:b/>
      <w:bCs/>
      <w:color w:val="4F81BD" w:themeColor="accent1"/>
      <w:sz w:val="26"/>
      <w:szCs w:val="26"/>
      <w:lang w:eastAsia="es-MX"/>
    </w:rPr>
  </w:style>
  <w:style w:type="paragraph" w:styleId="Revisin">
    <w:name w:val="Revision"/>
    <w:hidden/>
    <w:uiPriority w:val="99"/>
    <w:semiHidden/>
    <w:rsid w:val="000870C6"/>
    <w:pPr>
      <w:spacing w:after="0" w:line="240" w:lineRule="auto"/>
    </w:pPr>
    <w:rPr>
      <w:rFonts w:eastAsiaTheme="minorEastAsia"/>
      <w:lang w:eastAsia="es-MX"/>
    </w:rPr>
  </w:style>
  <w:style w:type="paragraph" w:customStyle="1" w:styleId="Texto">
    <w:name w:val="Texto"/>
    <w:basedOn w:val="Normal"/>
    <w:link w:val="TextoCar"/>
    <w:rsid w:val="00EB140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B140A"/>
    <w:rPr>
      <w:rFonts w:ascii="Arial" w:eastAsia="Times New Roman" w:hAnsi="Arial" w:cs="Arial"/>
      <w:sz w:val="18"/>
      <w:szCs w:val="20"/>
      <w:lang w:val="es-ES" w:eastAsia="es-ES"/>
    </w:rPr>
  </w:style>
  <w:style w:type="paragraph" w:styleId="Textosinformato">
    <w:name w:val="Plain Text"/>
    <w:basedOn w:val="Normal"/>
    <w:link w:val="TextosinformatoCar"/>
    <w:rsid w:val="00EB140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EB140A"/>
    <w:rPr>
      <w:rFonts w:ascii="Courier New" w:eastAsia="Times New Roman" w:hAnsi="Courier New" w:cs="Courier New"/>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65555424">
      <w:bodyDiv w:val="1"/>
      <w:marLeft w:val="0"/>
      <w:marRight w:val="0"/>
      <w:marTop w:val="0"/>
      <w:marBottom w:val="0"/>
      <w:divBdr>
        <w:top w:val="none" w:sz="0" w:space="0" w:color="auto"/>
        <w:left w:val="none" w:sz="0" w:space="0" w:color="auto"/>
        <w:bottom w:val="none" w:sz="0" w:space="0" w:color="auto"/>
        <w:right w:val="none" w:sz="0" w:space="0" w:color="auto"/>
      </w:divBdr>
    </w:div>
    <w:div w:id="199320882">
      <w:bodyDiv w:val="1"/>
      <w:marLeft w:val="0"/>
      <w:marRight w:val="0"/>
      <w:marTop w:val="0"/>
      <w:marBottom w:val="0"/>
      <w:divBdr>
        <w:top w:val="none" w:sz="0" w:space="0" w:color="auto"/>
        <w:left w:val="none" w:sz="0" w:space="0" w:color="auto"/>
        <w:bottom w:val="none" w:sz="0" w:space="0" w:color="auto"/>
        <w:right w:val="none" w:sz="0" w:space="0" w:color="auto"/>
      </w:divBdr>
    </w:div>
    <w:div w:id="233899451">
      <w:bodyDiv w:val="1"/>
      <w:marLeft w:val="0"/>
      <w:marRight w:val="0"/>
      <w:marTop w:val="0"/>
      <w:marBottom w:val="0"/>
      <w:divBdr>
        <w:top w:val="none" w:sz="0" w:space="0" w:color="auto"/>
        <w:left w:val="none" w:sz="0" w:space="0" w:color="auto"/>
        <w:bottom w:val="none" w:sz="0" w:space="0" w:color="auto"/>
        <w:right w:val="none" w:sz="0" w:space="0" w:color="auto"/>
      </w:divBdr>
    </w:div>
    <w:div w:id="261109699">
      <w:bodyDiv w:val="1"/>
      <w:marLeft w:val="0"/>
      <w:marRight w:val="0"/>
      <w:marTop w:val="0"/>
      <w:marBottom w:val="0"/>
      <w:divBdr>
        <w:top w:val="none" w:sz="0" w:space="0" w:color="auto"/>
        <w:left w:val="none" w:sz="0" w:space="0" w:color="auto"/>
        <w:bottom w:val="none" w:sz="0" w:space="0" w:color="auto"/>
        <w:right w:val="none" w:sz="0" w:space="0" w:color="auto"/>
      </w:divBdr>
    </w:div>
    <w:div w:id="273290551">
      <w:bodyDiv w:val="1"/>
      <w:marLeft w:val="0"/>
      <w:marRight w:val="0"/>
      <w:marTop w:val="0"/>
      <w:marBottom w:val="0"/>
      <w:divBdr>
        <w:top w:val="none" w:sz="0" w:space="0" w:color="auto"/>
        <w:left w:val="none" w:sz="0" w:space="0" w:color="auto"/>
        <w:bottom w:val="none" w:sz="0" w:space="0" w:color="auto"/>
        <w:right w:val="none" w:sz="0" w:space="0" w:color="auto"/>
      </w:divBdr>
    </w:div>
    <w:div w:id="339359835">
      <w:bodyDiv w:val="1"/>
      <w:marLeft w:val="0"/>
      <w:marRight w:val="0"/>
      <w:marTop w:val="0"/>
      <w:marBottom w:val="0"/>
      <w:divBdr>
        <w:top w:val="none" w:sz="0" w:space="0" w:color="auto"/>
        <w:left w:val="none" w:sz="0" w:space="0" w:color="auto"/>
        <w:bottom w:val="none" w:sz="0" w:space="0" w:color="auto"/>
        <w:right w:val="none" w:sz="0" w:space="0" w:color="auto"/>
      </w:divBdr>
    </w:div>
    <w:div w:id="398983651">
      <w:bodyDiv w:val="1"/>
      <w:marLeft w:val="0"/>
      <w:marRight w:val="0"/>
      <w:marTop w:val="0"/>
      <w:marBottom w:val="0"/>
      <w:divBdr>
        <w:top w:val="none" w:sz="0" w:space="0" w:color="auto"/>
        <w:left w:val="none" w:sz="0" w:space="0" w:color="auto"/>
        <w:bottom w:val="none" w:sz="0" w:space="0" w:color="auto"/>
        <w:right w:val="none" w:sz="0" w:space="0" w:color="auto"/>
      </w:divBdr>
    </w:div>
    <w:div w:id="406921528">
      <w:bodyDiv w:val="1"/>
      <w:marLeft w:val="0"/>
      <w:marRight w:val="0"/>
      <w:marTop w:val="0"/>
      <w:marBottom w:val="0"/>
      <w:divBdr>
        <w:top w:val="none" w:sz="0" w:space="0" w:color="auto"/>
        <w:left w:val="none" w:sz="0" w:space="0" w:color="auto"/>
        <w:bottom w:val="none" w:sz="0" w:space="0" w:color="auto"/>
        <w:right w:val="none" w:sz="0" w:space="0" w:color="auto"/>
      </w:divBdr>
    </w:div>
    <w:div w:id="474225721">
      <w:bodyDiv w:val="1"/>
      <w:marLeft w:val="0"/>
      <w:marRight w:val="0"/>
      <w:marTop w:val="0"/>
      <w:marBottom w:val="0"/>
      <w:divBdr>
        <w:top w:val="none" w:sz="0" w:space="0" w:color="auto"/>
        <w:left w:val="none" w:sz="0" w:space="0" w:color="auto"/>
        <w:bottom w:val="none" w:sz="0" w:space="0" w:color="auto"/>
        <w:right w:val="none" w:sz="0" w:space="0" w:color="auto"/>
      </w:divBdr>
    </w:div>
    <w:div w:id="584725066">
      <w:bodyDiv w:val="1"/>
      <w:marLeft w:val="0"/>
      <w:marRight w:val="0"/>
      <w:marTop w:val="0"/>
      <w:marBottom w:val="0"/>
      <w:divBdr>
        <w:top w:val="none" w:sz="0" w:space="0" w:color="auto"/>
        <w:left w:val="none" w:sz="0" w:space="0" w:color="auto"/>
        <w:bottom w:val="none" w:sz="0" w:space="0" w:color="auto"/>
        <w:right w:val="none" w:sz="0" w:space="0" w:color="auto"/>
      </w:divBdr>
    </w:div>
    <w:div w:id="595329185">
      <w:bodyDiv w:val="1"/>
      <w:marLeft w:val="0"/>
      <w:marRight w:val="0"/>
      <w:marTop w:val="0"/>
      <w:marBottom w:val="0"/>
      <w:divBdr>
        <w:top w:val="none" w:sz="0" w:space="0" w:color="auto"/>
        <w:left w:val="none" w:sz="0" w:space="0" w:color="auto"/>
        <w:bottom w:val="none" w:sz="0" w:space="0" w:color="auto"/>
        <w:right w:val="none" w:sz="0" w:space="0" w:color="auto"/>
      </w:divBdr>
    </w:div>
    <w:div w:id="639655626">
      <w:bodyDiv w:val="1"/>
      <w:marLeft w:val="0"/>
      <w:marRight w:val="0"/>
      <w:marTop w:val="0"/>
      <w:marBottom w:val="0"/>
      <w:divBdr>
        <w:top w:val="none" w:sz="0" w:space="0" w:color="auto"/>
        <w:left w:val="none" w:sz="0" w:space="0" w:color="auto"/>
        <w:bottom w:val="none" w:sz="0" w:space="0" w:color="auto"/>
        <w:right w:val="none" w:sz="0" w:space="0" w:color="auto"/>
      </w:divBdr>
    </w:div>
    <w:div w:id="869996283">
      <w:bodyDiv w:val="1"/>
      <w:marLeft w:val="0"/>
      <w:marRight w:val="0"/>
      <w:marTop w:val="0"/>
      <w:marBottom w:val="0"/>
      <w:divBdr>
        <w:top w:val="none" w:sz="0" w:space="0" w:color="auto"/>
        <w:left w:val="none" w:sz="0" w:space="0" w:color="auto"/>
        <w:bottom w:val="none" w:sz="0" w:space="0" w:color="auto"/>
        <w:right w:val="none" w:sz="0" w:space="0" w:color="auto"/>
      </w:divBdr>
    </w:div>
    <w:div w:id="884218514">
      <w:bodyDiv w:val="1"/>
      <w:marLeft w:val="0"/>
      <w:marRight w:val="0"/>
      <w:marTop w:val="0"/>
      <w:marBottom w:val="0"/>
      <w:divBdr>
        <w:top w:val="none" w:sz="0" w:space="0" w:color="auto"/>
        <w:left w:val="none" w:sz="0" w:space="0" w:color="auto"/>
        <w:bottom w:val="none" w:sz="0" w:space="0" w:color="auto"/>
        <w:right w:val="none" w:sz="0" w:space="0" w:color="auto"/>
      </w:divBdr>
    </w:div>
    <w:div w:id="927933149">
      <w:bodyDiv w:val="1"/>
      <w:marLeft w:val="0"/>
      <w:marRight w:val="0"/>
      <w:marTop w:val="0"/>
      <w:marBottom w:val="0"/>
      <w:divBdr>
        <w:top w:val="none" w:sz="0" w:space="0" w:color="auto"/>
        <w:left w:val="none" w:sz="0" w:space="0" w:color="auto"/>
        <w:bottom w:val="none" w:sz="0" w:space="0" w:color="auto"/>
        <w:right w:val="none" w:sz="0" w:space="0" w:color="auto"/>
      </w:divBdr>
    </w:div>
    <w:div w:id="1019239790">
      <w:bodyDiv w:val="1"/>
      <w:marLeft w:val="0"/>
      <w:marRight w:val="0"/>
      <w:marTop w:val="0"/>
      <w:marBottom w:val="0"/>
      <w:divBdr>
        <w:top w:val="none" w:sz="0" w:space="0" w:color="auto"/>
        <w:left w:val="none" w:sz="0" w:space="0" w:color="auto"/>
        <w:bottom w:val="none" w:sz="0" w:space="0" w:color="auto"/>
        <w:right w:val="none" w:sz="0" w:space="0" w:color="auto"/>
      </w:divBdr>
      <w:divsChild>
        <w:div w:id="803352634">
          <w:marLeft w:val="446"/>
          <w:marRight w:val="0"/>
          <w:marTop w:val="0"/>
          <w:marBottom w:val="0"/>
          <w:divBdr>
            <w:top w:val="none" w:sz="0" w:space="0" w:color="auto"/>
            <w:left w:val="none" w:sz="0" w:space="0" w:color="auto"/>
            <w:bottom w:val="none" w:sz="0" w:space="0" w:color="auto"/>
            <w:right w:val="none" w:sz="0" w:space="0" w:color="auto"/>
          </w:divBdr>
        </w:div>
      </w:divsChild>
    </w:div>
    <w:div w:id="1246111758">
      <w:bodyDiv w:val="1"/>
      <w:marLeft w:val="0"/>
      <w:marRight w:val="0"/>
      <w:marTop w:val="0"/>
      <w:marBottom w:val="0"/>
      <w:divBdr>
        <w:top w:val="none" w:sz="0" w:space="0" w:color="auto"/>
        <w:left w:val="none" w:sz="0" w:space="0" w:color="auto"/>
        <w:bottom w:val="none" w:sz="0" w:space="0" w:color="auto"/>
        <w:right w:val="none" w:sz="0" w:space="0" w:color="auto"/>
      </w:divBdr>
    </w:div>
    <w:div w:id="1349522460">
      <w:bodyDiv w:val="1"/>
      <w:marLeft w:val="0"/>
      <w:marRight w:val="0"/>
      <w:marTop w:val="0"/>
      <w:marBottom w:val="0"/>
      <w:divBdr>
        <w:top w:val="none" w:sz="0" w:space="0" w:color="auto"/>
        <w:left w:val="none" w:sz="0" w:space="0" w:color="auto"/>
        <w:bottom w:val="none" w:sz="0" w:space="0" w:color="auto"/>
        <w:right w:val="none" w:sz="0" w:space="0" w:color="auto"/>
      </w:divBdr>
    </w:div>
    <w:div w:id="1536043046">
      <w:bodyDiv w:val="1"/>
      <w:marLeft w:val="0"/>
      <w:marRight w:val="0"/>
      <w:marTop w:val="0"/>
      <w:marBottom w:val="0"/>
      <w:divBdr>
        <w:top w:val="none" w:sz="0" w:space="0" w:color="auto"/>
        <w:left w:val="none" w:sz="0" w:space="0" w:color="auto"/>
        <w:bottom w:val="none" w:sz="0" w:space="0" w:color="auto"/>
        <w:right w:val="none" w:sz="0" w:space="0" w:color="auto"/>
      </w:divBdr>
    </w:div>
    <w:div w:id="1665353289">
      <w:bodyDiv w:val="1"/>
      <w:marLeft w:val="0"/>
      <w:marRight w:val="0"/>
      <w:marTop w:val="0"/>
      <w:marBottom w:val="0"/>
      <w:divBdr>
        <w:top w:val="none" w:sz="0" w:space="0" w:color="auto"/>
        <w:left w:val="none" w:sz="0" w:space="0" w:color="auto"/>
        <w:bottom w:val="none" w:sz="0" w:space="0" w:color="auto"/>
        <w:right w:val="none" w:sz="0" w:space="0" w:color="auto"/>
      </w:divBdr>
    </w:div>
    <w:div w:id="1739403333">
      <w:bodyDiv w:val="1"/>
      <w:marLeft w:val="0"/>
      <w:marRight w:val="0"/>
      <w:marTop w:val="0"/>
      <w:marBottom w:val="0"/>
      <w:divBdr>
        <w:top w:val="none" w:sz="0" w:space="0" w:color="auto"/>
        <w:left w:val="none" w:sz="0" w:space="0" w:color="auto"/>
        <w:bottom w:val="none" w:sz="0" w:space="0" w:color="auto"/>
        <w:right w:val="none" w:sz="0" w:space="0" w:color="auto"/>
      </w:divBdr>
    </w:div>
    <w:div w:id="1770856185">
      <w:bodyDiv w:val="1"/>
      <w:marLeft w:val="0"/>
      <w:marRight w:val="0"/>
      <w:marTop w:val="0"/>
      <w:marBottom w:val="0"/>
      <w:divBdr>
        <w:top w:val="none" w:sz="0" w:space="0" w:color="auto"/>
        <w:left w:val="none" w:sz="0" w:space="0" w:color="auto"/>
        <w:bottom w:val="none" w:sz="0" w:space="0" w:color="auto"/>
        <w:right w:val="none" w:sz="0" w:space="0" w:color="auto"/>
      </w:divBdr>
    </w:div>
    <w:div w:id="1834178781">
      <w:bodyDiv w:val="1"/>
      <w:marLeft w:val="0"/>
      <w:marRight w:val="0"/>
      <w:marTop w:val="0"/>
      <w:marBottom w:val="0"/>
      <w:divBdr>
        <w:top w:val="none" w:sz="0" w:space="0" w:color="auto"/>
        <w:left w:val="none" w:sz="0" w:space="0" w:color="auto"/>
        <w:bottom w:val="none" w:sz="0" w:space="0" w:color="auto"/>
        <w:right w:val="none" w:sz="0" w:space="0" w:color="auto"/>
      </w:divBdr>
    </w:div>
    <w:div w:id="1860391457">
      <w:bodyDiv w:val="1"/>
      <w:marLeft w:val="0"/>
      <w:marRight w:val="0"/>
      <w:marTop w:val="0"/>
      <w:marBottom w:val="0"/>
      <w:divBdr>
        <w:top w:val="none" w:sz="0" w:space="0" w:color="auto"/>
        <w:left w:val="none" w:sz="0" w:space="0" w:color="auto"/>
        <w:bottom w:val="none" w:sz="0" w:space="0" w:color="auto"/>
        <w:right w:val="none" w:sz="0" w:space="0" w:color="auto"/>
      </w:divBdr>
    </w:div>
    <w:div w:id="1893535302">
      <w:bodyDiv w:val="1"/>
      <w:marLeft w:val="0"/>
      <w:marRight w:val="0"/>
      <w:marTop w:val="0"/>
      <w:marBottom w:val="0"/>
      <w:divBdr>
        <w:top w:val="none" w:sz="0" w:space="0" w:color="auto"/>
        <w:left w:val="none" w:sz="0" w:space="0" w:color="auto"/>
        <w:bottom w:val="none" w:sz="0" w:space="0" w:color="auto"/>
        <w:right w:val="none" w:sz="0" w:space="0" w:color="auto"/>
      </w:divBdr>
    </w:div>
    <w:div w:id="1906840310">
      <w:bodyDiv w:val="1"/>
      <w:marLeft w:val="0"/>
      <w:marRight w:val="0"/>
      <w:marTop w:val="0"/>
      <w:marBottom w:val="0"/>
      <w:divBdr>
        <w:top w:val="none" w:sz="0" w:space="0" w:color="auto"/>
        <w:left w:val="none" w:sz="0" w:space="0" w:color="auto"/>
        <w:bottom w:val="none" w:sz="0" w:space="0" w:color="auto"/>
        <w:right w:val="none" w:sz="0" w:space="0" w:color="auto"/>
      </w:divBdr>
    </w:div>
    <w:div w:id="2083944209">
      <w:bodyDiv w:val="1"/>
      <w:marLeft w:val="0"/>
      <w:marRight w:val="0"/>
      <w:marTop w:val="0"/>
      <w:marBottom w:val="0"/>
      <w:divBdr>
        <w:top w:val="none" w:sz="0" w:space="0" w:color="auto"/>
        <w:left w:val="none" w:sz="0" w:space="0" w:color="auto"/>
        <w:bottom w:val="none" w:sz="0" w:space="0" w:color="auto"/>
        <w:right w:val="none" w:sz="0" w:space="0" w:color="auto"/>
      </w:divBdr>
    </w:div>
    <w:div w:id="212002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app/indicesdeprecios/CalculadoraInflacion.aspx" TargetMode="External"/><Relationship Id="rId1" Type="http://schemas.openxmlformats.org/officeDocument/2006/relationships/hyperlink" Target="https://public.tableau.com/app/profile/imss.cpe/viz/Histrico_4/Empleo_h?publish=y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A0F2C-8CD5-4271-A3DB-F160DA48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46</Pages>
  <Words>16631</Words>
  <Characters>91476</Characters>
  <Application>Microsoft Office Word</Application>
  <DocSecurity>0</DocSecurity>
  <Lines>762</Lines>
  <Paragraphs>215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Mem717</dc:creator>
  <cp:lastModifiedBy>Clara Perera</cp:lastModifiedBy>
  <cp:revision>11</cp:revision>
  <cp:lastPrinted>2022-11-25T16:39:00Z</cp:lastPrinted>
  <dcterms:created xsi:type="dcterms:W3CDTF">2022-11-25T15:32:00Z</dcterms:created>
  <dcterms:modified xsi:type="dcterms:W3CDTF">2022-11-25T17:30:00Z</dcterms:modified>
</cp:coreProperties>
</file>