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Century Gothic" w:hAnsi="Century Gothic"/>
          <w:b/>
          <w:sz w:val="20"/>
          <w:szCs w:val="20"/>
          <w:lang w:val="pt-BR"/>
        </w:rPr>
      </w:pPr>
      <w:bookmarkStart w:id="4" w:name="_GoBack"/>
      <w:bookmarkEnd w:id="4"/>
    </w:p>
    <w:p>
      <w:pPr>
        <w:spacing w:line="276" w:lineRule="auto"/>
        <w:rPr>
          <w:rFonts w:ascii="Century Gothic" w:hAnsi="Century Gothic"/>
          <w:sz w:val="20"/>
          <w:szCs w:val="20"/>
          <w:lang w:val="pt-BR"/>
        </w:rPr>
      </w:pPr>
      <w:r>
        <w:rPr>
          <w:rFonts w:ascii="Century Gothic" w:hAnsi="Century Gothic"/>
          <w:b/>
          <w:sz w:val="20"/>
          <w:szCs w:val="20"/>
          <w:lang w:val="pt-BR"/>
        </w:rPr>
        <w:t>H. CONGRESO DEL ESTADO</w:t>
      </w:r>
    </w:p>
    <w:p>
      <w:pPr>
        <w:spacing w:line="276" w:lineRule="auto"/>
        <w:rPr>
          <w:rFonts w:ascii="Century Gothic" w:hAnsi="Century Gothic"/>
          <w:b/>
          <w:sz w:val="20"/>
          <w:szCs w:val="20"/>
          <w:lang w:val="pt-BR"/>
        </w:rPr>
      </w:pPr>
      <w:r>
        <w:rPr>
          <w:rFonts w:ascii="Century Gothic" w:hAnsi="Century Gothic"/>
          <w:b/>
          <w:sz w:val="20"/>
          <w:szCs w:val="20"/>
          <w:lang w:val="pt-BR"/>
        </w:rPr>
        <w:t>P R E S E N T E.</w:t>
      </w:r>
    </w:p>
    <w:p>
      <w:pPr>
        <w:spacing w:line="276" w:lineRule="auto"/>
        <w:rPr>
          <w:rFonts w:ascii="Century Gothic" w:hAnsi="Century Gothic"/>
          <w:b/>
          <w:sz w:val="20"/>
          <w:szCs w:val="20"/>
          <w:lang w:val="pt-BR"/>
        </w:rPr>
      </w:pPr>
    </w:p>
    <w:p>
      <w:pPr>
        <w:spacing w:line="276" w:lineRule="auto"/>
        <w:jc w:val="both"/>
        <w:rPr>
          <w:rFonts w:ascii="Century Gothic" w:hAnsi="Century Gothic"/>
          <w:sz w:val="18"/>
          <w:szCs w:val="18"/>
        </w:rPr>
      </w:pPr>
      <w:r>
        <w:rPr>
          <w:rFonts w:ascii="Century Gothic" w:hAnsi="Century Gothic"/>
          <w:sz w:val="18"/>
          <w:szCs w:val="18"/>
        </w:rPr>
        <w:t xml:space="preserve">El H. Ayuntamiento de Mérida 2018-2021 en ejercicio de la facultad que le confiere el artículo 35, fracción IV, de la Constitución Política y 16 de la Ley de Gobierno del Poder Legislativo, ambas del Estado de Yucatán, y bajo la aprobación del H. Cabildo, presenta la siguiente Iniciativa de la Ley de Ingresos del Municipio de Mérida, para el Ejercicio Fiscal 2021, con base en la siguiente: </w:t>
      </w:r>
    </w:p>
    <w:p>
      <w:pPr>
        <w:spacing w:line="276" w:lineRule="auto"/>
        <w:jc w:val="both"/>
        <w:rPr>
          <w:rFonts w:ascii="Century Gothic" w:hAnsi="Century Gothic"/>
          <w:sz w:val="18"/>
          <w:szCs w:val="18"/>
        </w:rPr>
      </w:pPr>
    </w:p>
    <w:p>
      <w:pPr>
        <w:spacing w:line="276" w:lineRule="auto"/>
        <w:rPr>
          <w:rFonts w:ascii="Century Gothic" w:hAnsi="Century Gothic"/>
          <w:b/>
          <w:sz w:val="18"/>
          <w:szCs w:val="18"/>
        </w:rPr>
      </w:pPr>
      <w:r>
        <w:rPr>
          <w:rFonts w:ascii="Century Gothic" w:hAnsi="Century Gothic"/>
          <w:b/>
          <w:sz w:val="18"/>
          <w:szCs w:val="18"/>
        </w:rPr>
        <w:t>Exposición de motivos</w:t>
      </w:r>
    </w:p>
    <w:p>
      <w:pPr>
        <w:spacing w:line="276" w:lineRule="auto"/>
        <w:rPr>
          <w:rFonts w:ascii="Century Gothic" w:hAnsi="Century Gothic"/>
          <w:b/>
          <w:sz w:val="18"/>
          <w:szCs w:val="18"/>
        </w:rPr>
      </w:pPr>
    </w:p>
    <w:p>
      <w:pPr>
        <w:spacing w:line="276" w:lineRule="auto"/>
        <w:rPr>
          <w:rFonts w:ascii="Century Gothic" w:hAnsi="Century Gothic"/>
          <w:b/>
          <w:sz w:val="18"/>
          <w:szCs w:val="18"/>
        </w:rPr>
      </w:pPr>
      <w:r>
        <w:rPr>
          <w:rFonts w:ascii="Century Gothic" w:hAnsi="Century Gothic"/>
          <w:b/>
          <w:sz w:val="18"/>
          <w:szCs w:val="18"/>
        </w:rPr>
        <w:t>I. Generales</w:t>
      </w:r>
    </w:p>
    <w:p>
      <w:pPr>
        <w:autoSpaceDE w:val="0"/>
        <w:autoSpaceDN w:val="0"/>
        <w:adjustRightInd w:val="0"/>
        <w:spacing w:line="276" w:lineRule="auto"/>
        <w:jc w:val="both"/>
        <w:rPr>
          <w:rFonts w:ascii="Century Gothic" w:hAnsi="Century Gothic"/>
          <w:sz w:val="18"/>
          <w:szCs w:val="18"/>
        </w:rPr>
      </w:pP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El Ayuntamiento de Mérida 2018-2021 de acuerdo a su Plan Municipal de Desarrollo, tiene como misión ejercer un gobierno humanista integrado por personas comprometidas y sensibles que conduzca el esfuerzo social para la autogestión del bien común e impulse políticas públicas de mediano y largo plazo para lograr cambios profundos, respetando y promoviendo la ley y el estado de derecho.</w:t>
      </w:r>
    </w:p>
    <w:p>
      <w:pPr>
        <w:autoSpaceDE w:val="0"/>
        <w:autoSpaceDN w:val="0"/>
        <w:adjustRightInd w:val="0"/>
        <w:spacing w:line="276" w:lineRule="auto"/>
        <w:jc w:val="both"/>
        <w:rPr>
          <w:rFonts w:ascii="Century Gothic" w:hAnsi="Century Gothic"/>
          <w:sz w:val="18"/>
          <w:szCs w:val="18"/>
        </w:rPr>
      </w:pP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 xml:space="preserve">La iniciativa de Ley de Ingresos del Municipio de Mérida propuesta tiene por objeto establecer los ingresos que el Municipio estima percibir durante el ejercicio fiscal 2021, para cumplir con sus funciones y garantizar el desarrollo económico y buen funcionamiento de este y la cual servirá de base para el cálculo de las partidas que integrarán el Presupuesto de Egresos del Municipio. </w:t>
      </w:r>
    </w:p>
    <w:p>
      <w:pPr>
        <w:autoSpaceDE w:val="0"/>
        <w:autoSpaceDN w:val="0"/>
        <w:adjustRightInd w:val="0"/>
        <w:spacing w:line="276" w:lineRule="auto"/>
        <w:jc w:val="both"/>
        <w:rPr>
          <w:rFonts w:ascii="Century Gothic" w:hAnsi="Century Gothic"/>
          <w:sz w:val="18"/>
          <w:szCs w:val="18"/>
        </w:rPr>
      </w:pP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 xml:space="preserve">El proyecto de iniciativa está elaborado con base en lo establecido en la Ley General de Contabilidad Gubernamental, la Ley de Disciplina Financiera de las Entidades Federativas y los Municipios, la Ley del Presupuesto y Contabilidad Gubernamental del Estado de Yucatán, así como en las disposiciones normativas emitidas por el Consejo Nacional de Armonización Contable (CONAC). </w:t>
      </w:r>
    </w:p>
    <w:p>
      <w:pPr>
        <w:autoSpaceDE w:val="0"/>
        <w:autoSpaceDN w:val="0"/>
        <w:adjustRightInd w:val="0"/>
        <w:spacing w:line="276" w:lineRule="auto"/>
        <w:jc w:val="both"/>
        <w:rPr>
          <w:rFonts w:ascii="Century Gothic" w:hAnsi="Century Gothic"/>
          <w:sz w:val="18"/>
          <w:szCs w:val="18"/>
        </w:rPr>
      </w:pP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Asimismo, para su elaboración, también se tomaron en consideración los Criterios Generales de Política Económica para la Iniciativa de Ley de Ingresos y el Proyecto de Presupuesto de Egresos de la Federación correspondientes al Ejercicio Fiscal 2021.</w:t>
      </w:r>
    </w:p>
    <w:p>
      <w:pPr>
        <w:autoSpaceDE w:val="0"/>
        <w:autoSpaceDN w:val="0"/>
        <w:adjustRightInd w:val="0"/>
        <w:spacing w:line="276" w:lineRule="auto"/>
        <w:jc w:val="both"/>
        <w:rPr>
          <w:rFonts w:ascii="Century Gothic" w:hAnsi="Century Gothic"/>
          <w:sz w:val="18"/>
          <w:szCs w:val="18"/>
        </w:rPr>
      </w:pP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La Iniciativa de Ley de Ingresos del Municipio de Mérida, Yucatán, para el ejercicio fiscal 2021, además de contener los conceptos de fuentes ordinarias de ingresos de conformidad a lo establecido en la Ley de Hacienda del Municipio de Mérida, también prevé otras fuentes de ingresos extraordinarios, las cuales a través de su Órgano Hacendario podrá cobrarse a los contribuyentes domiciliados dentro del territorio o bien recibir de conformidad con lo que dictan las Leyes de la materia, durante el ejercicio fiscal antes mencionado.</w:t>
      </w:r>
    </w:p>
    <w:p>
      <w:pPr>
        <w:autoSpaceDE w:val="0"/>
        <w:autoSpaceDN w:val="0"/>
        <w:adjustRightInd w:val="0"/>
        <w:spacing w:line="276" w:lineRule="auto"/>
        <w:rPr>
          <w:rFonts w:ascii="Century Gothic" w:hAnsi="Century Gothic" w:cs="Arial"/>
          <w:bCs/>
          <w:sz w:val="18"/>
          <w:szCs w:val="18"/>
        </w:rPr>
      </w:pPr>
    </w:p>
    <w:p>
      <w:pPr>
        <w:spacing w:line="276" w:lineRule="auto"/>
        <w:rPr>
          <w:rFonts w:ascii="Century Gothic" w:hAnsi="Century Gothic"/>
          <w:b/>
          <w:sz w:val="18"/>
          <w:szCs w:val="18"/>
        </w:rPr>
      </w:pPr>
      <w:r>
        <w:rPr>
          <w:rFonts w:ascii="Century Gothic" w:hAnsi="Century Gothic"/>
          <w:b/>
          <w:sz w:val="18"/>
          <w:szCs w:val="18"/>
        </w:rPr>
        <w:t>II. Objetivos anuales, estrategias y metas</w:t>
      </w:r>
    </w:p>
    <w:p>
      <w:pPr>
        <w:spacing w:line="276" w:lineRule="auto"/>
        <w:rPr>
          <w:rFonts w:ascii="Century Gothic" w:hAnsi="Century Gothic" w:cs="Arial"/>
          <w:b/>
          <w:bCs/>
          <w:sz w:val="20"/>
          <w:szCs w:val="20"/>
        </w:rPr>
      </w:pP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El Ayuntamiento de Mérida 2018-2021 de acuerdo a su Plan Municipal de Desarrollo, tiene como misión ejercer un gobierno humanista integrado por personas comprometidas y sensibles que conduzca el esfuerzo social para la autogestión del bien común e impulse políticas públicas de mediano y largo plazo para lograr cambios profundos, respetando y promoviendo la ley y el estado de derecho.</w:t>
      </w:r>
    </w:p>
    <w:p>
      <w:pPr>
        <w:autoSpaceDE w:val="0"/>
        <w:autoSpaceDN w:val="0"/>
        <w:adjustRightInd w:val="0"/>
        <w:spacing w:line="276" w:lineRule="auto"/>
        <w:jc w:val="both"/>
        <w:rPr>
          <w:rFonts w:ascii="Century Gothic" w:hAnsi="Century Gothic"/>
          <w:sz w:val="18"/>
          <w:szCs w:val="18"/>
        </w:rPr>
      </w:pP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Las decisiones de la autoridad compartidas responsablemente con la sociedad, trazan el camino hacia una Mérida innovadora, emprendedora y con visión social y de bienestar común, a través del manejo transparente, equilibrado y eficaz de las finanzas públicas.</w:t>
      </w:r>
    </w:p>
    <w:p>
      <w:pPr>
        <w:textAlignment w:val="baseline"/>
        <w:outlineLvl w:val="1"/>
        <w:rPr>
          <w:rFonts w:ascii="Century Gothic" w:hAnsi="Century Gothic" w:cs="Arial"/>
          <w:bCs/>
          <w:sz w:val="18"/>
          <w:szCs w:val="18"/>
        </w:rPr>
      </w:pP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 xml:space="preserve">La presente administración tiene el objetivo de implementar acciones para el manejo eficiente, responsable y transparente de los recursos públicos, que contribuyan a fortalecer la eficiencia recaudatoria de los ingresos locales o de gestión, y que permitan  mantener a Mérida como una de las  mejores ciudades del país, la cual, trabajará por un proyecto a largo plazo que permita elevar la calidad de vida de los meridanos, fomentar e impulsar entre los habitantes una cultura emprendedora, en apego a la normatividad vigente, para el logro de un futuro próspero, sustentable, incluyente, seguro, funcional e innovador, logrando la cobertura de los servicios públicos municipales con altos estándares de calidad y la satisfacción de los habitantes del Municipio, a través de la dotación de servicios y programas municipales. </w:t>
      </w:r>
    </w:p>
    <w:p>
      <w:pPr>
        <w:autoSpaceDE w:val="0"/>
        <w:autoSpaceDN w:val="0"/>
        <w:adjustRightInd w:val="0"/>
        <w:spacing w:line="276" w:lineRule="auto"/>
        <w:jc w:val="both"/>
        <w:rPr>
          <w:rFonts w:ascii="Century Gothic" w:hAnsi="Century Gothic"/>
          <w:sz w:val="18"/>
          <w:szCs w:val="18"/>
        </w:rPr>
      </w:pP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 xml:space="preserve">Las estrategias planteadas por esta administración son: aplicar una eficaz y eficiente administración de las finanzas públicas, basándonos en las premisas fundamentales de austeridad, honradez y honestidad, donde predomine el fortalecimiento de los ingresos propios y se presente con total transparencia la ejecución de los mismos; proyectar a Mérida como una ciudad moderna, innovadora y responsable con el medio ambiente; promover el trato digno a los ciudadanos a través de la optimización de los procesos internos, el manejo eficiente de los recursos y la sensibilización de los servidores públicos, así como también desarrollar habilidades y competencias en la población en situación de vulnerabilidad; implementar un modelo de mejora regulatoria municipal que procure el acceso a los servicios y la realización de trámites municipales de manera sencilla y ágil e impulsar acciones que favorezcan el bienestar de las familias del Municipio de Mérida, mediante la vinculación con la sociedad civil y la prestación de servicios eficientes de calidad y con trato digno. </w:t>
      </w:r>
    </w:p>
    <w:p>
      <w:pPr>
        <w:pStyle w:val="39"/>
        <w:spacing w:before="100" w:beforeAutospacing="1" w:after="100" w:afterAutospacing="1"/>
        <w:ind w:left="0"/>
        <w:jc w:val="both"/>
        <w:rPr>
          <w:rFonts w:ascii="Century Gothic" w:hAnsi="Century Gothic"/>
          <w:b/>
          <w:sz w:val="18"/>
          <w:szCs w:val="18"/>
        </w:rPr>
      </w:pPr>
      <w:bookmarkStart w:id="0" w:name="_Hlk530674422"/>
      <w:r>
        <w:rPr>
          <w:rFonts w:ascii="Century Gothic" w:hAnsi="Century Gothic"/>
          <w:b/>
          <w:sz w:val="18"/>
          <w:szCs w:val="18"/>
        </w:rPr>
        <w:t>III. Proyecciones de las finanzas públicas por un período de tres años</w:t>
      </w: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 xml:space="preserve">En apego a lo establecido en el artículo 18 de la Ley de Disciplina Financiera de las Entidades Federativas y los Municipios, y los Criterios para la elaboración y presentación homogénea de la información financiera y de los formatos a que hace referencia la Ley de Disciplina Financiera de las Entidades Federativas y los Municipios, publicados el once de octubre de dos mil dieciséis en el Diario Oficial de la Federación y con fecha de última reforma publicada en el mismo el veintisiete de septiembre de dos mil dieciocho, se incluyen las proyecciones de las finanzas públicas por un periodo de tres años (Anexo I). </w:t>
      </w:r>
    </w:p>
    <w:p>
      <w:pPr>
        <w:autoSpaceDE w:val="0"/>
        <w:autoSpaceDN w:val="0"/>
        <w:adjustRightInd w:val="0"/>
        <w:spacing w:line="276" w:lineRule="auto"/>
        <w:jc w:val="both"/>
        <w:rPr>
          <w:rFonts w:ascii="Century Gothic" w:hAnsi="Century Gothic"/>
          <w:sz w:val="18"/>
          <w:szCs w:val="18"/>
        </w:rPr>
      </w:pPr>
    </w:p>
    <w:p>
      <w:pPr>
        <w:spacing w:line="276" w:lineRule="auto"/>
        <w:rPr>
          <w:rFonts w:ascii="Century Gothic" w:hAnsi="Century Gothic" w:cs="Arial"/>
          <w:b/>
          <w:bCs/>
          <w:sz w:val="20"/>
          <w:szCs w:val="20"/>
        </w:rPr>
      </w:pPr>
      <w:r>
        <w:rPr>
          <w:rFonts w:ascii="Century Gothic" w:hAnsi="Century Gothic"/>
          <w:b/>
          <w:sz w:val="18"/>
          <w:szCs w:val="18"/>
        </w:rPr>
        <w:t>IV. Riesgos relevantes para las finanzas públicas</w:t>
      </w:r>
    </w:p>
    <w:p>
      <w:pPr>
        <w:autoSpaceDE w:val="0"/>
        <w:autoSpaceDN w:val="0"/>
        <w:adjustRightInd w:val="0"/>
        <w:rPr>
          <w:rFonts w:ascii="Century Gothic" w:hAnsi="Century Gothic" w:cs="Arial"/>
          <w:b/>
          <w:bCs/>
          <w:sz w:val="20"/>
          <w:szCs w:val="20"/>
        </w:rPr>
      </w:pP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La aparición del COVID-19 originada por el virus SARS-COV2 y las restricciones a la movilidad y a la realización de actividades que se pusieron en marcha para salvaguardar a la población y así evitar la propagación masiva del virus, generaron una contracción económica no solo a nivel municipal, sino a nivel mundial, después de más de 8 meses en que se dieran los primeros casos del virus en nuestro Municipio la reactivación económica se va dando de manera gradual, sin aun, poder alcanzar los niveles de una normalidad al 100%,  el entorno económico se torna adverso y de mantenernos en esta situación seguirá la presión sobre el gasto orientado a conservar la salud de los habitantes de nuestro Municipio dada la emergencia sanitaria. Otro punto importante a considerar es una mayor asignación de recursos para atender las actividades orientadas hacia la reactivación económica y en apoyo a las personas que se encuentran en situación de vulnerabilidad.</w:t>
      </w:r>
    </w:p>
    <w:p>
      <w:pPr>
        <w:autoSpaceDE w:val="0"/>
        <w:autoSpaceDN w:val="0"/>
        <w:adjustRightInd w:val="0"/>
        <w:spacing w:line="276" w:lineRule="auto"/>
        <w:jc w:val="both"/>
        <w:rPr>
          <w:rFonts w:ascii="Century Gothic" w:hAnsi="Century Gothic"/>
          <w:sz w:val="18"/>
          <w:szCs w:val="18"/>
        </w:rPr>
      </w:pP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Una recuperación económica nacional a menor ritmo significa menores ingresos tributarios y eso se traduce en menores ingresos federales que reciben los Municipios a través de las participaciones y aportaciones, situación que observaremos en el ejercicio 2021 dado los planteamientos realizados en la Ley de Ingresos y Presupuesto de Egresos de la Federación. Asimismo, ante un escenario adverso, caídas en el precio del petróleo podrían generar presión a las finanzas al impactar a los ingresos que se reciben de la Federación.</w:t>
      </w:r>
    </w:p>
    <w:p>
      <w:pPr>
        <w:autoSpaceDE w:val="0"/>
        <w:autoSpaceDN w:val="0"/>
        <w:adjustRightInd w:val="0"/>
        <w:spacing w:line="276" w:lineRule="auto"/>
        <w:jc w:val="both"/>
        <w:rPr>
          <w:rFonts w:ascii="Century Gothic" w:hAnsi="Century Gothic"/>
          <w:sz w:val="18"/>
          <w:szCs w:val="18"/>
        </w:rPr>
      </w:pP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Ante los riesgos económicos, el Municipio de Mérida plantea el fortalecimiento de la recaudación propia, sin embargo, esta puede ser afectada en el caso de una disminución de las participaciones y aportaciones federales.</w:t>
      </w:r>
    </w:p>
    <w:p>
      <w:pPr>
        <w:autoSpaceDE w:val="0"/>
        <w:autoSpaceDN w:val="0"/>
        <w:adjustRightInd w:val="0"/>
        <w:spacing w:line="276" w:lineRule="auto"/>
        <w:jc w:val="both"/>
        <w:rPr>
          <w:rFonts w:ascii="Century Gothic" w:hAnsi="Century Gothic"/>
          <w:sz w:val="18"/>
          <w:szCs w:val="18"/>
        </w:rPr>
      </w:pP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Otro de los riesgos relevantes para el Municipio de Mérida es la contingencia relacionada con la terminación anticipada del contrato de arrendamiento por cambio de luminarias con la empresa AB&amp;C Leasing, deuda que fue transmitida al Banco Santander (México), Sociedad Anónima, Institución de Banca Múltiple, Grupo Financiero Santander México, correspondiente al juicio ordinario mercantil promovido por este último en contra del Ayuntamiento de Mérida y AB&amp;C Leasing de México, Sociedad Anónima de Capital Variable y que se relaciona con el contrato de arrendamiento con opción a compra número DA-2011-LUMINARIAS-01/01.</w:t>
      </w:r>
    </w:p>
    <w:p>
      <w:pPr>
        <w:autoSpaceDE w:val="0"/>
        <w:autoSpaceDN w:val="0"/>
        <w:adjustRightInd w:val="0"/>
        <w:spacing w:line="276" w:lineRule="auto"/>
        <w:jc w:val="both"/>
        <w:rPr>
          <w:rFonts w:ascii="Century Gothic" w:hAnsi="Century Gothic"/>
          <w:sz w:val="18"/>
          <w:szCs w:val="18"/>
        </w:rPr>
      </w:pP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Adicionalmente otro factor de riego relevante es la transición de la administración pública municipal 2018-2021, la cual concluye en agosto de 2021.</w:t>
      </w:r>
    </w:p>
    <w:p>
      <w:pPr>
        <w:spacing w:before="100" w:beforeAutospacing="1" w:after="100" w:afterAutospacing="1"/>
        <w:jc w:val="both"/>
        <w:rPr>
          <w:rFonts w:ascii="Century Gothic" w:hAnsi="Century Gothic"/>
          <w:b/>
          <w:sz w:val="18"/>
          <w:szCs w:val="18"/>
        </w:rPr>
      </w:pPr>
      <w:r>
        <w:rPr>
          <w:rFonts w:ascii="Century Gothic" w:hAnsi="Century Gothic"/>
          <w:b/>
          <w:sz w:val="18"/>
          <w:szCs w:val="18"/>
        </w:rPr>
        <w:t>V. Los resultados de las finanzas públicas</w:t>
      </w: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 xml:space="preserve">A fin de cumplir con lo establecido en el artículo 18 de la Ley de Disciplina Financiera de las Entidades Federativas y los Municipios, y los Criterios para la elaboración y presentación homogénea de la información financiera y de los formatos a que hace referencia la Ley de Disciplina Financiera de las Entidades Federativas y los Municipios, </w:t>
      </w:r>
      <w:r>
        <w:rPr>
          <w:rFonts w:ascii="Century Gothic" w:hAnsi="Century Gothic" w:eastAsia="Calibri" w:cs="Arial"/>
          <w:snapToGrid w:val="0"/>
          <w:sz w:val="18"/>
          <w:szCs w:val="18"/>
          <w:lang w:eastAsia="en-US"/>
        </w:rPr>
        <w:t>publicados el once de octubre de dos mil dieciséis en el Diario Oficial de la Federación y con fecha de última reforma publicada en el mismo el veintisiete de septiembre de dos mil dieciocho</w:t>
      </w:r>
      <w:r>
        <w:rPr>
          <w:rFonts w:ascii="Century Gothic" w:hAnsi="Century Gothic"/>
          <w:sz w:val="18"/>
          <w:szCs w:val="18"/>
        </w:rPr>
        <w:t xml:space="preserve"> se incluyen los resultados de las finanzas públicas por un periodo de tres años (Anexo II).</w:t>
      </w:r>
      <w:r>
        <w:rPr>
          <w:rFonts w:ascii="Century Gothic" w:hAnsi="Century Gothic" w:eastAsia="Calibri" w:cs="Arial"/>
          <w:snapToGrid w:val="0"/>
          <w:sz w:val="18"/>
          <w:szCs w:val="18"/>
          <w:lang w:eastAsia="en-US"/>
        </w:rPr>
        <w:t xml:space="preserve"> </w:t>
      </w:r>
    </w:p>
    <w:bookmarkEnd w:id="0"/>
    <w:p>
      <w:pPr>
        <w:spacing w:line="276" w:lineRule="auto"/>
        <w:rPr>
          <w:rFonts w:ascii="Century Gothic" w:hAnsi="Century Gothic"/>
          <w:b/>
          <w:sz w:val="18"/>
          <w:szCs w:val="18"/>
        </w:rPr>
      </w:pPr>
    </w:p>
    <w:p>
      <w:pPr>
        <w:spacing w:line="276" w:lineRule="auto"/>
        <w:rPr>
          <w:rFonts w:ascii="Century Gothic" w:hAnsi="Century Gothic"/>
          <w:b/>
          <w:sz w:val="18"/>
          <w:szCs w:val="18"/>
        </w:rPr>
      </w:pPr>
      <w:r>
        <w:rPr>
          <w:rFonts w:ascii="Century Gothic" w:hAnsi="Century Gothic"/>
          <w:b/>
          <w:sz w:val="18"/>
          <w:szCs w:val="18"/>
        </w:rPr>
        <w:t>VI. Estimación de ingresos correspondientes al cierre del ejercicio fiscal 2020</w:t>
      </w:r>
    </w:p>
    <w:p>
      <w:pPr>
        <w:autoSpaceDE w:val="0"/>
        <w:autoSpaceDN w:val="0"/>
        <w:adjustRightInd w:val="0"/>
        <w:spacing w:line="276" w:lineRule="auto"/>
        <w:rPr>
          <w:rFonts w:ascii="Century Gothic" w:hAnsi="Century Gothic" w:cs="Arial"/>
          <w:bCs/>
          <w:sz w:val="18"/>
          <w:szCs w:val="18"/>
          <w:lang w:val="es-MX"/>
        </w:rPr>
      </w:pP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 xml:space="preserve">El cierre del Ejercicio Fiscal 2020 se estima sea con ingresos por un monto de $ 3,368,524,332.62 (Tres mil trescientos sesenta y ocho millones, quinientos veinticuatro mil, trescientos treinta y dos pesos 62/100 M.N.), lo cual representa un 6% menos comparado con lo presupuestado para 2020. El cierre del ejercicio 2020 está integrado por Impuestos por un importe de $ 938,955,406.05 (Novecientos treinta y ocho millones, novecientos cincuenta y cinco mil, cuatrocientos seis pesos 05/100 M.N.); Derechos por  $ 173,573,516.09 (Ciento setenta y tres millones, quinientos setenta y tres mil, quinientos dieciséis pesos 09/100 M.N); Productos $ 40,840,065.33 (Cuarenta millones, ochocientos cuarenta mil, sesenta y cinco pesos 33/100 M.N.); Aprovechamientos $ 4,382,219.04 (Cuatro millones, trescientos ochenta y dos mil, doscientos diecinueve pesos 04/100 M.N.); Participaciones e Incentivos Derivados de la Colaboración Fiscal $ 1,239,843,573.36 (Mil doscientos treinta y nueve millones, ochocientos cuarenta y tres mil, quinientos setenta y tres pesos 36/100 M.N) Aportaciones por $ 888,558,699.00 (Ochocientos ochenta y ocho millones, quinientos cincuenta y ocho mil, seiscientos noventa y nueve pesos 00/100 M.N.), Convenios por $ 29,297,186.95 (Veintinueve millones, doscientos noventa y siete mil, ciento ochenta y seis pesos 95/100 M.N.) y Otros ingresos y beneficios, por $ 53,073,666.80 (Cincuenta y tres millones, setenta y tres mil, seiscientos sesenta y seis pesos 80/100 M.N.). </w:t>
      </w:r>
    </w:p>
    <w:p>
      <w:pPr>
        <w:spacing w:line="276" w:lineRule="auto"/>
        <w:rPr>
          <w:rFonts w:ascii="Century Gothic" w:hAnsi="Century Gothic" w:cs="Arial"/>
          <w:sz w:val="18"/>
          <w:szCs w:val="18"/>
        </w:rPr>
      </w:pPr>
    </w:p>
    <w:p>
      <w:pPr>
        <w:spacing w:line="276" w:lineRule="auto"/>
        <w:rPr>
          <w:rFonts w:ascii="Century Gothic" w:hAnsi="Century Gothic"/>
          <w:b/>
          <w:sz w:val="18"/>
          <w:szCs w:val="18"/>
        </w:rPr>
      </w:pPr>
      <w:r>
        <w:rPr>
          <w:rFonts w:ascii="Century Gothic" w:hAnsi="Century Gothic"/>
          <w:b/>
          <w:sz w:val="18"/>
          <w:szCs w:val="18"/>
        </w:rPr>
        <w:t>VII. Estimación de ingresos correspondientes al ejercicio fiscal 2021</w:t>
      </w:r>
    </w:p>
    <w:p>
      <w:pPr>
        <w:autoSpaceDE w:val="0"/>
        <w:autoSpaceDN w:val="0"/>
        <w:adjustRightInd w:val="0"/>
        <w:spacing w:line="276" w:lineRule="auto"/>
        <w:rPr>
          <w:rFonts w:ascii="Century Gothic" w:hAnsi="Century Gothic"/>
          <w:sz w:val="18"/>
          <w:szCs w:val="18"/>
        </w:rPr>
      </w:pP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Para el Ejercicio Fiscal 2021, se contemplan ingresos totales para el Municipio de Mérida por la cantidad de $ 3,185,328,408.00 (Tres mil ciento ochenta y cinco millones, trescientos veintiocho mil, cuatrocientos ocho pesos 00/100 M.N.) que se encuentran integrados por los conceptos de impuestos, contribuciones de mejoras, derechos, productos, aprovechamientos, participaciones, aportaciones, convenios, incentivos derivados de la colaboración fiscal y fondos distintos de aportaciones, transferencias, asignaciones, subsidios y subvenciones y pensiones y jubilaciones  e ingresos derivados de financiamientos; dichos ingresos representan un decremento del 11% respecto de los recursos presupuestados para el año 2020, es preciso señalar que optamos por dejar abierta la posibilidad de la llegada de Convenios para el ejercicio 2021, para los cuales la administración estará llevando a cabo  todas las gestiones necesarias, con el fin de poder obtener el mayor número de éstos y que sean aplicados en beneficio de la ciudadanía.</w:t>
      </w:r>
    </w:p>
    <w:p>
      <w:pPr>
        <w:autoSpaceDE w:val="0"/>
        <w:autoSpaceDN w:val="0"/>
        <w:adjustRightInd w:val="0"/>
        <w:spacing w:line="276" w:lineRule="auto"/>
        <w:jc w:val="both"/>
        <w:rPr>
          <w:rFonts w:ascii="Century Gothic" w:hAnsi="Century Gothic"/>
          <w:sz w:val="18"/>
          <w:szCs w:val="18"/>
        </w:rPr>
      </w:pP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Dada la situación originada por la pandemia ocasionada por el virus SARS-COV2 y que incide en una recuperación económica a un menor ritmo, el esfuerzo recaudatorio que la Administración espera obtener por concepto de ingresos locales o de gestión (Fiscales), es 25% menos en relación con lo presupuestado el año inmediato anterior y asciende a la cantidad de $ 1,042,154,026.00 (Mil cuarenta y dos millones, ciento cincuenta y cuatro mil, veintiséis pesos 00/100 M.N.), dicha cantidad se encuentra integrada por impuestos, contribuciones de mejoras, derechos, productos y aprovechamientos.</w:t>
      </w:r>
    </w:p>
    <w:p>
      <w:pPr>
        <w:spacing w:line="276" w:lineRule="auto"/>
        <w:rPr>
          <w:rFonts w:ascii="Century Gothic" w:hAnsi="Century Gothic" w:cs="Arial"/>
          <w:sz w:val="18"/>
          <w:szCs w:val="18"/>
        </w:rPr>
      </w:pP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 xml:space="preserve">Asimismo, por participaciones e incentivos derivados de la colaboración fiscal se presupuesta un decremento del 3%, al pasar de </w:t>
      </w:r>
      <w:bookmarkStart w:id="1" w:name="_Hlk498614722"/>
      <w:r>
        <w:rPr>
          <w:rFonts w:ascii="Century Gothic" w:hAnsi="Century Gothic"/>
          <w:sz w:val="18"/>
          <w:szCs w:val="18"/>
        </w:rPr>
        <w:t>$ 1</w:t>
      </w:r>
      <w:bookmarkEnd w:id="1"/>
      <w:r>
        <w:rPr>
          <w:rFonts w:ascii="Century Gothic" w:hAnsi="Century Gothic"/>
          <w:sz w:val="18"/>
          <w:szCs w:val="18"/>
        </w:rPr>
        <w:t>,300,670,581.00 (Mil trescientos millones, seiscientos setenta mil, quinientos ochenta y un pesos 00/100 M.N.) a $ 1,264,672,540.00 (Mil doscientos sesenta y cuatro millones, seiscientos setenta y dos mil, quinientos cuarenta pesos 00/100 M.N.), en relación al año inmediato anterior; en tanto que para las aportaciones se proyecta un decremento del 2% al pasar de un importe de $ 892,443,488.00 (Ochocientos noventa y dos millones, cuatrocientos cuarenta y tres mil, cuatrocientos ochenta y ocho pesos 00/100 M.N.) en 2020, a $ 878,501,842.00 (Ochocientos setenta y ocho millones, quinientos un mil, ochocientos cuarenta y dos pesos 00/100 M.N.) en 2021.</w:t>
      </w:r>
    </w:p>
    <w:p>
      <w:pPr>
        <w:autoSpaceDE w:val="0"/>
        <w:autoSpaceDN w:val="0"/>
        <w:adjustRightInd w:val="0"/>
        <w:spacing w:line="276" w:lineRule="auto"/>
        <w:jc w:val="both"/>
        <w:rPr>
          <w:rFonts w:ascii="Century Gothic" w:hAnsi="Century Gothic"/>
          <w:sz w:val="18"/>
          <w:szCs w:val="18"/>
        </w:rPr>
      </w:pP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De esta manera, la autonomía financiera se sitúa en 33%, (ingresos locales, de gestión o fiscales en relación al total de ingresos), lo cual se traduce en el compromiso de esta Administración, con el manejo transparente y eficiente de las finanzas públicas que nos permita seguir proporcionando a la ciudadanía más y mejores obras y servicios.</w:t>
      </w:r>
    </w:p>
    <w:p>
      <w:pPr>
        <w:autoSpaceDE w:val="0"/>
        <w:autoSpaceDN w:val="0"/>
        <w:adjustRightInd w:val="0"/>
        <w:spacing w:line="276" w:lineRule="auto"/>
        <w:jc w:val="both"/>
        <w:rPr>
          <w:rFonts w:ascii="Century Gothic" w:hAnsi="Century Gothic" w:cs="Arial"/>
          <w:sz w:val="18"/>
          <w:szCs w:val="18"/>
        </w:rPr>
      </w:pPr>
    </w:p>
    <w:p>
      <w:pPr>
        <w:spacing w:line="276" w:lineRule="auto"/>
        <w:rPr>
          <w:rFonts w:ascii="Century Gothic" w:hAnsi="Century Gothic"/>
          <w:b/>
          <w:sz w:val="18"/>
          <w:szCs w:val="18"/>
        </w:rPr>
      </w:pPr>
      <w:r>
        <w:rPr>
          <w:rFonts w:ascii="Century Gothic" w:hAnsi="Century Gothic"/>
          <w:b/>
          <w:sz w:val="18"/>
          <w:szCs w:val="18"/>
        </w:rPr>
        <w:t>VIII. Ingresos de los organismos descentralizados y empresas paramunicipales</w:t>
      </w:r>
    </w:p>
    <w:p>
      <w:pPr>
        <w:autoSpaceDE w:val="0"/>
        <w:autoSpaceDN w:val="0"/>
        <w:adjustRightInd w:val="0"/>
        <w:spacing w:line="276" w:lineRule="auto"/>
        <w:rPr>
          <w:rFonts w:ascii="Century Gothic" w:hAnsi="Century Gothic" w:cs="Arial"/>
          <w:b/>
          <w:sz w:val="20"/>
          <w:szCs w:val="20"/>
        </w:rPr>
      </w:pP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Los ingresos estimados por concepto de venta de bienes, prestación de servicios y otros ingresos ascienden a la cantidad de $ 104,661,279.00 (Ciento cuatro millones, seiscientos sesenta y un mil, doscientos setenta y nueve pesos 00/100 M.N.). Es preciso señalar que dichos ingresos se muestran en esta iniciativa de Ley para efectos de transparencia, sin embargo, no suman a los ingresos del Municipio de Mérida, ya que cada uno de dichos organismos maneja sus recursos de acuerdo a sus estatutos y constitución internos.</w:t>
      </w:r>
    </w:p>
    <w:p>
      <w:pPr>
        <w:autoSpaceDE w:val="0"/>
        <w:autoSpaceDN w:val="0"/>
        <w:adjustRightInd w:val="0"/>
        <w:spacing w:line="276" w:lineRule="auto"/>
        <w:jc w:val="both"/>
        <w:rPr>
          <w:rFonts w:ascii="Century Gothic" w:hAnsi="Century Gothic"/>
          <w:sz w:val="18"/>
          <w:szCs w:val="18"/>
        </w:rPr>
      </w:pPr>
    </w:p>
    <w:p>
      <w:pPr>
        <w:spacing w:line="276" w:lineRule="auto"/>
        <w:rPr>
          <w:rFonts w:ascii="Century Gothic" w:hAnsi="Century Gothic"/>
          <w:b/>
          <w:sz w:val="18"/>
          <w:szCs w:val="18"/>
        </w:rPr>
      </w:pPr>
      <w:r>
        <w:rPr>
          <w:rFonts w:ascii="Century Gothic" w:hAnsi="Century Gothic"/>
          <w:b/>
          <w:sz w:val="18"/>
          <w:szCs w:val="18"/>
        </w:rPr>
        <w:t>IX. Programa de Financiamiento Anual</w:t>
      </w:r>
    </w:p>
    <w:p>
      <w:pPr>
        <w:autoSpaceDE w:val="0"/>
        <w:autoSpaceDN w:val="0"/>
        <w:adjustRightInd w:val="0"/>
        <w:spacing w:line="276" w:lineRule="auto"/>
        <w:rPr>
          <w:rFonts w:ascii="Century Gothic" w:hAnsi="Century Gothic" w:cs="Arial"/>
          <w:b/>
          <w:sz w:val="20"/>
          <w:szCs w:val="20"/>
        </w:rPr>
      </w:pP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Los pasivos muestran un comportamiento normal de la operación, según se muestra en el Estado de Situación Financiera al treinta y uno de octubre de 2020 ascendiendo a un total de $ 8,379,718,471.90 (Ocho mil trescientos setenta y nueve millones, setecientos dieciocho mil, cuatrocientos setenta y un pesos 90/100 M.N.). El saldo del pasivo circulante es de $ 513,011,996.84 (Quinientos trece millones, once mil, novecientos noventa y seis pesos 84/100 M.N.), el cual se encuentra integrado por: Cuentas por pagar a corto plazo $ 174,944,257.25 (Ciento setenta y cuatro millones, novecientos cuarenta y cuatro mil, doscientos cincuenta y siete pesos 25/100 M.N.); Fondos y bienes de terceros en garantía y/o administración a corto plazo $ 5,619,322.23 (Cinco millones, seiscientos diecinueve mil, trescientos veintidós pesos 23/100 M.N.)  y otros Pasivos a corto plazo, por $ 332,448,417.36 (Trescientos treinta y dos millones, cuatrocientos cuarenta y ocho mil, cuatrocientos diecisiete pesos 36/100 M.N.) en cuyo saldo se incluye el importe de la provisión por la recisión anticipada del contrato de arrendamiento con opción a compra derivado de la licitación pública DA-2011-LUMINARIAS-01/01. Pasivo no Circulante         $ 7,866,706,475.06 (Siete mil ochocientos sesenta y seis millones, setecientos seis mil, cuatrocientos setenta y cinco pesos 06/100 M.N.) relativo a Fondos y Bienes de Terceros en garantía y/o en administración a largo plazo.</w:t>
      </w:r>
    </w:p>
    <w:p>
      <w:pPr>
        <w:autoSpaceDE w:val="0"/>
        <w:autoSpaceDN w:val="0"/>
        <w:adjustRightInd w:val="0"/>
        <w:spacing w:line="276" w:lineRule="auto"/>
        <w:jc w:val="both"/>
        <w:rPr>
          <w:rFonts w:ascii="Century Gothic" w:hAnsi="Century Gothic"/>
          <w:sz w:val="18"/>
          <w:szCs w:val="18"/>
        </w:rPr>
      </w:pPr>
    </w:p>
    <w:p>
      <w:pPr>
        <w:spacing w:line="276" w:lineRule="auto"/>
        <w:rPr>
          <w:rFonts w:ascii="Century Gothic" w:hAnsi="Century Gothic"/>
          <w:b/>
          <w:sz w:val="18"/>
          <w:szCs w:val="18"/>
        </w:rPr>
      </w:pPr>
      <w:r>
        <w:rPr>
          <w:rFonts w:ascii="Century Gothic" w:hAnsi="Century Gothic"/>
          <w:b/>
          <w:sz w:val="18"/>
          <w:szCs w:val="18"/>
        </w:rPr>
        <w:t>X. Fuentes de Financiamiento</w:t>
      </w:r>
    </w:p>
    <w:p>
      <w:pPr>
        <w:autoSpaceDE w:val="0"/>
        <w:autoSpaceDN w:val="0"/>
        <w:adjustRightInd w:val="0"/>
        <w:spacing w:line="276" w:lineRule="auto"/>
        <w:jc w:val="both"/>
        <w:rPr>
          <w:rFonts w:ascii="Century Gothic" w:hAnsi="Century Gothic"/>
          <w:sz w:val="18"/>
          <w:szCs w:val="18"/>
        </w:rPr>
      </w:pP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Las Fuentes de Financiamiento correspondientes a los ingresos que podrá recaudar el Municipio de Mérida durante el ejercicio fiscal 2021 son:</w:t>
      </w:r>
    </w:p>
    <w:p>
      <w:pPr>
        <w:autoSpaceDE w:val="0"/>
        <w:autoSpaceDN w:val="0"/>
        <w:adjustRightInd w:val="0"/>
        <w:spacing w:line="276" w:lineRule="auto"/>
        <w:jc w:val="both"/>
        <w:rPr>
          <w:rFonts w:ascii="Century Gothic" w:hAnsi="Century Gothic"/>
          <w:sz w:val="18"/>
          <w:szCs w:val="18"/>
        </w:rPr>
      </w:pPr>
    </w:p>
    <w:p>
      <w:pPr>
        <w:autoSpaceDE w:val="0"/>
        <w:autoSpaceDN w:val="0"/>
        <w:adjustRightInd w:val="0"/>
        <w:spacing w:line="276" w:lineRule="auto"/>
        <w:rPr>
          <w:rFonts w:ascii="Century Gothic" w:hAnsi="Century Gothic"/>
          <w:sz w:val="18"/>
          <w:szCs w:val="18"/>
        </w:rPr>
      </w:pPr>
      <w:r>
        <w:rPr>
          <w:rFonts w:ascii="Century Gothic" w:hAnsi="Century Gothic"/>
          <w:sz w:val="18"/>
          <w:szCs w:val="18"/>
        </w:rPr>
        <w:t>1. No Etiquetado</w:t>
      </w:r>
    </w:p>
    <w:p>
      <w:pPr>
        <w:autoSpaceDE w:val="0"/>
        <w:autoSpaceDN w:val="0"/>
        <w:adjustRightInd w:val="0"/>
        <w:spacing w:line="276" w:lineRule="auto"/>
        <w:ind w:left="567" w:hanging="283"/>
        <w:rPr>
          <w:rFonts w:ascii="Century Gothic" w:hAnsi="Century Gothic"/>
          <w:sz w:val="18"/>
          <w:szCs w:val="18"/>
        </w:rPr>
      </w:pPr>
      <w:r>
        <w:rPr>
          <w:rFonts w:ascii="Century Gothic" w:hAnsi="Century Gothic"/>
          <w:sz w:val="18"/>
          <w:szCs w:val="18"/>
        </w:rPr>
        <w:t>11. Recursos Fiscales. - Impuestos, Contribuciones de Mejora, Derechos, Productos y Aprovechamientos</w:t>
      </w:r>
    </w:p>
    <w:p>
      <w:pPr>
        <w:autoSpaceDE w:val="0"/>
        <w:autoSpaceDN w:val="0"/>
        <w:adjustRightInd w:val="0"/>
        <w:spacing w:line="276" w:lineRule="auto"/>
        <w:ind w:left="284"/>
        <w:rPr>
          <w:rFonts w:ascii="Century Gothic" w:hAnsi="Century Gothic"/>
          <w:sz w:val="18"/>
          <w:szCs w:val="18"/>
        </w:rPr>
      </w:pPr>
      <w:r>
        <w:rPr>
          <w:rFonts w:ascii="Century Gothic" w:hAnsi="Century Gothic"/>
          <w:sz w:val="18"/>
          <w:szCs w:val="18"/>
        </w:rPr>
        <w:t>12. Financiamientos Internos. - Ingresos derivados de financiamiento</w:t>
      </w:r>
    </w:p>
    <w:p>
      <w:pPr>
        <w:autoSpaceDE w:val="0"/>
        <w:autoSpaceDN w:val="0"/>
        <w:adjustRightInd w:val="0"/>
        <w:spacing w:line="276" w:lineRule="auto"/>
        <w:ind w:left="284"/>
        <w:rPr>
          <w:rFonts w:ascii="Century Gothic" w:hAnsi="Century Gothic"/>
          <w:sz w:val="18"/>
          <w:szCs w:val="18"/>
        </w:rPr>
      </w:pPr>
      <w:r>
        <w:rPr>
          <w:rFonts w:ascii="Century Gothic" w:hAnsi="Century Gothic"/>
          <w:sz w:val="18"/>
          <w:szCs w:val="18"/>
        </w:rPr>
        <w:t>15. Recursos Federales. - Participaciones</w:t>
      </w:r>
    </w:p>
    <w:p>
      <w:pPr>
        <w:autoSpaceDE w:val="0"/>
        <w:autoSpaceDN w:val="0"/>
        <w:adjustRightInd w:val="0"/>
        <w:spacing w:line="276" w:lineRule="auto"/>
        <w:ind w:left="284"/>
        <w:rPr>
          <w:rFonts w:ascii="Century Gothic" w:hAnsi="Century Gothic"/>
          <w:sz w:val="18"/>
          <w:szCs w:val="18"/>
        </w:rPr>
      </w:pPr>
      <w:r>
        <w:rPr>
          <w:rFonts w:ascii="Century Gothic" w:hAnsi="Century Gothic"/>
          <w:sz w:val="18"/>
          <w:szCs w:val="18"/>
        </w:rPr>
        <w:t>16. Recursos Estatales. – Recursos Estatales que reciba el Municipio</w:t>
      </w:r>
    </w:p>
    <w:p>
      <w:pPr>
        <w:autoSpaceDE w:val="0"/>
        <w:autoSpaceDN w:val="0"/>
        <w:adjustRightInd w:val="0"/>
        <w:spacing w:line="276" w:lineRule="auto"/>
        <w:ind w:left="567" w:hanging="283"/>
        <w:rPr>
          <w:rFonts w:ascii="Century Gothic" w:hAnsi="Century Gothic"/>
          <w:sz w:val="18"/>
          <w:szCs w:val="18"/>
        </w:rPr>
      </w:pPr>
      <w:r>
        <w:rPr>
          <w:rFonts w:ascii="Century Gothic" w:hAnsi="Century Gothic"/>
          <w:sz w:val="18"/>
          <w:szCs w:val="18"/>
        </w:rPr>
        <w:t>17. Otros recursos de libre disposición. - Otras fuentes no etiquetadas no comprendidas en los conceptos anteriores</w:t>
      </w:r>
    </w:p>
    <w:p>
      <w:pPr>
        <w:autoSpaceDE w:val="0"/>
        <w:autoSpaceDN w:val="0"/>
        <w:adjustRightInd w:val="0"/>
        <w:spacing w:line="276" w:lineRule="auto"/>
        <w:rPr>
          <w:rFonts w:ascii="Century Gothic" w:hAnsi="Century Gothic"/>
          <w:sz w:val="18"/>
          <w:szCs w:val="18"/>
        </w:rPr>
      </w:pPr>
    </w:p>
    <w:p>
      <w:pPr>
        <w:autoSpaceDE w:val="0"/>
        <w:autoSpaceDN w:val="0"/>
        <w:adjustRightInd w:val="0"/>
        <w:spacing w:line="276" w:lineRule="auto"/>
        <w:rPr>
          <w:rFonts w:ascii="Century Gothic" w:hAnsi="Century Gothic"/>
          <w:sz w:val="18"/>
          <w:szCs w:val="18"/>
        </w:rPr>
      </w:pPr>
      <w:r>
        <w:rPr>
          <w:rFonts w:ascii="Century Gothic" w:hAnsi="Century Gothic"/>
          <w:sz w:val="18"/>
          <w:szCs w:val="18"/>
        </w:rPr>
        <w:t>2. Etiquetado</w:t>
      </w:r>
    </w:p>
    <w:p>
      <w:pPr>
        <w:autoSpaceDE w:val="0"/>
        <w:autoSpaceDN w:val="0"/>
        <w:adjustRightInd w:val="0"/>
        <w:spacing w:line="276" w:lineRule="auto"/>
        <w:ind w:left="284"/>
        <w:rPr>
          <w:rFonts w:ascii="Century Gothic" w:hAnsi="Century Gothic"/>
          <w:sz w:val="18"/>
          <w:szCs w:val="18"/>
        </w:rPr>
      </w:pPr>
      <w:r>
        <w:rPr>
          <w:rFonts w:ascii="Century Gothic" w:hAnsi="Century Gothic"/>
          <w:sz w:val="18"/>
          <w:szCs w:val="18"/>
        </w:rPr>
        <w:t>25. Recursos Federales. – Aportaciones y Convenios</w:t>
      </w:r>
    </w:p>
    <w:p>
      <w:pPr>
        <w:autoSpaceDE w:val="0"/>
        <w:autoSpaceDN w:val="0"/>
        <w:adjustRightInd w:val="0"/>
        <w:spacing w:line="276" w:lineRule="auto"/>
        <w:ind w:left="284"/>
        <w:rPr>
          <w:rFonts w:ascii="Century Gothic" w:hAnsi="Century Gothic"/>
          <w:sz w:val="18"/>
          <w:szCs w:val="18"/>
        </w:rPr>
      </w:pPr>
      <w:r>
        <w:rPr>
          <w:rFonts w:ascii="Century Gothic" w:hAnsi="Century Gothic"/>
          <w:sz w:val="18"/>
          <w:szCs w:val="18"/>
        </w:rPr>
        <w:t>26. Recursos Estatales etiquetados que reciba el Municipio</w:t>
      </w:r>
    </w:p>
    <w:p>
      <w:pPr>
        <w:autoSpaceDE w:val="0"/>
        <w:autoSpaceDN w:val="0"/>
        <w:adjustRightInd w:val="0"/>
        <w:spacing w:line="276" w:lineRule="auto"/>
        <w:ind w:left="284"/>
        <w:rPr>
          <w:rFonts w:ascii="Century Gothic" w:hAnsi="Century Gothic"/>
          <w:sz w:val="18"/>
          <w:szCs w:val="18"/>
        </w:rPr>
      </w:pPr>
      <w:r>
        <w:rPr>
          <w:rFonts w:ascii="Century Gothic" w:hAnsi="Century Gothic"/>
          <w:sz w:val="18"/>
          <w:szCs w:val="18"/>
        </w:rPr>
        <w:t>27. Otros recursos de transferencias federales etiquetadas</w:t>
      </w:r>
    </w:p>
    <w:p>
      <w:pPr>
        <w:autoSpaceDE w:val="0"/>
        <w:autoSpaceDN w:val="0"/>
        <w:adjustRightInd w:val="0"/>
        <w:spacing w:line="276" w:lineRule="auto"/>
        <w:jc w:val="both"/>
        <w:rPr>
          <w:rFonts w:ascii="Century Gothic" w:hAnsi="Century Gothic"/>
          <w:sz w:val="18"/>
          <w:szCs w:val="18"/>
        </w:rPr>
      </w:pPr>
    </w:p>
    <w:p>
      <w:pPr>
        <w:autoSpaceDE w:val="0"/>
        <w:autoSpaceDN w:val="0"/>
        <w:adjustRightInd w:val="0"/>
        <w:spacing w:line="276" w:lineRule="auto"/>
        <w:jc w:val="both"/>
        <w:rPr>
          <w:rFonts w:ascii="Century Gothic" w:hAnsi="Century Gothic"/>
          <w:sz w:val="18"/>
          <w:szCs w:val="18"/>
        </w:rPr>
      </w:pPr>
      <w:r>
        <w:rPr>
          <w:rFonts w:ascii="Century Gothic" w:hAnsi="Century Gothic"/>
          <w:sz w:val="18"/>
          <w:szCs w:val="18"/>
        </w:rPr>
        <w:t>Finalmente, los Ingresos que se pronostican recaudar con base en la Iniciativa de Ley que se propone, estarán estrechamente vinculados con el Presupuesto de Egresos para el Ejercicio Fiscal del año 2021; el cual se ejercerá en el marco del Plan Municipal de Desarrollo vigente, en el que se consideran los objetivos y metas planteados por este Gobierno Municipal.</w:t>
      </w:r>
    </w:p>
    <w:p>
      <w:pPr>
        <w:spacing w:line="276" w:lineRule="auto"/>
        <w:jc w:val="both"/>
        <w:rPr>
          <w:rFonts w:ascii="Century Gothic" w:hAnsi="Century Gothic" w:eastAsia="Calibri" w:cs="Arial"/>
          <w:bCs/>
          <w:sz w:val="20"/>
          <w:szCs w:val="20"/>
          <w:lang w:eastAsia="en-US"/>
        </w:rPr>
      </w:pPr>
    </w:p>
    <w:p>
      <w:pPr>
        <w:spacing w:line="276" w:lineRule="auto"/>
        <w:jc w:val="both"/>
        <w:rPr>
          <w:rFonts w:ascii="Century Gothic" w:hAnsi="Century Gothic" w:eastAsia="Calibri"/>
          <w:sz w:val="18"/>
          <w:szCs w:val="18"/>
          <w:lang w:eastAsia="en-US"/>
        </w:rPr>
      </w:pPr>
      <w:r>
        <w:rPr>
          <w:rFonts w:ascii="Century Gothic" w:hAnsi="Century Gothic"/>
          <w:bCs/>
          <w:sz w:val="18"/>
          <w:szCs w:val="18"/>
        </w:rPr>
        <w:t>En virtud de lo anterior, se somete a consideración de este H. Cabildo, la aprobación de la Iniciativa de Ley de Ingresos del Municipio</w:t>
      </w:r>
      <w:r>
        <w:rPr>
          <w:rFonts w:ascii="Century Gothic" w:hAnsi="Century Gothic" w:eastAsia="Calibri" w:cs="Tahoma"/>
          <w:bCs/>
          <w:iCs/>
          <w:sz w:val="18"/>
          <w:szCs w:val="18"/>
          <w:lang w:val="es-MX" w:eastAsia="en-US"/>
        </w:rPr>
        <w:t xml:space="preserve"> de Mérida, Yucatán, para el Ejercicio Fiscal 2021, para quedar en los términos del proyecto siguiente:</w:t>
      </w:r>
    </w:p>
    <w:p>
      <w:pPr>
        <w:widowControl w:val="0"/>
        <w:tabs>
          <w:tab w:val="left" w:pos="8280"/>
        </w:tabs>
        <w:autoSpaceDE w:val="0"/>
        <w:autoSpaceDN w:val="0"/>
        <w:adjustRightInd w:val="0"/>
        <w:spacing w:line="360" w:lineRule="auto"/>
        <w:ind w:right="-51"/>
        <w:jc w:val="center"/>
        <w:rPr>
          <w:rFonts w:ascii="Century Gothic" w:hAnsi="Century Gothic" w:eastAsia="Calibri" w:cs="Arial"/>
          <w:b/>
          <w:sz w:val="18"/>
          <w:szCs w:val="18"/>
          <w:lang w:eastAsia="en-US"/>
        </w:rPr>
      </w:pPr>
    </w:p>
    <w:p>
      <w:pPr>
        <w:widowControl w:val="0"/>
        <w:tabs>
          <w:tab w:val="left" w:pos="8280"/>
        </w:tabs>
        <w:autoSpaceDE w:val="0"/>
        <w:autoSpaceDN w:val="0"/>
        <w:adjustRightInd w:val="0"/>
        <w:spacing w:line="360" w:lineRule="auto"/>
        <w:ind w:right="-51"/>
        <w:jc w:val="center"/>
        <w:rPr>
          <w:rFonts w:ascii="Century Gothic" w:hAnsi="Century Gothic" w:eastAsia="Calibri" w:cs="Arial"/>
          <w:b/>
          <w:sz w:val="18"/>
          <w:szCs w:val="18"/>
          <w:lang w:eastAsia="en-US"/>
        </w:rPr>
      </w:pPr>
    </w:p>
    <w:p>
      <w:pPr>
        <w:widowControl w:val="0"/>
        <w:tabs>
          <w:tab w:val="left" w:pos="8280"/>
        </w:tabs>
        <w:autoSpaceDE w:val="0"/>
        <w:autoSpaceDN w:val="0"/>
        <w:adjustRightInd w:val="0"/>
        <w:spacing w:line="360" w:lineRule="auto"/>
        <w:ind w:right="-51"/>
        <w:jc w:val="center"/>
        <w:rPr>
          <w:rFonts w:ascii="Century Gothic" w:hAnsi="Century Gothic" w:eastAsia="Calibri" w:cs="Arial"/>
          <w:b/>
          <w:sz w:val="18"/>
          <w:szCs w:val="18"/>
          <w:lang w:eastAsia="en-US"/>
        </w:rPr>
      </w:pPr>
    </w:p>
    <w:p>
      <w:pPr>
        <w:widowControl w:val="0"/>
        <w:tabs>
          <w:tab w:val="left" w:pos="8280"/>
        </w:tabs>
        <w:autoSpaceDE w:val="0"/>
        <w:autoSpaceDN w:val="0"/>
        <w:adjustRightInd w:val="0"/>
        <w:spacing w:line="360" w:lineRule="auto"/>
        <w:ind w:right="-51"/>
        <w:jc w:val="center"/>
        <w:rPr>
          <w:rFonts w:ascii="Century Gothic" w:hAnsi="Century Gothic" w:eastAsia="Calibri" w:cs="Arial"/>
          <w:b/>
          <w:sz w:val="18"/>
          <w:szCs w:val="18"/>
          <w:lang w:eastAsia="en-US"/>
        </w:rPr>
      </w:pPr>
    </w:p>
    <w:p>
      <w:pPr>
        <w:widowControl w:val="0"/>
        <w:tabs>
          <w:tab w:val="left" w:pos="8280"/>
        </w:tabs>
        <w:autoSpaceDE w:val="0"/>
        <w:autoSpaceDN w:val="0"/>
        <w:adjustRightInd w:val="0"/>
        <w:spacing w:line="360" w:lineRule="auto"/>
        <w:ind w:right="-51"/>
        <w:jc w:val="center"/>
        <w:rPr>
          <w:rFonts w:ascii="Century Gothic" w:hAnsi="Century Gothic" w:eastAsia="Calibri" w:cs="Arial"/>
          <w:b/>
          <w:sz w:val="18"/>
          <w:szCs w:val="18"/>
          <w:lang w:eastAsia="en-US"/>
        </w:rPr>
      </w:pPr>
    </w:p>
    <w:p>
      <w:pPr>
        <w:widowControl w:val="0"/>
        <w:tabs>
          <w:tab w:val="left" w:pos="8280"/>
        </w:tabs>
        <w:autoSpaceDE w:val="0"/>
        <w:autoSpaceDN w:val="0"/>
        <w:adjustRightInd w:val="0"/>
        <w:spacing w:line="360" w:lineRule="auto"/>
        <w:ind w:right="-51"/>
        <w:jc w:val="center"/>
        <w:rPr>
          <w:rFonts w:ascii="Century Gothic" w:hAnsi="Century Gothic" w:eastAsia="Calibri" w:cs="Arial"/>
          <w:b/>
          <w:sz w:val="18"/>
          <w:szCs w:val="18"/>
          <w:lang w:eastAsia="en-US"/>
        </w:rPr>
      </w:pPr>
    </w:p>
    <w:p>
      <w:pPr>
        <w:widowControl w:val="0"/>
        <w:tabs>
          <w:tab w:val="left" w:pos="8280"/>
        </w:tabs>
        <w:autoSpaceDE w:val="0"/>
        <w:autoSpaceDN w:val="0"/>
        <w:adjustRightInd w:val="0"/>
        <w:spacing w:line="360" w:lineRule="auto"/>
        <w:ind w:right="-51"/>
        <w:jc w:val="center"/>
        <w:rPr>
          <w:rFonts w:ascii="Century Gothic" w:hAnsi="Century Gothic" w:eastAsia="Calibri" w:cs="Arial"/>
          <w:b/>
          <w:sz w:val="18"/>
          <w:szCs w:val="18"/>
          <w:lang w:eastAsia="en-US"/>
        </w:rPr>
      </w:pPr>
      <w:r>
        <w:rPr>
          <w:rFonts w:ascii="Century Gothic" w:hAnsi="Century Gothic" w:eastAsia="Calibri" w:cs="Arial"/>
          <w:b/>
          <w:sz w:val="18"/>
          <w:szCs w:val="18"/>
          <w:lang w:eastAsia="en-US"/>
        </w:rPr>
        <w:t>LEY DE INGRESOS DEL MUNICIPIO DE MÉRIDA, YUCATÁN,</w:t>
      </w:r>
    </w:p>
    <w:p>
      <w:pPr>
        <w:widowControl w:val="0"/>
        <w:tabs>
          <w:tab w:val="left" w:pos="8280"/>
        </w:tabs>
        <w:autoSpaceDE w:val="0"/>
        <w:autoSpaceDN w:val="0"/>
        <w:adjustRightInd w:val="0"/>
        <w:spacing w:line="360" w:lineRule="auto"/>
        <w:ind w:right="-51"/>
        <w:jc w:val="center"/>
        <w:rPr>
          <w:rFonts w:ascii="Century Gothic" w:hAnsi="Century Gothic" w:eastAsia="Calibri" w:cs="Arial"/>
          <w:b/>
          <w:sz w:val="18"/>
          <w:szCs w:val="18"/>
          <w:lang w:eastAsia="en-US"/>
        </w:rPr>
      </w:pPr>
      <w:r>
        <w:rPr>
          <w:rFonts w:ascii="Century Gothic" w:hAnsi="Century Gothic" w:eastAsia="Calibri" w:cs="Arial"/>
          <w:b/>
          <w:sz w:val="18"/>
          <w:szCs w:val="18"/>
          <w:lang w:eastAsia="en-US"/>
        </w:rPr>
        <w:t>PARA EL EJERCICIO FISCAL 2021</w:t>
      </w:r>
    </w:p>
    <w:p>
      <w:pPr>
        <w:widowControl w:val="0"/>
        <w:tabs>
          <w:tab w:val="left" w:pos="8280"/>
        </w:tabs>
        <w:autoSpaceDE w:val="0"/>
        <w:autoSpaceDN w:val="0"/>
        <w:adjustRightInd w:val="0"/>
        <w:spacing w:line="360" w:lineRule="auto"/>
        <w:ind w:right="-51"/>
        <w:jc w:val="center"/>
        <w:rPr>
          <w:rFonts w:ascii="Century Gothic" w:hAnsi="Century Gothic" w:eastAsia="Calibri" w:cs="Arial"/>
          <w:b/>
          <w:sz w:val="18"/>
          <w:szCs w:val="18"/>
          <w:lang w:eastAsia="en-US"/>
        </w:rPr>
      </w:pPr>
    </w:p>
    <w:p>
      <w:pPr>
        <w:widowControl w:val="0"/>
        <w:tabs>
          <w:tab w:val="left" w:pos="8280"/>
        </w:tabs>
        <w:autoSpaceDE w:val="0"/>
        <w:autoSpaceDN w:val="0"/>
        <w:adjustRightInd w:val="0"/>
        <w:spacing w:line="360" w:lineRule="auto"/>
        <w:ind w:right="-51"/>
        <w:jc w:val="center"/>
        <w:rPr>
          <w:rFonts w:ascii="Century Gothic" w:hAnsi="Century Gothic" w:eastAsia="Calibri" w:cs="Arial"/>
          <w:b/>
          <w:sz w:val="18"/>
          <w:szCs w:val="18"/>
          <w:lang w:eastAsia="en-US"/>
        </w:rPr>
      </w:pPr>
      <w:r>
        <w:rPr>
          <w:rFonts w:ascii="Century Gothic" w:hAnsi="Century Gothic" w:eastAsia="Calibri" w:cs="Arial"/>
          <w:b/>
          <w:sz w:val="18"/>
          <w:szCs w:val="18"/>
          <w:lang w:eastAsia="en-US"/>
        </w:rPr>
        <w:t xml:space="preserve">TÍTULO PRIMERO </w:t>
      </w:r>
    </w:p>
    <w:p>
      <w:pPr>
        <w:spacing w:line="360" w:lineRule="auto"/>
        <w:jc w:val="center"/>
        <w:rPr>
          <w:rFonts w:ascii="Century Gothic" w:hAnsi="Century Gothic" w:eastAsia="Calibri" w:cs="Arial"/>
          <w:b/>
          <w:snapToGrid w:val="0"/>
          <w:sz w:val="18"/>
          <w:szCs w:val="18"/>
          <w:lang w:eastAsia="en-US"/>
        </w:rPr>
      </w:pPr>
      <w:r>
        <w:rPr>
          <w:rFonts w:ascii="Century Gothic" w:hAnsi="Century Gothic" w:eastAsia="Calibri" w:cs="Arial"/>
          <w:b/>
          <w:snapToGrid w:val="0"/>
          <w:sz w:val="18"/>
          <w:szCs w:val="18"/>
          <w:lang w:eastAsia="en-US"/>
        </w:rPr>
        <w:t xml:space="preserve">DISPOSICIONES GENERALES </w:t>
      </w:r>
    </w:p>
    <w:p>
      <w:pPr>
        <w:spacing w:line="360" w:lineRule="auto"/>
        <w:jc w:val="center"/>
        <w:rPr>
          <w:rFonts w:ascii="Century Gothic" w:hAnsi="Century Gothic" w:eastAsia="Calibri" w:cs="Arial"/>
          <w:snapToGrid w:val="0"/>
          <w:sz w:val="18"/>
          <w:szCs w:val="18"/>
          <w:lang w:eastAsia="en-US"/>
        </w:rPr>
      </w:pPr>
    </w:p>
    <w:p>
      <w:pPr>
        <w:spacing w:line="360" w:lineRule="auto"/>
        <w:jc w:val="center"/>
        <w:rPr>
          <w:rFonts w:ascii="Century Gothic" w:hAnsi="Century Gothic" w:eastAsia="Calibri" w:cs="Arial"/>
          <w:snapToGrid w:val="0"/>
          <w:sz w:val="18"/>
          <w:szCs w:val="18"/>
          <w:lang w:eastAsia="en-US"/>
        </w:rPr>
      </w:pPr>
      <w:r>
        <w:rPr>
          <w:rFonts w:ascii="Century Gothic" w:hAnsi="Century Gothic" w:eastAsia="Calibri" w:cs="Arial"/>
          <w:b/>
          <w:snapToGrid w:val="0"/>
          <w:sz w:val="18"/>
          <w:szCs w:val="18"/>
          <w:lang w:eastAsia="en-US"/>
        </w:rPr>
        <w:t xml:space="preserve">CAPÍTULO PRIMERO </w:t>
      </w:r>
    </w:p>
    <w:p>
      <w:pPr>
        <w:spacing w:line="360" w:lineRule="auto"/>
        <w:jc w:val="center"/>
        <w:rPr>
          <w:rFonts w:ascii="Century Gothic" w:hAnsi="Century Gothic" w:eastAsia="Calibri" w:cs="Arial"/>
          <w:b/>
          <w:snapToGrid w:val="0"/>
          <w:sz w:val="18"/>
          <w:szCs w:val="18"/>
          <w:lang w:eastAsia="en-US"/>
        </w:rPr>
      </w:pPr>
      <w:r>
        <w:rPr>
          <w:rFonts w:ascii="Century Gothic" w:hAnsi="Century Gothic" w:eastAsia="Calibri" w:cs="Arial"/>
          <w:b/>
          <w:snapToGrid w:val="0"/>
          <w:sz w:val="18"/>
          <w:szCs w:val="18"/>
          <w:lang w:eastAsia="en-US"/>
        </w:rPr>
        <w:t>De la Naturaleza y Objeto de la Ley</w:t>
      </w:r>
    </w:p>
    <w:p>
      <w:pPr>
        <w:spacing w:line="360" w:lineRule="auto"/>
        <w:jc w:val="center"/>
        <w:rPr>
          <w:rFonts w:ascii="Century Gothic" w:hAnsi="Century Gothic" w:eastAsia="Calibri" w:cs="Arial"/>
          <w:b/>
          <w:snapToGrid w:val="0"/>
          <w:sz w:val="18"/>
          <w:szCs w:val="18"/>
          <w:lang w:eastAsia="en-US"/>
        </w:rPr>
      </w:pPr>
    </w:p>
    <w:p>
      <w:pPr>
        <w:spacing w:line="360" w:lineRule="auto"/>
        <w:jc w:val="both"/>
        <w:rPr>
          <w:rFonts w:ascii="Century Gothic" w:hAnsi="Century Gothic" w:eastAsia="Calibri" w:cs="Arial"/>
          <w:snapToGrid w:val="0"/>
          <w:sz w:val="18"/>
          <w:szCs w:val="18"/>
          <w:lang w:eastAsia="en-US"/>
        </w:rPr>
      </w:pPr>
      <w:r>
        <w:rPr>
          <w:rFonts w:ascii="Century Gothic" w:hAnsi="Century Gothic" w:eastAsia="Calibri" w:cs="Arial"/>
          <w:b/>
          <w:snapToGrid w:val="0"/>
          <w:sz w:val="18"/>
          <w:szCs w:val="18"/>
          <w:lang w:eastAsia="en-US"/>
        </w:rPr>
        <w:t xml:space="preserve">ARTÍCULO 1.- </w:t>
      </w:r>
      <w:r>
        <w:rPr>
          <w:rFonts w:ascii="Century Gothic" w:hAnsi="Century Gothic" w:eastAsia="Calibri" w:cs="Arial"/>
          <w:snapToGrid w:val="0"/>
          <w:sz w:val="18"/>
          <w:szCs w:val="18"/>
          <w:lang w:eastAsia="en-US"/>
        </w:rPr>
        <w:t xml:space="preserve">La presente Ley es de orden público y de interés social, y tiene por objeto establecer los ingresos que permitan el financiamiento de los gastos públicos establecidos y autorizados en el Presupuesto de Egresos del Municipio de Mérida, así como en lo dispuesto en los convenios de coordinación y en las leyes en que se fundamenten. </w:t>
      </w:r>
    </w:p>
    <w:p>
      <w:pPr>
        <w:spacing w:line="360" w:lineRule="auto"/>
        <w:jc w:val="both"/>
        <w:rPr>
          <w:rFonts w:ascii="Century Gothic" w:hAnsi="Century Gothic" w:eastAsia="Calibri" w:cs="Arial"/>
          <w:snapToGrid w:val="0"/>
          <w:sz w:val="18"/>
          <w:szCs w:val="18"/>
          <w:lang w:eastAsia="en-US"/>
        </w:rPr>
      </w:pPr>
    </w:p>
    <w:p>
      <w:pPr>
        <w:spacing w:line="360" w:lineRule="auto"/>
        <w:jc w:val="both"/>
        <w:rPr>
          <w:rFonts w:ascii="Century Gothic" w:hAnsi="Century Gothic" w:eastAsia="Calibri" w:cs="Arial"/>
          <w:snapToGrid w:val="0"/>
          <w:sz w:val="18"/>
          <w:szCs w:val="18"/>
          <w:lang w:eastAsia="en-US"/>
        </w:rPr>
      </w:pPr>
      <w:r>
        <w:rPr>
          <w:rFonts w:ascii="Century Gothic" w:hAnsi="Century Gothic" w:eastAsia="Calibri" w:cs="Arial"/>
          <w:b/>
          <w:snapToGrid w:val="0"/>
          <w:sz w:val="18"/>
          <w:szCs w:val="18"/>
          <w:lang w:eastAsia="en-US"/>
        </w:rPr>
        <w:t xml:space="preserve">ARTÍCULO 2.- </w:t>
      </w:r>
      <w:r>
        <w:rPr>
          <w:rFonts w:ascii="Century Gothic" w:hAnsi="Century Gothic" w:eastAsia="Calibri" w:cs="Arial"/>
          <w:snapToGrid w:val="0"/>
          <w:sz w:val="18"/>
          <w:szCs w:val="18"/>
          <w:lang w:eastAsia="en-US"/>
        </w:rPr>
        <w:t xml:space="preserve">Los ingresos municipales se integrarán con los siguientes conceptos: Impuestos, Contribuciones de Mejoras, Derechos, Productos, Aprovechamientos, </w:t>
      </w:r>
      <w:r>
        <w:rPr>
          <w:rFonts w:ascii="Century Gothic" w:hAnsi="Century Gothic" w:cs="Arial"/>
          <w:bCs/>
          <w:sz w:val="18"/>
          <w:szCs w:val="18"/>
        </w:rPr>
        <w:t>Ingresos por Venta de Bienes, Prestación de Servicios y Otros Ingresos</w:t>
      </w:r>
      <w:r>
        <w:rPr>
          <w:rFonts w:ascii="Century Gothic" w:hAnsi="Century Gothic" w:cs="Arial"/>
          <w:b/>
          <w:bCs/>
          <w:sz w:val="18"/>
          <w:szCs w:val="18"/>
        </w:rPr>
        <w:t>,</w:t>
      </w:r>
      <w:r>
        <w:rPr>
          <w:rFonts w:ascii="Century Gothic" w:hAnsi="Century Gothic" w:eastAsia="Calibri" w:cs="Arial"/>
          <w:snapToGrid w:val="0"/>
          <w:sz w:val="18"/>
          <w:szCs w:val="18"/>
          <w:lang w:eastAsia="en-US"/>
        </w:rPr>
        <w:t xml:space="preserve"> Participaciones, Aportaciones, Convenios, Incentivos Derivados de la Colaboración Fiscal y Fondos Distintos de Aportaciones, Transferencias, Asignaciones, Subsidios y Subvenciones, y Pensiones y Jubilaciones e Ingresos derivados de Financiamientos. Las personas que, dentro del Municipio de Mérida, tuvieren bienes o celebren actos que surtan efectos en el mismo, están obligadas a contribuir para los gastos públicos de la manera que se determina en la presente Ley, en la Ley de Hacienda del Municipio de Mérida, el Código Fiscal del Estado de Yucatán y en los demás ordenamientos fiscales de carácter local y federal. </w:t>
      </w:r>
    </w:p>
    <w:p>
      <w:pPr>
        <w:spacing w:line="360" w:lineRule="auto"/>
        <w:jc w:val="both"/>
        <w:rPr>
          <w:rFonts w:ascii="Century Gothic" w:hAnsi="Century Gothic" w:eastAsia="Calibri" w:cs="Arial"/>
          <w:snapToGrid w:val="0"/>
          <w:sz w:val="18"/>
          <w:szCs w:val="18"/>
          <w:lang w:eastAsia="en-US"/>
        </w:rPr>
      </w:pPr>
    </w:p>
    <w:p>
      <w:pPr>
        <w:spacing w:line="360" w:lineRule="auto"/>
        <w:jc w:val="center"/>
        <w:rPr>
          <w:rFonts w:ascii="Century Gothic" w:hAnsi="Century Gothic" w:eastAsia="Calibri" w:cs="Arial"/>
          <w:b/>
          <w:snapToGrid w:val="0"/>
          <w:sz w:val="18"/>
          <w:szCs w:val="18"/>
          <w:lang w:eastAsia="en-US"/>
        </w:rPr>
      </w:pPr>
      <w:r>
        <w:rPr>
          <w:rFonts w:ascii="Century Gothic" w:hAnsi="Century Gothic" w:eastAsia="Calibri" w:cs="Arial"/>
          <w:b/>
          <w:snapToGrid w:val="0"/>
          <w:sz w:val="18"/>
          <w:szCs w:val="18"/>
          <w:lang w:eastAsia="en-US"/>
        </w:rPr>
        <w:t>CAPÍTULO SEGUNDO</w:t>
      </w:r>
    </w:p>
    <w:p>
      <w:pPr>
        <w:spacing w:line="360" w:lineRule="auto"/>
        <w:jc w:val="center"/>
        <w:rPr>
          <w:rFonts w:ascii="Century Gothic" w:hAnsi="Century Gothic" w:eastAsia="Calibri" w:cs="Arial"/>
          <w:b/>
          <w:snapToGrid w:val="0"/>
          <w:sz w:val="18"/>
          <w:szCs w:val="18"/>
          <w:lang w:eastAsia="en-US"/>
        </w:rPr>
      </w:pPr>
      <w:r>
        <w:rPr>
          <w:rFonts w:ascii="Century Gothic" w:hAnsi="Century Gothic" w:eastAsia="Calibri" w:cs="Arial"/>
          <w:b/>
          <w:snapToGrid w:val="0"/>
          <w:sz w:val="18"/>
          <w:szCs w:val="18"/>
          <w:lang w:eastAsia="en-US"/>
        </w:rPr>
        <w:t>De los Conceptos de Ingreso y su Pronóstico</w:t>
      </w:r>
    </w:p>
    <w:p>
      <w:pPr>
        <w:spacing w:line="360" w:lineRule="auto"/>
        <w:jc w:val="both"/>
        <w:rPr>
          <w:rFonts w:ascii="Century Gothic" w:hAnsi="Century Gothic" w:eastAsia="Calibri" w:cs="Arial"/>
          <w:snapToGrid w:val="0"/>
          <w:sz w:val="18"/>
          <w:szCs w:val="18"/>
          <w:lang w:eastAsia="en-US"/>
        </w:rPr>
      </w:pPr>
    </w:p>
    <w:p>
      <w:pPr>
        <w:spacing w:line="360" w:lineRule="auto"/>
        <w:jc w:val="both"/>
        <w:rPr>
          <w:rFonts w:ascii="Century Gothic" w:hAnsi="Century Gothic" w:eastAsia="Calibri" w:cs="Arial"/>
          <w:snapToGrid w:val="0"/>
          <w:sz w:val="18"/>
          <w:szCs w:val="18"/>
          <w:lang w:eastAsia="en-US"/>
        </w:rPr>
      </w:pPr>
      <w:r>
        <w:rPr>
          <w:rFonts w:ascii="Century Gothic" w:hAnsi="Century Gothic" w:eastAsia="Calibri" w:cs="Arial"/>
          <w:b/>
          <w:snapToGrid w:val="0"/>
          <w:sz w:val="18"/>
          <w:szCs w:val="18"/>
          <w:lang w:eastAsia="en-US"/>
        </w:rPr>
        <w:t>ARTÍCULO 3.-</w:t>
      </w:r>
      <w:r>
        <w:rPr>
          <w:rFonts w:ascii="Century Gothic" w:hAnsi="Century Gothic" w:eastAsia="Calibri" w:cs="Arial"/>
          <w:snapToGrid w:val="0"/>
          <w:sz w:val="18"/>
          <w:szCs w:val="18"/>
          <w:lang w:eastAsia="en-US"/>
        </w:rPr>
        <w:t xml:space="preserve"> Los ingresos que el Municipio de Mérida percibirá durante el ejercicio fiscal 2021 serán los provenientes de los rubros, tipos y en las cantidades estimadas que a continuación se enumeran: </w:t>
      </w:r>
    </w:p>
    <w:tbl>
      <w:tblPr>
        <w:tblStyle w:val="12"/>
        <w:tblW w:w="14480" w:type="dxa"/>
        <w:tblInd w:w="75" w:type="dxa"/>
        <w:tblLayout w:type="autofit"/>
        <w:tblCellMar>
          <w:top w:w="0" w:type="dxa"/>
          <w:left w:w="70" w:type="dxa"/>
          <w:bottom w:w="0" w:type="dxa"/>
          <w:right w:w="70" w:type="dxa"/>
        </w:tblCellMar>
      </w:tblPr>
      <w:tblGrid>
        <w:gridCol w:w="300"/>
        <w:gridCol w:w="8"/>
        <w:gridCol w:w="552"/>
        <w:gridCol w:w="21"/>
        <w:gridCol w:w="564"/>
        <w:gridCol w:w="45"/>
        <w:gridCol w:w="65"/>
        <w:gridCol w:w="21"/>
        <w:gridCol w:w="41"/>
        <w:gridCol w:w="17"/>
        <w:gridCol w:w="17"/>
        <w:gridCol w:w="719"/>
        <w:gridCol w:w="5405"/>
        <w:gridCol w:w="2282"/>
        <w:gridCol w:w="1007"/>
        <w:gridCol w:w="1808"/>
        <w:gridCol w:w="1608"/>
      </w:tblGrid>
      <w:tr>
        <w:tblPrEx>
          <w:tblCellMar>
            <w:top w:w="0" w:type="dxa"/>
            <w:left w:w="70" w:type="dxa"/>
            <w:bottom w:w="0" w:type="dxa"/>
            <w:right w:w="70" w:type="dxa"/>
          </w:tblCellMar>
        </w:tblPrEx>
        <w:trPr>
          <w:gridAfter w:val="3"/>
          <w:wBefore w:w="0" w:type="dxa"/>
          <w:wAfter w:w="4423" w:type="dxa"/>
          <w:trHeight w:val="255" w:hRule="atLeast"/>
        </w:trPr>
        <w:tc>
          <w:tcPr>
            <w:tcW w:w="308" w:type="dxa"/>
            <w:gridSpan w:val="2"/>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b/>
                <w:bCs/>
                <w:color w:val="000000"/>
                <w:sz w:val="20"/>
                <w:szCs w:val="20"/>
              </w:rPr>
            </w:pPr>
          </w:p>
        </w:tc>
        <w:tc>
          <w:tcPr>
            <w:tcW w:w="7467" w:type="dxa"/>
            <w:gridSpan w:val="11"/>
            <w:tcBorders>
              <w:top w:val="single" w:color="auto" w:sz="4" w:space="0"/>
              <w:left w:val="nil"/>
              <w:bottom w:val="single" w:color="auto" w:sz="4" w:space="0"/>
              <w:right w:val="single" w:color="auto" w:sz="4" w:space="0"/>
            </w:tcBorders>
            <w:shd w:val="clear" w:color="000000" w:fill="FFFFFF"/>
            <w:noWrap/>
            <w:vAlign w:val="center"/>
          </w:tcPr>
          <w:p>
            <w:pPr>
              <w:jc w:val="both"/>
              <w:rPr>
                <w:rFonts w:ascii="Arial" w:hAnsi="Arial" w:cs="Arial"/>
                <w:b/>
                <w:bCs/>
                <w:color w:val="000000"/>
                <w:sz w:val="20"/>
                <w:szCs w:val="20"/>
              </w:rPr>
            </w:pPr>
            <w:r>
              <w:rPr>
                <w:rFonts w:ascii="Arial" w:hAnsi="Arial" w:cs="Arial"/>
                <w:b/>
                <w:bCs/>
                <w:color w:val="000000"/>
                <w:sz w:val="20"/>
                <w:szCs w:val="20"/>
              </w:rPr>
              <w:t>TOTAL (1 + 3 + 4 + 5 + 6 + 8 + 9 + 0)</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20"/>
                <w:szCs w:val="20"/>
              </w:rPr>
            </w:pPr>
            <w:r>
              <w:rPr>
                <w:rFonts w:ascii="Arial" w:hAnsi="Arial" w:cs="Arial"/>
                <w:b/>
                <w:bCs/>
                <w:color w:val="000000"/>
                <w:sz w:val="20"/>
                <w:szCs w:val="20"/>
              </w:rPr>
              <w:t xml:space="preserve">$ </w:t>
            </w:r>
            <w:bookmarkStart w:id="2" w:name="_Hlk56643645"/>
            <w:r>
              <w:rPr>
                <w:rFonts w:ascii="Arial" w:hAnsi="Arial" w:cs="Arial"/>
                <w:b/>
                <w:bCs/>
                <w:color w:val="000000"/>
                <w:sz w:val="20"/>
                <w:szCs w:val="20"/>
              </w:rPr>
              <w:t>3,185,328,408.00</w:t>
            </w:r>
            <w:bookmarkEnd w:id="2"/>
          </w:p>
        </w:tc>
      </w:tr>
      <w:tr>
        <w:tblPrEx>
          <w:tblCellMar>
            <w:top w:w="0" w:type="dxa"/>
            <w:left w:w="70" w:type="dxa"/>
            <w:bottom w:w="0" w:type="dxa"/>
            <w:right w:w="70" w:type="dxa"/>
          </w:tblCellMar>
        </w:tblPrEx>
        <w:trPr>
          <w:gridAfter w:val="3"/>
          <w:wBefore w:w="0" w:type="dxa"/>
          <w:wAfter w:w="4423" w:type="dxa"/>
          <w:trHeight w:val="255" w:hRule="atLeast"/>
        </w:trPr>
        <w:tc>
          <w:tcPr>
            <w:tcW w:w="308" w:type="dxa"/>
            <w:gridSpan w:val="2"/>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b/>
                <w:bCs/>
                <w:color w:val="000000"/>
                <w:sz w:val="20"/>
                <w:szCs w:val="20"/>
                <w:lang w:val="es-MX" w:eastAsia="es-MX"/>
              </w:rPr>
            </w:pPr>
            <w:r>
              <w:rPr>
                <w:rFonts w:ascii="Arial" w:hAnsi="Arial" w:cs="Arial"/>
                <w:b/>
                <w:bCs/>
                <w:color w:val="000000"/>
                <w:sz w:val="20"/>
                <w:szCs w:val="20"/>
              </w:rPr>
              <w:t>1</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770" w:type="dxa"/>
            <w:gridSpan w:val="7"/>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719" w:type="dxa"/>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both"/>
              <w:rPr>
                <w:rFonts w:ascii="Arial" w:hAnsi="Arial" w:cs="Arial"/>
                <w:b/>
                <w:bCs/>
                <w:color w:val="000000"/>
                <w:sz w:val="20"/>
                <w:szCs w:val="20"/>
              </w:rPr>
            </w:pPr>
            <w:r>
              <w:rPr>
                <w:rFonts w:ascii="Arial" w:hAnsi="Arial" w:cs="Arial"/>
                <w:b/>
                <w:bCs/>
                <w:color w:val="000000"/>
                <w:sz w:val="20"/>
                <w:szCs w:val="20"/>
              </w:rPr>
              <w:t>Impuestos</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20"/>
                <w:szCs w:val="20"/>
              </w:rPr>
            </w:pPr>
            <w:r>
              <w:rPr>
                <w:rFonts w:ascii="Arial" w:hAnsi="Arial" w:cs="Arial"/>
                <w:b/>
                <w:bCs/>
                <w:color w:val="000000"/>
                <w:sz w:val="20"/>
                <w:szCs w:val="20"/>
              </w:rPr>
              <w:t>834,629,079.00</w:t>
            </w:r>
          </w:p>
        </w:tc>
      </w:tr>
      <w:tr>
        <w:tblPrEx>
          <w:tblCellMar>
            <w:top w:w="0" w:type="dxa"/>
            <w:left w:w="70" w:type="dxa"/>
            <w:bottom w:w="0" w:type="dxa"/>
            <w:right w:w="70" w:type="dxa"/>
          </w:tblCellMar>
        </w:tblPrEx>
        <w:trPr>
          <w:gridAfter w:val="3"/>
          <w:wBefore w:w="0" w:type="dxa"/>
          <w:wAfter w:w="4423" w:type="dxa"/>
          <w:trHeight w:val="465"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1.11</w:t>
            </w:r>
          </w:p>
        </w:tc>
        <w:tc>
          <w:tcPr>
            <w:tcW w:w="770" w:type="dxa"/>
            <w:gridSpan w:val="7"/>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719"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single" w:color="auto" w:sz="4" w:space="0"/>
              <w:left w:val="nil"/>
              <w:bottom w:val="single" w:color="auto" w:sz="4" w:space="0"/>
              <w:right w:val="single" w:color="auto" w:sz="4" w:space="0"/>
            </w:tcBorders>
            <w:shd w:val="clear" w:color="000000" w:fill="FFFFFF"/>
            <w:noWrap w:val="0"/>
            <w:vAlign w:val="center"/>
          </w:tcPr>
          <w:p>
            <w:pPr>
              <w:ind w:firstLine="360" w:firstLineChars="200"/>
              <w:rPr>
                <w:rFonts w:ascii="Arial" w:hAnsi="Arial" w:cs="Arial"/>
                <w:b/>
                <w:bCs/>
                <w:color w:val="000000"/>
                <w:sz w:val="18"/>
                <w:szCs w:val="18"/>
              </w:rPr>
            </w:pPr>
            <w:r>
              <w:rPr>
                <w:rFonts w:ascii="Arial" w:hAnsi="Arial" w:cs="Arial"/>
                <w:b/>
                <w:bCs/>
                <w:color w:val="000000"/>
                <w:sz w:val="18"/>
                <w:szCs w:val="18"/>
              </w:rPr>
              <w:t>Impuestos sobre los ingresos</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20,000.00</w:t>
            </w:r>
          </w:p>
        </w:tc>
      </w:tr>
      <w:tr>
        <w:tblPrEx>
          <w:tblCellMar>
            <w:top w:w="0" w:type="dxa"/>
            <w:left w:w="70" w:type="dxa"/>
            <w:bottom w:w="0" w:type="dxa"/>
            <w:right w:w="70" w:type="dxa"/>
          </w:tblCellMar>
        </w:tblPrEx>
        <w:trPr>
          <w:gridAfter w:val="3"/>
          <w:wBefore w:w="0" w:type="dxa"/>
          <w:wAfter w:w="4423" w:type="dxa"/>
          <w:trHeight w:val="22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70" w:type="dxa"/>
            <w:gridSpan w:val="7"/>
            <w:tcBorders>
              <w:top w:val="nil"/>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1.11.1</w:t>
            </w:r>
          </w:p>
        </w:tc>
        <w:tc>
          <w:tcPr>
            <w:tcW w:w="719" w:type="dxa"/>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Impuesto sobre Espectáculos y Diversiones Públicas</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20,000.00</w:t>
            </w:r>
          </w:p>
        </w:tc>
      </w:tr>
      <w:tr>
        <w:tblPrEx>
          <w:tblCellMar>
            <w:top w:w="0" w:type="dxa"/>
            <w:left w:w="70" w:type="dxa"/>
            <w:bottom w:w="0" w:type="dxa"/>
            <w:right w:w="70" w:type="dxa"/>
          </w:tblCellMar>
        </w:tblPrEx>
        <w:trPr>
          <w:gridAfter w:val="3"/>
          <w:wBefore w:w="0" w:type="dxa"/>
          <w:wAfter w:w="4423" w:type="dxa"/>
          <w:trHeight w:val="480"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1.12</w:t>
            </w:r>
          </w:p>
        </w:tc>
        <w:tc>
          <w:tcPr>
            <w:tcW w:w="770" w:type="dxa"/>
            <w:gridSpan w:val="7"/>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719"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nil"/>
              <w:left w:val="nil"/>
              <w:bottom w:val="single" w:color="auto" w:sz="4" w:space="0"/>
              <w:right w:val="single" w:color="auto" w:sz="4" w:space="0"/>
            </w:tcBorders>
            <w:shd w:val="clear" w:color="000000" w:fill="FFFFFF"/>
            <w:noWrap w:val="0"/>
            <w:vAlign w:val="center"/>
          </w:tcPr>
          <w:p>
            <w:pPr>
              <w:ind w:firstLine="360" w:firstLineChars="200"/>
              <w:rPr>
                <w:rFonts w:ascii="Arial" w:hAnsi="Arial" w:cs="Arial"/>
                <w:b/>
                <w:bCs/>
                <w:color w:val="000000"/>
                <w:sz w:val="18"/>
                <w:szCs w:val="18"/>
              </w:rPr>
            </w:pPr>
            <w:r>
              <w:rPr>
                <w:rFonts w:ascii="Arial" w:hAnsi="Arial" w:cs="Arial"/>
                <w:b/>
                <w:bCs/>
                <w:color w:val="000000"/>
                <w:sz w:val="18"/>
                <w:szCs w:val="18"/>
              </w:rPr>
              <w:t>Impuestos sobre el patrimonio</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513,225,792.00</w:t>
            </w:r>
          </w:p>
        </w:tc>
      </w:tr>
      <w:tr>
        <w:tblPrEx>
          <w:tblCellMar>
            <w:top w:w="0" w:type="dxa"/>
            <w:left w:w="70" w:type="dxa"/>
            <w:bottom w:w="0" w:type="dxa"/>
            <w:right w:w="70" w:type="dxa"/>
          </w:tblCellMar>
        </w:tblPrEx>
        <w:trPr>
          <w:gridAfter w:val="3"/>
          <w:wBefore w:w="0" w:type="dxa"/>
          <w:wAfter w:w="4423" w:type="dxa"/>
          <w:trHeight w:val="225"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70" w:type="dxa"/>
            <w:gridSpan w:val="7"/>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1.12.1</w:t>
            </w:r>
          </w:p>
        </w:tc>
        <w:tc>
          <w:tcPr>
            <w:tcW w:w="719" w:type="dxa"/>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Impuesto Predial</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513,225,792.00</w:t>
            </w:r>
          </w:p>
        </w:tc>
      </w:tr>
      <w:tr>
        <w:tblPrEx>
          <w:tblCellMar>
            <w:top w:w="0" w:type="dxa"/>
            <w:left w:w="70" w:type="dxa"/>
            <w:bottom w:w="0" w:type="dxa"/>
            <w:right w:w="70" w:type="dxa"/>
          </w:tblCellMar>
        </w:tblPrEx>
        <w:trPr>
          <w:gridAfter w:val="3"/>
          <w:wBefore w:w="0" w:type="dxa"/>
          <w:wAfter w:w="4423" w:type="dxa"/>
          <w:trHeight w:val="465"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1.13</w:t>
            </w:r>
          </w:p>
        </w:tc>
        <w:tc>
          <w:tcPr>
            <w:tcW w:w="770" w:type="dxa"/>
            <w:gridSpan w:val="7"/>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719"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single" w:color="auto" w:sz="4" w:space="0"/>
              <w:left w:val="nil"/>
              <w:bottom w:val="single" w:color="auto" w:sz="4" w:space="0"/>
              <w:right w:val="single" w:color="auto" w:sz="4" w:space="0"/>
            </w:tcBorders>
            <w:shd w:val="clear" w:color="000000" w:fill="FFFFFF"/>
            <w:noWrap w:val="0"/>
            <w:vAlign w:val="center"/>
          </w:tcPr>
          <w:p>
            <w:pPr>
              <w:ind w:left="391"/>
              <w:jc w:val="both"/>
              <w:rPr>
                <w:rFonts w:ascii="Arial" w:hAnsi="Arial" w:cs="Arial"/>
                <w:b/>
                <w:bCs/>
                <w:color w:val="000000"/>
                <w:sz w:val="18"/>
                <w:szCs w:val="18"/>
              </w:rPr>
            </w:pPr>
            <w:r>
              <w:rPr>
                <w:rFonts w:ascii="Arial" w:hAnsi="Arial" w:cs="Arial"/>
                <w:b/>
                <w:bCs/>
                <w:color w:val="000000"/>
                <w:sz w:val="18"/>
                <w:szCs w:val="18"/>
              </w:rPr>
              <w:t>Impuestos sobre la producción, el consumo y las transacciones</w:t>
            </w:r>
          </w:p>
        </w:tc>
        <w:tc>
          <w:tcPr>
            <w:tcW w:w="2282" w:type="dxa"/>
            <w:tcBorders>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300,000,000.00</w:t>
            </w:r>
          </w:p>
        </w:tc>
      </w:tr>
      <w:tr>
        <w:tblPrEx>
          <w:tblCellMar>
            <w:top w:w="0" w:type="dxa"/>
            <w:left w:w="70" w:type="dxa"/>
            <w:bottom w:w="0" w:type="dxa"/>
            <w:right w:w="70" w:type="dxa"/>
          </w:tblCellMar>
        </w:tblPrEx>
        <w:trPr>
          <w:gridAfter w:val="3"/>
          <w:wBefore w:w="0" w:type="dxa"/>
          <w:wAfter w:w="4423" w:type="dxa"/>
          <w:trHeight w:val="225"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70" w:type="dxa"/>
            <w:gridSpan w:val="7"/>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1.13.1</w:t>
            </w:r>
          </w:p>
        </w:tc>
        <w:tc>
          <w:tcPr>
            <w:tcW w:w="719" w:type="dxa"/>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Impuesto sobre Adquisición de Inmuebles</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300,000,000.00</w:t>
            </w:r>
          </w:p>
        </w:tc>
      </w:tr>
      <w:tr>
        <w:tblPrEx>
          <w:tblCellMar>
            <w:top w:w="0" w:type="dxa"/>
            <w:left w:w="70" w:type="dxa"/>
            <w:bottom w:w="0" w:type="dxa"/>
            <w:right w:w="70" w:type="dxa"/>
          </w:tblCellMar>
        </w:tblPrEx>
        <w:trPr>
          <w:gridAfter w:val="3"/>
          <w:wBefore w:w="0" w:type="dxa"/>
          <w:wAfter w:w="4423" w:type="dxa"/>
          <w:trHeight w:val="510"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1.17</w:t>
            </w:r>
          </w:p>
        </w:tc>
        <w:tc>
          <w:tcPr>
            <w:tcW w:w="770" w:type="dxa"/>
            <w:gridSpan w:val="7"/>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719"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single" w:color="auto" w:sz="4" w:space="0"/>
              <w:left w:val="nil"/>
              <w:bottom w:val="single" w:color="auto" w:sz="4" w:space="0"/>
              <w:right w:val="single" w:color="auto" w:sz="4" w:space="0"/>
            </w:tcBorders>
            <w:shd w:val="clear" w:color="000000" w:fill="FFFFFF"/>
            <w:noWrap w:val="0"/>
            <w:vAlign w:val="center"/>
          </w:tcPr>
          <w:p>
            <w:pPr>
              <w:ind w:firstLine="360" w:firstLineChars="200"/>
              <w:rPr>
                <w:rFonts w:ascii="Arial" w:hAnsi="Arial" w:cs="Arial"/>
                <w:b/>
                <w:bCs/>
                <w:color w:val="000000"/>
                <w:sz w:val="18"/>
                <w:szCs w:val="18"/>
              </w:rPr>
            </w:pPr>
            <w:r>
              <w:rPr>
                <w:rFonts w:ascii="Arial" w:hAnsi="Arial" w:cs="Arial"/>
                <w:b/>
                <w:bCs/>
                <w:color w:val="000000"/>
                <w:sz w:val="18"/>
                <w:szCs w:val="18"/>
              </w:rPr>
              <w:t>Accesorios de Impuestos</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21,383,287.00</w:t>
            </w:r>
          </w:p>
        </w:tc>
      </w:tr>
      <w:tr>
        <w:tblPrEx>
          <w:tblCellMar>
            <w:top w:w="0" w:type="dxa"/>
            <w:left w:w="70" w:type="dxa"/>
            <w:bottom w:w="0" w:type="dxa"/>
            <w:right w:w="70" w:type="dxa"/>
          </w:tblCellMar>
        </w:tblPrEx>
        <w:trPr>
          <w:gridAfter w:val="3"/>
          <w:wBefore w:w="0" w:type="dxa"/>
          <w:wAfter w:w="4423" w:type="dxa"/>
          <w:trHeight w:val="225"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70" w:type="dxa"/>
            <w:gridSpan w:val="7"/>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1.17.1</w:t>
            </w:r>
          </w:p>
        </w:tc>
        <w:tc>
          <w:tcPr>
            <w:tcW w:w="719" w:type="dxa"/>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Actualización de Impuestos</w:t>
            </w:r>
          </w:p>
        </w:tc>
        <w:tc>
          <w:tcPr>
            <w:tcW w:w="2282" w:type="dxa"/>
            <w:tcBorders>
              <w:top w:val="single" w:color="auto" w:sz="4" w:space="0"/>
              <w:left w:val="nil"/>
              <w:bottom w:val="single" w:color="auto" w:sz="4" w:space="0"/>
              <w:right w:val="single" w:color="auto" w:sz="4" w:space="0"/>
            </w:tcBorders>
            <w:shd w:val="clear" w:color="auto" w:fill="auto"/>
            <w:noWrap w:val="0"/>
            <w:vAlign w:val="center"/>
          </w:tcPr>
          <w:p>
            <w:pPr>
              <w:jc w:val="right"/>
              <w:rPr>
                <w:rFonts w:ascii="Arial" w:hAnsi="Arial" w:cs="Arial"/>
                <w:color w:val="000000"/>
                <w:sz w:val="16"/>
                <w:szCs w:val="16"/>
              </w:rPr>
            </w:pPr>
            <w:r>
              <w:rPr>
                <w:rFonts w:ascii="Arial" w:hAnsi="Arial" w:cs="Arial"/>
                <w:color w:val="000000"/>
                <w:sz w:val="16"/>
                <w:szCs w:val="16"/>
              </w:rPr>
              <w:t>3,678,380.00</w:t>
            </w:r>
          </w:p>
        </w:tc>
      </w:tr>
      <w:tr>
        <w:tblPrEx>
          <w:tblCellMar>
            <w:top w:w="0" w:type="dxa"/>
            <w:left w:w="70" w:type="dxa"/>
            <w:bottom w:w="0" w:type="dxa"/>
            <w:right w:w="70" w:type="dxa"/>
          </w:tblCellMar>
        </w:tblPrEx>
        <w:trPr>
          <w:gridAfter w:val="3"/>
          <w:wBefore w:w="0" w:type="dxa"/>
          <w:wAfter w:w="4423" w:type="dxa"/>
          <w:trHeight w:val="225"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70" w:type="dxa"/>
            <w:gridSpan w:val="7"/>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1.17.2</w:t>
            </w:r>
          </w:p>
        </w:tc>
        <w:tc>
          <w:tcPr>
            <w:tcW w:w="719" w:type="dxa"/>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Recargos de Impuestos</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17,672,720.00</w:t>
            </w:r>
          </w:p>
        </w:tc>
      </w:tr>
      <w:tr>
        <w:tblPrEx>
          <w:tblCellMar>
            <w:top w:w="0" w:type="dxa"/>
            <w:left w:w="70" w:type="dxa"/>
            <w:bottom w:w="0" w:type="dxa"/>
            <w:right w:w="70" w:type="dxa"/>
          </w:tblCellMar>
        </w:tblPrEx>
        <w:trPr>
          <w:gridAfter w:val="3"/>
          <w:wBefore w:w="0" w:type="dxa"/>
          <w:wAfter w:w="4423" w:type="dxa"/>
          <w:trHeight w:val="22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70" w:type="dxa"/>
            <w:gridSpan w:val="7"/>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1.17.3</w:t>
            </w:r>
          </w:p>
        </w:tc>
        <w:tc>
          <w:tcPr>
            <w:tcW w:w="719" w:type="dxa"/>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Multas de Impuestos</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30,920.00</w:t>
            </w:r>
          </w:p>
        </w:tc>
      </w:tr>
      <w:tr>
        <w:tblPrEx>
          <w:tblCellMar>
            <w:top w:w="0" w:type="dxa"/>
            <w:left w:w="70" w:type="dxa"/>
            <w:bottom w:w="0" w:type="dxa"/>
            <w:right w:w="70" w:type="dxa"/>
          </w:tblCellMar>
        </w:tblPrEx>
        <w:trPr>
          <w:gridAfter w:val="3"/>
          <w:wBefore w:w="0" w:type="dxa"/>
          <w:wAfter w:w="4423" w:type="dxa"/>
          <w:trHeight w:val="225"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70" w:type="dxa"/>
            <w:gridSpan w:val="7"/>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1.17.4</w:t>
            </w:r>
          </w:p>
        </w:tc>
        <w:tc>
          <w:tcPr>
            <w:tcW w:w="719" w:type="dxa"/>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Gastos de Ejecución de Impuestos</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1,267.00</w:t>
            </w:r>
          </w:p>
        </w:tc>
      </w:tr>
      <w:tr>
        <w:tblPrEx>
          <w:tblCellMar>
            <w:top w:w="0" w:type="dxa"/>
            <w:left w:w="70" w:type="dxa"/>
            <w:bottom w:w="0" w:type="dxa"/>
            <w:right w:w="70" w:type="dxa"/>
          </w:tblCellMar>
        </w:tblPrEx>
        <w:trPr>
          <w:gridAfter w:val="3"/>
          <w:wBefore w:w="0" w:type="dxa"/>
          <w:wAfter w:w="4423" w:type="dxa"/>
          <w:trHeight w:val="525"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1.18</w:t>
            </w:r>
          </w:p>
        </w:tc>
        <w:tc>
          <w:tcPr>
            <w:tcW w:w="770" w:type="dxa"/>
            <w:gridSpan w:val="7"/>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719"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single" w:color="auto" w:sz="4" w:space="0"/>
              <w:left w:val="nil"/>
              <w:bottom w:val="single" w:color="auto" w:sz="4" w:space="0"/>
              <w:right w:val="single" w:color="auto" w:sz="4" w:space="0"/>
            </w:tcBorders>
            <w:shd w:val="clear" w:color="000000" w:fill="FFFFFF"/>
            <w:noWrap w:val="0"/>
            <w:vAlign w:val="center"/>
          </w:tcPr>
          <w:p>
            <w:pPr>
              <w:ind w:firstLine="360" w:firstLineChars="200"/>
              <w:rPr>
                <w:rFonts w:ascii="Arial" w:hAnsi="Arial" w:cs="Arial"/>
                <w:b/>
                <w:bCs/>
                <w:color w:val="000000"/>
                <w:sz w:val="18"/>
                <w:szCs w:val="18"/>
              </w:rPr>
            </w:pPr>
            <w:r>
              <w:rPr>
                <w:rFonts w:ascii="Arial" w:hAnsi="Arial" w:cs="Arial"/>
                <w:b/>
                <w:bCs/>
                <w:color w:val="000000"/>
                <w:sz w:val="18"/>
                <w:szCs w:val="18"/>
              </w:rPr>
              <w:t>Otros Impuestos</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0.00</w:t>
            </w:r>
          </w:p>
        </w:tc>
      </w:tr>
      <w:tr>
        <w:tblPrEx>
          <w:tblCellMar>
            <w:top w:w="0" w:type="dxa"/>
            <w:left w:w="70" w:type="dxa"/>
            <w:bottom w:w="0" w:type="dxa"/>
            <w:right w:w="70" w:type="dxa"/>
          </w:tblCellMar>
        </w:tblPrEx>
        <w:trPr>
          <w:gridAfter w:val="3"/>
          <w:wBefore w:w="0" w:type="dxa"/>
          <w:wAfter w:w="4423" w:type="dxa"/>
          <w:trHeight w:val="225"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70" w:type="dxa"/>
            <w:gridSpan w:val="7"/>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1.18.1</w:t>
            </w:r>
          </w:p>
        </w:tc>
        <w:tc>
          <w:tcPr>
            <w:tcW w:w="719" w:type="dxa"/>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firstLine="320" w:firstLineChars="200"/>
              <w:rPr>
                <w:rFonts w:ascii="Arial" w:hAnsi="Arial" w:cs="Arial"/>
                <w:color w:val="000000"/>
                <w:sz w:val="16"/>
                <w:szCs w:val="16"/>
              </w:rPr>
            </w:pPr>
            <w:r>
              <w:rPr>
                <w:rFonts w:ascii="Arial" w:hAnsi="Arial" w:cs="Arial"/>
                <w:color w:val="000000"/>
                <w:sz w:val="16"/>
                <w:szCs w:val="16"/>
              </w:rPr>
              <w:t xml:space="preserve">        Otros Impuestos</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0.00</w:t>
            </w:r>
          </w:p>
        </w:tc>
      </w:tr>
      <w:tr>
        <w:tblPrEx>
          <w:tblCellMar>
            <w:top w:w="0" w:type="dxa"/>
            <w:left w:w="70" w:type="dxa"/>
            <w:bottom w:w="0" w:type="dxa"/>
            <w:right w:w="70" w:type="dxa"/>
          </w:tblCellMar>
        </w:tblPrEx>
        <w:trPr>
          <w:gridAfter w:val="3"/>
          <w:wBefore w:w="0" w:type="dxa"/>
          <w:wAfter w:w="4423" w:type="dxa"/>
          <w:trHeight w:val="660"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1.19</w:t>
            </w:r>
          </w:p>
        </w:tc>
        <w:tc>
          <w:tcPr>
            <w:tcW w:w="770" w:type="dxa"/>
            <w:gridSpan w:val="7"/>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719"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nil"/>
              <w:left w:val="nil"/>
              <w:bottom w:val="single" w:color="auto" w:sz="4" w:space="0"/>
              <w:right w:val="single" w:color="auto" w:sz="4" w:space="0"/>
            </w:tcBorders>
            <w:shd w:val="clear" w:color="000000" w:fill="FFFFFF"/>
            <w:noWrap w:val="0"/>
            <w:vAlign w:val="center"/>
          </w:tcPr>
          <w:p>
            <w:pPr>
              <w:ind w:left="391"/>
              <w:jc w:val="both"/>
              <w:rPr>
                <w:rFonts w:ascii="Arial" w:hAnsi="Arial" w:cs="Arial"/>
                <w:b/>
                <w:bCs/>
                <w:color w:val="000000"/>
                <w:sz w:val="18"/>
                <w:szCs w:val="18"/>
              </w:rPr>
            </w:pPr>
            <w:r>
              <w:rPr>
                <w:rFonts w:ascii="Arial" w:hAnsi="Arial" w:cs="Arial"/>
                <w:b/>
                <w:bCs/>
                <w:color w:val="000000"/>
                <w:sz w:val="18"/>
                <w:szCs w:val="18"/>
              </w:rPr>
              <w:t>Impuestos no comprendidos en la Ley de Ingresos vigente causados en ejercicios fiscales anteriores pendientes de liquidación o pago</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0.00</w:t>
            </w:r>
          </w:p>
        </w:tc>
      </w:tr>
      <w:tr>
        <w:tblPrEx>
          <w:tblCellMar>
            <w:top w:w="0" w:type="dxa"/>
            <w:left w:w="70" w:type="dxa"/>
            <w:bottom w:w="0" w:type="dxa"/>
            <w:right w:w="70" w:type="dxa"/>
          </w:tblCellMar>
        </w:tblPrEx>
        <w:trPr>
          <w:gridAfter w:val="3"/>
          <w:wBefore w:w="0" w:type="dxa"/>
          <w:wAfter w:w="4423" w:type="dxa"/>
          <w:trHeight w:val="82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70" w:type="dxa"/>
            <w:gridSpan w:val="7"/>
            <w:tcBorders>
              <w:top w:val="nil"/>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1.19.1</w:t>
            </w:r>
          </w:p>
        </w:tc>
        <w:tc>
          <w:tcPr>
            <w:tcW w:w="719" w:type="dxa"/>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nil"/>
              <w:right w:val="single" w:color="auto" w:sz="4" w:space="0"/>
            </w:tcBorders>
            <w:shd w:val="clear" w:color="000000" w:fill="FFFFFF"/>
            <w:noWrap w:val="0"/>
            <w:vAlign w:val="center"/>
          </w:tcPr>
          <w:p>
            <w:pPr>
              <w:tabs>
                <w:tab w:val="left" w:pos="675"/>
              </w:tabs>
              <w:ind w:left="675" w:hanging="1"/>
              <w:jc w:val="both"/>
              <w:rPr>
                <w:rFonts w:ascii="Arial" w:hAnsi="Arial" w:cs="Arial"/>
                <w:color w:val="000000"/>
                <w:sz w:val="16"/>
                <w:szCs w:val="16"/>
              </w:rPr>
            </w:pPr>
            <w:r>
              <w:rPr>
                <w:rFonts w:ascii="Arial" w:hAnsi="Arial" w:cs="Arial"/>
                <w:color w:val="000000"/>
                <w:sz w:val="16"/>
                <w:szCs w:val="16"/>
              </w:rPr>
              <w:t>Impuestos no comprendidos en la Ley de Ingresos vigente causados en ejercicios fiscales anteriores pendientes de liquidación o pago</w:t>
            </w:r>
          </w:p>
        </w:tc>
        <w:tc>
          <w:tcPr>
            <w:tcW w:w="2282" w:type="dxa"/>
            <w:tcBorders>
              <w:top w:val="nil"/>
              <w:left w:val="nil"/>
              <w:bottom w:val="nil"/>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0.00</w:t>
            </w:r>
          </w:p>
        </w:tc>
      </w:tr>
      <w:tr>
        <w:tblPrEx>
          <w:tblCellMar>
            <w:top w:w="0" w:type="dxa"/>
            <w:left w:w="70" w:type="dxa"/>
            <w:bottom w:w="0" w:type="dxa"/>
            <w:right w:w="70" w:type="dxa"/>
          </w:tblCellMar>
        </w:tblPrEx>
        <w:trPr>
          <w:gridAfter w:val="3"/>
          <w:wBefore w:w="0" w:type="dxa"/>
          <w:wAfter w:w="4423" w:type="dxa"/>
          <w:trHeight w:val="405" w:hRule="atLeast"/>
        </w:trPr>
        <w:tc>
          <w:tcPr>
            <w:tcW w:w="308" w:type="dxa"/>
            <w:gridSpan w:val="2"/>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b/>
                <w:bCs/>
                <w:color w:val="000000"/>
                <w:sz w:val="20"/>
                <w:szCs w:val="20"/>
                <w:lang w:val="es-MX" w:eastAsia="es-MX"/>
              </w:rPr>
            </w:pPr>
            <w:r>
              <w:rPr>
                <w:rFonts w:ascii="Arial" w:hAnsi="Arial" w:cs="Arial"/>
                <w:b/>
                <w:bCs/>
                <w:color w:val="000000"/>
                <w:sz w:val="20"/>
                <w:szCs w:val="20"/>
              </w:rPr>
              <w:t>2</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753" w:type="dxa"/>
            <w:gridSpan w:val="6"/>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736"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both"/>
              <w:rPr>
                <w:rFonts w:ascii="Arial" w:hAnsi="Arial" w:cs="Arial"/>
                <w:b/>
                <w:bCs/>
                <w:color w:val="000000"/>
                <w:sz w:val="20"/>
                <w:szCs w:val="20"/>
              </w:rPr>
            </w:pPr>
            <w:r>
              <w:rPr>
                <w:rFonts w:ascii="Arial" w:hAnsi="Arial" w:cs="Arial"/>
                <w:b/>
                <w:bCs/>
                <w:color w:val="000000"/>
                <w:sz w:val="20"/>
                <w:szCs w:val="20"/>
              </w:rPr>
              <w:t>Cuotas y aportaciones de seguridad social</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20"/>
                <w:szCs w:val="20"/>
              </w:rPr>
            </w:pPr>
            <w:r>
              <w:rPr>
                <w:rFonts w:ascii="Arial" w:hAnsi="Arial" w:cs="Arial"/>
                <w:b/>
                <w:bCs/>
                <w:color w:val="000000"/>
                <w:sz w:val="20"/>
                <w:szCs w:val="20"/>
              </w:rPr>
              <w:t>-</w:t>
            </w:r>
          </w:p>
        </w:tc>
      </w:tr>
      <w:tr>
        <w:tblPrEx>
          <w:tblCellMar>
            <w:top w:w="0" w:type="dxa"/>
            <w:left w:w="70" w:type="dxa"/>
            <w:bottom w:w="0" w:type="dxa"/>
            <w:right w:w="70" w:type="dxa"/>
          </w:tblCellMar>
        </w:tblPrEx>
        <w:trPr>
          <w:gridAfter w:val="3"/>
          <w:wBefore w:w="0" w:type="dxa"/>
          <w:wAfter w:w="4423" w:type="dxa"/>
          <w:trHeight w:val="240"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2.21</w:t>
            </w:r>
          </w:p>
        </w:tc>
        <w:tc>
          <w:tcPr>
            <w:tcW w:w="753" w:type="dxa"/>
            <w:gridSpan w:val="6"/>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736" w:type="dxa"/>
            <w:gridSpan w:val="2"/>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nil"/>
              <w:left w:val="nil"/>
              <w:bottom w:val="single" w:color="auto" w:sz="4" w:space="0"/>
              <w:right w:val="single" w:color="auto" w:sz="4" w:space="0"/>
            </w:tcBorders>
            <w:shd w:val="clear" w:color="000000" w:fill="FFFFFF"/>
            <w:noWrap w:val="0"/>
            <w:vAlign w:val="center"/>
          </w:tcPr>
          <w:p>
            <w:pPr>
              <w:jc w:val="both"/>
              <w:rPr>
                <w:rFonts w:ascii="Arial" w:hAnsi="Arial" w:cs="Arial"/>
                <w:b/>
                <w:bCs/>
                <w:color w:val="000000"/>
                <w:sz w:val="18"/>
                <w:szCs w:val="18"/>
              </w:rPr>
            </w:pPr>
            <w:r>
              <w:rPr>
                <w:rFonts w:ascii="Arial" w:hAnsi="Arial" w:cs="Arial"/>
                <w:b/>
                <w:bCs/>
                <w:color w:val="000000"/>
                <w:sz w:val="18"/>
                <w:szCs w:val="18"/>
              </w:rPr>
              <w:t xml:space="preserve">        Aportaciones para fondos de vivienda</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w:t>
            </w:r>
          </w:p>
        </w:tc>
      </w:tr>
      <w:tr>
        <w:tblPrEx>
          <w:tblCellMar>
            <w:top w:w="0" w:type="dxa"/>
            <w:left w:w="70" w:type="dxa"/>
            <w:bottom w:w="0" w:type="dxa"/>
            <w:right w:w="70" w:type="dxa"/>
          </w:tblCellMar>
        </w:tblPrEx>
        <w:trPr>
          <w:gridAfter w:val="3"/>
          <w:wBefore w:w="0" w:type="dxa"/>
          <w:wAfter w:w="4423" w:type="dxa"/>
          <w:trHeight w:val="22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53" w:type="dxa"/>
            <w:gridSpan w:val="6"/>
            <w:tcBorders>
              <w:top w:val="nil"/>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2.21.1</w:t>
            </w:r>
          </w:p>
        </w:tc>
        <w:tc>
          <w:tcPr>
            <w:tcW w:w="736" w:type="dxa"/>
            <w:gridSpan w:val="2"/>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nil"/>
              <w:right w:val="single" w:color="auto" w:sz="4" w:space="0"/>
            </w:tcBorders>
            <w:shd w:val="clear" w:color="000000" w:fill="FFFFFF"/>
            <w:noWrap w:val="0"/>
            <w:vAlign w:val="center"/>
          </w:tcPr>
          <w:p>
            <w:pPr>
              <w:jc w:val="both"/>
              <w:rPr>
                <w:rFonts w:ascii="Arial" w:hAnsi="Arial" w:cs="Arial"/>
                <w:color w:val="000000"/>
                <w:sz w:val="16"/>
                <w:szCs w:val="16"/>
              </w:rPr>
            </w:pPr>
            <w:r>
              <w:rPr>
                <w:rFonts w:ascii="Arial" w:hAnsi="Arial" w:cs="Arial"/>
                <w:color w:val="000000"/>
                <w:sz w:val="16"/>
                <w:szCs w:val="16"/>
              </w:rPr>
              <w:t xml:space="preserve">               Aportaciones para fondos de vivienda</w:t>
            </w:r>
          </w:p>
        </w:tc>
        <w:tc>
          <w:tcPr>
            <w:tcW w:w="2282" w:type="dxa"/>
            <w:tcBorders>
              <w:top w:val="nil"/>
              <w:left w:val="nil"/>
              <w:bottom w:val="nil"/>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w:t>
            </w:r>
          </w:p>
        </w:tc>
      </w:tr>
      <w:tr>
        <w:tblPrEx>
          <w:tblCellMar>
            <w:top w:w="0" w:type="dxa"/>
            <w:left w:w="70" w:type="dxa"/>
            <w:bottom w:w="0" w:type="dxa"/>
            <w:right w:w="70" w:type="dxa"/>
          </w:tblCellMar>
        </w:tblPrEx>
        <w:trPr>
          <w:gridAfter w:val="3"/>
          <w:wBefore w:w="0" w:type="dxa"/>
          <w:wAfter w:w="4423" w:type="dxa"/>
          <w:trHeight w:val="390" w:hRule="atLeast"/>
        </w:trPr>
        <w:tc>
          <w:tcPr>
            <w:tcW w:w="308" w:type="dxa"/>
            <w:gridSpan w:val="2"/>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3</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753" w:type="dxa"/>
            <w:gridSpan w:val="6"/>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736"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both"/>
              <w:rPr>
                <w:rFonts w:ascii="Arial" w:hAnsi="Arial" w:cs="Arial"/>
                <w:b/>
                <w:bCs/>
                <w:color w:val="000000"/>
                <w:sz w:val="20"/>
                <w:szCs w:val="20"/>
              </w:rPr>
            </w:pPr>
            <w:r>
              <w:rPr>
                <w:rFonts w:ascii="Arial" w:hAnsi="Arial" w:cs="Arial"/>
                <w:b/>
                <w:bCs/>
                <w:color w:val="000000"/>
                <w:sz w:val="20"/>
                <w:szCs w:val="20"/>
              </w:rPr>
              <w:t>Contribuciones de mejoras</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20"/>
                <w:szCs w:val="20"/>
              </w:rPr>
            </w:pPr>
            <w:r>
              <w:rPr>
                <w:rFonts w:ascii="Arial" w:hAnsi="Arial" w:cs="Arial"/>
                <w:b/>
                <w:bCs/>
                <w:color w:val="000000"/>
                <w:sz w:val="20"/>
                <w:szCs w:val="20"/>
              </w:rPr>
              <w:t>0.00</w:t>
            </w:r>
          </w:p>
        </w:tc>
      </w:tr>
      <w:tr>
        <w:tblPrEx>
          <w:tblCellMar>
            <w:top w:w="0" w:type="dxa"/>
            <w:left w:w="70" w:type="dxa"/>
            <w:bottom w:w="0" w:type="dxa"/>
            <w:right w:w="70" w:type="dxa"/>
          </w:tblCellMar>
        </w:tblPrEx>
        <w:trPr>
          <w:gridAfter w:val="3"/>
          <w:wBefore w:w="0" w:type="dxa"/>
          <w:wAfter w:w="4423" w:type="dxa"/>
          <w:trHeight w:val="240"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3.31</w:t>
            </w:r>
          </w:p>
        </w:tc>
        <w:tc>
          <w:tcPr>
            <w:tcW w:w="753" w:type="dxa"/>
            <w:gridSpan w:val="6"/>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736" w:type="dxa"/>
            <w:gridSpan w:val="2"/>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single" w:color="auto" w:sz="4" w:space="0"/>
              <w:left w:val="nil"/>
              <w:bottom w:val="single" w:color="auto" w:sz="4" w:space="0"/>
              <w:right w:val="single" w:color="auto" w:sz="4" w:space="0"/>
            </w:tcBorders>
            <w:shd w:val="clear" w:color="000000" w:fill="FFFFFF"/>
            <w:noWrap w:val="0"/>
            <w:vAlign w:val="center"/>
          </w:tcPr>
          <w:p>
            <w:pPr>
              <w:ind w:firstLine="360" w:firstLineChars="200"/>
              <w:rPr>
                <w:rFonts w:ascii="Arial" w:hAnsi="Arial" w:cs="Arial"/>
                <w:b/>
                <w:bCs/>
                <w:color w:val="000000"/>
                <w:sz w:val="18"/>
                <w:szCs w:val="18"/>
              </w:rPr>
            </w:pPr>
            <w:r>
              <w:rPr>
                <w:rFonts w:ascii="Arial" w:hAnsi="Arial" w:cs="Arial"/>
                <w:b/>
                <w:bCs/>
                <w:color w:val="000000"/>
                <w:sz w:val="18"/>
                <w:szCs w:val="18"/>
              </w:rPr>
              <w:t>Contribución de mejoras por obras públicas</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0.00</w:t>
            </w:r>
          </w:p>
        </w:tc>
      </w:tr>
      <w:tr>
        <w:tblPrEx>
          <w:tblCellMar>
            <w:top w:w="0" w:type="dxa"/>
            <w:left w:w="70" w:type="dxa"/>
            <w:bottom w:w="0" w:type="dxa"/>
            <w:right w:w="70" w:type="dxa"/>
          </w:tblCellMar>
        </w:tblPrEx>
        <w:trPr>
          <w:gridAfter w:val="3"/>
          <w:wBefore w:w="0" w:type="dxa"/>
          <w:wAfter w:w="4423" w:type="dxa"/>
          <w:trHeight w:val="225"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53" w:type="dxa"/>
            <w:gridSpan w:val="6"/>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3.31.1</w:t>
            </w:r>
          </w:p>
        </w:tc>
        <w:tc>
          <w:tcPr>
            <w:tcW w:w="736"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Contribuciones de mejoras por obras públicas</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0.00</w:t>
            </w:r>
          </w:p>
        </w:tc>
      </w:tr>
      <w:tr>
        <w:tblPrEx>
          <w:tblCellMar>
            <w:top w:w="0" w:type="dxa"/>
            <w:left w:w="70" w:type="dxa"/>
            <w:bottom w:w="0" w:type="dxa"/>
            <w:right w:w="70" w:type="dxa"/>
          </w:tblCellMar>
        </w:tblPrEx>
        <w:trPr>
          <w:gridAfter w:val="3"/>
          <w:wBefore w:w="0" w:type="dxa"/>
          <w:wAfter w:w="4423" w:type="dxa"/>
          <w:trHeight w:val="810"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3.39</w:t>
            </w:r>
          </w:p>
        </w:tc>
        <w:tc>
          <w:tcPr>
            <w:tcW w:w="753" w:type="dxa"/>
            <w:gridSpan w:val="6"/>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736" w:type="dxa"/>
            <w:gridSpan w:val="2"/>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single" w:color="auto" w:sz="4" w:space="0"/>
              <w:left w:val="nil"/>
              <w:bottom w:val="single" w:color="auto" w:sz="4" w:space="0"/>
              <w:right w:val="single" w:color="auto" w:sz="4" w:space="0"/>
            </w:tcBorders>
            <w:shd w:val="clear" w:color="000000" w:fill="FFFFFF"/>
            <w:noWrap w:val="0"/>
            <w:vAlign w:val="center"/>
          </w:tcPr>
          <w:p>
            <w:pPr>
              <w:ind w:left="418" w:leftChars="174" w:firstLine="2" w:firstLineChars="1"/>
              <w:jc w:val="both"/>
              <w:rPr>
                <w:rFonts w:ascii="Arial" w:hAnsi="Arial" w:cs="Arial"/>
                <w:b/>
                <w:bCs/>
                <w:color w:val="000000"/>
                <w:sz w:val="18"/>
                <w:szCs w:val="18"/>
              </w:rPr>
            </w:pPr>
            <w:r>
              <w:rPr>
                <w:rFonts w:ascii="Arial" w:hAnsi="Arial" w:cs="Arial"/>
                <w:b/>
                <w:bCs/>
                <w:color w:val="000000"/>
                <w:sz w:val="18"/>
                <w:szCs w:val="18"/>
              </w:rPr>
              <w:t>Contribuciones de Mejoras no comprendidas en la Ley de Ingresos vigente causadas en ejercicios fiscales anteriores pendientes de liquidación o pago</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0.00</w:t>
            </w:r>
          </w:p>
        </w:tc>
      </w:tr>
      <w:tr>
        <w:tblPrEx>
          <w:tblCellMar>
            <w:top w:w="0" w:type="dxa"/>
            <w:left w:w="70" w:type="dxa"/>
            <w:bottom w:w="0" w:type="dxa"/>
            <w:right w:w="70" w:type="dxa"/>
          </w:tblCellMar>
        </w:tblPrEx>
        <w:trPr>
          <w:gridAfter w:val="3"/>
          <w:wBefore w:w="0" w:type="dxa"/>
          <w:wAfter w:w="4423" w:type="dxa"/>
          <w:trHeight w:val="690"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53" w:type="dxa"/>
            <w:gridSpan w:val="6"/>
            <w:tcBorders>
              <w:top w:val="nil"/>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3.39.1</w:t>
            </w:r>
          </w:p>
        </w:tc>
        <w:tc>
          <w:tcPr>
            <w:tcW w:w="736" w:type="dxa"/>
            <w:gridSpan w:val="2"/>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nil"/>
              <w:right w:val="single" w:color="auto" w:sz="4" w:space="0"/>
            </w:tcBorders>
            <w:shd w:val="clear" w:color="000000" w:fill="FFFFFF"/>
            <w:noWrap w:val="0"/>
            <w:vAlign w:val="center"/>
          </w:tcPr>
          <w:p>
            <w:pPr>
              <w:ind w:left="563"/>
              <w:jc w:val="both"/>
              <w:rPr>
                <w:rFonts w:ascii="Arial" w:hAnsi="Arial" w:cs="Arial"/>
                <w:color w:val="000000"/>
                <w:sz w:val="16"/>
                <w:szCs w:val="16"/>
              </w:rPr>
            </w:pPr>
            <w:r>
              <w:rPr>
                <w:rFonts w:ascii="Arial" w:hAnsi="Arial" w:cs="Arial"/>
                <w:color w:val="000000"/>
                <w:sz w:val="16"/>
                <w:szCs w:val="16"/>
              </w:rPr>
              <w:t>Contribuciones de Mejoras no comprendidas en la Ley de Ingresos vigente causadas en ejercicios fiscales anteriores pendientes de liquidación o pago</w:t>
            </w:r>
          </w:p>
        </w:tc>
        <w:tc>
          <w:tcPr>
            <w:tcW w:w="2282" w:type="dxa"/>
            <w:tcBorders>
              <w:top w:val="nil"/>
              <w:left w:val="nil"/>
              <w:bottom w:val="nil"/>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0.00</w:t>
            </w:r>
          </w:p>
        </w:tc>
      </w:tr>
      <w:tr>
        <w:tblPrEx>
          <w:tblCellMar>
            <w:top w:w="0" w:type="dxa"/>
            <w:left w:w="70" w:type="dxa"/>
            <w:bottom w:w="0" w:type="dxa"/>
            <w:right w:w="70" w:type="dxa"/>
          </w:tblCellMar>
        </w:tblPrEx>
        <w:trPr>
          <w:gridAfter w:val="3"/>
          <w:wBefore w:w="0" w:type="dxa"/>
          <w:wAfter w:w="4423" w:type="dxa"/>
          <w:trHeight w:val="450" w:hRule="atLeast"/>
        </w:trPr>
        <w:tc>
          <w:tcPr>
            <w:tcW w:w="308" w:type="dxa"/>
            <w:gridSpan w:val="2"/>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b/>
                <w:bCs/>
                <w:color w:val="000000"/>
                <w:sz w:val="20"/>
                <w:szCs w:val="20"/>
                <w:lang w:val="es-MX" w:eastAsia="es-MX"/>
              </w:rPr>
            </w:pPr>
            <w:r>
              <w:rPr>
                <w:rFonts w:ascii="Arial" w:hAnsi="Arial" w:cs="Arial"/>
                <w:b/>
                <w:bCs/>
                <w:color w:val="000000"/>
                <w:sz w:val="20"/>
                <w:szCs w:val="20"/>
              </w:rPr>
              <w:t>4</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736" w:type="dxa"/>
            <w:gridSpan w:val="5"/>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753" w:type="dxa"/>
            <w:gridSpan w:val="3"/>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both"/>
              <w:rPr>
                <w:rFonts w:ascii="Arial" w:hAnsi="Arial" w:cs="Arial"/>
                <w:b/>
                <w:bCs/>
                <w:color w:val="000000"/>
                <w:sz w:val="20"/>
                <w:szCs w:val="20"/>
              </w:rPr>
            </w:pPr>
            <w:r>
              <w:rPr>
                <w:rFonts w:ascii="Arial" w:hAnsi="Arial" w:cs="Arial"/>
                <w:b/>
                <w:bCs/>
                <w:color w:val="000000"/>
                <w:sz w:val="20"/>
                <w:szCs w:val="20"/>
              </w:rPr>
              <w:t xml:space="preserve">Derechos </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20"/>
                <w:szCs w:val="20"/>
              </w:rPr>
            </w:pPr>
            <w:r>
              <w:rPr>
                <w:rFonts w:ascii="Arial" w:hAnsi="Arial" w:cs="Arial"/>
                <w:b/>
                <w:bCs/>
                <w:color w:val="000000"/>
                <w:sz w:val="20"/>
                <w:szCs w:val="20"/>
              </w:rPr>
              <w:t>166,743,247.00</w:t>
            </w:r>
          </w:p>
        </w:tc>
      </w:tr>
      <w:tr>
        <w:tblPrEx>
          <w:tblCellMar>
            <w:top w:w="0" w:type="dxa"/>
            <w:left w:w="70" w:type="dxa"/>
            <w:bottom w:w="0" w:type="dxa"/>
            <w:right w:w="70" w:type="dxa"/>
          </w:tblCellMar>
        </w:tblPrEx>
        <w:trPr>
          <w:gridAfter w:val="3"/>
          <w:wBefore w:w="0" w:type="dxa"/>
          <w:wAfter w:w="4423" w:type="dxa"/>
          <w:trHeight w:val="540"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4.41</w:t>
            </w:r>
          </w:p>
        </w:tc>
        <w:tc>
          <w:tcPr>
            <w:tcW w:w="736" w:type="dxa"/>
            <w:gridSpan w:val="5"/>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753" w:type="dxa"/>
            <w:gridSpan w:val="3"/>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single" w:color="auto" w:sz="4" w:space="0"/>
              <w:left w:val="nil"/>
              <w:bottom w:val="single" w:color="auto" w:sz="4" w:space="0"/>
              <w:right w:val="single" w:color="auto" w:sz="4" w:space="0"/>
            </w:tcBorders>
            <w:shd w:val="clear" w:color="000000" w:fill="FFFFFF"/>
            <w:noWrap w:val="0"/>
            <w:vAlign w:val="center"/>
          </w:tcPr>
          <w:p>
            <w:pPr>
              <w:ind w:left="436"/>
              <w:jc w:val="both"/>
              <w:rPr>
                <w:rFonts w:ascii="Arial" w:hAnsi="Arial" w:cs="Arial"/>
                <w:b/>
                <w:bCs/>
                <w:color w:val="000000"/>
                <w:sz w:val="18"/>
                <w:szCs w:val="18"/>
              </w:rPr>
            </w:pPr>
            <w:r>
              <w:rPr>
                <w:rFonts w:ascii="Arial" w:hAnsi="Arial" w:cs="Arial"/>
                <w:b/>
                <w:bCs/>
                <w:color w:val="000000"/>
                <w:sz w:val="18"/>
                <w:szCs w:val="18"/>
              </w:rPr>
              <w:t>Derechos por el uso, goce, aprovechamiento o explotación de bienes de dominio público</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10,659,908.00</w:t>
            </w:r>
          </w:p>
        </w:tc>
      </w:tr>
      <w:tr>
        <w:tblPrEx>
          <w:tblCellMar>
            <w:top w:w="0" w:type="dxa"/>
            <w:left w:w="70" w:type="dxa"/>
            <w:bottom w:w="0" w:type="dxa"/>
            <w:right w:w="70" w:type="dxa"/>
          </w:tblCellMar>
        </w:tblPrEx>
        <w:trPr>
          <w:gridAfter w:val="3"/>
          <w:wBefore w:w="0" w:type="dxa"/>
          <w:wAfter w:w="4423" w:type="dxa"/>
          <w:trHeight w:val="225"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36" w:type="dxa"/>
            <w:gridSpan w:val="5"/>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4.41.1</w:t>
            </w:r>
          </w:p>
        </w:tc>
        <w:tc>
          <w:tcPr>
            <w:tcW w:w="753" w:type="dxa"/>
            <w:gridSpan w:val="3"/>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left="578"/>
              <w:jc w:val="both"/>
              <w:rPr>
                <w:rFonts w:ascii="Arial" w:hAnsi="Arial" w:cs="Arial"/>
                <w:color w:val="000000"/>
                <w:sz w:val="16"/>
                <w:szCs w:val="16"/>
              </w:rPr>
            </w:pPr>
            <w:r>
              <w:rPr>
                <w:rFonts w:ascii="Arial" w:hAnsi="Arial" w:cs="Arial"/>
                <w:color w:val="000000"/>
                <w:sz w:val="16"/>
                <w:szCs w:val="16"/>
              </w:rPr>
              <w:t>Por el uso de locales o piso de mercados, espacios en la vía o parques públicos</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4,640,238.00</w:t>
            </w:r>
          </w:p>
        </w:tc>
      </w:tr>
      <w:tr>
        <w:tblPrEx>
          <w:tblCellMar>
            <w:top w:w="0" w:type="dxa"/>
            <w:left w:w="70" w:type="dxa"/>
            <w:bottom w:w="0" w:type="dxa"/>
            <w:right w:w="70" w:type="dxa"/>
          </w:tblCellMar>
        </w:tblPrEx>
        <w:trPr>
          <w:gridAfter w:val="3"/>
          <w:wBefore w:w="0" w:type="dxa"/>
          <w:wAfter w:w="4423" w:type="dxa"/>
          <w:trHeight w:val="450"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36" w:type="dxa"/>
            <w:gridSpan w:val="5"/>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4.41.2</w:t>
            </w:r>
          </w:p>
        </w:tc>
        <w:tc>
          <w:tcPr>
            <w:tcW w:w="753" w:type="dxa"/>
            <w:gridSpan w:val="3"/>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left="578"/>
              <w:jc w:val="both"/>
              <w:rPr>
                <w:rFonts w:ascii="Arial" w:hAnsi="Arial" w:cs="Arial"/>
                <w:color w:val="000000"/>
                <w:sz w:val="16"/>
                <w:szCs w:val="16"/>
              </w:rPr>
            </w:pPr>
            <w:r>
              <w:rPr>
                <w:rFonts w:ascii="Arial" w:hAnsi="Arial" w:cs="Arial"/>
                <w:color w:val="000000"/>
                <w:sz w:val="16"/>
                <w:szCs w:val="16"/>
              </w:rPr>
              <w:t>Por enajenación, uso y explotación de bienes muebles e inmuebles del dominio público del municipio</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187,169.00</w:t>
            </w:r>
          </w:p>
        </w:tc>
      </w:tr>
      <w:tr>
        <w:tblPrEx>
          <w:tblCellMar>
            <w:top w:w="0" w:type="dxa"/>
            <w:left w:w="70" w:type="dxa"/>
            <w:bottom w:w="0" w:type="dxa"/>
            <w:right w:w="70" w:type="dxa"/>
          </w:tblCellMar>
        </w:tblPrEx>
        <w:trPr>
          <w:gridAfter w:val="3"/>
          <w:wBefore w:w="0" w:type="dxa"/>
          <w:wAfter w:w="4423" w:type="dxa"/>
          <w:trHeight w:val="600"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36" w:type="dxa"/>
            <w:gridSpan w:val="5"/>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4.41.3</w:t>
            </w:r>
          </w:p>
        </w:tc>
        <w:tc>
          <w:tcPr>
            <w:tcW w:w="753" w:type="dxa"/>
            <w:gridSpan w:val="3"/>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left="578"/>
              <w:jc w:val="both"/>
              <w:rPr>
                <w:rFonts w:ascii="Arial" w:hAnsi="Arial" w:cs="Arial"/>
                <w:color w:val="000000"/>
                <w:sz w:val="16"/>
                <w:szCs w:val="16"/>
              </w:rPr>
            </w:pPr>
            <w:r>
              <w:rPr>
                <w:rFonts w:ascii="Arial" w:hAnsi="Arial" w:cs="Arial"/>
                <w:color w:val="000000"/>
                <w:sz w:val="16"/>
                <w:szCs w:val="16"/>
              </w:rPr>
              <w:t>Por el otorgamiento de concesiones para el uso y aprovechamiento de superficies en los mercados municipales</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0.00</w:t>
            </w:r>
          </w:p>
        </w:tc>
      </w:tr>
      <w:tr>
        <w:tblPrEx>
          <w:tblCellMar>
            <w:top w:w="0" w:type="dxa"/>
            <w:left w:w="70" w:type="dxa"/>
            <w:bottom w:w="0" w:type="dxa"/>
            <w:right w:w="70" w:type="dxa"/>
          </w:tblCellMar>
        </w:tblPrEx>
        <w:trPr>
          <w:gridAfter w:val="3"/>
          <w:wBefore w:w="0" w:type="dxa"/>
          <w:wAfter w:w="4423" w:type="dxa"/>
          <w:trHeight w:val="22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36" w:type="dxa"/>
            <w:gridSpan w:val="5"/>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4.41.4</w:t>
            </w:r>
          </w:p>
        </w:tc>
        <w:tc>
          <w:tcPr>
            <w:tcW w:w="753" w:type="dxa"/>
            <w:gridSpan w:val="3"/>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left="578"/>
              <w:jc w:val="both"/>
              <w:rPr>
                <w:rFonts w:ascii="Arial" w:hAnsi="Arial" w:cs="Arial"/>
                <w:color w:val="000000"/>
                <w:sz w:val="16"/>
                <w:szCs w:val="16"/>
              </w:rPr>
            </w:pPr>
            <w:r>
              <w:rPr>
                <w:rFonts w:ascii="Arial" w:hAnsi="Arial" w:cs="Arial"/>
                <w:color w:val="000000"/>
                <w:sz w:val="16"/>
                <w:szCs w:val="16"/>
              </w:rPr>
              <w:t>Por uso, goce y aprovechamiento de bienes de los Panteones Públicos</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5,594,658.00</w:t>
            </w:r>
          </w:p>
        </w:tc>
      </w:tr>
      <w:tr>
        <w:tblPrEx>
          <w:tblCellMar>
            <w:top w:w="0" w:type="dxa"/>
            <w:left w:w="70" w:type="dxa"/>
            <w:bottom w:w="0" w:type="dxa"/>
            <w:right w:w="70" w:type="dxa"/>
          </w:tblCellMar>
        </w:tblPrEx>
        <w:trPr>
          <w:gridAfter w:val="3"/>
          <w:wBefore w:w="0" w:type="dxa"/>
          <w:wAfter w:w="4423" w:type="dxa"/>
          <w:trHeight w:val="22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36" w:type="dxa"/>
            <w:gridSpan w:val="5"/>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4.41.5</w:t>
            </w:r>
          </w:p>
        </w:tc>
        <w:tc>
          <w:tcPr>
            <w:tcW w:w="753" w:type="dxa"/>
            <w:gridSpan w:val="3"/>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left="578"/>
              <w:jc w:val="both"/>
              <w:rPr>
                <w:rFonts w:ascii="Arial" w:hAnsi="Arial" w:cs="Arial"/>
                <w:color w:val="000000"/>
                <w:sz w:val="16"/>
                <w:szCs w:val="16"/>
              </w:rPr>
            </w:pPr>
            <w:r>
              <w:rPr>
                <w:rFonts w:ascii="Arial" w:hAnsi="Arial" w:cs="Arial"/>
                <w:color w:val="000000"/>
                <w:sz w:val="16"/>
                <w:szCs w:val="16"/>
              </w:rPr>
              <w:t>Por los permisos de oferentes en programas para la promoción económica, turística y cultural</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237,843.00</w:t>
            </w:r>
          </w:p>
        </w:tc>
      </w:tr>
      <w:tr>
        <w:tblPrEx>
          <w:tblCellMar>
            <w:top w:w="0" w:type="dxa"/>
            <w:left w:w="70" w:type="dxa"/>
            <w:bottom w:w="0" w:type="dxa"/>
            <w:right w:w="70" w:type="dxa"/>
          </w:tblCellMar>
        </w:tblPrEx>
        <w:trPr>
          <w:gridAfter w:val="3"/>
          <w:wBefore w:w="0" w:type="dxa"/>
          <w:wAfter w:w="4423" w:type="dxa"/>
          <w:trHeight w:val="540" w:hRule="atLeast"/>
        </w:trPr>
        <w:tc>
          <w:tcPr>
            <w:tcW w:w="3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lang w:val="es-MX" w:eastAsia="es-MX"/>
              </w:rPr>
            </w:pPr>
            <w:r>
              <w:rPr>
                <w:rFonts w:ascii="Arial" w:hAnsi="Arial" w:cs="Arial"/>
                <w:b/>
                <w:bCs/>
                <w:color w:val="000000"/>
                <w:sz w:val="18"/>
                <w:szCs w:val="18"/>
              </w:rPr>
              <w:t> </w:t>
            </w: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4.43</w:t>
            </w:r>
          </w:p>
        </w:tc>
        <w:tc>
          <w:tcPr>
            <w:tcW w:w="716" w:type="dxa"/>
            <w:gridSpan w:val="5"/>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794" w:type="dxa"/>
            <w:gridSpan w:val="4"/>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single" w:color="auto" w:sz="4" w:space="0"/>
              <w:left w:val="nil"/>
              <w:bottom w:val="single" w:color="auto" w:sz="4" w:space="0"/>
              <w:right w:val="single" w:color="auto" w:sz="4" w:space="0"/>
            </w:tcBorders>
            <w:shd w:val="clear" w:color="000000" w:fill="FFFFFF"/>
            <w:noWrap w:val="0"/>
            <w:vAlign w:val="center"/>
          </w:tcPr>
          <w:p>
            <w:pPr>
              <w:ind w:firstLine="360" w:firstLineChars="200"/>
              <w:rPr>
                <w:rFonts w:ascii="Arial" w:hAnsi="Arial" w:cs="Arial"/>
                <w:b/>
                <w:bCs/>
                <w:color w:val="000000"/>
                <w:sz w:val="18"/>
                <w:szCs w:val="18"/>
              </w:rPr>
            </w:pPr>
            <w:r>
              <w:rPr>
                <w:rFonts w:ascii="Arial" w:hAnsi="Arial" w:cs="Arial"/>
                <w:b/>
                <w:bCs/>
                <w:color w:val="000000"/>
                <w:sz w:val="18"/>
                <w:szCs w:val="18"/>
              </w:rPr>
              <w:t>Derechos por prestación de servicios</w:t>
            </w:r>
            <w:r>
              <w:rPr>
                <w:rFonts w:ascii="Arial" w:hAnsi="Arial" w:cs="Arial"/>
                <w:b/>
                <w:bCs/>
                <w:color w:val="000000"/>
                <w:sz w:val="16"/>
                <w:szCs w:val="16"/>
              </w:rPr>
              <w:t xml:space="preserve"> </w:t>
            </w:r>
          </w:p>
        </w:tc>
        <w:tc>
          <w:tcPr>
            <w:tcW w:w="2282" w:type="dxa"/>
            <w:tcBorders>
              <w:top w:val="single" w:color="auto" w:sz="4" w:space="0"/>
              <w:left w:val="nil"/>
              <w:bottom w:val="single" w:color="auto" w:sz="4" w:space="0"/>
              <w:right w:val="single" w:color="auto" w:sz="4" w:space="0"/>
            </w:tcBorders>
            <w:shd w:val="clear" w:color="auto" w:fill="auto"/>
            <w:noWrap w:val="0"/>
            <w:vAlign w:val="center"/>
          </w:tcPr>
          <w:p>
            <w:pPr>
              <w:jc w:val="right"/>
              <w:rPr>
                <w:rFonts w:ascii="Arial" w:hAnsi="Arial" w:cs="Arial"/>
                <w:b/>
                <w:bCs/>
                <w:color w:val="000000"/>
                <w:sz w:val="18"/>
                <w:szCs w:val="18"/>
              </w:rPr>
            </w:pPr>
            <w:r>
              <w:rPr>
                <w:rFonts w:ascii="Arial" w:hAnsi="Arial" w:cs="Arial"/>
                <w:b/>
                <w:bCs/>
                <w:color w:val="000000"/>
                <w:sz w:val="18"/>
                <w:szCs w:val="18"/>
              </w:rPr>
              <w:t>94,899,325.00</w:t>
            </w:r>
          </w:p>
        </w:tc>
      </w:tr>
      <w:tr>
        <w:tblPrEx>
          <w:tblCellMar>
            <w:top w:w="0" w:type="dxa"/>
            <w:left w:w="70" w:type="dxa"/>
            <w:bottom w:w="0" w:type="dxa"/>
            <w:right w:w="70" w:type="dxa"/>
          </w:tblCellMar>
        </w:tblPrEx>
        <w:trPr>
          <w:gridAfter w:val="3"/>
          <w:wBefore w:w="0" w:type="dxa"/>
          <w:wAfter w:w="4423" w:type="dxa"/>
          <w:trHeight w:val="225" w:hRule="atLeast"/>
        </w:trPr>
        <w:tc>
          <w:tcPr>
            <w:tcW w:w="30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16" w:type="dxa"/>
            <w:gridSpan w:val="5"/>
            <w:tcBorders>
              <w:top w:val="nil"/>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4.43.1</w:t>
            </w:r>
          </w:p>
        </w:tc>
        <w:tc>
          <w:tcPr>
            <w:tcW w:w="794" w:type="dxa"/>
            <w:gridSpan w:val="4"/>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 xml:space="preserve"> Por el servicio de agua potable y drenaje</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171,000.00</w:t>
            </w:r>
          </w:p>
        </w:tc>
      </w:tr>
      <w:tr>
        <w:tblPrEx>
          <w:tblCellMar>
            <w:top w:w="0" w:type="dxa"/>
            <w:left w:w="70" w:type="dxa"/>
            <w:bottom w:w="0" w:type="dxa"/>
            <w:right w:w="70" w:type="dxa"/>
          </w:tblCellMar>
        </w:tblPrEx>
        <w:trPr>
          <w:gridAfter w:val="3"/>
          <w:wBefore w:w="0" w:type="dxa"/>
          <w:wAfter w:w="4423" w:type="dxa"/>
          <w:trHeight w:val="225" w:hRule="atLeast"/>
        </w:trPr>
        <w:tc>
          <w:tcPr>
            <w:tcW w:w="30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16" w:type="dxa"/>
            <w:gridSpan w:val="5"/>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4.43.2</w:t>
            </w:r>
          </w:p>
        </w:tc>
        <w:tc>
          <w:tcPr>
            <w:tcW w:w="794" w:type="dxa"/>
            <w:gridSpan w:val="4"/>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 xml:space="preserve"> Por servicio de alumbrado público</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72,000,000.00</w:t>
            </w:r>
          </w:p>
        </w:tc>
      </w:tr>
      <w:tr>
        <w:tblPrEx>
          <w:tblCellMar>
            <w:top w:w="0" w:type="dxa"/>
            <w:left w:w="70" w:type="dxa"/>
            <w:bottom w:w="0" w:type="dxa"/>
            <w:right w:w="70" w:type="dxa"/>
          </w:tblCellMar>
        </w:tblPrEx>
        <w:trPr>
          <w:gridAfter w:val="3"/>
          <w:wBefore w:w="0" w:type="dxa"/>
          <w:wAfter w:w="4423" w:type="dxa"/>
          <w:trHeight w:val="225" w:hRule="atLeast"/>
        </w:trPr>
        <w:tc>
          <w:tcPr>
            <w:tcW w:w="30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16" w:type="dxa"/>
            <w:gridSpan w:val="5"/>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4.43.3</w:t>
            </w:r>
          </w:p>
        </w:tc>
        <w:tc>
          <w:tcPr>
            <w:tcW w:w="794" w:type="dxa"/>
            <w:gridSpan w:val="4"/>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 xml:space="preserve"> Por el Servicio Público de Panteones</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4,260,021.00</w:t>
            </w:r>
          </w:p>
        </w:tc>
      </w:tr>
      <w:tr>
        <w:tblPrEx>
          <w:tblCellMar>
            <w:top w:w="0" w:type="dxa"/>
            <w:left w:w="70" w:type="dxa"/>
            <w:bottom w:w="0" w:type="dxa"/>
            <w:right w:w="70" w:type="dxa"/>
          </w:tblCellMar>
        </w:tblPrEx>
        <w:trPr>
          <w:gridAfter w:val="3"/>
          <w:wBefore w:w="0" w:type="dxa"/>
          <w:wAfter w:w="4423" w:type="dxa"/>
          <w:trHeight w:val="225" w:hRule="atLeast"/>
        </w:trPr>
        <w:tc>
          <w:tcPr>
            <w:tcW w:w="3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16" w:type="dxa"/>
            <w:gridSpan w:val="5"/>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4.43.4</w:t>
            </w:r>
          </w:p>
        </w:tc>
        <w:tc>
          <w:tcPr>
            <w:tcW w:w="794" w:type="dxa"/>
            <w:gridSpan w:val="4"/>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 xml:space="preserve"> Por los servicios de vigilancia y relativos a Vialidad</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315,399.00</w:t>
            </w:r>
          </w:p>
        </w:tc>
      </w:tr>
      <w:tr>
        <w:tblPrEx>
          <w:tblCellMar>
            <w:top w:w="0" w:type="dxa"/>
            <w:left w:w="70" w:type="dxa"/>
            <w:bottom w:w="0" w:type="dxa"/>
            <w:right w:w="70" w:type="dxa"/>
          </w:tblCellMar>
        </w:tblPrEx>
        <w:trPr>
          <w:gridAfter w:val="3"/>
          <w:wBefore w:w="0" w:type="dxa"/>
          <w:wAfter w:w="4423" w:type="dxa"/>
          <w:trHeight w:val="225" w:hRule="atLeast"/>
        </w:trPr>
        <w:tc>
          <w:tcPr>
            <w:tcW w:w="3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16" w:type="dxa"/>
            <w:gridSpan w:val="5"/>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4.43.5</w:t>
            </w:r>
          </w:p>
        </w:tc>
        <w:tc>
          <w:tcPr>
            <w:tcW w:w="794" w:type="dxa"/>
            <w:gridSpan w:val="4"/>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 xml:space="preserve"> Por los servicios de corralón y grúa</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97,961.00</w:t>
            </w:r>
          </w:p>
        </w:tc>
      </w:tr>
      <w:tr>
        <w:tblPrEx>
          <w:tblCellMar>
            <w:top w:w="0" w:type="dxa"/>
            <w:left w:w="70" w:type="dxa"/>
            <w:bottom w:w="0" w:type="dxa"/>
            <w:right w:w="70" w:type="dxa"/>
          </w:tblCellMar>
        </w:tblPrEx>
        <w:trPr>
          <w:gridAfter w:val="3"/>
          <w:wBefore w:w="0" w:type="dxa"/>
          <w:wAfter w:w="4423" w:type="dxa"/>
          <w:trHeight w:val="225" w:hRule="atLeast"/>
        </w:trPr>
        <w:tc>
          <w:tcPr>
            <w:tcW w:w="3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16" w:type="dxa"/>
            <w:gridSpan w:val="5"/>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4.43.6</w:t>
            </w:r>
          </w:p>
        </w:tc>
        <w:tc>
          <w:tcPr>
            <w:tcW w:w="794" w:type="dxa"/>
            <w:gridSpan w:val="4"/>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left="675" w:hanging="1"/>
              <w:jc w:val="both"/>
              <w:rPr>
                <w:rFonts w:ascii="Arial" w:hAnsi="Arial" w:cs="Arial"/>
                <w:color w:val="000000"/>
                <w:sz w:val="16"/>
                <w:szCs w:val="16"/>
              </w:rPr>
            </w:pPr>
            <w:r>
              <w:rPr>
                <w:rFonts w:ascii="Arial" w:hAnsi="Arial" w:cs="Arial"/>
                <w:color w:val="000000"/>
                <w:sz w:val="16"/>
                <w:szCs w:val="16"/>
              </w:rPr>
              <w:t>Por los servicios que presta la Dirección de Catastro del Municipio</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18,054,944.00</w:t>
            </w:r>
          </w:p>
        </w:tc>
      </w:tr>
      <w:tr>
        <w:tblPrEx>
          <w:tblCellMar>
            <w:top w:w="0" w:type="dxa"/>
            <w:left w:w="70" w:type="dxa"/>
            <w:bottom w:w="0" w:type="dxa"/>
            <w:right w:w="70" w:type="dxa"/>
          </w:tblCellMar>
        </w:tblPrEx>
        <w:trPr>
          <w:gridAfter w:val="3"/>
          <w:wBefore w:w="0" w:type="dxa"/>
          <w:wAfter w:w="4423" w:type="dxa"/>
          <w:trHeight w:val="450" w:hRule="atLeast"/>
        </w:trPr>
        <w:tc>
          <w:tcPr>
            <w:tcW w:w="3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16" w:type="dxa"/>
            <w:gridSpan w:val="5"/>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4.43.7</w:t>
            </w:r>
          </w:p>
        </w:tc>
        <w:tc>
          <w:tcPr>
            <w:tcW w:w="794" w:type="dxa"/>
            <w:gridSpan w:val="4"/>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left="675" w:hanging="1"/>
              <w:jc w:val="both"/>
              <w:rPr>
                <w:rFonts w:ascii="Arial" w:hAnsi="Arial" w:cs="Arial"/>
                <w:color w:val="000000"/>
                <w:sz w:val="16"/>
                <w:szCs w:val="16"/>
              </w:rPr>
            </w:pPr>
            <w:r>
              <w:rPr>
                <w:rFonts w:ascii="Arial" w:hAnsi="Arial" w:cs="Arial"/>
                <w:color w:val="000000"/>
                <w:sz w:val="16"/>
                <w:szCs w:val="16"/>
              </w:rPr>
              <w:t>Provenientes de organismos descentralizados y empresas paramunicipales</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0.00</w:t>
            </w:r>
          </w:p>
        </w:tc>
      </w:tr>
      <w:tr>
        <w:tblPrEx>
          <w:tblCellMar>
            <w:top w:w="0" w:type="dxa"/>
            <w:left w:w="70" w:type="dxa"/>
            <w:bottom w:w="0" w:type="dxa"/>
            <w:right w:w="70" w:type="dxa"/>
          </w:tblCellMar>
        </w:tblPrEx>
        <w:trPr>
          <w:gridAfter w:val="3"/>
          <w:wBefore w:w="0" w:type="dxa"/>
          <w:wAfter w:w="4423" w:type="dxa"/>
          <w:trHeight w:val="540" w:hRule="atLeast"/>
        </w:trPr>
        <w:tc>
          <w:tcPr>
            <w:tcW w:w="3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4.44</w:t>
            </w:r>
          </w:p>
        </w:tc>
        <w:tc>
          <w:tcPr>
            <w:tcW w:w="716" w:type="dxa"/>
            <w:gridSpan w:val="5"/>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794" w:type="dxa"/>
            <w:gridSpan w:val="4"/>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single" w:color="auto" w:sz="4" w:space="0"/>
              <w:left w:val="nil"/>
              <w:bottom w:val="single" w:color="auto" w:sz="4" w:space="0"/>
              <w:right w:val="single" w:color="auto" w:sz="4" w:space="0"/>
            </w:tcBorders>
            <w:shd w:val="clear" w:color="000000" w:fill="FFFFFF"/>
            <w:noWrap w:val="0"/>
            <w:vAlign w:val="center"/>
          </w:tcPr>
          <w:p>
            <w:pPr>
              <w:ind w:firstLine="360" w:firstLineChars="200"/>
              <w:rPr>
                <w:rFonts w:ascii="Arial" w:hAnsi="Arial" w:cs="Arial"/>
                <w:b/>
                <w:bCs/>
                <w:color w:val="000000"/>
                <w:sz w:val="18"/>
                <w:szCs w:val="18"/>
              </w:rPr>
            </w:pPr>
            <w:r>
              <w:rPr>
                <w:rFonts w:ascii="Arial" w:hAnsi="Arial" w:cs="Arial"/>
                <w:b/>
                <w:bCs/>
                <w:color w:val="000000"/>
                <w:sz w:val="18"/>
                <w:szCs w:val="18"/>
              </w:rPr>
              <w:t>Otros Derechos</w:t>
            </w:r>
          </w:p>
        </w:tc>
        <w:tc>
          <w:tcPr>
            <w:tcW w:w="2282" w:type="dxa"/>
            <w:tcBorders>
              <w:top w:val="single" w:color="auto" w:sz="4" w:space="0"/>
              <w:left w:val="nil"/>
              <w:bottom w:val="single" w:color="auto" w:sz="4" w:space="0"/>
              <w:right w:val="single" w:color="auto" w:sz="4" w:space="0"/>
            </w:tcBorders>
            <w:shd w:val="clear" w:color="auto" w:fill="auto"/>
            <w:noWrap w:val="0"/>
            <w:vAlign w:val="center"/>
          </w:tcPr>
          <w:p>
            <w:pPr>
              <w:jc w:val="right"/>
              <w:rPr>
                <w:rFonts w:ascii="Arial" w:hAnsi="Arial" w:cs="Arial"/>
                <w:b/>
                <w:bCs/>
                <w:color w:val="000000"/>
                <w:sz w:val="18"/>
                <w:szCs w:val="18"/>
              </w:rPr>
            </w:pPr>
            <w:r>
              <w:rPr>
                <w:rFonts w:ascii="Arial" w:hAnsi="Arial" w:cs="Arial"/>
                <w:b/>
                <w:bCs/>
                <w:color w:val="000000"/>
                <w:sz w:val="18"/>
                <w:szCs w:val="18"/>
              </w:rPr>
              <w:t>56,650,526.00</w:t>
            </w:r>
          </w:p>
        </w:tc>
      </w:tr>
      <w:tr>
        <w:tblPrEx>
          <w:tblCellMar>
            <w:top w:w="0" w:type="dxa"/>
            <w:left w:w="70" w:type="dxa"/>
            <w:bottom w:w="0" w:type="dxa"/>
            <w:right w:w="70" w:type="dxa"/>
          </w:tblCellMar>
        </w:tblPrEx>
        <w:trPr>
          <w:gridAfter w:val="3"/>
          <w:wBefore w:w="0" w:type="dxa"/>
          <w:wAfter w:w="4423" w:type="dxa"/>
          <w:trHeight w:val="225" w:hRule="atLeast"/>
        </w:trPr>
        <w:tc>
          <w:tcPr>
            <w:tcW w:w="30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16" w:type="dxa"/>
            <w:gridSpan w:val="5"/>
            <w:tcBorders>
              <w:top w:val="nil"/>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4.44.1</w:t>
            </w:r>
          </w:p>
        </w:tc>
        <w:tc>
          <w:tcPr>
            <w:tcW w:w="794" w:type="dxa"/>
            <w:gridSpan w:val="4"/>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 xml:space="preserve"> Por Licencias de funcionamiento y Permisos</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1,848,806.00</w:t>
            </w:r>
          </w:p>
        </w:tc>
      </w:tr>
      <w:tr>
        <w:tblPrEx>
          <w:tblCellMar>
            <w:top w:w="0" w:type="dxa"/>
            <w:left w:w="70" w:type="dxa"/>
            <w:bottom w:w="0" w:type="dxa"/>
            <w:right w:w="70" w:type="dxa"/>
          </w:tblCellMar>
        </w:tblPrEx>
        <w:trPr>
          <w:gridAfter w:val="3"/>
          <w:wBefore w:w="0" w:type="dxa"/>
          <w:wAfter w:w="4423" w:type="dxa"/>
          <w:trHeight w:val="225" w:hRule="atLeast"/>
        </w:trPr>
        <w:tc>
          <w:tcPr>
            <w:tcW w:w="30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16" w:type="dxa"/>
            <w:gridSpan w:val="5"/>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4.44.2</w:t>
            </w:r>
          </w:p>
        </w:tc>
        <w:tc>
          <w:tcPr>
            <w:tcW w:w="794" w:type="dxa"/>
            <w:gridSpan w:val="4"/>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 xml:space="preserve"> Por los servicios que presta la Dirección de Desarrollo Urbano</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41,953,423.00</w:t>
            </w:r>
          </w:p>
        </w:tc>
      </w:tr>
      <w:tr>
        <w:tblPrEx>
          <w:tblCellMar>
            <w:top w:w="0" w:type="dxa"/>
            <w:left w:w="70" w:type="dxa"/>
            <w:bottom w:w="0" w:type="dxa"/>
            <w:right w:w="70" w:type="dxa"/>
          </w:tblCellMar>
        </w:tblPrEx>
        <w:trPr>
          <w:gridAfter w:val="3"/>
          <w:wBefore w:w="0" w:type="dxa"/>
          <w:wAfter w:w="4423" w:type="dxa"/>
          <w:trHeight w:val="225" w:hRule="atLeast"/>
        </w:trPr>
        <w:tc>
          <w:tcPr>
            <w:tcW w:w="30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16" w:type="dxa"/>
            <w:gridSpan w:val="5"/>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4.44.3</w:t>
            </w:r>
          </w:p>
        </w:tc>
        <w:tc>
          <w:tcPr>
            <w:tcW w:w="794" w:type="dxa"/>
            <w:gridSpan w:val="4"/>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 xml:space="preserve"> Por certificados y constancias</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3,446,495.00</w:t>
            </w:r>
          </w:p>
        </w:tc>
      </w:tr>
      <w:tr>
        <w:tblPrEx>
          <w:tblCellMar>
            <w:top w:w="0" w:type="dxa"/>
            <w:left w:w="70" w:type="dxa"/>
            <w:bottom w:w="0" w:type="dxa"/>
            <w:right w:w="70" w:type="dxa"/>
          </w:tblCellMar>
        </w:tblPrEx>
        <w:trPr>
          <w:gridAfter w:val="3"/>
          <w:wBefore w:w="0" w:type="dxa"/>
          <w:wAfter w:w="4423" w:type="dxa"/>
          <w:trHeight w:val="225" w:hRule="atLeast"/>
        </w:trPr>
        <w:tc>
          <w:tcPr>
            <w:tcW w:w="30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16" w:type="dxa"/>
            <w:gridSpan w:val="5"/>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4.44.4</w:t>
            </w:r>
          </w:p>
        </w:tc>
        <w:tc>
          <w:tcPr>
            <w:tcW w:w="794" w:type="dxa"/>
            <w:gridSpan w:val="4"/>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 xml:space="preserve"> Otros servicios prestados por el ayuntamiento</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217,906.00</w:t>
            </w:r>
          </w:p>
        </w:tc>
      </w:tr>
      <w:tr>
        <w:tblPrEx>
          <w:tblCellMar>
            <w:top w:w="0" w:type="dxa"/>
            <w:left w:w="70" w:type="dxa"/>
            <w:bottom w:w="0" w:type="dxa"/>
            <w:right w:w="70" w:type="dxa"/>
          </w:tblCellMar>
        </w:tblPrEx>
        <w:trPr>
          <w:gridAfter w:val="3"/>
          <w:wBefore w:w="0" w:type="dxa"/>
          <w:wAfter w:w="4423" w:type="dxa"/>
          <w:trHeight w:val="450" w:hRule="atLeast"/>
        </w:trPr>
        <w:tc>
          <w:tcPr>
            <w:tcW w:w="30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16" w:type="dxa"/>
            <w:gridSpan w:val="5"/>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4.44.5</w:t>
            </w:r>
          </w:p>
        </w:tc>
        <w:tc>
          <w:tcPr>
            <w:tcW w:w="794" w:type="dxa"/>
            <w:gridSpan w:val="4"/>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left="674" w:leftChars="281"/>
              <w:jc w:val="both"/>
              <w:rPr>
                <w:rFonts w:ascii="Arial" w:hAnsi="Arial" w:cs="Arial"/>
                <w:color w:val="000000"/>
                <w:sz w:val="16"/>
                <w:szCs w:val="16"/>
              </w:rPr>
            </w:pPr>
            <w:r>
              <w:rPr>
                <w:rFonts w:ascii="Arial" w:hAnsi="Arial" w:cs="Arial"/>
                <w:color w:val="000000"/>
                <w:sz w:val="16"/>
                <w:szCs w:val="16"/>
              </w:rPr>
              <w:t xml:space="preserve"> Servicios que presta la Unidad Municipal de Acceso a la Información Pública</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8,257.00</w:t>
            </w:r>
          </w:p>
        </w:tc>
      </w:tr>
      <w:tr>
        <w:tblPrEx>
          <w:tblCellMar>
            <w:top w:w="0" w:type="dxa"/>
            <w:left w:w="70" w:type="dxa"/>
            <w:bottom w:w="0" w:type="dxa"/>
            <w:right w:w="70" w:type="dxa"/>
          </w:tblCellMar>
        </w:tblPrEx>
        <w:trPr>
          <w:gridAfter w:val="3"/>
          <w:wBefore w:w="0" w:type="dxa"/>
          <w:wAfter w:w="4423" w:type="dxa"/>
          <w:trHeight w:val="225" w:hRule="atLeast"/>
        </w:trPr>
        <w:tc>
          <w:tcPr>
            <w:tcW w:w="30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p>
        </w:tc>
        <w:tc>
          <w:tcPr>
            <w:tcW w:w="560"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16" w:type="dxa"/>
            <w:gridSpan w:val="5"/>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4.44.6</w:t>
            </w:r>
          </w:p>
        </w:tc>
        <w:tc>
          <w:tcPr>
            <w:tcW w:w="794" w:type="dxa"/>
            <w:gridSpan w:val="4"/>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 xml:space="preserve"> Por los Servicios de Limpia de Bienes Inmuebles en Desuso </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0.00</w:t>
            </w:r>
          </w:p>
        </w:tc>
      </w:tr>
      <w:tr>
        <w:tblPrEx>
          <w:tblCellMar>
            <w:top w:w="0" w:type="dxa"/>
            <w:left w:w="70" w:type="dxa"/>
            <w:bottom w:w="0" w:type="dxa"/>
            <w:right w:w="70" w:type="dxa"/>
          </w:tblCellMar>
        </w:tblPrEx>
        <w:trPr>
          <w:gridAfter w:val="3"/>
          <w:wBefore w:w="0" w:type="dxa"/>
          <w:wAfter w:w="4423" w:type="dxa"/>
          <w:trHeight w:val="525" w:hRule="atLeast"/>
        </w:trPr>
        <w:tc>
          <w:tcPr>
            <w:tcW w:w="30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16" w:type="dxa"/>
            <w:gridSpan w:val="5"/>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4.44.7</w:t>
            </w:r>
          </w:p>
        </w:tc>
        <w:tc>
          <w:tcPr>
            <w:tcW w:w="794" w:type="dxa"/>
            <w:gridSpan w:val="4"/>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left="675"/>
              <w:jc w:val="both"/>
              <w:rPr>
                <w:rFonts w:ascii="Arial" w:hAnsi="Arial" w:cs="Arial"/>
                <w:color w:val="000000"/>
                <w:sz w:val="16"/>
                <w:szCs w:val="16"/>
              </w:rPr>
            </w:pPr>
            <w:r>
              <w:rPr>
                <w:rFonts w:ascii="Arial" w:hAnsi="Arial" w:cs="Arial"/>
                <w:color w:val="000000"/>
                <w:sz w:val="16"/>
                <w:szCs w:val="16"/>
              </w:rPr>
              <w:t>Por concesiones de servicios públicos municipales en casos que así determine el    Ayuntamiento</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397,241.00</w:t>
            </w:r>
          </w:p>
        </w:tc>
      </w:tr>
      <w:tr>
        <w:tblPrEx>
          <w:tblCellMar>
            <w:top w:w="0" w:type="dxa"/>
            <w:left w:w="70" w:type="dxa"/>
            <w:bottom w:w="0" w:type="dxa"/>
            <w:right w:w="70" w:type="dxa"/>
          </w:tblCellMar>
        </w:tblPrEx>
        <w:trPr>
          <w:gridAfter w:val="3"/>
          <w:wBefore w:w="0" w:type="dxa"/>
          <w:wAfter w:w="4423" w:type="dxa"/>
          <w:trHeight w:val="465" w:hRule="atLeast"/>
        </w:trPr>
        <w:tc>
          <w:tcPr>
            <w:tcW w:w="30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16" w:type="dxa"/>
            <w:gridSpan w:val="5"/>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4.44.8</w:t>
            </w:r>
          </w:p>
        </w:tc>
        <w:tc>
          <w:tcPr>
            <w:tcW w:w="794" w:type="dxa"/>
            <w:gridSpan w:val="4"/>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left="675"/>
              <w:jc w:val="both"/>
              <w:rPr>
                <w:rFonts w:ascii="Arial" w:hAnsi="Arial" w:cs="Arial"/>
                <w:color w:val="000000"/>
                <w:sz w:val="16"/>
                <w:szCs w:val="16"/>
              </w:rPr>
            </w:pPr>
            <w:r>
              <w:rPr>
                <w:rFonts w:ascii="Arial" w:hAnsi="Arial" w:cs="Arial"/>
                <w:color w:val="000000"/>
                <w:sz w:val="16"/>
                <w:szCs w:val="16"/>
              </w:rPr>
              <w:t>Por los servicios que presta la Subdirección de Residuos Sólidos</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4,427,426.00</w:t>
            </w:r>
          </w:p>
        </w:tc>
      </w:tr>
      <w:tr>
        <w:tblPrEx>
          <w:tblCellMar>
            <w:top w:w="0" w:type="dxa"/>
            <w:left w:w="70" w:type="dxa"/>
            <w:bottom w:w="0" w:type="dxa"/>
            <w:right w:w="70" w:type="dxa"/>
          </w:tblCellMar>
        </w:tblPrEx>
        <w:trPr>
          <w:gridAfter w:val="3"/>
          <w:wBefore w:w="0" w:type="dxa"/>
          <w:wAfter w:w="4423" w:type="dxa"/>
          <w:trHeight w:val="495" w:hRule="atLeast"/>
        </w:trPr>
        <w:tc>
          <w:tcPr>
            <w:tcW w:w="3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16" w:type="dxa"/>
            <w:gridSpan w:val="5"/>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4.44.9</w:t>
            </w:r>
          </w:p>
        </w:tc>
        <w:tc>
          <w:tcPr>
            <w:tcW w:w="794" w:type="dxa"/>
            <w:gridSpan w:val="4"/>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left="675"/>
              <w:jc w:val="both"/>
              <w:rPr>
                <w:rFonts w:ascii="Arial" w:hAnsi="Arial" w:cs="Arial"/>
                <w:color w:val="000000"/>
                <w:sz w:val="16"/>
                <w:szCs w:val="16"/>
              </w:rPr>
            </w:pPr>
            <w:r>
              <w:rPr>
                <w:rFonts w:ascii="Arial" w:hAnsi="Arial" w:cs="Arial"/>
                <w:color w:val="000000"/>
                <w:sz w:val="16"/>
                <w:szCs w:val="16"/>
              </w:rPr>
              <w:t>Por el uso de estacionamientos y baños públicos propiedad del Municipio</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4,348,366.00</w:t>
            </w:r>
          </w:p>
        </w:tc>
      </w:tr>
      <w:tr>
        <w:tblPrEx>
          <w:tblCellMar>
            <w:top w:w="0" w:type="dxa"/>
            <w:left w:w="70" w:type="dxa"/>
            <w:bottom w:w="0" w:type="dxa"/>
            <w:right w:w="70" w:type="dxa"/>
          </w:tblCellMar>
        </w:tblPrEx>
        <w:trPr>
          <w:gridAfter w:val="3"/>
          <w:wBefore w:w="0" w:type="dxa"/>
          <w:wAfter w:w="4423" w:type="dxa"/>
          <w:trHeight w:val="645" w:hRule="atLeast"/>
        </w:trPr>
        <w:tc>
          <w:tcPr>
            <w:tcW w:w="3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16" w:type="dxa"/>
            <w:gridSpan w:val="5"/>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4.44.10</w:t>
            </w:r>
          </w:p>
        </w:tc>
        <w:tc>
          <w:tcPr>
            <w:tcW w:w="794" w:type="dxa"/>
            <w:gridSpan w:val="4"/>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left="675"/>
              <w:jc w:val="both"/>
              <w:rPr>
                <w:rFonts w:ascii="Arial" w:hAnsi="Arial" w:cs="Arial"/>
                <w:color w:val="000000"/>
                <w:sz w:val="16"/>
                <w:szCs w:val="16"/>
              </w:rPr>
            </w:pPr>
            <w:r>
              <w:rPr>
                <w:rFonts w:ascii="Arial" w:hAnsi="Arial" w:cs="Arial"/>
                <w:color w:val="000000"/>
                <w:sz w:val="16"/>
                <w:szCs w:val="16"/>
              </w:rPr>
              <w:t>Por obras o servicios que realice el Ayuntamiento a cargo de los particulares por la aplicación de los reglamentos municipales en vigor.</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0.00</w:t>
            </w:r>
          </w:p>
        </w:tc>
      </w:tr>
      <w:tr>
        <w:tblPrEx>
          <w:tblCellMar>
            <w:top w:w="0" w:type="dxa"/>
            <w:left w:w="70" w:type="dxa"/>
            <w:bottom w:w="0" w:type="dxa"/>
            <w:right w:w="70" w:type="dxa"/>
          </w:tblCellMar>
        </w:tblPrEx>
        <w:trPr>
          <w:gridAfter w:val="3"/>
          <w:wBefore w:w="0" w:type="dxa"/>
          <w:wAfter w:w="4423" w:type="dxa"/>
          <w:trHeight w:val="225" w:hRule="atLeast"/>
        </w:trPr>
        <w:tc>
          <w:tcPr>
            <w:tcW w:w="3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16" w:type="dxa"/>
            <w:gridSpan w:val="5"/>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4.44.11</w:t>
            </w:r>
          </w:p>
        </w:tc>
        <w:tc>
          <w:tcPr>
            <w:tcW w:w="794" w:type="dxa"/>
            <w:gridSpan w:val="4"/>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 xml:space="preserve"> Por los servicios en materia de Protección Civil</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2,606.00</w:t>
            </w:r>
          </w:p>
        </w:tc>
      </w:tr>
      <w:tr>
        <w:tblPrEx>
          <w:tblCellMar>
            <w:top w:w="0" w:type="dxa"/>
            <w:left w:w="70" w:type="dxa"/>
            <w:bottom w:w="0" w:type="dxa"/>
            <w:right w:w="70" w:type="dxa"/>
          </w:tblCellMar>
        </w:tblPrEx>
        <w:trPr>
          <w:gridAfter w:val="3"/>
          <w:wBefore w:w="0" w:type="dxa"/>
          <w:wAfter w:w="4423" w:type="dxa"/>
          <w:trHeight w:val="540" w:hRule="atLeast"/>
        </w:trPr>
        <w:tc>
          <w:tcPr>
            <w:tcW w:w="3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4.45</w:t>
            </w:r>
          </w:p>
        </w:tc>
        <w:tc>
          <w:tcPr>
            <w:tcW w:w="716" w:type="dxa"/>
            <w:gridSpan w:val="5"/>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794" w:type="dxa"/>
            <w:gridSpan w:val="4"/>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single" w:color="auto" w:sz="4" w:space="0"/>
              <w:left w:val="nil"/>
              <w:bottom w:val="single" w:color="auto" w:sz="4" w:space="0"/>
              <w:right w:val="single" w:color="auto" w:sz="4" w:space="0"/>
            </w:tcBorders>
            <w:shd w:val="clear" w:color="000000" w:fill="FFFFFF"/>
            <w:noWrap w:val="0"/>
            <w:vAlign w:val="center"/>
          </w:tcPr>
          <w:p>
            <w:pPr>
              <w:ind w:firstLine="360" w:firstLineChars="200"/>
              <w:rPr>
                <w:rFonts w:ascii="Arial" w:hAnsi="Arial" w:cs="Arial"/>
                <w:b/>
                <w:bCs/>
                <w:color w:val="000000"/>
                <w:sz w:val="18"/>
                <w:szCs w:val="18"/>
              </w:rPr>
            </w:pPr>
            <w:r>
              <w:rPr>
                <w:rFonts w:ascii="Arial" w:hAnsi="Arial" w:cs="Arial"/>
                <w:b/>
                <w:bCs/>
                <w:color w:val="000000"/>
                <w:sz w:val="18"/>
                <w:szCs w:val="18"/>
              </w:rPr>
              <w:t>Accesorios de Derechos</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4,533,488.00</w:t>
            </w:r>
          </w:p>
        </w:tc>
      </w:tr>
      <w:tr>
        <w:tblPrEx>
          <w:tblCellMar>
            <w:top w:w="0" w:type="dxa"/>
            <w:left w:w="70" w:type="dxa"/>
            <w:bottom w:w="0" w:type="dxa"/>
            <w:right w:w="70" w:type="dxa"/>
          </w:tblCellMar>
        </w:tblPrEx>
        <w:trPr>
          <w:gridAfter w:val="3"/>
          <w:wBefore w:w="0" w:type="dxa"/>
          <w:wAfter w:w="4423" w:type="dxa"/>
          <w:trHeight w:val="225" w:hRule="atLeast"/>
        </w:trPr>
        <w:tc>
          <w:tcPr>
            <w:tcW w:w="30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16" w:type="dxa"/>
            <w:gridSpan w:val="5"/>
            <w:tcBorders>
              <w:top w:val="nil"/>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4.45.1</w:t>
            </w:r>
          </w:p>
        </w:tc>
        <w:tc>
          <w:tcPr>
            <w:tcW w:w="794" w:type="dxa"/>
            <w:gridSpan w:val="4"/>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Actualización de derechos</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46,683.00</w:t>
            </w:r>
          </w:p>
        </w:tc>
      </w:tr>
      <w:tr>
        <w:tblPrEx>
          <w:tblCellMar>
            <w:top w:w="0" w:type="dxa"/>
            <w:left w:w="70" w:type="dxa"/>
            <w:bottom w:w="0" w:type="dxa"/>
            <w:right w:w="70" w:type="dxa"/>
          </w:tblCellMar>
        </w:tblPrEx>
        <w:trPr>
          <w:gridAfter w:val="3"/>
          <w:wBefore w:w="0" w:type="dxa"/>
          <w:wAfter w:w="4423" w:type="dxa"/>
          <w:trHeight w:val="225" w:hRule="atLeast"/>
        </w:trPr>
        <w:tc>
          <w:tcPr>
            <w:tcW w:w="30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16" w:type="dxa"/>
            <w:gridSpan w:val="5"/>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4.45.2</w:t>
            </w:r>
          </w:p>
        </w:tc>
        <w:tc>
          <w:tcPr>
            <w:tcW w:w="794" w:type="dxa"/>
            <w:gridSpan w:val="4"/>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Recargos de derechos</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137,037.00</w:t>
            </w:r>
          </w:p>
        </w:tc>
      </w:tr>
      <w:tr>
        <w:tblPrEx>
          <w:tblCellMar>
            <w:top w:w="0" w:type="dxa"/>
            <w:left w:w="70" w:type="dxa"/>
            <w:bottom w:w="0" w:type="dxa"/>
            <w:right w:w="70" w:type="dxa"/>
          </w:tblCellMar>
        </w:tblPrEx>
        <w:trPr>
          <w:gridAfter w:val="3"/>
          <w:wBefore w:w="0" w:type="dxa"/>
          <w:wAfter w:w="4423" w:type="dxa"/>
          <w:trHeight w:val="225" w:hRule="atLeast"/>
        </w:trPr>
        <w:tc>
          <w:tcPr>
            <w:tcW w:w="30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16" w:type="dxa"/>
            <w:gridSpan w:val="5"/>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4.45.3</w:t>
            </w:r>
          </w:p>
        </w:tc>
        <w:tc>
          <w:tcPr>
            <w:tcW w:w="794" w:type="dxa"/>
            <w:gridSpan w:val="4"/>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Multas de derechos</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4,349,768.00</w:t>
            </w:r>
          </w:p>
        </w:tc>
      </w:tr>
      <w:tr>
        <w:tblPrEx>
          <w:tblCellMar>
            <w:top w:w="0" w:type="dxa"/>
            <w:left w:w="70" w:type="dxa"/>
            <w:bottom w:w="0" w:type="dxa"/>
            <w:right w:w="70" w:type="dxa"/>
          </w:tblCellMar>
        </w:tblPrEx>
        <w:trPr>
          <w:gridAfter w:val="3"/>
          <w:wBefore w:w="0" w:type="dxa"/>
          <w:wAfter w:w="4423" w:type="dxa"/>
          <w:trHeight w:val="225" w:hRule="atLeast"/>
        </w:trPr>
        <w:tc>
          <w:tcPr>
            <w:tcW w:w="30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16" w:type="dxa"/>
            <w:gridSpan w:val="5"/>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4.45.4</w:t>
            </w:r>
          </w:p>
        </w:tc>
        <w:tc>
          <w:tcPr>
            <w:tcW w:w="794" w:type="dxa"/>
            <w:gridSpan w:val="4"/>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Gastos de ejecución de derechos</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0.00</w:t>
            </w:r>
          </w:p>
        </w:tc>
      </w:tr>
      <w:tr>
        <w:tblPrEx>
          <w:tblCellMar>
            <w:top w:w="0" w:type="dxa"/>
            <w:left w:w="70" w:type="dxa"/>
            <w:bottom w:w="0" w:type="dxa"/>
            <w:right w:w="70" w:type="dxa"/>
          </w:tblCellMar>
        </w:tblPrEx>
        <w:trPr>
          <w:gridAfter w:val="3"/>
          <w:wBefore w:w="0" w:type="dxa"/>
          <w:wAfter w:w="4423" w:type="dxa"/>
          <w:trHeight w:val="540" w:hRule="atLeast"/>
        </w:trPr>
        <w:tc>
          <w:tcPr>
            <w:tcW w:w="30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4.49</w:t>
            </w:r>
          </w:p>
        </w:tc>
        <w:tc>
          <w:tcPr>
            <w:tcW w:w="716" w:type="dxa"/>
            <w:gridSpan w:val="5"/>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794" w:type="dxa"/>
            <w:gridSpan w:val="4"/>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nil"/>
              <w:left w:val="nil"/>
              <w:bottom w:val="single" w:color="auto" w:sz="4" w:space="0"/>
              <w:right w:val="single" w:color="auto" w:sz="4" w:space="0"/>
            </w:tcBorders>
            <w:shd w:val="clear" w:color="000000" w:fill="FFFFFF"/>
            <w:noWrap w:val="0"/>
            <w:vAlign w:val="center"/>
          </w:tcPr>
          <w:p>
            <w:pPr>
              <w:ind w:left="389" w:leftChars="162" w:firstLine="1"/>
              <w:jc w:val="both"/>
              <w:rPr>
                <w:rFonts w:ascii="Arial" w:hAnsi="Arial" w:cs="Arial"/>
                <w:b/>
                <w:bCs/>
                <w:color w:val="000000"/>
                <w:sz w:val="18"/>
                <w:szCs w:val="18"/>
              </w:rPr>
            </w:pPr>
            <w:r>
              <w:rPr>
                <w:rFonts w:ascii="Arial" w:hAnsi="Arial" w:cs="Arial"/>
                <w:b/>
                <w:bCs/>
                <w:color w:val="000000"/>
                <w:sz w:val="18"/>
                <w:szCs w:val="18"/>
              </w:rPr>
              <w:t>Derechos no comprendidos en la Ley de Ingresos vigente, causados en ejercicios fiscales anteriores pendientes de liquidación o pago</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0.00</w:t>
            </w:r>
          </w:p>
        </w:tc>
      </w:tr>
      <w:tr>
        <w:tblPrEx>
          <w:tblCellMar>
            <w:top w:w="0" w:type="dxa"/>
            <w:left w:w="70" w:type="dxa"/>
            <w:bottom w:w="0" w:type="dxa"/>
            <w:right w:w="70" w:type="dxa"/>
          </w:tblCellMar>
        </w:tblPrEx>
        <w:trPr>
          <w:gridAfter w:val="3"/>
          <w:wBefore w:w="0" w:type="dxa"/>
          <w:wAfter w:w="4423" w:type="dxa"/>
          <w:trHeight w:val="705" w:hRule="atLeast"/>
        </w:trPr>
        <w:tc>
          <w:tcPr>
            <w:tcW w:w="3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716" w:type="dxa"/>
            <w:gridSpan w:val="5"/>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4.49.1</w:t>
            </w:r>
          </w:p>
        </w:tc>
        <w:tc>
          <w:tcPr>
            <w:tcW w:w="794" w:type="dxa"/>
            <w:gridSpan w:val="4"/>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nil"/>
              <w:right w:val="single" w:color="auto" w:sz="4" w:space="0"/>
            </w:tcBorders>
            <w:shd w:val="clear" w:color="000000" w:fill="FFFFFF"/>
            <w:noWrap w:val="0"/>
            <w:vAlign w:val="center"/>
          </w:tcPr>
          <w:p>
            <w:pPr>
              <w:ind w:left="675" w:hanging="1"/>
              <w:jc w:val="both"/>
              <w:rPr>
                <w:rFonts w:ascii="Arial" w:hAnsi="Arial" w:cs="Arial"/>
                <w:color w:val="000000"/>
                <w:sz w:val="16"/>
                <w:szCs w:val="16"/>
              </w:rPr>
            </w:pPr>
            <w:r>
              <w:rPr>
                <w:rFonts w:ascii="Arial" w:hAnsi="Arial" w:cs="Arial"/>
                <w:color w:val="000000"/>
                <w:sz w:val="16"/>
                <w:szCs w:val="16"/>
              </w:rPr>
              <w:t>Derechos no comprendidos en las fracciones de la Ley de Ingresos causados en ejercicios fiscales anteriores pendientes de liquidación o pago</w:t>
            </w:r>
          </w:p>
        </w:tc>
        <w:tc>
          <w:tcPr>
            <w:tcW w:w="2282" w:type="dxa"/>
            <w:tcBorders>
              <w:top w:val="single" w:color="auto" w:sz="4" w:space="0"/>
              <w:left w:val="nil"/>
              <w:bottom w:val="nil"/>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0.00</w:t>
            </w:r>
          </w:p>
        </w:tc>
      </w:tr>
      <w:tr>
        <w:tblPrEx>
          <w:tblCellMar>
            <w:top w:w="0" w:type="dxa"/>
            <w:left w:w="70" w:type="dxa"/>
            <w:bottom w:w="0" w:type="dxa"/>
            <w:right w:w="70" w:type="dxa"/>
          </w:tblCellMar>
        </w:tblPrEx>
        <w:trPr>
          <w:gridAfter w:val="3"/>
          <w:wBefore w:w="0" w:type="dxa"/>
          <w:wAfter w:w="4423" w:type="dxa"/>
          <w:trHeight w:val="255" w:hRule="atLeast"/>
        </w:trPr>
        <w:tc>
          <w:tcPr>
            <w:tcW w:w="308" w:type="dxa"/>
            <w:gridSpan w:val="2"/>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b/>
                <w:bCs/>
                <w:color w:val="000000"/>
                <w:sz w:val="20"/>
                <w:szCs w:val="20"/>
                <w:lang w:val="es-MX" w:eastAsia="es-MX"/>
              </w:rPr>
            </w:pPr>
            <w:r>
              <w:rPr>
                <w:rFonts w:ascii="Arial" w:hAnsi="Arial" w:cs="Arial"/>
                <w:b/>
                <w:bCs/>
                <w:color w:val="000000"/>
                <w:sz w:val="20"/>
                <w:szCs w:val="20"/>
              </w:rPr>
              <w:t>5</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609"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880" w:type="dxa"/>
            <w:gridSpan w:val="6"/>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both"/>
              <w:rPr>
                <w:rFonts w:ascii="Arial" w:hAnsi="Arial" w:cs="Arial"/>
                <w:b/>
                <w:bCs/>
                <w:color w:val="000000"/>
                <w:sz w:val="20"/>
                <w:szCs w:val="20"/>
              </w:rPr>
            </w:pPr>
            <w:r>
              <w:rPr>
                <w:rFonts w:ascii="Arial" w:hAnsi="Arial" w:cs="Arial"/>
                <w:b/>
                <w:bCs/>
                <w:color w:val="000000"/>
                <w:sz w:val="20"/>
                <w:szCs w:val="20"/>
              </w:rPr>
              <w:t xml:space="preserve">Productos  </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20"/>
                <w:szCs w:val="20"/>
              </w:rPr>
            </w:pPr>
            <w:r>
              <w:rPr>
                <w:rFonts w:ascii="Arial" w:hAnsi="Arial" w:cs="Arial"/>
                <w:b/>
                <w:bCs/>
                <w:color w:val="000000"/>
                <w:sz w:val="20"/>
                <w:szCs w:val="20"/>
              </w:rPr>
              <w:t>36,971,062.00</w:t>
            </w:r>
          </w:p>
        </w:tc>
      </w:tr>
      <w:tr>
        <w:tblPrEx>
          <w:tblCellMar>
            <w:top w:w="0" w:type="dxa"/>
            <w:left w:w="70" w:type="dxa"/>
            <w:bottom w:w="0" w:type="dxa"/>
            <w:right w:w="70" w:type="dxa"/>
          </w:tblCellMar>
        </w:tblPrEx>
        <w:trPr>
          <w:gridAfter w:val="3"/>
          <w:wBefore w:w="0" w:type="dxa"/>
          <w:wAfter w:w="4423" w:type="dxa"/>
          <w:trHeight w:val="540"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5.51</w:t>
            </w:r>
          </w:p>
        </w:tc>
        <w:tc>
          <w:tcPr>
            <w:tcW w:w="609"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880" w:type="dxa"/>
            <w:gridSpan w:val="6"/>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single" w:color="auto" w:sz="4" w:space="0"/>
              <w:left w:val="nil"/>
              <w:bottom w:val="single" w:color="auto" w:sz="4" w:space="0"/>
              <w:right w:val="single" w:color="auto" w:sz="4" w:space="0"/>
            </w:tcBorders>
            <w:shd w:val="clear" w:color="000000" w:fill="FFFFFF"/>
            <w:noWrap w:val="0"/>
            <w:vAlign w:val="center"/>
          </w:tcPr>
          <w:p>
            <w:pPr>
              <w:ind w:firstLine="360" w:firstLineChars="200"/>
              <w:rPr>
                <w:rFonts w:ascii="Arial" w:hAnsi="Arial" w:cs="Arial"/>
                <w:b/>
                <w:bCs/>
                <w:color w:val="000000"/>
                <w:sz w:val="18"/>
                <w:szCs w:val="18"/>
              </w:rPr>
            </w:pPr>
            <w:r>
              <w:rPr>
                <w:rFonts w:ascii="Arial" w:hAnsi="Arial" w:cs="Arial"/>
                <w:b/>
                <w:bCs/>
                <w:color w:val="000000"/>
                <w:sz w:val="18"/>
                <w:szCs w:val="18"/>
              </w:rPr>
              <w:t xml:space="preserve">Productos </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36,971,062.00</w:t>
            </w:r>
          </w:p>
        </w:tc>
      </w:tr>
      <w:tr>
        <w:tblPrEx>
          <w:tblCellMar>
            <w:top w:w="0" w:type="dxa"/>
            <w:left w:w="70" w:type="dxa"/>
            <w:bottom w:w="0" w:type="dxa"/>
            <w:right w:w="70" w:type="dxa"/>
          </w:tblCellMar>
        </w:tblPrEx>
        <w:trPr>
          <w:gridAfter w:val="3"/>
          <w:wBefore w:w="0" w:type="dxa"/>
          <w:wAfter w:w="4423" w:type="dxa"/>
          <w:trHeight w:val="67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609" w:type="dxa"/>
            <w:gridSpan w:val="2"/>
            <w:tcBorders>
              <w:top w:val="nil"/>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5.51.1</w:t>
            </w:r>
          </w:p>
        </w:tc>
        <w:tc>
          <w:tcPr>
            <w:tcW w:w="880" w:type="dxa"/>
            <w:gridSpan w:val="6"/>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left="840"/>
              <w:jc w:val="both"/>
              <w:rPr>
                <w:rFonts w:ascii="Arial" w:hAnsi="Arial" w:cs="Arial"/>
                <w:color w:val="000000"/>
                <w:sz w:val="16"/>
                <w:szCs w:val="16"/>
              </w:rPr>
            </w:pPr>
            <w:r>
              <w:rPr>
                <w:rFonts w:ascii="Arial" w:hAnsi="Arial" w:cs="Arial"/>
                <w:color w:val="000000"/>
                <w:sz w:val="16"/>
                <w:szCs w:val="16"/>
              </w:rPr>
              <w:t>Por los daños ocasionados a las vías públicas o los bienes del municipio afectos a la prestación de un servicio público causado por los particulares</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1,371,487.00</w:t>
            </w:r>
          </w:p>
        </w:tc>
      </w:tr>
      <w:tr>
        <w:tblPrEx>
          <w:tblCellMar>
            <w:top w:w="0" w:type="dxa"/>
            <w:left w:w="70" w:type="dxa"/>
            <w:bottom w:w="0" w:type="dxa"/>
            <w:right w:w="70" w:type="dxa"/>
          </w:tblCellMar>
        </w:tblPrEx>
        <w:trPr>
          <w:gridAfter w:val="3"/>
          <w:wBefore w:w="0" w:type="dxa"/>
          <w:wAfter w:w="4423" w:type="dxa"/>
          <w:trHeight w:val="22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609" w:type="dxa"/>
            <w:gridSpan w:val="2"/>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5.51.2</w:t>
            </w:r>
          </w:p>
        </w:tc>
        <w:tc>
          <w:tcPr>
            <w:tcW w:w="880" w:type="dxa"/>
            <w:gridSpan w:val="6"/>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jc w:val="both"/>
              <w:rPr>
                <w:rFonts w:ascii="Arial" w:hAnsi="Arial" w:cs="Arial"/>
                <w:color w:val="000000"/>
                <w:sz w:val="16"/>
                <w:szCs w:val="16"/>
              </w:rPr>
            </w:pPr>
            <w:r>
              <w:rPr>
                <w:rFonts w:ascii="Arial" w:hAnsi="Arial" w:cs="Arial"/>
                <w:color w:val="000000"/>
                <w:sz w:val="16"/>
                <w:szCs w:val="16"/>
              </w:rPr>
              <w:t xml:space="preserve">     Por los intereses derivados del financiamiento</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26,400,000.00</w:t>
            </w:r>
          </w:p>
        </w:tc>
      </w:tr>
      <w:tr>
        <w:tblPrEx>
          <w:tblCellMar>
            <w:top w:w="0" w:type="dxa"/>
            <w:left w:w="70" w:type="dxa"/>
            <w:bottom w:w="0" w:type="dxa"/>
            <w:right w:w="70" w:type="dxa"/>
          </w:tblCellMar>
        </w:tblPrEx>
        <w:trPr>
          <w:gridAfter w:val="3"/>
          <w:wBefore w:w="0" w:type="dxa"/>
          <w:wAfter w:w="4423" w:type="dxa"/>
          <w:trHeight w:val="450"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609" w:type="dxa"/>
            <w:gridSpan w:val="2"/>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5.51.3</w:t>
            </w:r>
          </w:p>
        </w:tc>
        <w:tc>
          <w:tcPr>
            <w:tcW w:w="880" w:type="dxa"/>
            <w:gridSpan w:val="6"/>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left="840" w:hanging="1"/>
              <w:jc w:val="both"/>
              <w:rPr>
                <w:rFonts w:ascii="Arial" w:hAnsi="Arial" w:cs="Arial"/>
                <w:color w:val="000000"/>
                <w:sz w:val="16"/>
                <w:szCs w:val="16"/>
              </w:rPr>
            </w:pPr>
            <w:r>
              <w:rPr>
                <w:rFonts w:ascii="Arial" w:hAnsi="Arial" w:cs="Arial"/>
                <w:color w:val="000000"/>
                <w:sz w:val="16"/>
                <w:szCs w:val="16"/>
              </w:rPr>
              <w:t>Provenientes de organismos descentralizados y empresas paramunicipales</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0.00</w:t>
            </w:r>
          </w:p>
        </w:tc>
      </w:tr>
      <w:tr>
        <w:tblPrEx>
          <w:tblCellMar>
            <w:top w:w="0" w:type="dxa"/>
            <w:left w:w="70" w:type="dxa"/>
            <w:bottom w:w="0" w:type="dxa"/>
            <w:right w:w="70" w:type="dxa"/>
          </w:tblCellMar>
        </w:tblPrEx>
        <w:trPr>
          <w:gridAfter w:val="3"/>
          <w:wBefore w:w="0" w:type="dxa"/>
          <w:wAfter w:w="4423" w:type="dxa"/>
          <w:trHeight w:val="450"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609" w:type="dxa"/>
            <w:gridSpan w:val="2"/>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5.51.4</w:t>
            </w:r>
          </w:p>
        </w:tc>
        <w:tc>
          <w:tcPr>
            <w:tcW w:w="880" w:type="dxa"/>
            <w:gridSpan w:val="6"/>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left="840" w:hanging="1"/>
              <w:jc w:val="both"/>
              <w:rPr>
                <w:rFonts w:ascii="Arial" w:hAnsi="Arial" w:cs="Arial"/>
                <w:color w:val="000000"/>
                <w:sz w:val="16"/>
                <w:szCs w:val="16"/>
              </w:rPr>
            </w:pPr>
            <w:r>
              <w:rPr>
                <w:rFonts w:ascii="Arial" w:hAnsi="Arial" w:cs="Arial"/>
                <w:color w:val="000000"/>
                <w:sz w:val="16"/>
                <w:szCs w:val="16"/>
              </w:rPr>
              <w:t>Por venta de formas oficiales impresas y bases de licitación o invitación</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1,202,373.00</w:t>
            </w:r>
          </w:p>
        </w:tc>
      </w:tr>
      <w:tr>
        <w:tblPrEx>
          <w:tblCellMar>
            <w:top w:w="0" w:type="dxa"/>
            <w:left w:w="70" w:type="dxa"/>
            <w:bottom w:w="0" w:type="dxa"/>
            <w:right w:w="70" w:type="dxa"/>
          </w:tblCellMar>
        </w:tblPrEx>
        <w:trPr>
          <w:gridAfter w:val="3"/>
          <w:wBefore w:w="0" w:type="dxa"/>
          <w:wAfter w:w="4423" w:type="dxa"/>
          <w:trHeight w:val="22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609" w:type="dxa"/>
            <w:gridSpan w:val="2"/>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5.51.5</w:t>
            </w:r>
          </w:p>
        </w:tc>
        <w:tc>
          <w:tcPr>
            <w:tcW w:w="880" w:type="dxa"/>
            <w:gridSpan w:val="6"/>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jc w:val="both"/>
              <w:rPr>
                <w:rFonts w:ascii="Arial" w:hAnsi="Arial" w:cs="Arial"/>
                <w:color w:val="000000"/>
                <w:sz w:val="16"/>
                <w:szCs w:val="16"/>
              </w:rPr>
            </w:pPr>
            <w:r>
              <w:rPr>
                <w:rFonts w:ascii="Arial" w:hAnsi="Arial" w:cs="Arial"/>
                <w:color w:val="000000"/>
                <w:sz w:val="16"/>
                <w:szCs w:val="16"/>
              </w:rPr>
              <w:t xml:space="preserve">     Por otros productos no especificados</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7,802,202.00</w:t>
            </w:r>
          </w:p>
        </w:tc>
      </w:tr>
      <w:tr>
        <w:tblPrEx>
          <w:tblCellMar>
            <w:top w:w="0" w:type="dxa"/>
            <w:left w:w="70" w:type="dxa"/>
            <w:bottom w:w="0" w:type="dxa"/>
            <w:right w:w="70" w:type="dxa"/>
          </w:tblCellMar>
        </w:tblPrEx>
        <w:trPr>
          <w:gridAfter w:val="3"/>
          <w:wBefore w:w="0" w:type="dxa"/>
          <w:wAfter w:w="4423" w:type="dxa"/>
          <w:trHeight w:val="22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609" w:type="dxa"/>
            <w:gridSpan w:val="2"/>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5.51.6</w:t>
            </w:r>
          </w:p>
        </w:tc>
        <w:tc>
          <w:tcPr>
            <w:tcW w:w="880" w:type="dxa"/>
            <w:gridSpan w:val="6"/>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jc w:val="both"/>
              <w:rPr>
                <w:rFonts w:ascii="Arial" w:hAnsi="Arial" w:cs="Arial"/>
                <w:color w:val="000000"/>
                <w:sz w:val="16"/>
                <w:szCs w:val="16"/>
              </w:rPr>
            </w:pPr>
            <w:r>
              <w:rPr>
                <w:rFonts w:ascii="Arial" w:hAnsi="Arial" w:cs="Arial"/>
                <w:color w:val="000000"/>
                <w:sz w:val="16"/>
                <w:szCs w:val="16"/>
              </w:rPr>
              <w:t xml:space="preserve">     Por los remates de bienes mostrencos</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0.00</w:t>
            </w:r>
          </w:p>
        </w:tc>
      </w:tr>
      <w:tr>
        <w:tblPrEx>
          <w:tblCellMar>
            <w:top w:w="0" w:type="dxa"/>
            <w:left w:w="70" w:type="dxa"/>
            <w:bottom w:w="0" w:type="dxa"/>
            <w:right w:w="70" w:type="dxa"/>
          </w:tblCellMar>
        </w:tblPrEx>
        <w:trPr>
          <w:gridAfter w:val="3"/>
          <w:wBefore w:w="0" w:type="dxa"/>
          <w:wAfter w:w="4423" w:type="dxa"/>
          <w:trHeight w:val="900"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609" w:type="dxa"/>
            <w:gridSpan w:val="2"/>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5.51.7</w:t>
            </w:r>
          </w:p>
        </w:tc>
        <w:tc>
          <w:tcPr>
            <w:tcW w:w="880" w:type="dxa"/>
            <w:gridSpan w:val="6"/>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left="840"/>
              <w:jc w:val="both"/>
              <w:rPr>
                <w:rFonts w:ascii="Arial" w:hAnsi="Arial" w:cs="Arial"/>
                <w:color w:val="000000"/>
                <w:sz w:val="16"/>
                <w:szCs w:val="16"/>
              </w:rPr>
            </w:pPr>
            <w:r>
              <w:rPr>
                <w:rFonts w:ascii="Arial" w:hAnsi="Arial" w:cs="Arial"/>
                <w:color w:val="000000"/>
                <w:sz w:val="16"/>
                <w:szCs w:val="16"/>
              </w:rPr>
              <w:t>Por arrendamiento, explotación o aprovechamiento de bienes muebles e inmuebles del patrimonio municipal en actividades distintas a la prestación directa por parte del Municipio de un servicio público</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195,000.00</w:t>
            </w:r>
          </w:p>
        </w:tc>
      </w:tr>
      <w:tr>
        <w:tblPrEx>
          <w:tblCellMar>
            <w:top w:w="0" w:type="dxa"/>
            <w:left w:w="70" w:type="dxa"/>
            <w:bottom w:w="0" w:type="dxa"/>
            <w:right w:w="70" w:type="dxa"/>
          </w:tblCellMar>
        </w:tblPrEx>
        <w:trPr>
          <w:gridAfter w:val="3"/>
          <w:wBefore w:w="0" w:type="dxa"/>
          <w:wAfter w:w="4423" w:type="dxa"/>
          <w:trHeight w:val="450"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609" w:type="dxa"/>
            <w:gridSpan w:val="2"/>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5.51.8</w:t>
            </w:r>
          </w:p>
        </w:tc>
        <w:tc>
          <w:tcPr>
            <w:tcW w:w="880" w:type="dxa"/>
            <w:gridSpan w:val="6"/>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left="840"/>
              <w:jc w:val="both"/>
              <w:rPr>
                <w:rFonts w:ascii="Arial" w:hAnsi="Arial" w:cs="Arial"/>
                <w:color w:val="000000"/>
                <w:sz w:val="16"/>
                <w:szCs w:val="16"/>
              </w:rPr>
            </w:pPr>
            <w:r>
              <w:rPr>
                <w:rFonts w:ascii="Arial" w:hAnsi="Arial" w:cs="Arial"/>
                <w:color w:val="000000"/>
                <w:sz w:val="16"/>
                <w:szCs w:val="16"/>
              </w:rPr>
              <w:t>Por la enajenación de bienes muebles e inmuebles del dominio privado del patrimonio municipal</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0.00</w:t>
            </w:r>
          </w:p>
        </w:tc>
      </w:tr>
      <w:tr>
        <w:tblPrEx>
          <w:tblCellMar>
            <w:top w:w="0" w:type="dxa"/>
            <w:left w:w="70" w:type="dxa"/>
            <w:bottom w:w="0" w:type="dxa"/>
            <w:right w:w="70" w:type="dxa"/>
          </w:tblCellMar>
        </w:tblPrEx>
        <w:trPr>
          <w:gridAfter w:val="3"/>
          <w:wBefore w:w="0" w:type="dxa"/>
          <w:wAfter w:w="4423" w:type="dxa"/>
          <w:trHeight w:val="720" w:hRule="atLeast"/>
        </w:trPr>
        <w:tc>
          <w:tcPr>
            <w:tcW w:w="3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5.59</w:t>
            </w:r>
          </w:p>
        </w:tc>
        <w:tc>
          <w:tcPr>
            <w:tcW w:w="585"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925" w:type="dxa"/>
            <w:gridSpan w:val="7"/>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single" w:color="auto" w:sz="4" w:space="0"/>
              <w:left w:val="nil"/>
              <w:bottom w:val="single" w:color="auto" w:sz="4" w:space="0"/>
              <w:right w:val="single" w:color="auto" w:sz="4" w:space="0"/>
            </w:tcBorders>
            <w:shd w:val="clear" w:color="000000" w:fill="FFFFFF"/>
            <w:noWrap w:val="0"/>
            <w:vAlign w:val="center"/>
          </w:tcPr>
          <w:p>
            <w:pPr>
              <w:ind w:left="391"/>
              <w:jc w:val="both"/>
              <w:rPr>
                <w:rFonts w:ascii="Arial" w:hAnsi="Arial" w:cs="Arial"/>
                <w:b/>
                <w:bCs/>
                <w:color w:val="000000"/>
                <w:sz w:val="18"/>
                <w:szCs w:val="18"/>
              </w:rPr>
            </w:pPr>
            <w:r>
              <w:rPr>
                <w:rFonts w:ascii="Arial" w:hAnsi="Arial" w:cs="Arial"/>
                <w:b/>
                <w:bCs/>
                <w:color w:val="000000"/>
                <w:sz w:val="18"/>
                <w:szCs w:val="18"/>
              </w:rPr>
              <w:t>Productos no comprendidos en la Ley de Ingresos vigente causados en ejercicios fiscales anteriores pendientes de liquidación o pago</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0.00</w:t>
            </w:r>
          </w:p>
        </w:tc>
      </w:tr>
      <w:tr>
        <w:tblPrEx>
          <w:tblCellMar>
            <w:top w:w="0" w:type="dxa"/>
            <w:left w:w="70" w:type="dxa"/>
            <w:bottom w:w="0" w:type="dxa"/>
            <w:right w:w="70" w:type="dxa"/>
          </w:tblCellMar>
        </w:tblPrEx>
        <w:trPr>
          <w:gridAfter w:val="3"/>
          <w:wBefore w:w="0" w:type="dxa"/>
          <w:wAfter w:w="4423" w:type="dxa"/>
          <w:trHeight w:val="675" w:hRule="atLeast"/>
        </w:trPr>
        <w:tc>
          <w:tcPr>
            <w:tcW w:w="30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85" w:type="dxa"/>
            <w:gridSpan w:val="2"/>
            <w:tcBorders>
              <w:top w:val="nil"/>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5.59.1</w:t>
            </w:r>
          </w:p>
        </w:tc>
        <w:tc>
          <w:tcPr>
            <w:tcW w:w="925" w:type="dxa"/>
            <w:gridSpan w:val="7"/>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nil"/>
              <w:right w:val="single" w:color="auto" w:sz="4" w:space="0"/>
            </w:tcBorders>
            <w:shd w:val="clear" w:color="000000" w:fill="FFFFFF"/>
            <w:noWrap w:val="0"/>
            <w:vAlign w:val="center"/>
          </w:tcPr>
          <w:p>
            <w:pPr>
              <w:ind w:left="675"/>
              <w:jc w:val="both"/>
              <w:rPr>
                <w:rFonts w:ascii="Arial" w:hAnsi="Arial" w:cs="Arial"/>
                <w:color w:val="000000"/>
                <w:sz w:val="16"/>
                <w:szCs w:val="16"/>
              </w:rPr>
            </w:pPr>
            <w:r>
              <w:rPr>
                <w:rFonts w:ascii="Arial" w:hAnsi="Arial" w:cs="Arial"/>
                <w:color w:val="000000"/>
                <w:sz w:val="16"/>
                <w:szCs w:val="16"/>
              </w:rPr>
              <w:t>Productos no comprendidos en las fracciones de la Ley de Ingresos vigente, causados en ejercicios fiscales anteriores pendientes de liquidación o pago</w:t>
            </w:r>
          </w:p>
        </w:tc>
        <w:tc>
          <w:tcPr>
            <w:tcW w:w="2282" w:type="dxa"/>
            <w:tcBorders>
              <w:top w:val="nil"/>
              <w:left w:val="nil"/>
              <w:bottom w:val="nil"/>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0.00</w:t>
            </w:r>
          </w:p>
        </w:tc>
      </w:tr>
      <w:tr>
        <w:tblPrEx>
          <w:tblCellMar>
            <w:top w:w="0" w:type="dxa"/>
            <w:left w:w="70" w:type="dxa"/>
            <w:bottom w:w="0" w:type="dxa"/>
            <w:right w:w="70" w:type="dxa"/>
          </w:tblCellMar>
        </w:tblPrEx>
        <w:trPr>
          <w:gridAfter w:val="3"/>
          <w:wBefore w:w="0" w:type="dxa"/>
          <w:wAfter w:w="4423" w:type="dxa"/>
          <w:trHeight w:val="255" w:hRule="atLeast"/>
        </w:trPr>
        <w:tc>
          <w:tcPr>
            <w:tcW w:w="300" w:type="dxa"/>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6</w:t>
            </w: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585"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925" w:type="dxa"/>
            <w:gridSpan w:val="7"/>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both"/>
              <w:rPr>
                <w:rFonts w:ascii="Arial" w:hAnsi="Arial" w:cs="Arial"/>
                <w:b/>
                <w:bCs/>
                <w:color w:val="000000"/>
                <w:sz w:val="20"/>
                <w:szCs w:val="20"/>
              </w:rPr>
            </w:pPr>
            <w:r>
              <w:rPr>
                <w:rFonts w:ascii="Arial" w:hAnsi="Arial" w:cs="Arial"/>
                <w:b/>
                <w:bCs/>
                <w:color w:val="000000"/>
                <w:sz w:val="20"/>
                <w:szCs w:val="20"/>
              </w:rPr>
              <w:t>Aprovechamientos</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20"/>
                <w:szCs w:val="20"/>
              </w:rPr>
            </w:pPr>
            <w:r>
              <w:rPr>
                <w:rFonts w:ascii="Arial" w:hAnsi="Arial" w:cs="Arial"/>
                <w:b/>
                <w:bCs/>
                <w:color w:val="000000"/>
                <w:sz w:val="20"/>
                <w:szCs w:val="20"/>
              </w:rPr>
              <w:t>3,810,638.00</w:t>
            </w:r>
          </w:p>
        </w:tc>
      </w:tr>
      <w:tr>
        <w:tblPrEx>
          <w:tblCellMar>
            <w:top w:w="0" w:type="dxa"/>
            <w:left w:w="70" w:type="dxa"/>
            <w:bottom w:w="0" w:type="dxa"/>
            <w:right w:w="70" w:type="dxa"/>
          </w:tblCellMar>
        </w:tblPrEx>
        <w:trPr>
          <w:gridAfter w:val="3"/>
          <w:wBefore w:w="0" w:type="dxa"/>
          <w:wAfter w:w="4423" w:type="dxa"/>
          <w:trHeight w:val="240" w:hRule="atLeast"/>
        </w:trPr>
        <w:tc>
          <w:tcPr>
            <w:tcW w:w="30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6.61</w:t>
            </w:r>
          </w:p>
        </w:tc>
        <w:tc>
          <w:tcPr>
            <w:tcW w:w="585"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925" w:type="dxa"/>
            <w:gridSpan w:val="7"/>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nil"/>
              <w:left w:val="nil"/>
              <w:bottom w:val="single" w:color="auto" w:sz="4" w:space="0"/>
              <w:right w:val="single" w:color="auto" w:sz="4" w:space="0"/>
            </w:tcBorders>
            <w:shd w:val="clear" w:color="000000" w:fill="FFFFFF"/>
            <w:noWrap w:val="0"/>
            <w:vAlign w:val="center"/>
          </w:tcPr>
          <w:p>
            <w:pPr>
              <w:ind w:firstLine="360" w:firstLineChars="200"/>
              <w:jc w:val="both"/>
              <w:rPr>
                <w:rFonts w:ascii="Arial" w:hAnsi="Arial" w:cs="Arial"/>
                <w:b/>
                <w:bCs/>
                <w:color w:val="000000"/>
                <w:sz w:val="18"/>
                <w:szCs w:val="18"/>
              </w:rPr>
            </w:pPr>
            <w:r>
              <w:rPr>
                <w:rFonts w:ascii="Arial" w:hAnsi="Arial" w:cs="Arial"/>
                <w:b/>
                <w:bCs/>
                <w:color w:val="000000"/>
                <w:sz w:val="18"/>
                <w:szCs w:val="18"/>
              </w:rPr>
              <w:t>Aprovechamientos</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3,630,902.00</w:t>
            </w:r>
          </w:p>
        </w:tc>
      </w:tr>
      <w:tr>
        <w:tblPrEx>
          <w:tblCellMar>
            <w:top w:w="0" w:type="dxa"/>
            <w:left w:w="70" w:type="dxa"/>
            <w:bottom w:w="0" w:type="dxa"/>
            <w:right w:w="70" w:type="dxa"/>
          </w:tblCellMar>
        </w:tblPrEx>
        <w:trPr>
          <w:gridAfter w:val="3"/>
          <w:wBefore w:w="0" w:type="dxa"/>
          <w:wAfter w:w="4423" w:type="dxa"/>
          <w:trHeight w:val="225" w:hRule="atLeast"/>
        </w:trPr>
        <w:tc>
          <w:tcPr>
            <w:tcW w:w="30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85" w:type="dxa"/>
            <w:gridSpan w:val="2"/>
            <w:tcBorders>
              <w:top w:val="nil"/>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6.61.1</w:t>
            </w:r>
          </w:p>
        </w:tc>
        <w:tc>
          <w:tcPr>
            <w:tcW w:w="925" w:type="dxa"/>
            <w:gridSpan w:val="7"/>
            <w:tcBorders>
              <w:top w:val="nil"/>
              <w:left w:val="nil"/>
              <w:bottom w:val="nil"/>
              <w:right w:val="nil"/>
            </w:tcBorders>
            <w:shd w:val="clear" w:color="000000" w:fill="FFFFFF"/>
            <w:noWrap/>
            <w:vAlign w:val="center"/>
          </w:tcPr>
          <w:p>
            <w:pPr>
              <w:jc w:val="center"/>
              <w:rPr>
                <w:rFonts w:ascii="Arial" w:hAnsi="Arial" w:cs="Arial"/>
                <w:color w:val="000000"/>
                <w:sz w:val="16"/>
                <w:szCs w:val="16"/>
              </w:rPr>
            </w:pP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left="675"/>
              <w:jc w:val="both"/>
              <w:rPr>
                <w:rFonts w:ascii="Arial" w:hAnsi="Arial" w:cs="Arial"/>
                <w:color w:val="000000"/>
                <w:sz w:val="16"/>
                <w:szCs w:val="16"/>
              </w:rPr>
            </w:pPr>
            <w:r>
              <w:rPr>
                <w:rFonts w:ascii="Arial" w:hAnsi="Arial" w:cs="Arial"/>
                <w:color w:val="000000"/>
                <w:sz w:val="16"/>
                <w:szCs w:val="16"/>
              </w:rPr>
              <w:t>Multas por infracciones a las leyes y reglamentos municipales y   otros ordenamientos aplicables</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3,256,289.00</w:t>
            </w:r>
          </w:p>
        </w:tc>
      </w:tr>
      <w:tr>
        <w:tblPrEx>
          <w:tblCellMar>
            <w:top w:w="0" w:type="dxa"/>
            <w:left w:w="70" w:type="dxa"/>
            <w:bottom w:w="0" w:type="dxa"/>
            <w:right w:w="70" w:type="dxa"/>
          </w:tblCellMar>
        </w:tblPrEx>
        <w:trPr>
          <w:gridAfter w:val="3"/>
          <w:wBefore w:w="0" w:type="dxa"/>
          <w:wAfter w:w="4423" w:type="dxa"/>
          <w:trHeight w:val="225" w:hRule="atLeast"/>
        </w:trPr>
        <w:tc>
          <w:tcPr>
            <w:tcW w:w="30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85" w:type="dxa"/>
            <w:gridSpan w:val="2"/>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6.61.2</w:t>
            </w:r>
          </w:p>
        </w:tc>
        <w:tc>
          <w:tcPr>
            <w:tcW w:w="925" w:type="dxa"/>
            <w:gridSpan w:val="7"/>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jc w:val="both"/>
              <w:rPr>
                <w:rFonts w:ascii="Arial" w:hAnsi="Arial" w:cs="Arial"/>
                <w:color w:val="000000"/>
                <w:sz w:val="16"/>
                <w:szCs w:val="16"/>
              </w:rPr>
            </w:pPr>
            <w:r>
              <w:rPr>
                <w:rFonts w:ascii="Arial" w:hAnsi="Arial" w:cs="Arial"/>
                <w:color w:val="000000"/>
                <w:sz w:val="16"/>
                <w:szCs w:val="16"/>
              </w:rPr>
              <w:t xml:space="preserve"> Honorarios por notificación</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374,613.00</w:t>
            </w:r>
          </w:p>
        </w:tc>
      </w:tr>
      <w:tr>
        <w:tblPrEx>
          <w:tblCellMar>
            <w:top w:w="0" w:type="dxa"/>
            <w:left w:w="70" w:type="dxa"/>
            <w:bottom w:w="0" w:type="dxa"/>
            <w:right w:w="70" w:type="dxa"/>
          </w:tblCellMar>
        </w:tblPrEx>
        <w:trPr>
          <w:gridAfter w:val="3"/>
          <w:wBefore w:w="0" w:type="dxa"/>
          <w:wAfter w:w="4423" w:type="dxa"/>
          <w:trHeight w:val="240" w:hRule="atLeast"/>
        </w:trPr>
        <w:tc>
          <w:tcPr>
            <w:tcW w:w="30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6.62</w:t>
            </w:r>
          </w:p>
        </w:tc>
        <w:tc>
          <w:tcPr>
            <w:tcW w:w="585"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925" w:type="dxa"/>
            <w:gridSpan w:val="7"/>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nil"/>
              <w:left w:val="nil"/>
              <w:bottom w:val="single" w:color="auto" w:sz="4" w:space="0"/>
              <w:right w:val="single" w:color="auto" w:sz="4" w:space="0"/>
            </w:tcBorders>
            <w:shd w:val="clear" w:color="000000" w:fill="FFFFFF"/>
            <w:noWrap w:val="0"/>
            <w:vAlign w:val="center"/>
          </w:tcPr>
          <w:p>
            <w:pPr>
              <w:ind w:firstLine="360" w:firstLineChars="200"/>
              <w:jc w:val="both"/>
              <w:rPr>
                <w:rFonts w:ascii="Arial" w:hAnsi="Arial" w:cs="Arial"/>
                <w:b/>
                <w:bCs/>
                <w:color w:val="000000"/>
                <w:sz w:val="18"/>
                <w:szCs w:val="18"/>
              </w:rPr>
            </w:pPr>
            <w:r>
              <w:rPr>
                <w:rFonts w:ascii="Arial" w:hAnsi="Arial" w:cs="Arial"/>
                <w:b/>
                <w:bCs/>
                <w:color w:val="000000"/>
                <w:sz w:val="18"/>
                <w:szCs w:val="18"/>
              </w:rPr>
              <w:t xml:space="preserve">Aprovechamientos Patrimoniales </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0.00</w:t>
            </w:r>
          </w:p>
        </w:tc>
      </w:tr>
      <w:tr>
        <w:tblPrEx>
          <w:tblCellMar>
            <w:top w:w="0" w:type="dxa"/>
            <w:left w:w="70" w:type="dxa"/>
            <w:bottom w:w="0" w:type="dxa"/>
            <w:right w:w="70" w:type="dxa"/>
          </w:tblCellMar>
        </w:tblPrEx>
        <w:trPr>
          <w:gridAfter w:val="3"/>
          <w:wBefore w:w="0" w:type="dxa"/>
          <w:wAfter w:w="4423" w:type="dxa"/>
          <w:trHeight w:val="225" w:hRule="atLeast"/>
        </w:trPr>
        <w:tc>
          <w:tcPr>
            <w:tcW w:w="3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85" w:type="dxa"/>
            <w:gridSpan w:val="2"/>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6.62.1</w:t>
            </w:r>
          </w:p>
        </w:tc>
        <w:tc>
          <w:tcPr>
            <w:tcW w:w="925" w:type="dxa"/>
            <w:gridSpan w:val="7"/>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firstLine="640" w:firstLineChars="400"/>
              <w:jc w:val="both"/>
              <w:rPr>
                <w:rFonts w:ascii="Arial" w:hAnsi="Arial" w:cs="Arial"/>
                <w:color w:val="000000"/>
                <w:sz w:val="16"/>
                <w:szCs w:val="16"/>
              </w:rPr>
            </w:pPr>
            <w:r>
              <w:rPr>
                <w:rFonts w:ascii="Arial" w:hAnsi="Arial" w:cs="Arial"/>
                <w:color w:val="000000"/>
                <w:sz w:val="16"/>
                <w:szCs w:val="16"/>
              </w:rPr>
              <w:t>Aprovechamientos Patrimoniales</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0.00</w:t>
            </w:r>
          </w:p>
        </w:tc>
      </w:tr>
      <w:tr>
        <w:tblPrEx>
          <w:tblCellMar>
            <w:top w:w="0" w:type="dxa"/>
            <w:left w:w="70" w:type="dxa"/>
            <w:bottom w:w="0" w:type="dxa"/>
            <w:right w:w="70" w:type="dxa"/>
          </w:tblCellMar>
        </w:tblPrEx>
        <w:trPr>
          <w:gridAfter w:val="3"/>
          <w:wBefore w:w="0" w:type="dxa"/>
          <w:wAfter w:w="4423" w:type="dxa"/>
          <w:trHeight w:val="278" w:hRule="atLeast"/>
        </w:trPr>
        <w:tc>
          <w:tcPr>
            <w:tcW w:w="3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b/>
                <w:bCs/>
                <w:color w:val="000000"/>
                <w:sz w:val="18"/>
                <w:szCs w:val="18"/>
              </w:rPr>
            </w:pPr>
          </w:p>
        </w:tc>
        <w:tc>
          <w:tcPr>
            <w:tcW w:w="560" w:type="dxa"/>
            <w:gridSpan w:val="2"/>
            <w:tcBorders>
              <w:top w:val="single" w:color="auto" w:sz="4" w:space="0"/>
              <w:left w:val="nil"/>
              <w:bottom w:val="single" w:color="auto" w:sz="4" w:space="0"/>
              <w:right w:val="nil"/>
            </w:tcBorders>
            <w:shd w:val="clear" w:color="auto" w:fill="auto"/>
            <w:noWrap/>
            <w:vAlign w:val="center"/>
          </w:tcPr>
          <w:p>
            <w:pPr>
              <w:jc w:val="center"/>
              <w:rPr>
                <w:rFonts w:ascii="Arial" w:hAnsi="Arial" w:cs="Arial"/>
                <w:b/>
                <w:bCs/>
                <w:color w:val="000000"/>
                <w:sz w:val="18"/>
                <w:szCs w:val="18"/>
              </w:rPr>
            </w:pPr>
            <w:r>
              <w:rPr>
                <w:rFonts w:ascii="Arial" w:hAnsi="Arial" w:cs="Arial"/>
                <w:b/>
                <w:bCs/>
                <w:color w:val="000000"/>
                <w:sz w:val="18"/>
                <w:szCs w:val="18"/>
              </w:rPr>
              <w:t>6.63</w:t>
            </w:r>
          </w:p>
        </w:tc>
        <w:tc>
          <w:tcPr>
            <w:tcW w:w="585" w:type="dxa"/>
            <w:gridSpan w:val="2"/>
            <w:tcBorders>
              <w:top w:val="single" w:color="auto" w:sz="4" w:space="0"/>
              <w:left w:val="nil"/>
              <w:bottom w:val="single" w:color="auto" w:sz="4" w:space="0"/>
              <w:right w:val="nil"/>
            </w:tcBorders>
            <w:shd w:val="clear" w:color="auto" w:fill="auto"/>
            <w:noWrap/>
            <w:vAlign w:val="center"/>
          </w:tcPr>
          <w:p>
            <w:pPr>
              <w:jc w:val="center"/>
              <w:rPr>
                <w:rFonts w:ascii="Arial" w:hAnsi="Arial" w:cs="Arial"/>
                <w:b/>
                <w:bCs/>
                <w:color w:val="000000"/>
                <w:sz w:val="18"/>
                <w:szCs w:val="18"/>
              </w:rPr>
            </w:pPr>
          </w:p>
        </w:tc>
        <w:tc>
          <w:tcPr>
            <w:tcW w:w="925" w:type="dxa"/>
            <w:gridSpan w:val="7"/>
            <w:tcBorders>
              <w:top w:val="single" w:color="auto" w:sz="4" w:space="0"/>
              <w:left w:val="nil"/>
              <w:bottom w:val="single" w:color="auto" w:sz="4" w:space="0"/>
              <w:right w:val="single" w:color="auto" w:sz="4" w:space="0"/>
            </w:tcBorders>
            <w:shd w:val="clear" w:color="auto" w:fill="auto"/>
            <w:noWrap/>
            <w:vAlign w:val="center"/>
          </w:tcPr>
          <w:p>
            <w:pPr>
              <w:jc w:val="center"/>
              <w:rPr>
                <w:rFonts w:ascii="Arial" w:hAnsi="Arial" w:cs="Arial"/>
                <w:b/>
                <w:bCs/>
                <w:color w:val="000000"/>
                <w:sz w:val="18"/>
                <w:szCs w:val="18"/>
              </w:rPr>
            </w:pPr>
          </w:p>
        </w:tc>
        <w:tc>
          <w:tcPr>
            <w:tcW w:w="5405" w:type="dxa"/>
            <w:tcBorders>
              <w:top w:val="single" w:color="auto" w:sz="4" w:space="0"/>
              <w:left w:val="nil"/>
              <w:bottom w:val="single" w:color="auto" w:sz="4" w:space="0"/>
              <w:right w:val="single" w:color="auto" w:sz="4" w:space="0"/>
            </w:tcBorders>
            <w:shd w:val="clear" w:color="auto" w:fill="auto"/>
            <w:noWrap w:val="0"/>
            <w:vAlign w:val="center"/>
          </w:tcPr>
          <w:p>
            <w:pPr>
              <w:ind w:left="391"/>
              <w:jc w:val="both"/>
              <w:rPr>
                <w:rFonts w:ascii="Arial" w:hAnsi="Arial" w:cs="Arial"/>
                <w:b/>
                <w:bCs/>
                <w:color w:val="000000"/>
                <w:sz w:val="18"/>
                <w:szCs w:val="18"/>
              </w:rPr>
            </w:pPr>
            <w:r>
              <w:rPr>
                <w:rFonts w:ascii="Arial" w:hAnsi="Arial" w:cs="Arial"/>
                <w:b/>
                <w:bCs/>
                <w:color w:val="000000"/>
                <w:sz w:val="18"/>
                <w:szCs w:val="18"/>
              </w:rPr>
              <w:t>Accesorios de Aprovechamientos</w:t>
            </w:r>
          </w:p>
        </w:tc>
        <w:tc>
          <w:tcPr>
            <w:tcW w:w="2282" w:type="dxa"/>
            <w:tcBorders>
              <w:top w:val="single" w:color="auto" w:sz="4" w:space="0"/>
              <w:left w:val="nil"/>
              <w:bottom w:val="single" w:color="auto" w:sz="4" w:space="0"/>
              <w:right w:val="single" w:color="auto" w:sz="4" w:space="0"/>
            </w:tcBorders>
            <w:shd w:val="clear" w:color="auto" w:fill="auto"/>
            <w:noWrap w:val="0"/>
            <w:vAlign w:val="center"/>
          </w:tcPr>
          <w:p>
            <w:pPr>
              <w:jc w:val="right"/>
              <w:rPr>
                <w:rFonts w:ascii="Arial" w:hAnsi="Arial" w:cs="Arial"/>
                <w:b/>
                <w:bCs/>
                <w:color w:val="000000"/>
                <w:sz w:val="18"/>
                <w:szCs w:val="18"/>
              </w:rPr>
            </w:pPr>
            <w:r>
              <w:rPr>
                <w:rFonts w:ascii="Arial" w:hAnsi="Arial" w:cs="Arial"/>
                <w:b/>
                <w:bCs/>
                <w:color w:val="000000"/>
                <w:sz w:val="18"/>
                <w:szCs w:val="18"/>
              </w:rPr>
              <w:t>179,736.00</w:t>
            </w:r>
          </w:p>
        </w:tc>
      </w:tr>
      <w:tr>
        <w:tblPrEx>
          <w:tblCellMar>
            <w:top w:w="0" w:type="dxa"/>
            <w:left w:w="70" w:type="dxa"/>
            <w:bottom w:w="0" w:type="dxa"/>
            <w:right w:w="70" w:type="dxa"/>
          </w:tblCellMar>
        </w:tblPrEx>
        <w:trPr>
          <w:gridAfter w:val="3"/>
          <w:wBefore w:w="0" w:type="dxa"/>
          <w:wAfter w:w="4423" w:type="dxa"/>
          <w:trHeight w:val="268" w:hRule="atLeast"/>
        </w:trPr>
        <w:tc>
          <w:tcPr>
            <w:tcW w:w="3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color w:val="000000"/>
                <w:sz w:val="16"/>
                <w:szCs w:val="16"/>
              </w:rPr>
            </w:pPr>
          </w:p>
        </w:tc>
        <w:tc>
          <w:tcPr>
            <w:tcW w:w="56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Arial" w:hAnsi="Arial" w:cs="Arial"/>
                <w:color w:val="000000"/>
                <w:sz w:val="16"/>
                <w:szCs w:val="16"/>
              </w:rPr>
            </w:pPr>
          </w:p>
        </w:tc>
        <w:tc>
          <w:tcPr>
            <w:tcW w:w="585" w:type="dxa"/>
            <w:gridSpan w:val="2"/>
            <w:tcBorders>
              <w:top w:val="single" w:color="auto" w:sz="4" w:space="0"/>
              <w:left w:val="single" w:color="auto" w:sz="4" w:space="0"/>
              <w:bottom w:val="single" w:color="auto" w:sz="4" w:space="0"/>
            </w:tcBorders>
            <w:shd w:val="clear" w:color="auto" w:fill="auto"/>
            <w:noWrap/>
            <w:vAlign w:val="center"/>
          </w:tcPr>
          <w:p>
            <w:pPr>
              <w:jc w:val="center"/>
              <w:rPr>
                <w:rFonts w:ascii="Arial" w:hAnsi="Arial" w:cs="Arial"/>
                <w:color w:val="000000"/>
                <w:sz w:val="16"/>
                <w:szCs w:val="16"/>
              </w:rPr>
            </w:pPr>
            <w:r>
              <w:rPr>
                <w:rFonts w:ascii="Arial" w:hAnsi="Arial" w:cs="Arial"/>
                <w:color w:val="000000"/>
                <w:sz w:val="16"/>
                <w:szCs w:val="16"/>
              </w:rPr>
              <w:t>6.63.1</w:t>
            </w:r>
          </w:p>
        </w:tc>
        <w:tc>
          <w:tcPr>
            <w:tcW w:w="925" w:type="dxa"/>
            <w:gridSpan w:val="7"/>
            <w:tcBorders>
              <w:top w:val="single" w:color="auto" w:sz="4" w:space="0"/>
              <w:bottom w:val="single" w:color="auto" w:sz="4" w:space="0"/>
              <w:right w:val="single" w:color="auto" w:sz="4" w:space="0"/>
            </w:tcBorders>
            <w:shd w:val="clear" w:color="auto" w:fill="auto"/>
            <w:noWrap/>
            <w:vAlign w:val="center"/>
          </w:tcPr>
          <w:p>
            <w:pPr>
              <w:jc w:val="center"/>
              <w:rPr>
                <w:rFonts w:ascii="Arial" w:hAnsi="Arial" w:cs="Arial"/>
                <w:color w:val="000000"/>
                <w:sz w:val="16"/>
                <w:szCs w:val="16"/>
              </w:rPr>
            </w:pPr>
          </w:p>
        </w:tc>
        <w:tc>
          <w:tcPr>
            <w:tcW w:w="5405" w:type="dxa"/>
            <w:tcBorders>
              <w:top w:val="single" w:color="auto" w:sz="4" w:space="0"/>
              <w:left w:val="nil"/>
              <w:bottom w:val="single" w:color="auto" w:sz="4" w:space="0"/>
              <w:right w:val="single" w:color="auto" w:sz="4" w:space="0"/>
            </w:tcBorders>
            <w:shd w:val="clear" w:color="auto" w:fill="auto"/>
            <w:noWrap w:val="0"/>
            <w:vAlign w:val="center"/>
          </w:tcPr>
          <w:p>
            <w:pPr>
              <w:ind w:left="391"/>
              <w:rPr>
                <w:rFonts w:ascii="Arial" w:hAnsi="Arial" w:cs="Arial"/>
                <w:color w:val="000000"/>
                <w:sz w:val="16"/>
                <w:szCs w:val="16"/>
              </w:rPr>
            </w:pPr>
            <w:r>
              <w:rPr>
                <w:rFonts w:ascii="Arial" w:hAnsi="Arial" w:cs="Arial"/>
                <w:color w:val="000000"/>
                <w:sz w:val="16"/>
                <w:szCs w:val="16"/>
              </w:rPr>
              <w:t xml:space="preserve">      Gastos de ejecución</w:t>
            </w:r>
            <w:r>
              <w:rPr>
                <w:rFonts w:ascii="Arial" w:hAnsi="Arial" w:cs="Arial"/>
                <w:color w:val="000000"/>
                <w:sz w:val="16"/>
                <w:szCs w:val="16"/>
              </w:rPr>
              <w:tab/>
            </w:r>
          </w:p>
        </w:tc>
        <w:tc>
          <w:tcPr>
            <w:tcW w:w="2282" w:type="dxa"/>
            <w:tcBorders>
              <w:top w:val="single" w:color="auto" w:sz="4" w:space="0"/>
              <w:left w:val="nil"/>
              <w:bottom w:val="single" w:color="auto" w:sz="4" w:space="0"/>
              <w:right w:val="single" w:color="auto" w:sz="4" w:space="0"/>
            </w:tcBorders>
            <w:shd w:val="clear" w:color="auto" w:fill="auto"/>
            <w:noWrap w:val="0"/>
            <w:vAlign w:val="center"/>
          </w:tcPr>
          <w:p>
            <w:pPr>
              <w:jc w:val="right"/>
              <w:rPr>
                <w:rFonts w:ascii="Arial" w:hAnsi="Arial" w:cs="Arial"/>
                <w:color w:val="000000"/>
                <w:sz w:val="16"/>
                <w:szCs w:val="16"/>
              </w:rPr>
            </w:pPr>
            <w:r>
              <w:rPr>
                <w:rFonts w:ascii="Arial" w:hAnsi="Arial" w:cs="Arial"/>
                <w:color w:val="000000"/>
                <w:sz w:val="16"/>
                <w:szCs w:val="16"/>
              </w:rPr>
              <w:t>59,670.00</w:t>
            </w:r>
          </w:p>
        </w:tc>
      </w:tr>
      <w:tr>
        <w:tblPrEx>
          <w:tblCellMar>
            <w:top w:w="0" w:type="dxa"/>
            <w:left w:w="70" w:type="dxa"/>
            <w:bottom w:w="0" w:type="dxa"/>
            <w:right w:w="70" w:type="dxa"/>
          </w:tblCellMar>
        </w:tblPrEx>
        <w:trPr>
          <w:gridAfter w:val="3"/>
          <w:wBefore w:w="0" w:type="dxa"/>
          <w:wAfter w:w="4423" w:type="dxa"/>
          <w:trHeight w:val="268" w:hRule="atLeast"/>
        </w:trPr>
        <w:tc>
          <w:tcPr>
            <w:tcW w:w="3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color w:val="000000"/>
                <w:sz w:val="16"/>
                <w:szCs w:val="16"/>
              </w:rPr>
            </w:pPr>
          </w:p>
        </w:tc>
        <w:tc>
          <w:tcPr>
            <w:tcW w:w="56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Arial" w:hAnsi="Arial" w:cs="Arial"/>
                <w:color w:val="000000"/>
                <w:sz w:val="16"/>
                <w:szCs w:val="16"/>
              </w:rPr>
            </w:pPr>
          </w:p>
        </w:tc>
        <w:tc>
          <w:tcPr>
            <w:tcW w:w="585" w:type="dxa"/>
            <w:gridSpan w:val="2"/>
            <w:tcBorders>
              <w:top w:val="single" w:color="auto" w:sz="4" w:space="0"/>
              <w:left w:val="single" w:color="auto" w:sz="4" w:space="0"/>
              <w:bottom w:val="single" w:color="auto" w:sz="4" w:space="0"/>
            </w:tcBorders>
            <w:shd w:val="clear" w:color="auto" w:fill="auto"/>
            <w:noWrap/>
            <w:vAlign w:val="center"/>
          </w:tcPr>
          <w:p>
            <w:pPr>
              <w:jc w:val="center"/>
              <w:rPr>
                <w:rFonts w:ascii="Arial" w:hAnsi="Arial" w:cs="Arial"/>
                <w:color w:val="000000"/>
                <w:sz w:val="16"/>
                <w:szCs w:val="16"/>
              </w:rPr>
            </w:pPr>
            <w:r>
              <w:rPr>
                <w:rFonts w:ascii="Arial" w:hAnsi="Arial" w:cs="Arial"/>
                <w:color w:val="000000"/>
                <w:sz w:val="16"/>
                <w:szCs w:val="16"/>
              </w:rPr>
              <w:t>6.63.2</w:t>
            </w:r>
          </w:p>
        </w:tc>
        <w:tc>
          <w:tcPr>
            <w:tcW w:w="925" w:type="dxa"/>
            <w:gridSpan w:val="7"/>
            <w:tcBorders>
              <w:top w:val="single" w:color="auto" w:sz="4" w:space="0"/>
              <w:bottom w:val="single" w:color="auto" w:sz="4" w:space="0"/>
              <w:right w:val="single" w:color="auto" w:sz="4" w:space="0"/>
            </w:tcBorders>
            <w:shd w:val="clear" w:color="auto" w:fill="auto"/>
            <w:noWrap/>
            <w:vAlign w:val="center"/>
          </w:tcPr>
          <w:p>
            <w:pPr>
              <w:jc w:val="center"/>
              <w:rPr>
                <w:rFonts w:ascii="Arial" w:hAnsi="Arial" w:cs="Arial"/>
                <w:color w:val="000000"/>
                <w:sz w:val="16"/>
                <w:szCs w:val="16"/>
              </w:rPr>
            </w:pPr>
          </w:p>
        </w:tc>
        <w:tc>
          <w:tcPr>
            <w:tcW w:w="5405" w:type="dxa"/>
            <w:tcBorders>
              <w:top w:val="single" w:color="auto" w:sz="4" w:space="0"/>
              <w:left w:val="nil"/>
              <w:bottom w:val="single" w:color="auto" w:sz="4" w:space="0"/>
              <w:right w:val="single" w:color="auto" w:sz="4" w:space="0"/>
            </w:tcBorders>
            <w:shd w:val="clear" w:color="auto" w:fill="auto"/>
            <w:noWrap w:val="0"/>
            <w:vAlign w:val="center"/>
          </w:tcPr>
          <w:p>
            <w:pPr>
              <w:ind w:left="391"/>
              <w:rPr>
                <w:rFonts w:ascii="Arial" w:hAnsi="Arial" w:cs="Arial"/>
                <w:color w:val="000000"/>
                <w:sz w:val="16"/>
                <w:szCs w:val="16"/>
              </w:rPr>
            </w:pPr>
            <w:r>
              <w:rPr>
                <w:rFonts w:ascii="Arial" w:hAnsi="Arial" w:cs="Arial"/>
                <w:color w:val="000000"/>
                <w:sz w:val="16"/>
                <w:szCs w:val="16"/>
              </w:rPr>
              <w:t xml:space="preserve">      Aprovechamientos diversos de tipo corriente</w:t>
            </w:r>
          </w:p>
        </w:tc>
        <w:tc>
          <w:tcPr>
            <w:tcW w:w="2282" w:type="dxa"/>
            <w:tcBorders>
              <w:top w:val="single" w:color="auto" w:sz="4" w:space="0"/>
              <w:left w:val="nil"/>
              <w:bottom w:val="single" w:color="auto" w:sz="4" w:space="0"/>
              <w:right w:val="single" w:color="auto" w:sz="4" w:space="0"/>
            </w:tcBorders>
            <w:shd w:val="clear" w:color="auto" w:fill="auto"/>
            <w:noWrap w:val="0"/>
            <w:vAlign w:val="center"/>
          </w:tcPr>
          <w:p>
            <w:pPr>
              <w:jc w:val="right"/>
              <w:rPr>
                <w:rFonts w:ascii="Arial" w:hAnsi="Arial" w:cs="Arial"/>
                <w:color w:val="000000"/>
                <w:sz w:val="16"/>
                <w:szCs w:val="16"/>
              </w:rPr>
            </w:pPr>
            <w:r>
              <w:rPr>
                <w:rFonts w:ascii="Arial" w:hAnsi="Arial" w:cs="Arial"/>
                <w:color w:val="000000"/>
                <w:sz w:val="16"/>
                <w:szCs w:val="16"/>
              </w:rPr>
              <w:t>120,066.00</w:t>
            </w:r>
          </w:p>
        </w:tc>
      </w:tr>
      <w:tr>
        <w:tblPrEx>
          <w:tblCellMar>
            <w:top w:w="0" w:type="dxa"/>
            <w:left w:w="70" w:type="dxa"/>
            <w:bottom w:w="0" w:type="dxa"/>
            <w:right w:w="70" w:type="dxa"/>
          </w:tblCellMar>
        </w:tblPrEx>
        <w:trPr>
          <w:gridAfter w:val="3"/>
          <w:wBefore w:w="0" w:type="dxa"/>
          <w:wAfter w:w="4423" w:type="dxa"/>
          <w:trHeight w:val="720" w:hRule="atLeast"/>
        </w:trPr>
        <w:tc>
          <w:tcPr>
            <w:tcW w:w="3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6.69</w:t>
            </w:r>
          </w:p>
        </w:tc>
        <w:tc>
          <w:tcPr>
            <w:tcW w:w="585"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925" w:type="dxa"/>
            <w:gridSpan w:val="7"/>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single" w:color="auto" w:sz="4" w:space="0"/>
              <w:left w:val="nil"/>
              <w:bottom w:val="single" w:color="auto" w:sz="4" w:space="0"/>
              <w:right w:val="single" w:color="auto" w:sz="4" w:space="0"/>
            </w:tcBorders>
            <w:shd w:val="clear" w:color="000000" w:fill="FFFFFF"/>
            <w:noWrap w:val="0"/>
            <w:vAlign w:val="center"/>
          </w:tcPr>
          <w:p>
            <w:pPr>
              <w:ind w:left="391"/>
              <w:jc w:val="both"/>
              <w:rPr>
                <w:rFonts w:ascii="Arial" w:hAnsi="Arial" w:cs="Arial"/>
                <w:b/>
                <w:bCs/>
                <w:color w:val="000000"/>
                <w:sz w:val="18"/>
                <w:szCs w:val="18"/>
              </w:rPr>
            </w:pPr>
            <w:r>
              <w:rPr>
                <w:rFonts w:ascii="Arial" w:hAnsi="Arial" w:cs="Arial"/>
                <w:b/>
                <w:bCs/>
                <w:color w:val="000000"/>
                <w:sz w:val="18"/>
                <w:szCs w:val="18"/>
              </w:rPr>
              <w:t>Aprovechamientos no comprendidos en la Ley de Ingresos vigente, causados en ejercicios fiscales anteriores pendientes de liquidación o pago</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0.00</w:t>
            </w:r>
          </w:p>
        </w:tc>
      </w:tr>
      <w:tr>
        <w:tblPrEx>
          <w:tblCellMar>
            <w:top w:w="0" w:type="dxa"/>
            <w:left w:w="70" w:type="dxa"/>
            <w:bottom w:w="0" w:type="dxa"/>
            <w:right w:w="70" w:type="dxa"/>
          </w:tblCellMar>
        </w:tblPrEx>
        <w:trPr>
          <w:gridAfter w:val="3"/>
          <w:wBefore w:w="0" w:type="dxa"/>
          <w:wAfter w:w="4423" w:type="dxa"/>
          <w:trHeight w:val="675" w:hRule="atLeast"/>
        </w:trPr>
        <w:tc>
          <w:tcPr>
            <w:tcW w:w="3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85" w:type="dxa"/>
            <w:gridSpan w:val="2"/>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6.69.1</w:t>
            </w:r>
          </w:p>
        </w:tc>
        <w:tc>
          <w:tcPr>
            <w:tcW w:w="925" w:type="dxa"/>
            <w:gridSpan w:val="7"/>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left="675"/>
              <w:jc w:val="both"/>
              <w:rPr>
                <w:rFonts w:ascii="Arial" w:hAnsi="Arial" w:cs="Arial"/>
                <w:color w:val="000000"/>
                <w:sz w:val="16"/>
                <w:szCs w:val="16"/>
              </w:rPr>
            </w:pPr>
            <w:r>
              <w:rPr>
                <w:rFonts w:ascii="Arial" w:hAnsi="Arial" w:cs="Arial"/>
                <w:color w:val="000000"/>
                <w:sz w:val="16"/>
                <w:szCs w:val="16"/>
              </w:rPr>
              <w:t>Aprovechamientos no comprendidos en la Ley de Ingresos vigente, causados en ejercicios fiscales anteriores pendientes de liquidación o pago</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0.00</w:t>
            </w:r>
          </w:p>
        </w:tc>
      </w:tr>
      <w:tr>
        <w:tblPrEx>
          <w:tblCellMar>
            <w:top w:w="0" w:type="dxa"/>
            <w:left w:w="70" w:type="dxa"/>
            <w:bottom w:w="0" w:type="dxa"/>
            <w:right w:w="70" w:type="dxa"/>
          </w:tblCellMar>
        </w:tblPrEx>
        <w:trPr>
          <w:gridAfter w:val="3"/>
          <w:wBefore w:w="0" w:type="dxa"/>
          <w:wAfter w:w="4423" w:type="dxa"/>
          <w:trHeight w:val="480" w:hRule="atLeast"/>
        </w:trPr>
        <w:tc>
          <w:tcPr>
            <w:tcW w:w="300" w:type="dxa"/>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7</w:t>
            </w: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585"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925" w:type="dxa"/>
            <w:gridSpan w:val="7"/>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both"/>
              <w:rPr>
                <w:rFonts w:ascii="Arial" w:hAnsi="Arial" w:cs="Arial"/>
                <w:b/>
                <w:bCs/>
                <w:color w:val="000000"/>
                <w:sz w:val="20"/>
                <w:szCs w:val="20"/>
              </w:rPr>
            </w:pPr>
            <w:r>
              <w:rPr>
                <w:rFonts w:ascii="Arial" w:hAnsi="Arial" w:cs="Arial"/>
                <w:b/>
                <w:bCs/>
                <w:color w:val="000000"/>
                <w:sz w:val="20"/>
                <w:szCs w:val="20"/>
              </w:rPr>
              <w:t xml:space="preserve">Ingresos por ventas de bienes, prestación de servicios y otros ingresos </w:t>
            </w:r>
          </w:p>
        </w:tc>
        <w:tc>
          <w:tcPr>
            <w:tcW w:w="2282" w:type="dxa"/>
            <w:tcBorders>
              <w:top w:val="single" w:color="auto" w:sz="4" w:space="0"/>
              <w:left w:val="nil"/>
              <w:bottom w:val="single" w:color="auto" w:sz="4" w:space="0"/>
              <w:right w:val="single" w:color="auto" w:sz="4" w:space="0"/>
            </w:tcBorders>
            <w:shd w:val="clear" w:color="auto" w:fill="auto"/>
            <w:noWrap w:val="0"/>
            <w:vAlign w:val="center"/>
          </w:tcPr>
          <w:p>
            <w:pPr>
              <w:jc w:val="right"/>
              <w:rPr>
                <w:rFonts w:ascii="Arial" w:hAnsi="Arial" w:cs="Arial"/>
                <w:b/>
                <w:bCs/>
                <w:color w:val="000000"/>
                <w:sz w:val="20"/>
                <w:szCs w:val="20"/>
              </w:rPr>
            </w:pPr>
            <w:r>
              <w:rPr>
                <w:rFonts w:ascii="Arial" w:hAnsi="Arial" w:cs="Arial"/>
                <w:b/>
                <w:bCs/>
                <w:color w:val="000000"/>
                <w:sz w:val="20"/>
                <w:szCs w:val="20"/>
              </w:rPr>
              <w:t>104,661,279.00</w:t>
            </w:r>
          </w:p>
        </w:tc>
      </w:tr>
      <w:tr>
        <w:tblPrEx>
          <w:tblCellMar>
            <w:top w:w="0" w:type="dxa"/>
            <w:left w:w="70" w:type="dxa"/>
            <w:bottom w:w="0" w:type="dxa"/>
            <w:right w:w="70" w:type="dxa"/>
          </w:tblCellMar>
        </w:tblPrEx>
        <w:trPr>
          <w:gridAfter w:val="3"/>
          <w:wBefore w:w="0" w:type="dxa"/>
          <w:wAfter w:w="4423" w:type="dxa"/>
          <w:trHeight w:val="240" w:hRule="atLeast"/>
        </w:trPr>
        <w:tc>
          <w:tcPr>
            <w:tcW w:w="3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7.73</w:t>
            </w:r>
          </w:p>
        </w:tc>
        <w:tc>
          <w:tcPr>
            <w:tcW w:w="585"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p>
        </w:tc>
        <w:tc>
          <w:tcPr>
            <w:tcW w:w="925" w:type="dxa"/>
            <w:gridSpan w:val="7"/>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p>
        </w:tc>
        <w:tc>
          <w:tcPr>
            <w:tcW w:w="5405" w:type="dxa"/>
            <w:tcBorders>
              <w:top w:val="single" w:color="auto" w:sz="4" w:space="0"/>
              <w:left w:val="nil"/>
              <w:bottom w:val="single" w:color="auto" w:sz="4" w:space="0"/>
              <w:right w:val="single" w:color="auto" w:sz="4" w:space="0"/>
            </w:tcBorders>
            <w:shd w:val="clear" w:color="000000" w:fill="FFFFFF"/>
            <w:noWrap w:val="0"/>
            <w:vAlign w:val="center"/>
          </w:tcPr>
          <w:p>
            <w:pPr>
              <w:ind w:left="391"/>
              <w:jc w:val="both"/>
              <w:rPr>
                <w:rFonts w:ascii="Arial" w:hAnsi="Arial" w:cs="Arial"/>
                <w:b/>
                <w:bCs/>
                <w:color w:val="000000"/>
                <w:sz w:val="18"/>
                <w:szCs w:val="18"/>
              </w:rPr>
            </w:pPr>
            <w:r>
              <w:rPr>
                <w:rFonts w:ascii="Arial" w:hAnsi="Arial" w:cs="Arial"/>
                <w:b/>
                <w:bCs/>
                <w:color w:val="000000"/>
                <w:sz w:val="18"/>
                <w:szCs w:val="18"/>
              </w:rPr>
              <w:t>Ingresos por venta de bienes y prestación de servicios de entidades paraestatales y fideicomisos no empresariales y no financieros</w:t>
            </w:r>
          </w:p>
        </w:tc>
        <w:tc>
          <w:tcPr>
            <w:tcW w:w="2282" w:type="dxa"/>
            <w:tcBorders>
              <w:top w:val="single" w:color="auto" w:sz="4" w:space="0"/>
              <w:left w:val="nil"/>
              <w:bottom w:val="single" w:color="auto" w:sz="4" w:space="0"/>
              <w:right w:val="single" w:color="auto" w:sz="4" w:space="0"/>
            </w:tcBorders>
            <w:shd w:val="clear" w:color="auto" w:fill="auto"/>
            <w:noWrap w:val="0"/>
            <w:vAlign w:val="center"/>
          </w:tcPr>
          <w:p>
            <w:pPr>
              <w:jc w:val="right"/>
              <w:rPr>
                <w:rFonts w:ascii="Arial" w:hAnsi="Arial" w:cs="Arial"/>
                <w:b/>
                <w:bCs/>
                <w:color w:val="000000"/>
                <w:sz w:val="18"/>
                <w:szCs w:val="18"/>
              </w:rPr>
            </w:pPr>
            <w:r>
              <w:rPr>
                <w:rFonts w:ascii="Arial" w:hAnsi="Arial" w:cs="Arial"/>
                <w:b/>
                <w:bCs/>
                <w:color w:val="000000"/>
                <w:sz w:val="18"/>
                <w:szCs w:val="18"/>
              </w:rPr>
              <w:t>99,756,460.00</w:t>
            </w:r>
          </w:p>
        </w:tc>
      </w:tr>
      <w:tr>
        <w:tblPrEx>
          <w:tblCellMar>
            <w:top w:w="0" w:type="dxa"/>
            <w:left w:w="70" w:type="dxa"/>
            <w:bottom w:w="0" w:type="dxa"/>
            <w:right w:w="70" w:type="dxa"/>
          </w:tblCellMar>
        </w:tblPrEx>
        <w:trPr>
          <w:gridAfter w:val="3"/>
          <w:wBefore w:w="0" w:type="dxa"/>
          <w:wAfter w:w="4423" w:type="dxa"/>
          <w:trHeight w:val="240" w:hRule="atLeast"/>
        </w:trPr>
        <w:tc>
          <w:tcPr>
            <w:tcW w:w="3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p>
        </w:tc>
        <w:tc>
          <w:tcPr>
            <w:tcW w:w="560" w:type="dxa"/>
            <w:gridSpan w:val="2"/>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p>
        </w:tc>
        <w:tc>
          <w:tcPr>
            <w:tcW w:w="585" w:type="dxa"/>
            <w:gridSpan w:val="2"/>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7.73.1</w:t>
            </w:r>
          </w:p>
        </w:tc>
        <w:tc>
          <w:tcPr>
            <w:tcW w:w="925" w:type="dxa"/>
            <w:gridSpan w:val="7"/>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p>
        </w:tc>
        <w:tc>
          <w:tcPr>
            <w:tcW w:w="5405" w:type="dxa"/>
            <w:tcBorders>
              <w:top w:val="single" w:color="auto" w:sz="4" w:space="0"/>
              <w:left w:val="nil"/>
              <w:bottom w:val="single" w:color="auto" w:sz="4" w:space="0"/>
              <w:right w:val="single" w:color="auto" w:sz="4" w:space="0"/>
            </w:tcBorders>
            <w:shd w:val="clear" w:color="000000" w:fill="FFFFFF"/>
            <w:noWrap w:val="0"/>
            <w:vAlign w:val="center"/>
          </w:tcPr>
          <w:p>
            <w:pPr>
              <w:ind w:left="674" w:leftChars="281"/>
              <w:jc w:val="both"/>
              <w:rPr>
                <w:rFonts w:ascii="Arial" w:hAnsi="Arial" w:cs="Arial"/>
                <w:b/>
                <w:bCs/>
                <w:color w:val="000000"/>
                <w:sz w:val="18"/>
                <w:szCs w:val="18"/>
              </w:rPr>
            </w:pPr>
            <w:r>
              <w:rPr>
                <w:rFonts w:ascii="Arial" w:hAnsi="Arial" w:cs="Arial"/>
                <w:color w:val="000000"/>
                <w:sz w:val="16"/>
                <w:szCs w:val="16"/>
              </w:rPr>
              <w:t>Ingresos por venta de bienes y prestación de servicios de entidades paraestatales y fideicomisos no empresariales y no financieros</w:t>
            </w:r>
          </w:p>
        </w:tc>
        <w:tc>
          <w:tcPr>
            <w:tcW w:w="2282" w:type="dxa"/>
            <w:tcBorders>
              <w:top w:val="single" w:color="auto" w:sz="4" w:space="0"/>
              <w:left w:val="nil"/>
              <w:bottom w:val="single" w:color="auto" w:sz="4" w:space="0"/>
              <w:right w:val="single" w:color="auto" w:sz="4" w:space="0"/>
            </w:tcBorders>
            <w:shd w:val="clear" w:color="auto" w:fill="auto"/>
            <w:noWrap w:val="0"/>
            <w:vAlign w:val="center"/>
          </w:tcPr>
          <w:p>
            <w:pPr>
              <w:jc w:val="right"/>
              <w:rPr>
                <w:rFonts w:ascii="Arial" w:hAnsi="Arial" w:cs="Arial"/>
                <w:b/>
                <w:bCs/>
                <w:color w:val="000000"/>
                <w:sz w:val="18"/>
                <w:szCs w:val="18"/>
              </w:rPr>
            </w:pPr>
            <w:r>
              <w:rPr>
                <w:rFonts w:ascii="Calibri" w:hAnsi="Calibri" w:cs="Calibri"/>
                <w:color w:val="000000"/>
                <w:sz w:val="18"/>
                <w:szCs w:val="18"/>
              </w:rPr>
              <w:t>99,756,460.00</w:t>
            </w:r>
          </w:p>
        </w:tc>
      </w:tr>
      <w:tr>
        <w:tblPrEx>
          <w:tblCellMar>
            <w:top w:w="0" w:type="dxa"/>
            <w:left w:w="70" w:type="dxa"/>
            <w:bottom w:w="0" w:type="dxa"/>
            <w:right w:w="70" w:type="dxa"/>
          </w:tblCellMar>
        </w:tblPrEx>
        <w:trPr>
          <w:gridAfter w:val="3"/>
          <w:wBefore w:w="0" w:type="dxa"/>
          <w:wAfter w:w="4423" w:type="dxa"/>
          <w:trHeight w:val="240" w:hRule="atLeast"/>
        </w:trPr>
        <w:tc>
          <w:tcPr>
            <w:tcW w:w="3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xml:space="preserve">7.79 </w:t>
            </w:r>
          </w:p>
        </w:tc>
        <w:tc>
          <w:tcPr>
            <w:tcW w:w="585"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925" w:type="dxa"/>
            <w:gridSpan w:val="7"/>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single" w:color="auto" w:sz="4" w:space="0"/>
              <w:left w:val="nil"/>
              <w:bottom w:val="single" w:color="auto" w:sz="4" w:space="0"/>
              <w:right w:val="single" w:color="auto" w:sz="4" w:space="0"/>
            </w:tcBorders>
            <w:shd w:val="clear" w:color="000000" w:fill="FFFFFF"/>
            <w:noWrap w:val="0"/>
            <w:vAlign w:val="center"/>
          </w:tcPr>
          <w:p>
            <w:pPr>
              <w:ind w:left="391"/>
              <w:jc w:val="both"/>
              <w:rPr>
                <w:rFonts w:ascii="Arial" w:hAnsi="Arial" w:cs="Arial"/>
                <w:b/>
                <w:bCs/>
                <w:color w:val="000000"/>
                <w:sz w:val="18"/>
                <w:szCs w:val="18"/>
              </w:rPr>
            </w:pPr>
            <w:r>
              <w:rPr>
                <w:rFonts w:ascii="Arial" w:hAnsi="Arial" w:cs="Arial"/>
                <w:b/>
                <w:bCs/>
                <w:color w:val="000000"/>
                <w:sz w:val="18"/>
                <w:szCs w:val="18"/>
              </w:rPr>
              <w:t>Otros ingresos</w:t>
            </w:r>
          </w:p>
        </w:tc>
        <w:tc>
          <w:tcPr>
            <w:tcW w:w="2282" w:type="dxa"/>
            <w:tcBorders>
              <w:top w:val="single" w:color="auto" w:sz="4" w:space="0"/>
              <w:left w:val="nil"/>
              <w:bottom w:val="single" w:color="auto" w:sz="4" w:space="0"/>
              <w:right w:val="single" w:color="auto" w:sz="4" w:space="0"/>
            </w:tcBorders>
            <w:shd w:val="clear" w:color="auto" w:fill="auto"/>
            <w:noWrap w:val="0"/>
            <w:vAlign w:val="center"/>
          </w:tcPr>
          <w:p>
            <w:pPr>
              <w:jc w:val="right"/>
              <w:rPr>
                <w:rFonts w:ascii="Arial" w:hAnsi="Arial" w:cs="Arial"/>
                <w:color w:val="000000"/>
                <w:sz w:val="16"/>
                <w:szCs w:val="16"/>
              </w:rPr>
            </w:pPr>
            <w:r>
              <w:rPr>
                <w:rFonts w:ascii="Arial" w:hAnsi="Arial" w:cs="Arial"/>
                <w:b/>
                <w:bCs/>
                <w:color w:val="000000"/>
                <w:sz w:val="18"/>
                <w:szCs w:val="18"/>
              </w:rPr>
              <w:t>4,904,819.00</w:t>
            </w:r>
          </w:p>
        </w:tc>
      </w:tr>
      <w:tr>
        <w:tblPrEx>
          <w:tblCellMar>
            <w:top w:w="0" w:type="dxa"/>
            <w:left w:w="70" w:type="dxa"/>
            <w:bottom w:w="0" w:type="dxa"/>
            <w:right w:w="70" w:type="dxa"/>
          </w:tblCellMar>
        </w:tblPrEx>
        <w:trPr>
          <w:gridAfter w:val="3"/>
          <w:wBefore w:w="0" w:type="dxa"/>
          <w:wAfter w:w="4423" w:type="dxa"/>
          <w:trHeight w:val="225" w:hRule="atLeast"/>
        </w:trPr>
        <w:tc>
          <w:tcPr>
            <w:tcW w:w="3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60"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85" w:type="dxa"/>
            <w:gridSpan w:val="2"/>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7.79.1</w:t>
            </w:r>
          </w:p>
        </w:tc>
        <w:tc>
          <w:tcPr>
            <w:tcW w:w="925" w:type="dxa"/>
            <w:gridSpan w:val="7"/>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left="674" w:leftChars="281"/>
              <w:jc w:val="both"/>
              <w:rPr>
                <w:rFonts w:ascii="Arial" w:hAnsi="Arial" w:cs="Arial"/>
                <w:color w:val="000000"/>
                <w:sz w:val="16"/>
                <w:szCs w:val="16"/>
              </w:rPr>
            </w:pPr>
            <w:r>
              <w:rPr>
                <w:rFonts w:ascii="Arial" w:hAnsi="Arial" w:cs="Arial"/>
                <w:color w:val="000000"/>
                <w:sz w:val="16"/>
                <w:szCs w:val="16"/>
              </w:rPr>
              <w:t>Otros ingresos</w:t>
            </w:r>
          </w:p>
        </w:tc>
        <w:tc>
          <w:tcPr>
            <w:tcW w:w="2282" w:type="dxa"/>
            <w:tcBorders>
              <w:top w:val="single" w:color="auto" w:sz="4" w:space="0"/>
              <w:left w:val="nil"/>
              <w:bottom w:val="single" w:color="auto" w:sz="4" w:space="0"/>
              <w:right w:val="single" w:color="auto" w:sz="4" w:space="0"/>
            </w:tcBorders>
            <w:shd w:val="clear" w:color="auto" w:fill="auto"/>
            <w:noWrap w:val="0"/>
            <w:vAlign w:val="center"/>
          </w:tcPr>
          <w:p>
            <w:pPr>
              <w:jc w:val="right"/>
              <w:rPr>
                <w:rFonts w:ascii="Arial" w:hAnsi="Arial" w:cs="Arial"/>
                <w:color w:val="000000"/>
                <w:sz w:val="16"/>
                <w:szCs w:val="16"/>
              </w:rPr>
            </w:pPr>
            <w:r>
              <w:rPr>
                <w:rFonts w:ascii="Arial" w:hAnsi="Arial" w:cs="Arial"/>
                <w:color w:val="000000"/>
                <w:sz w:val="16"/>
                <w:szCs w:val="16"/>
              </w:rPr>
              <w:t>4,904,819. 00</w:t>
            </w:r>
          </w:p>
        </w:tc>
      </w:tr>
      <w:tr>
        <w:tblPrEx>
          <w:tblCellMar>
            <w:top w:w="0" w:type="dxa"/>
            <w:left w:w="70" w:type="dxa"/>
            <w:bottom w:w="0" w:type="dxa"/>
            <w:right w:w="70" w:type="dxa"/>
          </w:tblCellMar>
        </w:tblPrEx>
        <w:trPr>
          <w:wBefore w:w="0" w:type="dxa"/>
          <w:wAfter w:w="0" w:type="dxa"/>
          <w:trHeight w:val="255" w:hRule="atLeast"/>
        </w:trPr>
        <w:tc>
          <w:tcPr>
            <w:tcW w:w="308" w:type="dxa"/>
            <w:gridSpan w:val="2"/>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b/>
                <w:bCs/>
                <w:color w:val="000000"/>
                <w:sz w:val="20"/>
                <w:szCs w:val="20"/>
                <w:lang w:val="es-MX" w:eastAsia="es-MX"/>
              </w:rPr>
            </w:pPr>
            <w:r>
              <w:rPr>
                <w:rFonts w:ascii="Arial" w:hAnsi="Arial" w:cs="Arial"/>
                <w:b/>
                <w:bCs/>
                <w:color w:val="000000"/>
                <w:sz w:val="20"/>
                <w:szCs w:val="20"/>
              </w:rPr>
              <w:t>8</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674" w:type="dxa"/>
            <w:gridSpan w:val="3"/>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815" w:type="dxa"/>
            <w:gridSpan w:val="5"/>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both"/>
              <w:rPr>
                <w:rFonts w:ascii="Arial" w:hAnsi="Arial" w:cs="Arial"/>
                <w:b/>
                <w:bCs/>
                <w:color w:val="000000"/>
                <w:sz w:val="20"/>
                <w:szCs w:val="20"/>
              </w:rPr>
            </w:pPr>
            <w:r>
              <w:rPr>
                <w:rFonts w:ascii="Arial" w:hAnsi="Arial" w:cs="Arial"/>
                <w:b/>
                <w:bCs/>
                <w:color w:val="000000"/>
                <w:sz w:val="20"/>
                <w:szCs w:val="20"/>
              </w:rPr>
              <w:t>Participaciones, Aportaciones, Convenios, Incentivos Derivados de la Colaboración Fiscal y Fondos Distintos de Aportaciones</w:t>
            </w:r>
          </w:p>
        </w:tc>
        <w:tc>
          <w:tcPr>
            <w:tcW w:w="2282" w:type="dxa"/>
            <w:tcBorders>
              <w:top w:val="single" w:color="auto" w:sz="4" w:space="0"/>
              <w:left w:val="nil"/>
              <w:bottom w:val="single" w:color="auto" w:sz="4" w:space="0"/>
              <w:right w:val="single" w:color="auto" w:sz="4" w:space="0"/>
            </w:tcBorders>
            <w:shd w:val="clear" w:color="auto" w:fill="auto"/>
            <w:noWrap w:val="0"/>
            <w:vAlign w:val="center"/>
          </w:tcPr>
          <w:p>
            <w:pPr>
              <w:jc w:val="right"/>
              <w:rPr>
                <w:rFonts w:ascii="Arial" w:hAnsi="Arial" w:cs="Arial"/>
                <w:b/>
                <w:bCs/>
                <w:color w:val="000000"/>
                <w:sz w:val="20"/>
                <w:szCs w:val="20"/>
              </w:rPr>
            </w:pPr>
            <w:r>
              <w:rPr>
                <w:rFonts w:ascii="Arial" w:hAnsi="Arial" w:cs="Arial"/>
                <w:b/>
                <w:bCs/>
                <w:color w:val="000000"/>
                <w:sz w:val="20"/>
                <w:szCs w:val="20"/>
              </w:rPr>
              <w:t>2,143,174,382.00</w:t>
            </w:r>
          </w:p>
        </w:tc>
        <w:tc>
          <w:tcPr>
            <w:tcW w:w="1007" w:type="dxa"/>
            <w:tcBorders>
              <w:top w:val="nil"/>
              <w:left w:val="nil"/>
              <w:bottom w:val="nil"/>
              <w:right w:val="nil"/>
            </w:tcBorders>
            <w:shd w:val="clear" w:color="000000" w:fill="FFFFFF"/>
            <w:noWrap/>
            <w:vAlign w:val="bottom"/>
          </w:tcPr>
          <w:p>
            <w:pPr>
              <w:rPr>
                <w:rFonts w:ascii="Calibri" w:hAnsi="Calibri" w:cs="Arial"/>
                <w:b/>
                <w:bCs/>
                <w:color w:val="000000"/>
                <w:sz w:val="20"/>
                <w:szCs w:val="20"/>
              </w:rPr>
            </w:pPr>
            <w:r>
              <w:rPr>
                <w:rFonts w:ascii="Calibri" w:hAnsi="Calibri" w:cs="Arial"/>
                <w:b/>
                <w:bCs/>
                <w:color w:val="000000"/>
                <w:sz w:val="20"/>
                <w:szCs w:val="20"/>
              </w:rPr>
              <w:t> </w:t>
            </w:r>
          </w:p>
        </w:tc>
        <w:tc>
          <w:tcPr>
            <w:tcW w:w="1808" w:type="dxa"/>
            <w:tcBorders>
              <w:top w:val="nil"/>
              <w:left w:val="nil"/>
              <w:bottom w:val="nil"/>
              <w:right w:val="nil"/>
            </w:tcBorders>
            <w:shd w:val="clear" w:color="000000" w:fill="FFFFFF"/>
            <w:noWrap/>
            <w:vAlign w:val="center"/>
          </w:tcPr>
          <w:p>
            <w:pPr>
              <w:rPr>
                <w:rFonts w:ascii="Calibri" w:hAnsi="Calibri" w:cs="Arial"/>
                <w:b/>
                <w:bCs/>
                <w:color w:val="000000"/>
                <w:sz w:val="20"/>
                <w:szCs w:val="20"/>
              </w:rPr>
            </w:pPr>
            <w:r>
              <w:rPr>
                <w:rFonts w:ascii="Calibri" w:hAnsi="Calibri" w:cs="Arial"/>
                <w:b/>
                <w:bCs/>
                <w:color w:val="000000"/>
                <w:sz w:val="20"/>
                <w:szCs w:val="20"/>
              </w:rPr>
              <w:t> </w:t>
            </w:r>
          </w:p>
        </w:tc>
        <w:tc>
          <w:tcPr>
            <w:tcW w:w="1608" w:type="dxa"/>
            <w:tcBorders>
              <w:top w:val="nil"/>
              <w:left w:val="nil"/>
              <w:bottom w:val="nil"/>
              <w:right w:val="nil"/>
            </w:tcBorders>
            <w:shd w:val="clear" w:color="000000" w:fill="FFFFFF"/>
            <w:noWrap/>
            <w:vAlign w:val="bottom"/>
          </w:tcPr>
          <w:p>
            <w:pPr>
              <w:rPr>
                <w:rFonts w:ascii="Calibri" w:hAnsi="Calibri" w:cs="Arial"/>
                <w:b/>
                <w:bCs/>
                <w:color w:val="000000"/>
                <w:sz w:val="20"/>
                <w:szCs w:val="20"/>
              </w:rPr>
            </w:pPr>
            <w:r>
              <w:rPr>
                <w:rFonts w:ascii="Calibri" w:hAnsi="Calibri" w:cs="Arial"/>
                <w:b/>
                <w:bCs/>
                <w:color w:val="000000"/>
                <w:sz w:val="20"/>
                <w:szCs w:val="20"/>
              </w:rPr>
              <w:t> </w:t>
            </w:r>
          </w:p>
        </w:tc>
      </w:tr>
      <w:tr>
        <w:tblPrEx>
          <w:tblCellMar>
            <w:top w:w="0" w:type="dxa"/>
            <w:left w:w="70" w:type="dxa"/>
            <w:bottom w:w="0" w:type="dxa"/>
            <w:right w:w="70" w:type="dxa"/>
          </w:tblCellMar>
        </w:tblPrEx>
        <w:trPr>
          <w:wBefore w:w="0" w:type="dxa"/>
          <w:wAfter w:w="0" w:type="dxa"/>
          <w:trHeight w:val="240"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8.81</w:t>
            </w:r>
          </w:p>
        </w:tc>
        <w:tc>
          <w:tcPr>
            <w:tcW w:w="674" w:type="dxa"/>
            <w:gridSpan w:val="3"/>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815" w:type="dxa"/>
            <w:gridSpan w:val="5"/>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nil"/>
              <w:left w:val="nil"/>
              <w:bottom w:val="single" w:color="auto" w:sz="4" w:space="0"/>
              <w:right w:val="single" w:color="auto" w:sz="4" w:space="0"/>
            </w:tcBorders>
            <w:shd w:val="clear" w:color="000000" w:fill="FFFFFF"/>
            <w:noWrap w:val="0"/>
            <w:vAlign w:val="center"/>
          </w:tcPr>
          <w:p>
            <w:pPr>
              <w:ind w:firstLine="360" w:firstLineChars="200"/>
              <w:jc w:val="both"/>
              <w:rPr>
                <w:rFonts w:ascii="Arial" w:hAnsi="Arial" w:cs="Arial"/>
                <w:b/>
                <w:bCs/>
                <w:color w:val="000000"/>
                <w:sz w:val="18"/>
                <w:szCs w:val="18"/>
              </w:rPr>
            </w:pPr>
            <w:r>
              <w:rPr>
                <w:rFonts w:ascii="Arial" w:hAnsi="Arial" w:cs="Arial"/>
                <w:b/>
                <w:bCs/>
                <w:color w:val="000000"/>
                <w:sz w:val="18"/>
                <w:szCs w:val="18"/>
              </w:rPr>
              <w:t>Participaciones</w:t>
            </w:r>
          </w:p>
        </w:tc>
        <w:tc>
          <w:tcPr>
            <w:tcW w:w="2282" w:type="dxa"/>
            <w:tcBorders>
              <w:top w:val="nil"/>
              <w:left w:val="nil"/>
              <w:bottom w:val="single" w:color="auto" w:sz="4" w:space="0"/>
              <w:right w:val="single" w:color="auto" w:sz="4" w:space="0"/>
            </w:tcBorders>
            <w:shd w:val="clear" w:color="auto" w:fill="auto"/>
            <w:noWrap w:val="0"/>
            <w:vAlign w:val="center"/>
          </w:tcPr>
          <w:p>
            <w:pPr>
              <w:jc w:val="right"/>
              <w:rPr>
                <w:rFonts w:ascii="Arial" w:hAnsi="Arial" w:cs="Arial"/>
                <w:b/>
                <w:bCs/>
                <w:color w:val="000000"/>
                <w:sz w:val="18"/>
                <w:szCs w:val="18"/>
              </w:rPr>
            </w:pPr>
            <w:r>
              <w:rPr>
                <w:rFonts w:ascii="Arial" w:hAnsi="Arial" w:cs="Arial"/>
                <w:b/>
                <w:bCs/>
                <w:color w:val="000000"/>
                <w:sz w:val="18"/>
                <w:szCs w:val="18"/>
              </w:rPr>
              <w:t>1,255,705,884.00</w:t>
            </w:r>
          </w:p>
        </w:tc>
        <w:tc>
          <w:tcPr>
            <w:tcW w:w="1007" w:type="dxa"/>
            <w:tcBorders>
              <w:top w:val="nil"/>
              <w:left w:val="nil"/>
              <w:bottom w:val="nil"/>
              <w:right w:val="nil"/>
            </w:tcBorders>
            <w:shd w:val="clear" w:color="000000" w:fill="FFFFFF"/>
            <w:noWrap/>
            <w:vAlign w:val="bottom"/>
          </w:tcPr>
          <w:p>
            <w:pPr>
              <w:rPr>
                <w:rFonts w:ascii="Calibri" w:hAnsi="Calibri" w:cs="Arial"/>
                <w:b/>
                <w:bCs/>
                <w:color w:val="000000"/>
                <w:sz w:val="18"/>
                <w:szCs w:val="18"/>
              </w:rPr>
            </w:pPr>
            <w:r>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tcPr>
          <w:p>
            <w:pPr>
              <w:rPr>
                <w:rFonts w:ascii="Calibri" w:hAnsi="Calibri" w:cs="Arial"/>
                <w:b/>
                <w:bCs/>
                <w:color w:val="000000"/>
                <w:sz w:val="18"/>
                <w:szCs w:val="18"/>
              </w:rPr>
            </w:pPr>
            <w:r>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tcPr>
          <w:p>
            <w:pPr>
              <w:rPr>
                <w:rFonts w:ascii="Calibri" w:hAnsi="Calibri" w:cs="Arial"/>
                <w:b/>
                <w:bCs/>
                <w:color w:val="000000"/>
                <w:sz w:val="18"/>
                <w:szCs w:val="18"/>
              </w:rPr>
            </w:pPr>
            <w:r>
              <w:rPr>
                <w:rFonts w:ascii="Calibri" w:hAnsi="Calibri" w:cs="Arial"/>
                <w:b/>
                <w:bCs/>
                <w:color w:val="000000"/>
                <w:sz w:val="18"/>
                <w:szCs w:val="18"/>
              </w:rPr>
              <w:t> </w:t>
            </w:r>
          </w:p>
        </w:tc>
      </w:tr>
      <w:tr>
        <w:tblPrEx>
          <w:tblCellMar>
            <w:top w:w="0" w:type="dxa"/>
            <w:left w:w="70" w:type="dxa"/>
            <w:bottom w:w="0" w:type="dxa"/>
            <w:right w:w="70" w:type="dxa"/>
          </w:tblCellMar>
        </w:tblPrEx>
        <w:trPr>
          <w:wBefore w:w="0" w:type="dxa"/>
          <w:wAfter w:w="0" w:type="dxa"/>
          <w:trHeight w:val="22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674" w:type="dxa"/>
            <w:gridSpan w:val="3"/>
            <w:tcBorders>
              <w:top w:val="nil"/>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8.81.1</w:t>
            </w:r>
          </w:p>
        </w:tc>
        <w:tc>
          <w:tcPr>
            <w:tcW w:w="815" w:type="dxa"/>
            <w:gridSpan w:val="5"/>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jc w:val="both"/>
              <w:rPr>
                <w:rFonts w:ascii="Arial" w:hAnsi="Arial" w:cs="Arial"/>
                <w:color w:val="000000"/>
                <w:sz w:val="16"/>
                <w:szCs w:val="16"/>
              </w:rPr>
            </w:pPr>
            <w:r>
              <w:rPr>
                <w:rFonts w:ascii="Arial" w:hAnsi="Arial" w:cs="Arial"/>
                <w:color w:val="000000"/>
                <w:sz w:val="16"/>
                <w:szCs w:val="16"/>
              </w:rPr>
              <w:t>Fondo General de Participaciones</w:t>
            </w:r>
          </w:p>
        </w:tc>
        <w:tc>
          <w:tcPr>
            <w:tcW w:w="2282" w:type="dxa"/>
            <w:tcBorders>
              <w:top w:val="nil"/>
              <w:left w:val="nil"/>
              <w:bottom w:val="single" w:color="auto" w:sz="4" w:space="0"/>
              <w:right w:val="single" w:color="auto" w:sz="4" w:space="0"/>
            </w:tcBorders>
            <w:shd w:val="clear" w:color="auto" w:fill="auto"/>
            <w:noWrap w:val="0"/>
            <w:vAlign w:val="center"/>
          </w:tcPr>
          <w:p>
            <w:pPr>
              <w:jc w:val="right"/>
              <w:rPr>
                <w:rFonts w:ascii="Arial" w:hAnsi="Arial" w:cs="Arial"/>
                <w:color w:val="000000"/>
                <w:sz w:val="16"/>
                <w:szCs w:val="16"/>
              </w:rPr>
            </w:pPr>
            <w:r>
              <w:rPr>
                <w:rFonts w:ascii="Arial" w:hAnsi="Arial" w:cs="Arial"/>
                <w:color w:val="000000"/>
                <w:sz w:val="16"/>
                <w:szCs w:val="16"/>
              </w:rPr>
              <w:t>735,230,104.00</w:t>
            </w:r>
          </w:p>
        </w:tc>
        <w:tc>
          <w:tcPr>
            <w:tcW w:w="1007"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tcPr>
          <w:p>
            <w:pPr>
              <w:rPr>
                <w:rFonts w:ascii="Calibri" w:hAnsi="Calibri" w:cs="Arial"/>
                <w:color w:val="000000"/>
                <w:sz w:val="16"/>
                <w:szCs w:val="16"/>
              </w:rPr>
            </w:pPr>
            <w:r>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r>
      <w:tr>
        <w:tblPrEx>
          <w:tblCellMar>
            <w:top w:w="0" w:type="dxa"/>
            <w:left w:w="70" w:type="dxa"/>
            <w:bottom w:w="0" w:type="dxa"/>
            <w:right w:w="70" w:type="dxa"/>
          </w:tblCellMar>
        </w:tblPrEx>
        <w:trPr>
          <w:wBefore w:w="0" w:type="dxa"/>
          <w:wAfter w:w="0" w:type="dxa"/>
          <w:trHeight w:val="22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674" w:type="dxa"/>
            <w:gridSpan w:val="3"/>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8.81.2</w:t>
            </w:r>
          </w:p>
        </w:tc>
        <w:tc>
          <w:tcPr>
            <w:tcW w:w="815" w:type="dxa"/>
            <w:gridSpan w:val="5"/>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jc w:val="both"/>
              <w:rPr>
                <w:rFonts w:ascii="Arial" w:hAnsi="Arial" w:cs="Arial"/>
                <w:color w:val="000000"/>
                <w:sz w:val="16"/>
                <w:szCs w:val="16"/>
              </w:rPr>
            </w:pPr>
            <w:r>
              <w:rPr>
                <w:rFonts w:ascii="Arial" w:hAnsi="Arial" w:cs="Arial"/>
                <w:color w:val="000000"/>
                <w:sz w:val="16"/>
                <w:szCs w:val="16"/>
              </w:rPr>
              <w:t>Fondo de Fiscalización y Recaudación</w:t>
            </w:r>
          </w:p>
        </w:tc>
        <w:tc>
          <w:tcPr>
            <w:tcW w:w="2282" w:type="dxa"/>
            <w:tcBorders>
              <w:top w:val="nil"/>
              <w:left w:val="nil"/>
              <w:bottom w:val="single" w:color="auto" w:sz="4" w:space="0"/>
              <w:right w:val="single" w:color="auto" w:sz="4" w:space="0"/>
            </w:tcBorders>
            <w:shd w:val="clear" w:color="auto" w:fill="auto"/>
            <w:noWrap w:val="0"/>
            <w:vAlign w:val="center"/>
          </w:tcPr>
          <w:p>
            <w:pPr>
              <w:jc w:val="right"/>
              <w:rPr>
                <w:rFonts w:ascii="Arial" w:hAnsi="Arial" w:cs="Arial"/>
                <w:color w:val="000000"/>
                <w:sz w:val="16"/>
                <w:szCs w:val="16"/>
              </w:rPr>
            </w:pPr>
            <w:r>
              <w:rPr>
                <w:rFonts w:ascii="Arial" w:hAnsi="Arial" w:cs="Arial"/>
                <w:color w:val="000000"/>
                <w:sz w:val="16"/>
                <w:szCs w:val="16"/>
              </w:rPr>
              <w:t>78,716,608.00</w:t>
            </w:r>
          </w:p>
        </w:tc>
        <w:tc>
          <w:tcPr>
            <w:tcW w:w="1007"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tcPr>
          <w:p>
            <w:pPr>
              <w:rPr>
                <w:rFonts w:ascii="Calibri" w:hAnsi="Calibri" w:cs="Arial"/>
                <w:color w:val="000000"/>
                <w:sz w:val="16"/>
                <w:szCs w:val="16"/>
              </w:rPr>
            </w:pPr>
            <w:r>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r>
      <w:tr>
        <w:tblPrEx>
          <w:tblCellMar>
            <w:top w:w="0" w:type="dxa"/>
            <w:left w:w="70" w:type="dxa"/>
            <w:bottom w:w="0" w:type="dxa"/>
            <w:right w:w="70" w:type="dxa"/>
          </w:tblCellMar>
        </w:tblPrEx>
        <w:trPr>
          <w:wBefore w:w="0" w:type="dxa"/>
          <w:wAfter w:w="0" w:type="dxa"/>
          <w:trHeight w:val="22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674" w:type="dxa"/>
            <w:gridSpan w:val="3"/>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8.81.3</w:t>
            </w:r>
          </w:p>
        </w:tc>
        <w:tc>
          <w:tcPr>
            <w:tcW w:w="815" w:type="dxa"/>
            <w:gridSpan w:val="5"/>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jc w:val="both"/>
              <w:rPr>
                <w:rFonts w:ascii="Arial" w:hAnsi="Arial" w:cs="Arial"/>
                <w:color w:val="000000"/>
                <w:sz w:val="16"/>
                <w:szCs w:val="16"/>
              </w:rPr>
            </w:pPr>
            <w:r>
              <w:rPr>
                <w:rFonts w:ascii="Arial" w:hAnsi="Arial" w:cs="Arial"/>
                <w:color w:val="000000"/>
                <w:sz w:val="16"/>
                <w:szCs w:val="16"/>
              </w:rPr>
              <w:t>Fondo de Fomento Municipal</w:t>
            </w:r>
          </w:p>
        </w:tc>
        <w:tc>
          <w:tcPr>
            <w:tcW w:w="2282" w:type="dxa"/>
            <w:tcBorders>
              <w:top w:val="nil"/>
              <w:left w:val="nil"/>
              <w:bottom w:val="single" w:color="auto" w:sz="4" w:space="0"/>
              <w:right w:val="single" w:color="auto" w:sz="4" w:space="0"/>
            </w:tcBorders>
            <w:shd w:val="clear" w:color="auto" w:fill="auto"/>
            <w:noWrap w:val="0"/>
            <w:vAlign w:val="center"/>
          </w:tcPr>
          <w:p>
            <w:pPr>
              <w:jc w:val="right"/>
              <w:rPr>
                <w:rFonts w:ascii="Arial" w:hAnsi="Arial" w:cs="Arial"/>
                <w:color w:val="000000"/>
                <w:sz w:val="16"/>
                <w:szCs w:val="16"/>
              </w:rPr>
            </w:pPr>
            <w:r>
              <w:rPr>
                <w:rFonts w:ascii="Arial" w:hAnsi="Arial" w:cs="Arial"/>
                <w:color w:val="000000"/>
                <w:sz w:val="16"/>
                <w:szCs w:val="16"/>
              </w:rPr>
              <w:t>317,618,027.00</w:t>
            </w:r>
          </w:p>
        </w:tc>
        <w:tc>
          <w:tcPr>
            <w:tcW w:w="1007"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tcPr>
          <w:p>
            <w:pPr>
              <w:rPr>
                <w:rFonts w:ascii="Calibri" w:hAnsi="Calibri" w:cs="Arial"/>
                <w:color w:val="000000"/>
                <w:sz w:val="16"/>
                <w:szCs w:val="16"/>
              </w:rPr>
            </w:pPr>
            <w:r>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r>
      <w:tr>
        <w:tblPrEx>
          <w:tblCellMar>
            <w:top w:w="0" w:type="dxa"/>
            <w:left w:w="70" w:type="dxa"/>
            <w:bottom w:w="0" w:type="dxa"/>
            <w:right w:w="70" w:type="dxa"/>
          </w:tblCellMar>
        </w:tblPrEx>
        <w:trPr>
          <w:wBefore w:w="0" w:type="dxa"/>
          <w:wAfter w:w="0" w:type="dxa"/>
          <w:trHeight w:val="22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674" w:type="dxa"/>
            <w:gridSpan w:val="3"/>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8.81.4</w:t>
            </w:r>
          </w:p>
        </w:tc>
        <w:tc>
          <w:tcPr>
            <w:tcW w:w="815" w:type="dxa"/>
            <w:gridSpan w:val="5"/>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jc w:val="both"/>
              <w:rPr>
                <w:rFonts w:ascii="Arial" w:hAnsi="Arial" w:cs="Arial"/>
                <w:color w:val="000000"/>
                <w:sz w:val="16"/>
                <w:szCs w:val="16"/>
              </w:rPr>
            </w:pPr>
            <w:r>
              <w:rPr>
                <w:rFonts w:ascii="Arial" w:hAnsi="Arial" w:cs="Arial"/>
                <w:color w:val="000000"/>
                <w:sz w:val="16"/>
                <w:szCs w:val="16"/>
              </w:rPr>
              <w:t>Impuesto Especial sobre Producción y Servicios</w:t>
            </w:r>
          </w:p>
        </w:tc>
        <w:tc>
          <w:tcPr>
            <w:tcW w:w="2282" w:type="dxa"/>
            <w:tcBorders>
              <w:top w:val="nil"/>
              <w:left w:val="nil"/>
              <w:bottom w:val="single" w:color="auto" w:sz="4" w:space="0"/>
              <w:right w:val="single" w:color="auto" w:sz="4" w:space="0"/>
            </w:tcBorders>
            <w:shd w:val="clear" w:color="auto" w:fill="auto"/>
            <w:noWrap w:val="0"/>
            <w:vAlign w:val="center"/>
          </w:tcPr>
          <w:p>
            <w:pPr>
              <w:jc w:val="right"/>
              <w:rPr>
                <w:rFonts w:ascii="Arial" w:hAnsi="Arial" w:cs="Arial"/>
                <w:color w:val="000000"/>
                <w:sz w:val="16"/>
                <w:szCs w:val="16"/>
              </w:rPr>
            </w:pPr>
            <w:r>
              <w:rPr>
                <w:rFonts w:ascii="Arial" w:hAnsi="Arial" w:cs="Arial"/>
                <w:color w:val="000000"/>
                <w:sz w:val="16"/>
                <w:szCs w:val="16"/>
              </w:rPr>
              <w:t>14,984,296.00</w:t>
            </w:r>
          </w:p>
        </w:tc>
        <w:tc>
          <w:tcPr>
            <w:tcW w:w="1007"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tcPr>
          <w:p>
            <w:pPr>
              <w:rPr>
                <w:rFonts w:ascii="Calibri" w:hAnsi="Calibri" w:cs="Arial"/>
                <w:color w:val="000000"/>
                <w:sz w:val="16"/>
                <w:szCs w:val="16"/>
              </w:rPr>
            </w:pPr>
            <w:r>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r>
      <w:tr>
        <w:tblPrEx>
          <w:tblCellMar>
            <w:top w:w="0" w:type="dxa"/>
            <w:left w:w="70" w:type="dxa"/>
            <w:bottom w:w="0" w:type="dxa"/>
            <w:right w:w="70" w:type="dxa"/>
          </w:tblCellMar>
        </w:tblPrEx>
        <w:trPr>
          <w:wBefore w:w="0" w:type="dxa"/>
          <w:wAfter w:w="0" w:type="dxa"/>
          <w:trHeight w:val="22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674" w:type="dxa"/>
            <w:gridSpan w:val="3"/>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8.81.5</w:t>
            </w:r>
          </w:p>
        </w:tc>
        <w:tc>
          <w:tcPr>
            <w:tcW w:w="815" w:type="dxa"/>
            <w:gridSpan w:val="5"/>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jc w:val="both"/>
              <w:rPr>
                <w:rFonts w:ascii="Arial" w:hAnsi="Arial" w:cs="Arial"/>
                <w:color w:val="000000"/>
                <w:sz w:val="16"/>
                <w:szCs w:val="16"/>
              </w:rPr>
            </w:pPr>
            <w:r>
              <w:rPr>
                <w:rFonts w:ascii="Arial" w:hAnsi="Arial" w:cs="Arial"/>
                <w:color w:val="000000"/>
                <w:sz w:val="16"/>
                <w:szCs w:val="16"/>
              </w:rPr>
              <w:t>Impuesto Especial sobre la venta final de gasolina y diesel</w:t>
            </w:r>
          </w:p>
        </w:tc>
        <w:tc>
          <w:tcPr>
            <w:tcW w:w="2282" w:type="dxa"/>
            <w:tcBorders>
              <w:top w:val="nil"/>
              <w:left w:val="nil"/>
              <w:bottom w:val="single" w:color="auto" w:sz="4" w:space="0"/>
              <w:right w:val="single" w:color="auto" w:sz="4" w:space="0"/>
            </w:tcBorders>
            <w:shd w:val="clear" w:color="auto" w:fill="auto"/>
            <w:noWrap w:val="0"/>
            <w:vAlign w:val="center"/>
          </w:tcPr>
          <w:p>
            <w:pPr>
              <w:jc w:val="right"/>
              <w:rPr>
                <w:rFonts w:ascii="Arial" w:hAnsi="Arial" w:cs="Arial"/>
                <w:color w:val="000000"/>
                <w:sz w:val="16"/>
                <w:szCs w:val="16"/>
              </w:rPr>
            </w:pPr>
            <w:r>
              <w:rPr>
                <w:rFonts w:ascii="Arial" w:hAnsi="Arial" w:cs="Arial"/>
                <w:color w:val="000000"/>
                <w:sz w:val="16"/>
                <w:szCs w:val="16"/>
              </w:rPr>
              <w:t>31,156,849.00</w:t>
            </w:r>
          </w:p>
        </w:tc>
        <w:tc>
          <w:tcPr>
            <w:tcW w:w="1007"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tcPr>
          <w:p>
            <w:pPr>
              <w:rPr>
                <w:rFonts w:ascii="Calibri" w:hAnsi="Calibri" w:cs="Arial"/>
                <w:color w:val="000000"/>
                <w:sz w:val="16"/>
                <w:szCs w:val="16"/>
              </w:rPr>
            </w:pPr>
            <w:r>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r>
      <w:tr>
        <w:tblPrEx>
          <w:tblCellMar>
            <w:top w:w="0" w:type="dxa"/>
            <w:left w:w="70" w:type="dxa"/>
            <w:bottom w:w="0" w:type="dxa"/>
            <w:right w:w="70" w:type="dxa"/>
          </w:tblCellMar>
        </w:tblPrEx>
        <w:trPr>
          <w:wBefore w:w="0" w:type="dxa"/>
          <w:wAfter w:w="0" w:type="dxa"/>
          <w:trHeight w:val="22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674" w:type="dxa"/>
            <w:gridSpan w:val="3"/>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8.81.6</w:t>
            </w:r>
          </w:p>
        </w:tc>
        <w:tc>
          <w:tcPr>
            <w:tcW w:w="815" w:type="dxa"/>
            <w:gridSpan w:val="5"/>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jc w:val="both"/>
              <w:rPr>
                <w:rFonts w:ascii="Arial" w:hAnsi="Arial" w:cs="Arial"/>
                <w:color w:val="000000"/>
                <w:sz w:val="16"/>
                <w:szCs w:val="16"/>
              </w:rPr>
            </w:pPr>
            <w:r>
              <w:rPr>
                <w:rFonts w:ascii="Arial" w:hAnsi="Arial" w:cs="Arial"/>
                <w:color w:val="000000"/>
                <w:sz w:val="16"/>
                <w:szCs w:val="16"/>
              </w:rPr>
              <w:t>Tenencia o uso de vehículos</w:t>
            </w:r>
          </w:p>
        </w:tc>
        <w:tc>
          <w:tcPr>
            <w:tcW w:w="2282" w:type="dxa"/>
            <w:tcBorders>
              <w:top w:val="nil"/>
              <w:left w:val="nil"/>
              <w:bottom w:val="single" w:color="auto" w:sz="4" w:space="0"/>
              <w:right w:val="single" w:color="auto" w:sz="4" w:space="0"/>
            </w:tcBorders>
            <w:shd w:val="clear" w:color="auto" w:fill="auto"/>
            <w:noWrap w:val="0"/>
            <w:vAlign w:val="center"/>
          </w:tcPr>
          <w:p>
            <w:pPr>
              <w:jc w:val="right"/>
              <w:rPr>
                <w:rFonts w:ascii="Arial" w:hAnsi="Arial" w:cs="Arial"/>
                <w:color w:val="000000"/>
                <w:sz w:val="16"/>
                <w:szCs w:val="16"/>
              </w:rPr>
            </w:pPr>
            <w:r>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tcPr>
          <w:p>
            <w:pPr>
              <w:rPr>
                <w:rFonts w:ascii="Calibri" w:hAnsi="Calibri" w:cs="Arial"/>
                <w:color w:val="000000"/>
                <w:sz w:val="16"/>
                <w:szCs w:val="16"/>
              </w:rPr>
            </w:pPr>
            <w:r>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r>
      <w:tr>
        <w:tblPrEx>
          <w:tblCellMar>
            <w:top w:w="0" w:type="dxa"/>
            <w:left w:w="70" w:type="dxa"/>
            <w:bottom w:w="0" w:type="dxa"/>
            <w:right w:w="70" w:type="dxa"/>
          </w:tblCellMar>
        </w:tblPrEx>
        <w:trPr>
          <w:wBefore w:w="0" w:type="dxa"/>
          <w:wAfter w:w="0" w:type="dxa"/>
          <w:trHeight w:val="22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674" w:type="dxa"/>
            <w:gridSpan w:val="3"/>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8.81.7</w:t>
            </w:r>
          </w:p>
        </w:tc>
        <w:tc>
          <w:tcPr>
            <w:tcW w:w="815" w:type="dxa"/>
            <w:gridSpan w:val="5"/>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jc w:val="both"/>
              <w:rPr>
                <w:rFonts w:ascii="Arial" w:hAnsi="Arial" w:cs="Arial"/>
                <w:color w:val="000000"/>
                <w:sz w:val="16"/>
                <w:szCs w:val="16"/>
              </w:rPr>
            </w:pPr>
            <w:r>
              <w:rPr>
                <w:rFonts w:ascii="Arial" w:hAnsi="Arial" w:cs="Arial"/>
                <w:color w:val="000000"/>
                <w:sz w:val="16"/>
                <w:szCs w:val="16"/>
              </w:rPr>
              <w:t>Impuestos Estatales</w:t>
            </w:r>
          </w:p>
        </w:tc>
        <w:tc>
          <w:tcPr>
            <w:tcW w:w="2282" w:type="dxa"/>
            <w:tcBorders>
              <w:top w:val="nil"/>
              <w:left w:val="nil"/>
              <w:bottom w:val="single" w:color="auto" w:sz="4" w:space="0"/>
              <w:right w:val="single" w:color="auto" w:sz="4" w:space="0"/>
            </w:tcBorders>
            <w:shd w:val="clear" w:color="auto" w:fill="auto"/>
            <w:noWrap w:val="0"/>
            <w:vAlign w:val="center"/>
          </w:tcPr>
          <w:p>
            <w:pPr>
              <w:jc w:val="right"/>
              <w:rPr>
                <w:rFonts w:ascii="Arial" w:hAnsi="Arial" w:cs="Arial"/>
                <w:color w:val="000000"/>
                <w:sz w:val="16"/>
                <w:szCs w:val="16"/>
              </w:rPr>
            </w:pPr>
            <w:r>
              <w:rPr>
                <w:rFonts w:ascii="Arial" w:hAnsi="Arial" w:cs="Arial"/>
                <w:color w:val="000000"/>
                <w:sz w:val="16"/>
                <w:szCs w:val="16"/>
              </w:rPr>
              <w:t>6,000,000.00</w:t>
            </w:r>
          </w:p>
        </w:tc>
        <w:tc>
          <w:tcPr>
            <w:tcW w:w="1007"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tcPr>
          <w:p>
            <w:pPr>
              <w:rPr>
                <w:rFonts w:ascii="Calibri" w:hAnsi="Calibri" w:cs="Arial"/>
                <w:color w:val="000000"/>
                <w:sz w:val="16"/>
                <w:szCs w:val="16"/>
              </w:rPr>
            </w:pPr>
            <w:r>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r>
      <w:tr>
        <w:tblPrEx>
          <w:tblCellMar>
            <w:top w:w="0" w:type="dxa"/>
            <w:left w:w="70" w:type="dxa"/>
            <w:bottom w:w="0" w:type="dxa"/>
            <w:right w:w="70" w:type="dxa"/>
          </w:tblCellMar>
        </w:tblPrEx>
        <w:trPr>
          <w:wBefore w:w="0" w:type="dxa"/>
          <w:wAfter w:w="0" w:type="dxa"/>
          <w:trHeight w:val="22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674" w:type="dxa"/>
            <w:gridSpan w:val="3"/>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8.81.8</w:t>
            </w:r>
          </w:p>
        </w:tc>
        <w:tc>
          <w:tcPr>
            <w:tcW w:w="815" w:type="dxa"/>
            <w:gridSpan w:val="5"/>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jc w:val="both"/>
              <w:rPr>
                <w:rFonts w:ascii="Arial" w:hAnsi="Arial" w:cs="Arial"/>
                <w:color w:val="000000"/>
                <w:sz w:val="16"/>
                <w:szCs w:val="16"/>
              </w:rPr>
            </w:pPr>
            <w:r>
              <w:rPr>
                <w:rFonts w:ascii="Arial" w:hAnsi="Arial" w:cs="Arial"/>
                <w:color w:val="000000"/>
                <w:sz w:val="16"/>
                <w:szCs w:val="16"/>
              </w:rPr>
              <w:t>Fondo ISR</w:t>
            </w:r>
          </w:p>
        </w:tc>
        <w:tc>
          <w:tcPr>
            <w:tcW w:w="2282" w:type="dxa"/>
            <w:tcBorders>
              <w:top w:val="nil"/>
              <w:left w:val="nil"/>
              <w:bottom w:val="single" w:color="auto" w:sz="4" w:space="0"/>
              <w:right w:val="single" w:color="auto" w:sz="4" w:space="0"/>
            </w:tcBorders>
            <w:shd w:val="clear" w:color="auto" w:fill="auto"/>
            <w:noWrap w:val="0"/>
            <w:vAlign w:val="center"/>
          </w:tcPr>
          <w:p>
            <w:pPr>
              <w:jc w:val="right"/>
              <w:rPr>
                <w:rFonts w:ascii="Arial" w:hAnsi="Arial" w:cs="Arial"/>
                <w:color w:val="000000"/>
                <w:sz w:val="16"/>
                <w:szCs w:val="16"/>
              </w:rPr>
            </w:pPr>
            <w:r>
              <w:rPr>
                <w:rFonts w:ascii="Arial" w:hAnsi="Arial" w:cs="Arial"/>
                <w:color w:val="000000"/>
                <w:sz w:val="16"/>
                <w:szCs w:val="16"/>
              </w:rPr>
              <w:t>72,000,000.00</w:t>
            </w:r>
          </w:p>
        </w:tc>
        <w:tc>
          <w:tcPr>
            <w:tcW w:w="1007"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tcPr>
          <w:p>
            <w:pPr>
              <w:rPr>
                <w:rFonts w:ascii="Calibri" w:hAnsi="Calibri" w:cs="Arial"/>
                <w:color w:val="000000"/>
                <w:sz w:val="16"/>
                <w:szCs w:val="16"/>
              </w:rPr>
            </w:pPr>
            <w:r>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r>
      <w:tr>
        <w:tblPrEx>
          <w:tblCellMar>
            <w:top w:w="0" w:type="dxa"/>
            <w:left w:w="70" w:type="dxa"/>
            <w:bottom w:w="0" w:type="dxa"/>
            <w:right w:w="70" w:type="dxa"/>
          </w:tblCellMar>
        </w:tblPrEx>
        <w:trPr>
          <w:wBefore w:w="0" w:type="dxa"/>
          <w:wAfter w:w="0" w:type="dxa"/>
          <w:trHeight w:val="22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p>
        </w:tc>
        <w:tc>
          <w:tcPr>
            <w:tcW w:w="573" w:type="dxa"/>
            <w:gridSpan w:val="2"/>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p>
        </w:tc>
        <w:tc>
          <w:tcPr>
            <w:tcW w:w="674" w:type="dxa"/>
            <w:gridSpan w:val="3"/>
            <w:tcBorders>
              <w:top w:val="single" w:color="auto" w:sz="4" w:space="0"/>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8.81.9</w:t>
            </w:r>
          </w:p>
        </w:tc>
        <w:tc>
          <w:tcPr>
            <w:tcW w:w="815" w:type="dxa"/>
            <w:gridSpan w:val="5"/>
            <w:tcBorders>
              <w:top w:val="single" w:color="auto" w:sz="4" w:space="0"/>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tabs>
                <w:tab w:val="left" w:pos="675"/>
              </w:tabs>
              <w:ind w:left="675"/>
              <w:jc w:val="both"/>
              <w:rPr>
                <w:rFonts w:ascii="Arial" w:hAnsi="Arial" w:cs="Arial"/>
                <w:color w:val="000000"/>
                <w:sz w:val="16"/>
                <w:szCs w:val="16"/>
              </w:rPr>
            </w:pPr>
            <w:r>
              <w:rPr>
                <w:rFonts w:ascii="Arial" w:hAnsi="Arial" w:cs="Arial"/>
                <w:color w:val="000000"/>
                <w:sz w:val="16"/>
                <w:szCs w:val="16"/>
              </w:rPr>
              <w:t>Fondo de Estabilización de los Ingresos de las Entidades   Federativas (FEIEF)</w:t>
            </w:r>
          </w:p>
        </w:tc>
        <w:tc>
          <w:tcPr>
            <w:tcW w:w="2282" w:type="dxa"/>
            <w:tcBorders>
              <w:top w:val="nil"/>
              <w:left w:val="nil"/>
              <w:bottom w:val="single" w:color="auto" w:sz="4" w:space="0"/>
              <w:right w:val="single" w:color="auto" w:sz="4" w:space="0"/>
            </w:tcBorders>
            <w:shd w:val="clear" w:color="auto" w:fill="auto"/>
            <w:noWrap w:val="0"/>
            <w:vAlign w:val="center"/>
          </w:tcPr>
          <w:p>
            <w:pPr>
              <w:jc w:val="right"/>
              <w:rPr>
                <w:rFonts w:ascii="Arial" w:hAnsi="Arial" w:cs="Arial"/>
                <w:color w:val="000000"/>
                <w:sz w:val="16"/>
                <w:szCs w:val="16"/>
              </w:rPr>
            </w:pPr>
            <w:r>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tcPr>
          <w:p>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pPr>
              <w:rPr>
                <w:rFonts w:ascii="Calibri" w:hAnsi="Calibri" w:cs="Arial"/>
                <w:color w:val="000000"/>
                <w:sz w:val="16"/>
                <w:szCs w:val="16"/>
              </w:rPr>
            </w:pPr>
          </w:p>
        </w:tc>
      </w:tr>
      <w:tr>
        <w:tblPrEx>
          <w:tblCellMar>
            <w:top w:w="0" w:type="dxa"/>
            <w:left w:w="70" w:type="dxa"/>
            <w:bottom w:w="0" w:type="dxa"/>
            <w:right w:w="70" w:type="dxa"/>
          </w:tblCellMar>
        </w:tblPrEx>
        <w:trPr>
          <w:wBefore w:w="0" w:type="dxa"/>
          <w:wAfter w:w="0" w:type="dxa"/>
          <w:trHeight w:val="240"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8.82</w:t>
            </w:r>
          </w:p>
        </w:tc>
        <w:tc>
          <w:tcPr>
            <w:tcW w:w="674" w:type="dxa"/>
            <w:gridSpan w:val="3"/>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815" w:type="dxa"/>
            <w:gridSpan w:val="5"/>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nil"/>
              <w:left w:val="nil"/>
              <w:bottom w:val="single" w:color="auto" w:sz="4" w:space="0"/>
              <w:right w:val="single" w:color="auto" w:sz="4" w:space="0"/>
            </w:tcBorders>
            <w:shd w:val="clear" w:color="000000" w:fill="FFFFFF"/>
            <w:noWrap w:val="0"/>
            <w:vAlign w:val="center"/>
          </w:tcPr>
          <w:p>
            <w:pPr>
              <w:ind w:firstLine="360" w:firstLineChars="200"/>
              <w:rPr>
                <w:rFonts w:ascii="Arial" w:hAnsi="Arial" w:cs="Arial"/>
                <w:b/>
                <w:bCs/>
                <w:color w:val="000000"/>
                <w:sz w:val="18"/>
                <w:szCs w:val="18"/>
              </w:rPr>
            </w:pPr>
            <w:r>
              <w:rPr>
                <w:rFonts w:ascii="Arial" w:hAnsi="Arial" w:cs="Arial"/>
                <w:b/>
                <w:bCs/>
                <w:color w:val="000000"/>
                <w:sz w:val="18"/>
                <w:szCs w:val="18"/>
              </w:rPr>
              <w:t xml:space="preserve">Aportaciones </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878,501,842.00</w:t>
            </w:r>
          </w:p>
        </w:tc>
        <w:tc>
          <w:tcPr>
            <w:tcW w:w="1007" w:type="dxa"/>
            <w:tcBorders>
              <w:top w:val="nil"/>
              <w:left w:val="nil"/>
              <w:bottom w:val="nil"/>
              <w:right w:val="nil"/>
            </w:tcBorders>
            <w:shd w:val="clear" w:color="000000" w:fill="FFFFFF"/>
            <w:noWrap/>
            <w:vAlign w:val="bottom"/>
          </w:tcPr>
          <w:p>
            <w:pPr>
              <w:rPr>
                <w:rFonts w:ascii="Calibri" w:hAnsi="Calibri" w:cs="Arial"/>
                <w:b/>
                <w:bCs/>
                <w:color w:val="000000"/>
                <w:sz w:val="18"/>
                <w:szCs w:val="18"/>
              </w:rPr>
            </w:pPr>
            <w:r>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tcPr>
          <w:p>
            <w:pPr>
              <w:rPr>
                <w:rFonts w:ascii="Calibri" w:hAnsi="Calibri" w:cs="Arial"/>
                <w:b/>
                <w:bCs/>
                <w:color w:val="000000"/>
                <w:sz w:val="18"/>
                <w:szCs w:val="18"/>
              </w:rPr>
            </w:pPr>
            <w:r>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tcPr>
          <w:p>
            <w:pPr>
              <w:rPr>
                <w:rFonts w:ascii="Calibri" w:hAnsi="Calibri" w:cs="Arial"/>
                <w:b/>
                <w:bCs/>
                <w:color w:val="000000"/>
                <w:sz w:val="18"/>
                <w:szCs w:val="18"/>
              </w:rPr>
            </w:pPr>
            <w:r>
              <w:rPr>
                <w:rFonts w:ascii="Calibri" w:hAnsi="Calibri" w:cs="Arial"/>
                <w:b/>
                <w:bCs/>
                <w:color w:val="000000"/>
                <w:sz w:val="18"/>
                <w:szCs w:val="18"/>
              </w:rPr>
              <w:t> </w:t>
            </w:r>
          </w:p>
        </w:tc>
      </w:tr>
      <w:tr>
        <w:tblPrEx>
          <w:tblCellMar>
            <w:top w:w="0" w:type="dxa"/>
            <w:left w:w="70" w:type="dxa"/>
            <w:bottom w:w="0" w:type="dxa"/>
            <w:right w:w="70" w:type="dxa"/>
          </w:tblCellMar>
        </w:tblPrEx>
        <w:trPr>
          <w:wBefore w:w="0" w:type="dxa"/>
          <w:wAfter w:w="0" w:type="dxa"/>
          <w:trHeight w:val="22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nil"/>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674" w:type="dxa"/>
            <w:gridSpan w:val="3"/>
            <w:tcBorders>
              <w:top w:val="nil"/>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8.82.1</w:t>
            </w:r>
          </w:p>
        </w:tc>
        <w:tc>
          <w:tcPr>
            <w:tcW w:w="815" w:type="dxa"/>
            <w:gridSpan w:val="5"/>
            <w:tcBorders>
              <w:top w:val="nil"/>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Fondo de Aportaciones para la Infraestructura Social Municipal</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241,674,329.00</w:t>
            </w:r>
          </w:p>
        </w:tc>
        <w:tc>
          <w:tcPr>
            <w:tcW w:w="1007"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tcPr>
          <w:p>
            <w:pPr>
              <w:rPr>
                <w:rFonts w:ascii="Calibri" w:hAnsi="Calibri" w:cs="Arial"/>
                <w:color w:val="000000"/>
                <w:sz w:val="16"/>
                <w:szCs w:val="16"/>
              </w:rPr>
            </w:pPr>
            <w:r>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r>
      <w:tr>
        <w:tblPrEx>
          <w:tblCellMar>
            <w:top w:w="0" w:type="dxa"/>
            <w:left w:w="70" w:type="dxa"/>
            <w:bottom w:w="0" w:type="dxa"/>
            <w:right w:w="70" w:type="dxa"/>
          </w:tblCellMar>
        </w:tblPrEx>
        <w:trPr>
          <w:wBefore w:w="0" w:type="dxa"/>
          <w:wAfter w:w="0" w:type="dxa"/>
          <w:trHeight w:val="225"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674" w:type="dxa"/>
            <w:gridSpan w:val="3"/>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8.82.2</w:t>
            </w:r>
          </w:p>
        </w:tc>
        <w:tc>
          <w:tcPr>
            <w:tcW w:w="815" w:type="dxa"/>
            <w:gridSpan w:val="5"/>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Fondo de Aportaciones para el Fortalecimiento de los Municipios</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636,827,513.00</w:t>
            </w:r>
          </w:p>
        </w:tc>
        <w:tc>
          <w:tcPr>
            <w:tcW w:w="1007"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tcPr>
          <w:p>
            <w:pPr>
              <w:rPr>
                <w:rFonts w:ascii="Calibri" w:hAnsi="Calibri" w:cs="Arial"/>
                <w:color w:val="000000"/>
                <w:sz w:val="16"/>
                <w:szCs w:val="16"/>
              </w:rPr>
            </w:pPr>
            <w:r>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r>
      <w:tr>
        <w:tblPrEx>
          <w:tblCellMar>
            <w:top w:w="0" w:type="dxa"/>
            <w:left w:w="70" w:type="dxa"/>
            <w:bottom w:w="0" w:type="dxa"/>
            <w:right w:w="70" w:type="dxa"/>
          </w:tblCellMar>
        </w:tblPrEx>
        <w:trPr>
          <w:wBefore w:w="0" w:type="dxa"/>
          <w:wAfter w:w="0" w:type="dxa"/>
          <w:trHeight w:val="240"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8.83</w:t>
            </w:r>
          </w:p>
        </w:tc>
        <w:tc>
          <w:tcPr>
            <w:tcW w:w="674" w:type="dxa"/>
            <w:gridSpan w:val="3"/>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815" w:type="dxa"/>
            <w:gridSpan w:val="5"/>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single" w:color="auto" w:sz="4" w:space="0"/>
              <w:left w:val="nil"/>
              <w:bottom w:val="single" w:color="auto" w:sz="4" w:space="0"/>
              <w:right w:val="single" w:color="auto" w:sz="4" w:space="0"/>
            </w:tcBorders>
            <w:shd w:val="clear" w:color="000000" w:fill="FFFFFF"/>
            <w:noWrap w:val="0"/>
            <w:vAlign w:val="center"/>
          </w:tcPr>
          <w:p>
            <w:pPr>
              <w:ind w:firstLine="360" w:firstLineChars="200"/>
              <w:rPr>
                <w:rFonts w:ascii="Arial" w:hAnsi="Arial" w:cs="Arial"/>
                <w:b/>
                <w:bCs/>
                <w:color w:val="000000"/>
                <w:sz w:val="18"/>
                <w:szCs w:val="18"/>
              </w:rPr>
            </w:pPr>
            <w:r>
              <w:rPr>
                <w:rFonts w:ascii="Arial" w:hAnsi="Arial" w:cs="Arial"/>
                <w:b/>
                <w:bCs/>
                <w:color w:val="000000"/>
                <w:sz w:val="18"/>
                <w:szCs w:val="18"/>
              </w:rPr>
              <w:t>Convenios</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0.00</w:t>
            </w:r>
          </w:p>
        </w:tc>
        <w:tc>
          <w:tcPr>
            <w:tcW w:w="1007" w:type="dxa"/>
            <w:tcBorders>
              <w:top w:val="nil"/>
              <w:left w:val="nil"/>
              <w:bottom w:val="nil"/>
              <w:right w:val="nil"/>
            </w:tcBorders>
            <w:shd w:val="clear" w:color="000000" w:fill="FFFFFF"/>
            <w:noWrap/>
            <w:vAlign w:val="bottom"/>
          </w:tcPr>
          <w:p>
            <w:pPr>
              <w:rPr>
                <w:rFonts w:ascii="Calibri" w:hAnsi="Calibri" w:cs="Arial"/>
                <w:b/>
                <w:bCs/>
                <w:color w:val="000000"/>
                <w:sz w:val="18"/>
                <w:szCs w:val="18"/>
              </w:rPr>
            </w:pPr>
            <w:r>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tcPr>
          <w:p>
            <w:pPr>
              <w:rPr>
                <w:rFonts w:ascii="Calibri" w:hAnsi="Calibri" w:cs="Arial"/>
                <w:b/>
                <w:bCs/>
                <w:color w:val="000000"/>
                <w:sz w:val="18"/>
                <w:szCs w:val="18"/>
              </w:rPr>
            </w:pPr>
            <w:r>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tcPr>
          <w:p>
            <w:pPr>
              <w:rPr>
                <w:rFonts w:ascii="Calibri" w:hAnsi="Calibri" w:cs="Arial"/>
                <w:b/>
                <w:bCs/>
                <w:color w:val="000000"/>
                <w:sz w:val="18"/>
                <w:szCs w:val="18"/>
              </w:rPr>
            </w:pPr>
            <w:r>
              <w:rPr>
                <w:rFonts w:ascii="Calibri" w:hAnsi="Calibri" w:cs="Arial"/>
                <w:b/>
                <w:bCs/>
                <w:color w:val="000000"/>
                <w:sz w:val="18"/>
                <w:szCs w:val="18"/>
              </w:rPr>
              <w:t> </w:t>
            </w:r>
          </w:p>
        </w:tc>
      </w:tr>
      <w:tr>
        <w:tblPrEx>
          <w:tblCellMar>
            <w:top w:w="0" w:type="dxa"/>
            <w:left w:w="70" w:type="dxa"/>
            <w:bottom w:w="0" w:type="dxa"/>
            <w:right w:w="70" w:type="dxa"/>
          </w:tblCellMar>
        </w:tblPrEx>
        <w:trPr>
          <w:wBefore w:w="0" w:type="dxa"/>
          <w:wAfter w:w="0" w:type="dxa"/>
          <w:trHeight w:val="225"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674" w:type="dxa"/>
            <w:gridSpan w:val="3"/>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8.83.1</w:t>
            </w:r>
          </w:p>
        </w:tc>
        <w:tc>
          <w:tcPr>
            <w:tcW w:w="815" w:type="dxa"/>
            <w:gridSpan w:val="5"/>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Con la Federación o el Estado</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tcPr>
          <w:p>
            <w:pPr>
              <w:rPr>
                <w:rFonts w:ascii="Calibri" w:hAnsi="Calibri" w:cs="Arial"/>
                <w:color w:val="000000"/>
                <w:sz w:val="16"/>
                <w:szCs w:val="16"/>
              </w:rPr>
            </w:pPr>
            <w:r>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r>
      <w:tr>
        <w:tblPrEx>
          <w:tblCellMar>
            <w:top w:w="0" w:type="dxa"/>
            <w:left w:w="70" w:type="dxa"/>
            <w:bottom w:w="0" w:type="dxa"/>
            <w:right w:w="70" w:type="dxa"/>
          </w:tblCellMar>
        </w:tblPrEx>
        <w:trPr>
          <w:wBefore w:w="0" w:type="dxa"/>
          <w:wAfter w:w="0" w:type="dxa"/>
          <w:trHeight w:val="225"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2062" w:type="dxa"/>
            <w:gridSpan w:val="10"/>
            <w:tcBorders>
              <w:top w:val="single" w:color="auto" w:sz="4" w:space="0"/>
              <w:left w:val="nil"/>
              <w:bottom w:val="single" w:color="auto" w:sz="4" w:space="0"/>
              <w:right w:val="nil"/>
            </w:tcBorders>
            <w:shd w:val="clear" w:color="000000" w:fill="FFFFFF"/>
            <w:noWrap/>
            <w:vAlign w:val="center"/>
          </w:tcPr>
          <w:p>
            <w:pPr>
              <w:rPr>
                <w:rFonts w:ascii="Arial" w:hAnsi="Arial" w:cs="Arial"/>
                <w:b/>
                <w:bCs/>
                <w:color w:val="000000"/>
                <w:sz w:val="18"/>
                <w:szCs w:val="18"/>
              </w:rPr>
            </w:pPr>
            <w:r>
              <w:rPr>
                <w:rFonts w:ascii="Arial" w:hAnsi="Arial" w:cs="Arial"/>
                <w:b/>
                <w:bCs/>
                <w:color w:val="000000"/>
                <w:sz w:val="18"/>
                <w:szCs w:val="18"/>
              </w:rPr>
              <w:t>8.84</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firstLine="360" w:firstLineChars="200"/>
              <w:rPr>
                <w:rFonts w:ascii="Arial" w:hAnsi="Arial" w:cs="Arial"/>
                <w:b/>
                <w:bCs/>
                <w:color w:val="000000"/>
                <w:sz w:val="18"/>
                <w:szCs w:val="18"/>
              </w:rPr>
            </w:pPr>
            <w:r>
              <w:rPr>
                <w:rFonts w:ascii="Arial" w:hAnsi="Arial" w:cs="Arial"/>
                <w:b/>
                <w:bCs/>
                <w:color w:val="000000"/>
                <w:sz w:val="18"/>
                <w:szCs w:val="18"/>
              </w:rPr>
              <w:t>Incentivos Derivados de la Colaboración Fiscal</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8,966,656.00</w:t>
            </w:r>
          </w:p>
        </w:tc>
        <w:tc>
          <w:tcPr>
            <w:tcW w:w="1007" w:type="dxa"/>
            <w:tcBorders>
              <w:top w:val="nil"/>
              <w:left w:val="nil"/>
              <w:bottom w:val="nil"/>
              <w:right w:val="nil"/>
            </w:tcBorders>
            <w:shd w:val="clear" w:color="000000" w:fill="FFFFFF"/>
            <w:noWrap/>
            <w:vAlign w:val="bottom"/>
          </w:tcPr>
          <w:p>
            <w:pPr>
              <w:rPr>
                <w:rFonts w:ascii="Arial" w:hAnsi="Arial" w:cs="Arial"/>
                <w:b/>
                <w:bCs/>
                <w:color w:val="000000"/>
                <w:sz w:val="18"/>
                <w:szCs w:val="18"/>
              </w:rPr>
            </w:pPr>
          </w:p>
        </w:tc>
        <w:tc>
          <w:tcPr>
            <w:tcW w:w="1808" w:type="dxa"/>
            <w:tcBorders>
              <w:top w:val="nil"/>
              <w:left w:val="nil"/>
              <w:bottom w:val="nil"/>
              <w:right w:val="nil"/>
            </w:tcBorders>
            <w:shd w:val="clear" w:color="000000" w:fill="FFFFFF"/>
            <w:noWrap/>
            <w:vAlign w:val="center"/>
          </w:tcPr>
          <w:p>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pPr>
              <w:rPr>
                <w:rFonts w:ascii="Calibri" w:hAnsi="Calibri" w:cs="Arial"/>
                <w:color w:val="000000"/>
                <w:sz w:val="16"/>
                <w:szCs w:val="16"/>
              </w:rPr>
            </w:pPr>
          </w:p>
        </w:tc>
      </w:tr>
      <w:tr>
        <w:tblPrEx>
          <w:tblCellMar>
            <w:top w:w="0" w:type="dxa"/>
            <w:left w:w="70" w:type="dxa"/>
            <w:bottom w:w="0" w:type="dxa"/>
            <w:right w:w="70" w:type="dxa"/>
          </w:tblCellMar>
        </w:tblPrEx>
        <w:trPr>
          <w:wBefore w:w="0" w:type="dxa"/>
          <w:wAfter w:w="0" w:type="dxa"/>
          <w:trHeight w:val="225"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p>
        </w:tc>
        <w:tc>
          <w:tcPr>
            <w:tcW w:w="674" w:type="dxa"/>
            <w:gridSpan w:val="3"/>
            <w:tcBorders>
              <w:top w:val="single" w:color="auto" w:sz="4" w:space="0"/>
              <w:left w:val="single" w:color="auto" w:sz="4" w:space="0"/>
              <w:bottom w:val="single" w:color="auto" w:sz="4" w:space="0"/>
              <w:right w:val="nil"/>
            </w:tcBorders>
            <w:shd w:val="clear" w:color="000000" w:fill="FFFFFF"/>
            <w:noWrap/>
            <w:vAlign w:val="top"/>
          </w:tcPr>
          <w:p>
            <w:r>
              <w:rPr>
                <w:rFonts w:ascii="Arial" w:hAnsi="Arial" w:cs="Arial"/>
                <w:color w:val="000000"/>
                <w:sz w:val="16"/>
                <w:szCs w:val="16"/>
              </w:rPr>
              <w:t>8.84.1</w:t>
            </w:r>
          </w:p>
        </w:tc>
        <w:tc>
          <w:tcPr>
            <w:tcW w:w="815" w:type="dxa"/>
            <w:gridSpan w:val="5"/>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firstLine="640" w:firstLineChars="400"/>
              <w:jc w:val="both"/>
              <w:rPr>
                <w:rFonts w:ascii="Arial" w:hAnsi="Arial" w:cs="Arial"/>
                <w:color w:val="000000"/>
                <w:sz w:val="16"/>
                <w:szCs w:val="16"/>
              </w:rPr>
            </w:pPr>
            <w:r>
              <w:rPr>
                <w:rFonts w:ascii="Arial" w:hAnsi="Arial" w:cs="Arial"/>
                <w:color w:val="000000"/>
                <w:sz w:val="16"/>
                <w:szCs w:val="16"/>
              </w:rPr>
              <w:t>Impuesto sobre Automóviles Nuevos</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6,453,859.00</w:t>
            </w:r>
          </w:p>
        </w:tc>
        <w:tc>
          <w:tcPr>
            <w:tcW w:w="1007" w:type="dxa"/>
            <w:tcBorders>
              <w:top w:val="nil"/>
              <w:left w:val="nil"/>
              <w:bottom w:val="nil"/>
              <w:right w:val="nil"/>
            </w:tcBorders>
            <w:shd w:val="clear" w:color="000000" w:fill="FFFFFF"/>
            <w:noWrap/>
            <w:vAlign w:val="bottom"/>
          </w:tcPr>
          <w:p>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pPr>
              <w:rPr>
                <w:rFonts w:ascii="Calibri" w:hAnsi="Calibri" w:cs="Arial"/>
                <w:color w:val="000000"/>
                <w:sz w:val="16"/>
                <w:szCs w:val="16"/>
              </w:rPr>
            </w:pPr>
          </w:p>
        </w:tc>
      </w:tr>
      <w:tr>
        <w:tblPrEx>
          <w:tblCellMar>
            <w:top w:w="0" w:type="dxa"/>
            <w:left w:w="70" w:type="dxa"/>
            <w:bottom w:w="0" w:type="dxa"/>
            <w:right w:w="70" w:type="dxa"/>
          </w:tblCellMar>
        </w:tblPrEx>
        <w:trPr>
          <w:wBefore w:w="0" w:type="dxa"/>
          <w:wAfter w:w="0" w:type="dxa"/>
          <w:trHeight w:val="225"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p>
        </w:tc>
        <w:tc>
          <w:tcPr>
            <w:tcW w:w="674" w:type="dxa"/>
            <w:gridSpan w:val="3"/>
            <w:tcBorders>
              <w:top w:val="single" w:color="auto" w:sz="4" w:space="0"/>
              <w:left w:val="single" w:color="auto" w:sz="4" w:space="0"/>
              <w:bottom w:val="single" w:color="auto" w:sz="4" w:space="0"/>
              <w:right w:val="nil"/>
            </w:tcBorders>
            <w:shd w:val="clear" w:color="000000" w:fill="FFFFFF"/>
            <w:noWrap/>
            <w:vAlign w:val="top"/>
          </w:tcPr>
          <w:p>
            <w:r>
              <w:rPr>
                <w:rFonts w:ascii="Arial" w:hAnsi="Arial" w:cs="Arial"/>
                <w:color w:val="000000"/>
                <w:sz w:val="16"/>
                <w:szCs w:val="16"/>
              </w:rPr>
              <w:t>8.84.2</w:t>
            </w:r>
          </w:p>
        </w:tc>
        <w:tc>
          <w:tcPr>
            <w:tcW w:w="815" w:type="dxa"/>
            <w:gridSpan w:val="5"/>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left="675"/>
              <w:jc w:val="both"/>
              <w:rPr>
                <w:rFonts w:ascii="Arial" w:hAnsi="Arial" w:cs="Arial"/>
                <w:color w:val="000000"/>
                <w:sz w:val="16"/>
                <w:szCs w:val="16"/>
              </w:rPr>
            </w:pPr>
            <w:r>
              <w:rPr>
                <w:rFonts w:ascii="Arial" w:hAnsi="Arial" w:cs="Arial"/>
                <w:color w:val="000000"/>
                <w:sz w:val="16"/>
                <w:szCs w:val="16"/>
              </w:rPr>
              <w:t>Fondo de compensación del Impuesto sobre Automóviles Nuevos</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2,512,797.00</w:t>
            </w:r>
          </w:p>
        </w:tc>
        <w:tc>
          <w:tcPr>
            <w:tcW w:w="1007" w:type="dxa"/>
            <w:tcBorders>
              <w:top w:val="nil"/>
              <w:left w:val="nil"/>
              <w:bottom w:val="nil"/>
              <w:right w:val="nil"/>
            </w:tcBorders>
            <w:shd w:val="clear" w:color="000000" w:fill="FFFFFF"/>
            <w:noWrap/>
            <w:vAlign w:val="bottom"/>
          </w:tcPr>
          <w:p>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pPr>
              <w:rPr>
                <w:rFonts w:ascii="Calibri" w:hAnsi="Calibri" w:cs="Arial"/>
                <w:color w:val="000000"/>
                <w:sz w:val="16"/>
                <w:szCs w:val="16"/>
              </w:rPr>
            </w:pPr>
          </w:p>
        </w:tc>
      </w:tr>
      <w:tr>
        <w:tblPrEx>
          <w:tblCellMar>
            <w:top w:w="0" w:type="dxa"/>
            <w:left w:w="70" w:type="dxa"/>
            <w:bottom w:w="0" w:type="dxa"/>
            <w:right w:w="70" w:type="dxa"/>
          </w:tblCellMar>
        </w:tblPrEx>
        <w:trPr>
          <w:wBefore w:w="0" w:type="dxa"/>
          <w:wAfter w:w="0" w:type="dxa"/>
          <w:trHeight w:val="225" w:hRule="atLeast"/>
        </w:trPr>
        <w:tc>
          <w:tcPr>
            <w:tcW w:w="30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p>
        </w:tc>
        <w:tc>
          <w:tcPr>
            <w:tcW w:w="674" w:type="dxa"/>
            <w:gridSpan w:val="3"/>
            <w:tcBorders>
              <w:top w:val="single" w:color="auto" w:sz="4" w:space="0"/>
              <w:left w:val="single" w:color="auto" w:sz="4" w:space="0"/>
              <w:bottom w:val="single" w:color="auto" w:sz="4" w:space="0"/>
              <w:right w:val="nil"/>
            </w:tcBorders>
            <w:shd w:val="clear" w:color="000000" w:fill="FFFFFF"/>
            <w:noWrap/>
            <w:vAlign w:val="top"/>
          </w:tcPr>
          <w:p>
            <w:r>
              <w:rPr>
                <w:rFonts w:ascii="Arial" w:hAnsi="Arial" w:cs="Arial"/>
                <w:color w:val="000000"/>
                <w:sz w:val="16"/>
                <w:szCs w:val="16"/>
              </w:rPr>
              <w:t>8.84.3</w:t>
            </w:r>
          </w:p>
        </w:tc>
        <w:tc>
          <w:tcPr>
            <w:tcW w:w="815" w:type="dxa"/>
            <w:gridSpan w:val="5"/>
            <w:tcBorders>
              <w:top w:val="single" w:color="auto" w:sz="4" w:space="0"/>
              <w:left w:val="nil"/>
              <w:bottom w:val="single" w:color="auto" w:sz="4" w:space="0"/>
              <w:right w:val="nil"/>
            </w:tcBorders>
            <w:shd w:val="clear" w:color="000000" w:fill="FFFFFF"/>
            <w:noWrap/>
            <w:vAlign w:val="center"/>
          </w:tcPr>
          <w:p>
            <w:pPr>
              <w:jc w:val="center"/>
              <w:rPr>
                <w:rFonts w:ascii="Arial" w:hAnsi="Arial" w:cs="Arial"/>
                <w:color w:val="000000"/>
                <w:sz w:val="16"/>
                <w:szCs w:val="16"/>
              </w:rPr>
            </w:pP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firstLine="640" w:firstLineChars="400"/>
              <w:rPr>
                <w:rFonts w:ascii="Arial" w:hAnsi="Arial" w:cs="Arial"/>
                <w:color w:val="000000"/>
                <w:sz w:val="16"/>
                <w:szCs w:val="16"/>
              </w:rPr>
            </w:pPr>
            <w:r>
              <w:rPr>
                <w:rFonts w:ascii="Arial" w:hAnsi="Arial" w:cs="Arial"/>
                <w:color w:val="000000"/>
                <w:sz w:val="16"/>
                <w:szCs w:val="16"/>
              </w:rPr>
              <w:t>Multas impuestas por autoridades federales, no fiscales</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tcPr>
          <w:p>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pPr>
              <w:rPr>
                <w:rFonts w:ascii="Calibri" w:hAnsi="Calibri" w:cs="Arial"/>
                <w:color w:val="000000"/>
                <w:sz w:val="16"/>
                <w:szCs w:val="16"/>
              </w:rPr>
            </w:pPr>
          </w:p>
        </w:tc>
      </w:tr>
      <w:tr>
        <w:tblPrEx>
          <w:tblCellMar>
            <w:top w:w="0" w:type="dxa"/>
            <w:left w:w="70" w:type="dxa"/>
            <w:bottom w:w="0" w:type="dxa"/>
            <w:right w:w="70" w:type="dxa"/>
          </w:tblCellMar>
        </w:tblPrEx>
        <w:trPr>
          <w:wBefore w:w="0" w:type="dxa"/>
          <w:wAfter w:w="0" w:type="dxa"/>
          <w:trHeight w:val="255" w:hRule="atLeast"/>
        </w:trPr>
        <w:tc>
          <w:tcPr>
            <w:tcW w:w="308" w:type="dxa"/>
            <w:gridSpan w:val="2"/>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9</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674" w:type="dxa"/>
            <w:gridSpan w:val="3"/>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815" w:type="dxa"/>
            <w:gridSpan w:val="5"/>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both"/>
              <w:rPr>
                <w:rFonts w:ascii="Arial" w:hAnsi="Arial" w:cs="Arial"/>
                <w:b/>
                <w:bCs/>
                <w:color w:val="000000"/>
                <w:sz w:val="20"/>
                <w:szCs w:val="20"/>
              </w:rPr>
            </w:pPr>
            <w:r>
              <w:rPr>
                <w:rFonts w:ascii="Arial" w:hAnsi="Arial" w:cs="Arial"/>
                <w:b/>
                <w:bCs/>
                <w:color w:val="000000"/>
                <w:sz w:val="20"/>
                <w:szCs w:val="20"/>
              </w:rPr>
              <w:t>Transferencias, Asignaciones, Subsidios y Subvenciones, y Pensiones y Jubilaciones</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20"/>
                <w:szCs w:val="20"/>
              </w:rPr>
            </w:pPr>
            <w:r>
              <w:rPr>
                <w:rFonts w:ascii="Arial" w:hAnsi="Arial" w:cs="Arial"/>
                <w:b/>
                <w:bCs/>
                <w:color w:val="000000"/>
                <w:sz w:val="20"/>
                <w:szCs w:val="20"/>
              </w:rPr>
              <w:t>0.00</w:t>
            </w:r>
          </w:p>
        </w:tc>
        <w:tc>
          <w:tcPr>
            <w:tcW w:w="1007" w:type="dxa"/>
            <w:tcBorders>
              <w:top w:val="nil"/>
              <w:left w:val="nil"/>
              <w:bottom w:val="nil"/>
              <w:right w:val="nil"/>
            </w:tcBorders>
            <w:shd w:val="clear" w:color="000000" w:fill="FFFFFF"/>
            <w:noWrap/>
            <w:vAlign w:val="bottom"/>
          </w:tcPr>
          <w:p>
            <w:pPr>
              <w:rPr>
                <w:rFonts w:ascii="Calibri" w:hAnsi="Calibri" w:cs="Arial"/>
                <w:b/>
                <w:bCs/>
                <w:color w:val="000000"/>
                <w:sz w:val="20"/>
                <w:szCs w:val="20"/>
              </w:rPr>
            </w:pPr>
            <w:r>
              <w:rPr>
                <w:rFonts w:ascii="Calibri" w:hAnsi="Calibri" w:cs="Arial"/>
                <w:b/>
                <w:bCs/>
                <w:color w:val="000000"/>
                <w:sz w:val="20"/>
                <w:szCs w:val="20"/>
              </w:rPr>
              <w:t> </w:t>
            </w:r>
          </w:p>
        </w:tc>
        <w:tc>
          <w:tcPr>
            <w:tcW w:w="1808" w:type="dxa"/>
            <w:tcBorders>
              <w:top w:val="nil"/>
              <w:left w:val="nil"/>
              <w:bottom w:val="nil"/>
              <w:right w:val="nil"/>
            </w:tcBorders>
            <w:shd w:val="clear" w:color="000000" w:fill="FFFFFF"/>
            <w:noWrap/>
            <w:vAlign w:val="center"/>
          </w:tcPr>
          <w:p>
            <w:pPr>
              <w:rPr>
                <w:rFonts w:ascii="Calibri" w:hAnsi="Calibri" w:cs="Arial"/>
                <w:b/>
                <w:bCs/>
                <w:color w:val="000000"/>
                <w:sz w:val="20"/>
                <w:szCs w:val="20"/>
              </w:rPr>
            </w:pPr>
            <w:r>
              <w:rPr>
                <w:rFonts w:ascii="Calibri" w:hAnsi="Calibri" w:cs="Arial"/>
                <w:b/>
                <w:bCs/>
                <w:color w:val="000000"/>
                <w:sz w:val="20"/>
                <w:szCs w:val="20"/>
              </w:rPr>
              <w:t> </w:t>
            </w:r>
          </w:p>
        </w:tc>
        <w:tc>
          <w:tcPr>
            <w:tcW w:w="1608" w:type="dxa"/>
            <w:tcBorders>
              <w:top w:val="nil"/>
              <w:left w:val="nil"/>
              <w:bottom w:val="nil"/>
              <w:right w:val="nil"/>
            </w:tcBorders>
            <w:shd w:val="clear" w:color="000000" w:fill="FFFFFF"/>
            <w:noWrap/>
            <w:vAlign w:val="bottom"/>
          </w:tcPr>
          <w:p>
            <w:pPr>
              <w:rPr>
                <w:rFonts w:ascii="Calibri" w:hAnsi="Calibri" w:cs="Arial"/>
                <w:b/>
                <w:bCs/>
                <w:color w:val="000000"/>
                <w:sz w:val="20"/>
                <w:szCs w:val="20"/>
              </w:rPr>
            </w:pPr>
            <w:r>
              <w:rPr>
                <w:rFonts w:ascii="Calibri" w:hAnsi="Calibri" w:cs="Arial"/>
                <w:b/>
                <w:bCs/>
                <w:color w:val="000000"/>
                <w:sz w:val="20"/>
                <w:szCs w:val="20"/>
              </w:rPr>
              <w:t> </w:t>
            </w:r>
          </w:p>
        </w:tc>
      </w:tr>
      <w:tr>
        <w:tblPrEx>
          <w:tblCellMar>
            <w:top w:w="0" w:type="dxa"/>
            <w:left w:w="70" w:type="dxa"/>
            <w:bottom w:w="0" w:type="dxa"/>
            <w:right w:w="70" w:type="dxa"/>
          </w:tblCellMar>
        </w:tblPrEx>
        <w:trPr>
          <w:wBefore w:w="0" w:type="dxa"/>
          <w:wAfter w:w="0" w:type="dxa"/>
          <w:trHeight w:val="240"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9.91</w:t>
            </w:r>
          </w:p>
        </w:tc>
        <w:tc>
          <w:tcPr>
            <w:tcW w:w="674" w:type="dxa"/>
            <w:gridSpan w:val="3"/>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815" w:type="dxa"/>
            <w:gridSpan w:val="5"/>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nil"/>
              <w:left w:val="nil"/>
              <w:bottom w:val="single" w:color="auto" w:sz="4" w:space="0"/>
              <w:right w:val="single" w:color="auto" w:sz="4" w:space="0"/>
            </w:tcBorders>
            <w:shd w:val="clear" w:color="000000" w:fill="FFFFFF"/>
            <w:noWrap w:val="0"/>
            <w:vAlign w:val="center"/>
          </w:tcPr>
          <w:p>
            <w:pPr>
              <w:ind w:left="391"/>
              <w:jc w:val="both"/>
              <w:rPr>
                <w:rFonts w:ascii="Arial" w:hAnsi="Arial" w:cs="Arial"/>
                <w:b/>
                <w:bCs/>
                <w:color w:val="000000"/>
                <w:sz w:val="18"/>
                <w:szCs w:val="18"/>
              </w:rPr>
            </w:pPr>
            <w:r>
              <w:rPr>
                <w:rFonts w:ascii="Arial" w:hAnsi="Arial" w:cs="Arial"/>
                <w:b/>
                <w:bCs/>
                <w:color w:val="000000"/>
                <w:sz w:val="18"/>
                <w:szCs w:val="18"/>
              </w:rPr>
              <w:t xml:space="preserve">Transferencias y Asignaciones </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0.00</w:t>
            </w:r>
          </w:p>
        </w:tc>
        <w:tc>
          <w:tcPr>
            <w:tcW w:w="1007" w:type="dxa"/>
            <w:tcBorders>
              <w:top w:val="nil"/>
              <w:left w:val="nil"/>
              <w:bottom w:val="nil"/>
              <w:right w:val="nil"/>
            </w:tcBorders>
            <w:shd w:val="clear" w:color="000000" w:fill="FFFFFF"/>
            <w:noWrap/>
            <w:vAlign w:val="bottom"/>
          </w:tcPr>
          <w:p>
            <w:pPr>
              <w:rPr>
                <w:rFonts w:ascii="Calibri" w:hAnsi="Calibri" w:cs="Arial"/>
                <w:b/>
                <w:bCs/>
                <w:color w:val="000000"/>
                <w:sz w:val="18"/>
                <w:szCs w:val="18"/>
              </w:rPr>
            </w:pPr>
            <w:r>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tcPr>
          <w:p>
            <w:pPr>
              <w:rPr>
                <w:rFonts w:ascii="Calibri" w:hAnsi="Calibri" w:cs="Arial"/>
                <w:b/>
                <w:bCs/>
                <w:color w:val="000000"/>
                <w:sz w:val="18"/>
                <w:szCs w:val="18"/>
              </w:rPr>
            </w:pPr>
            <w:r>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tcPr>
          <w:p>
            <w:pPr>
              <w:rPr>
                <w:rFonts w:ascii="Calibri" w:hAnsi="Calibri" w:cs="Arial"/>
                <w:b/>
                <w:bCs/>
                <w:color w:val="000000"/>
                <w:sz w:val="18"/>
                <w:szCs w:val="18"/>
              </w:rPr>
            </w:pPr>
            <w:r>
              <w:rPr>
                <w:rFonts w:ascii="Calibri" w:hAnsi="Calibri" w:cs="Arial"/>
                <w:b/>
                <w:bCs/>
                <w:color w:val="000000"/>
                <w:sz w:val="18"/>
                <w:szCs w:val="18"/>
              </w:rPr>
              <w:t> </w:t>
            </w:r>
          </w:p>
        </w:tc>
      </w:tr>
      <w:tr>
        <w:tblPrEx>
          <w:tblCellMar>
            <w:top w:w="0" w:type="dxa"/>
            <w:left w:w="70" w:type="dxa"/>
            <w:bottom w:w="0" w:type="dxa"/>
            <w:right w:w="70" w:type="dxa"/>
          </w:tblCellMar>
        </w:tblPrEx>
        <w:trPr>
          <w:wBefore w:w="0" w:type="dxa"/>
          <w:wAfter w:w="0" w:type="dxa"/>
          <w:trHeight w:val="22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674" w:type="dxa"/>
            <w:gridSpan w:val="3"/>
            <w:tcBorders>
              <w:top w:val="nil"/>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9.91.1</w:t>
            </w:r>
          </w:p>
        </w:tc>
        <w:tc>
          <w:tcPr>
            <w:tcW w:w="815" w:type="dxa"/>
            <w:gridSpan w:val="5"/>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jc w:val="both"/>
              <w:rPr>
                <w:rFonts w:ascii="Arial" w:hAnsi="Arial" w:cs="Arial"/>
                <w:color w:val="000000"/>
                <w:sz w:val="16"/>
                <w:szCs w:val="16"/>
              </w:rPr>
            </w:pPr>
            <w:r>
              <w:rPr>
                <w:rFonts w:ascii="Arial" w:hAnsi="Arial" w:cs="Arial"/>
                <w:color w:val="000000"/>
                <w:sz w:val="16"/>
                <w:szCs w:val="16"/>
              </w:rPr>
              <w:t>Transferencias y Asignaciones</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tcPr>
          <w:p>
            <w:pPr>
              <w:rPr>
                <w:rFonts w:ascii="Calibri" w:hAnsi="Calibri" w:cs="Arial"/>
                <w:color w:val="000000"/>
                <w:sz w:val="16"/>
                <w:szCs w:val="16"/>
              </w:rPr>
            </w:pPr>
            <w:r>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r>
      <w:tr>
        <w:tblPrEx>
          <w:tblCellMar>
            <w:top w:w="0" w:type="dxa"/>
            <w:left w:w="70" w:type="dxa"/>
            <w:bottom w:w="0" w:type="dxa"/>
            <w:right w:w="70" w:type="dxa"/>
          </w:tblCellMar>
        </w:tblPrEx>
        <w:trPr>
          <w:wBefore w:w="0" w:type="dxa"/>
          <w:wAfter w:w="0" w:type="dxa"/>
          <w:trHeight w:val="46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9.93</w:t>
            </w:r>
          </w:p>
        </w:tc>
        <w:tc>
          <w:tcPr>
            <w:tcW w:w="674" w:type="dxa"/>
            <w:gridSpan w:val="3"/>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815" w:type="dxa"/>
            <w:gridSpan w:val="5"/>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nil"/>
              <w:left w:val="nil"/>
              <w:bottom w:val="single" w:color="auto" w:sz="4" w:space="0"/>
              <w:right w:val="single" w:color="auto" w:sz="4" w:space="0"/>
            </w:tcBorders>
            <w:shd w:val="clear" w:color="000000" w:fill="FFFFFF"/>
            <w:noWrap w:val="0"/>
            <w:vAlign w:val="center"/>
          </w:tcPr>
          <w:p>
            <w:pPr>
              <w:ind w:firstLine="360" w:firstLineChars="200"/>
              <w:jc w:val="both"/>
              <w:rPr>
                <w:rFonts w:ascii="Arial" w:hAnsi="Arial" w:cs="Arial"/>
                <w:b/>
                <w:bCs/>
                <w:color w:val="000000"/>
                <w:sz w:val="18"/>
                <w:szCs w:val="18"/>
              </w:rPr>
            </w:pPr>
            <w:r>
              <w:rPr>
                <w:rFonts w:ascii="Arial" w:hAnsi="Arial" w:cs="Arial"/>
                <w:b/>
                <w:bCs/>
                <w:color w:val="000000"/>
                <w:sz w:val="18"/>
                <w:szCs w:val="18"/>
              </w:rPr>
              <w:t xml:space="preserve">Subsidios y Subvenciones  </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0.00</w:t>
            </w:r>
          </w:p>
        </w:tc>
        <w:tc>
          <w:tcPr>
            <w:tcW w:w="1007" w:type="dxa"/>
            <w:tcBorders>
              <w:top w:val="nil"/>
              <w:left w:val="nil"/>
              <w:bottom w:val="nil"/>
              <w:right w:val="nil"/>
            </w:tcBorders>
            <w:shd w:val="clear" w:color="000000" w:fill="FFFFFF"/>
            <w:noWrap/>
            <w:vAlign w:val="bottom"/>
          </w:tcPr>
          <w:p>
            <w:pPr>
              <w:rPr>
                <w:rFonts w:ascii="Calibri" w:hAnsi="Calibri" w:cs="Arial"/>
                <w:b/>
                <w:bCs/>
                <w:color w:val="000000"/>
                <w:sz w:val="18"/>
                <w:szCs w:val="18"/>
              </w:rPr>
            </w:pPr>
            <w:r>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tcPr>
          <w:p>
            <w:pPr>
              <w:rPr>
                <w:rFonts w:ascii="Calibri" w:hAnsi="Calibri" w:cs="Arial"/>
                <w:b/>
                <w:bCs/>
                <w:color w:val="000000"/>
                <w:sz w:val="18"/>
                <w:szCs w:val="18"/>
              </w:rPr>
            </w:pPr>
            <w:r>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tcPr>
          <w:p>
            <w:pPr>
              <w:rPr>
                <w:rFonts w:ascii="Calibri" w:hAnsi="Calibri" w:cs="Arial"/>
                <w:b/>
                <w:bCs/>
                <w:color w:val="000000"/>
                <w:sz w:val="18"/>
                <w:szCs w:val="18"/>
              </w:rPr>
            </w:pPr>
            <w:r>
              <w:rPr>
                <w:rFonts w:ascii="Calibri" w:hAnsi="Calibri" w:cs="Arial"/>
                <w:b/>
                <w:bCs/>
                <w:color w:val="000000"/>
                <w:sz w:val="18"/>
                <w:szCs w:val="18"/>
              </w:rPr>
              <w:t> </w:t>
            </w:r>
          </w:p>
        </w:tc>
      </w:tr>
      <w:tr>
        <w:tblPrEx>
          <w:tblCellMar>
            <w:top w:w="0" w:type="dxa"/>
            <w:left w:w="70" w:type="dxa"/>
            <w:bottom w:w="0" w:type="dxa"/>
            <w:right w:w="70" w:type="dxa"/>
          </w:tblCellMar>
        </w:tblPrEx>
        <w:trPr>
          <w:wBefore w:w="0" w:type="dxa"/>
          <w:wAfter w:w="0" w:type="dxa"/>
          <w:trHeight w:val="22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674" w:type="dxa"/>
            <w:gridSpan w:val="3"/>
            <w:tcBorders>
              <w:top w:val="nil"/>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9.93.1</w:t>
            </w:r>
          </w:p>
        </w:tc>
        <w:tc>
          <w:tcPr>
            <w:tcW w:w="815" w:type="dxa"/>
            <w:gridSpan w:val="5"/>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jc w:val="both"/>
              <w:rPr>
                <w:rFonts w:ascii="Arial" w:hAnsi="Arial" w:cs="Arial"/>
                <w:color w:val="000000"/>
                <w:sz w:val="16"/>
                <w:szCs w:val="16"/>
              </w:rPr>
            </w:pPr>
            <w:r>
              <w:rPr>
                <w:rFonts w:ascii="Arial" w:hAnsi="Arial" w:cs="Arial"/>
                <w:color w:val="000000"/>
                <w:sz w:val="16"/>
                <w:szCs w:val="16"/>
              </w:rPr>
              <w:t>Subsidios y Subvenciones</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tcPr>
          <w:p>
            <w:pPr>
              <w:rPr>
                <w:rFonts w:ascii="Calibri" w:hAnsi="Calibri" w:cs="Arial"/>
                <w:color w:val="000000"/>
                <w:sz w:val="16"/>
                <w:szCs w:val="16"/>
              </w:rPr>
            </w:pPr>
            <w:r>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r>
      <w:tr>
        <w:tblPrEx>
          <w:tblCellMar>
            <w:top w:w="0" w:type="dxa"/>
            <w:left w:w="70" w:type="dxa"/>
            <w:bottom w:w="0" w:type="dxa"/>
            <w:right w:w="70" w:type="dxa"/>
          </w:tblCellMar>
        </w:tblPrEx>
        <w:trPr>
          <w:wBefore w:w="0" w:type="dxa"/>
          <w:wAfter w:w="0" w:type="dxa"/>
          <w:trHeight w:val="240"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9.95</w:t>
            </w:r>
          </w:p>
        </w:tc>
        <w:tc>
          <w:tcPr>
            <w:tcW w:w="674" w:type="dxa"/>
            <w:gridSpan w:val="3"/>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815" w:type="dxa"/>
            <w:gridSpan w:val="5"/>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nil"/>
              <w:left w:val="nil"/>
              <w:bottom w:val="single" w:color="auto" w:sz="4" w:space="0"/>
              <w:right w:val="single" w:color="auto" w:sz="4" w:space="0"/>
            </w:tcBorders>
            <w:shd w:val="clear" w:color="000000" w:fill="FFFFFF"/>
            <w:noWrap w:val="0"/>
            <w:vAlign w:val="center"/>
          </w:tcPr>
          <w:p>
            <w:pPr>
              <w:ind w:firstLine="360" w:firstLineChars="200"/>
              <w:jc w:val="both"/>
              <w:rPr>
                <w:rFonts w:ascii="Arial" w:hAnsi="Arial" w:cs="Arial"/>
                <w:b/>
                <w:bCs/>
                <w:color w:val="000000"/>
                <w:sz w:val="18"/>
                <w:szCs w:val="18"/>
              </w:rPr>
            </w:pPr>
            <w:r>
              <w:rPr>
                <w:rFonts w:ascii="Arial" w:hAnsi="Arial" w:cs="Arial"/>
                <w:b/>
                <w:bCs/>
                <w:color w:val="000000"/>
                <w:sz w:val="18"/>
                <w:szCs w:val="18"/>
              </w:rPr>
              <w:t xml:space="preserve">Pensiones y Jubilaciones </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0.00</w:t>
            </w:r>
          </w:p>
        </w:tc>
        <w:tc>
          <w:tcPr>
            <w:tcW w:w="1007" w:type="dxa"/>
            <w:tcBorders>
              <w:top w:val="nil"/>
              <w:left w:val="nil"/>
              <w:bottom w:val="nil"/>
              <w:right w:val="nil"/>
            </w:tcBorders>
            <w:shd w:val="clear" w:color="000000" w:fill="FFFFFF"/>
            <w:noWrap/>
            <w:vAlign w:val="bottom"/>
          </w:tcPr>
          <w:p>
            <w:pPr>
              <w:rPr>
                <w:rFonts w:ascii="Calibri" w:hAnsi="Calibri" w:cs="Arial"/>
                <w:b/>
                <w:bCs/>
                <w:color w:val="000000"/>
                <w:sz w:val="18"/>
                <w:szCs w:val="18"/>
              </w:rPr>
            </w:pPr>
            <w:r>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tcPr>
          <w:p>
            <w:pPr>
              <w:rPr>
                <w:rFonts w:ascii="Calibri" w:hAnsi="Calibri" w:cs="Arial"/>
                <w:b/>
                <w:bCs/>
                <w:color w:val="000000"/>
                <w:sz w:val="18"/>
                <w:szCs w:val="18"/>
              </w:rPr>
            </w:pPr>
            <w:r>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tcPr>
          <w:p>
            <w:pPr>
              <w:rPr>
                <w:rFonts w:ascii="Calibri" w:hAnsi="Calibri" w:cs="Arial"/>
                <w:b/>
                <w:bCs/>
                <w:color w:val="000000"/>
                <w:sz w:val="18"/>
                <w:szCs w:val="18"/>
              </w:rPr>
            </w:pPr>
            <w:r>
              <w:rPr>
                <w:rFonts w:ascii="Calibri" w:hAnsi="Calibri" w:cs="Arial"/>
                <w:b/>
                <w:bCs/>
                <w:color w:val="000000"/>
                <w:sz w:val="18"/>
                <w:szCs w:val="18"/>
              </w:rPr>
              <w:t> </w:t>
            </w:r>
          </w:p>
        </w:tc>
      </w:tr>
      <w:tr>
        <w:tblPrEx>
          <w:tblCellMar>
            <w:top w:w="0" w:type="dxa"/>
            <w:left w:w="70" w:type="dxa"/>
            <w:bottom w:w="0" w:type="dxa"/>
            <w:right w:w="70" w:type="dxa"/>
          </w:tblCellMar>
        </w:tblPrEx>
        <w:trPr>
          <w:wBefore w:w="0" w:type="dxa"/>
          <w:wAfter w:w="0" w:type="dxa"/>
          <w:trHeight w:val="22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674" w:type="dxa"/>
            <w:gridSpan w:val="3"/>
            <w:tcBorders>
              <w:top w:val="nil"/>
              <w:left w:val="single" w:color="auto" w:sz="4" w:space="0"/>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9.95.1</w:t>
            </w:r>
          </w:p>
        </w:tc>
        <w:tc>
          <w:tcPr>
            <w:tcW w:w="815" w:type="dxa"/>
            <w:gridSpan w:val="5"/>
            <w:tcBorders>
              <w:top w:val="nil"/>
              <w:left w:val="nil"/>
              <w:bottom w:val="nil"/>
              <w:right w:val="nil"/>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nil"/>
              <w:left w:val="single" w:color="auto" w:sz="4" w:space="0"/>
              <w:bottom w:val="single" w:color="auto" w:sz="4" w:space="0"/>
              <w:right w:val="single" w:color="auto" w:sz="4" w:space="0"/>
            </w:tcBorders>
            <w:shd w:val="clear" w:color="000000" w:fill="FFFFFF"/>
            <w:noWrap w:val="0"/>
            <w:vAlign w:val="center"/>
          </w:tcPr>
          <w:p>
            <w:pPr>
              <w:ind w:firstLine="640" w:firstLineChars="400"/>
              <w:jc w:val="both"/>
              <w:rPr>
                <w:rFonts w:ascii="Arial" w:hAnsi="Arial" w:cs="Arial"/>
                <w:color w:val="000000"/>
                <w:sz w:val="16"/>
                <w:szCs w:val="16"/>
              </w:rPr>
            </w:pPr>
            <w:r>
              <w:rPr>
                <w:rFonts w:ascii="Arial" w:hAnsi="Arial" w:cs="Arial"/>
                <w:color w:val="000000"/>
                <w:sz w:val="16"/>
                <w:szCs w:val="16"/>
              </w:rPr>
              <w:t xml:space="preserve">Pensiones y Jubilaciones </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tcPr>
          <w:p>
            <w:pPr>
              <w:rPr>
                <w:rFonts w:ascii="Calibri" w:hAnsi="Calibri" w:cs="Arial"/>
                <w:color w:val="000000"/>
                <w:sz w:val="16"/>
                <w:szCs w:val="16"/>
              </w:rPr>
            </w:pPr>
            <w:r>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r>
      <w:tr>
        <w:tblPrEx>
          <w:tblCellMar>
            <w:top w:w="0" w:type="dxa"/>
            <w:left w:w="70" w:type="dxa"/>
            <w:bottom w:w="0" w:type="dxa"/>
            <w:right w:w="70" w:type="dxa"/>
          </w:tblCellMar>
        </w:tblPrEx>
        <w:trPr>
          <w:wBefore w:w="0" w:type="dxa"/>
          <w:wAfter w:w="0" w:type="dxa"/>
          <w:trHeight w:val="255" w:hRule="atLeast"/>
        </w:trPr>
        <w:tc>
          <w:tcPr>
            <w:tcW w:w="308" w:type="dxa"/>
            <w:gridSpan w:val="2"/>
            <w:tcBorders>
              <w:top w:val="single" w:color="auto" w:sz="4" w:space="0"/>
              <w:left w:val="single" w:color="auto" w:sz="4" w:space="0"/>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0</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674" w:type="dxa"/>
            <w:gridSpan w:val="3"/>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815" w:type="dxa"/>
            <w:gridSpan w:val="5"/>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20"/>
                <w:szCs w:val="20"/>
              </w:rPr>
            </w:pPr>
            <w:r>
              <w:rPr>
                <w:rFonts w:ascii="Arial" w:hAnsi="Arial" w:cs="Arial"/>
                <w:b/>
                <w:bCs/>
                <w:color w:val="000000"/>
                <w:sz w:val="20"/>
                <w:szCs w:val="20"/>
              </w:rPr>
              <w:t> </w:t>
            </w:r>
          </w:p>
        </w:tc>
        <w:tc>
          <w:tcPr>
            <w:tcW w:w="54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both"/>
              <w:rPr>
                <w:rFonts w:ascii="Arial" w:hAnsi="Arial" w:cs="Arial"/>
                <w:b/>
                <w:bCs/>
                <w:color w:val="000000"/>
                <w:sz w:val="20"/>
                <w:szCs w:val="20"/>
              </w:rPr>
            </w:pPr>
            <w:r>
              <w:rPr>
                <w:rFonts w:ascii="Arial" w:hAnsi="Arial" w:cs="Arial"/>
                <w:b/>
                <w:bCs/>
                <w:color w:val="000000"/>
                <w:sz w:val="20"/>
                <w:szCs w:val="20"/>
              </w:rPr>
              <w:t>Ingresos derivados de Financiamientos</w:t>
            </w:r>
          </w:p>
        </w:tc>
        <w:tc>
          <w:tcPr>
            <w:tcW w:w="2282" w:type="dxa"/>
            <w:tcBorders>
              <w:top w:val="single" w:color="auto" w:sz="4" w:space="0"/>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20"/>
                <w:szCs w:val="20"/>
              </w:rPr>
            </w:pPr>
            <w:r>
              <w:rPr>
                <w:rFonts w:ascii="Arial" w:hAnsi="Arial" w:cs="Arial"/>
                <w:b/>
                <w:bCs/>
                <w:color w:val="000000"/>
                <w:sz w:val="20"/>
                <w:szCs w:val="20"/>
              </w:rPr>
              <w:t>0.00</w:t>
            </w:r>
          </w:p>
        </w:tc>
        <w:tc>
          <w:tcPr>
            <w:tcW w:w="1007" w:type="dxa"/>
            <w:tcBorders>
              <w:top w:val="nil"/>
              <w:left w:val="nil"/>
              <w:bottom w:val="nil"/>
              <w:right w:val="nil"/>
            </w:tcBorders>
            <w:shd w:val="clear" w:color="000000" w:fill="FFFFFF"/>
            <w:noWrap/>
            <w:vAlign w:val="bottom"/>
          </w:tcPr>
          <w:p>
            <w:pPr>
              <w:rPr>
                <w:rFonts w:ascii="Calibri" w:hAnsi="Calibri" w:cs="Arial"/>
                <w:b/>
                <w:bCs/>
                <w:color w:val="000000"/>
                <w:sz w:val="20"/>
                <w:szCs w:val="20"/>
              </w:rPr>
            </w:pPr>
            <w:r>
              <w:rPr>
                <w:rFonts w:ascii="Calibri" w:hAnsi="Calibri" w:cs="Arial"/>
                <w:b/>
                <w:bCs/>
                <w:color w:val="000000"/>
                <w:sz w:val="20"/>
                <w:szCs w:val="20"/>
              </w:rPr>
              <w:t> </w:t>
            </w:r>
          </w:p>
        </w:tc>
        <w:tc>
          <w:tcPr>
            <w:tcW w:w="1808" w:type="dxa"/>
            <w:tcBorders>
              <w:top w:val="nil"/>
              <w:left w:val="nil"/>
              <w:bottom w:val="nil"/>
              <w:right w:val="nil"/>
            </w:tcBorders>
            <w:shd w:val="clear" w:color="000000" w:fill="FFFFFF"/>
            <w:noWrap/>
            <w:vAlign w:val="center"/>
          </w:tcPr>
          <w:p>
            <w:pPr>
              <w:rPr>
                <w:rFonts w:ascii="Calibri" w:hAnsi="Calibri" w:cs="Arial"/>
                <w:b/>
                <w:bCs/>
                <w:color w:val="000000"/>
                <w:sz w:val="20"/>
                <w:szCs w:val="20"/>
              </w:rPr>
            </w:pPr>
            <w:r>
              <w:rPr>
                <w:rFonts w:ascii="Calibri" w:hAnsi="Calibri" w:cs="Arial"/>
                <w:b/>
                <w:bCs/>
                <w:color w:val="000000"/>
                <w:sz w:val="20"/>
                <w:szCs w:val="20"/>
              </w:rPr>
              <w:t> </w:t>
            </w:r>
          </w:p>
        </w:tc>
        <w:tc>
          <w:tcPr>
            <w:tcW w:w="1608" w:type="dxa"/>
            <w:tcBorders>
              <w:top w:val="nil"/>
              <w:left w:val="nil"/>
              <w:bottom w:val="nil"/>
              <w:right w:val="nil"/>
            </w:tcBorders>
            <w:shd w:val="clear" w:color="000000" w:fill="FFFFFF"/>
            <w:noWrap/>
            <w:vAlign w:val="bottom"/>
          </w:tcPr>
          <w:p>
            <w:pPr>
              <w:rPr>
                <w:rFonts w:ascii="Calibri" w:hAnsi="Calibri" w:cs="Arial"/>
                <w:b/>
                <w:bCs/>
                <w:color w:val="000000"/>
                <w:sz w:val="20"/>
                <w:szCs w:val="20"/>
              </w:rPr>
            </w:pPr>
            <w:r>
              <w:rPr>
                <w:rFonts w:ascii="Calibri" w:hAnsi="Calibri" w:cs="Arial"/>
                <w:b/>
                <w:bCs/>
                <w:color w:val="000000"/>
                <w:sz w:val="20"/>
                <w:szCs w:val="20"/>
              </w:rPr>
              <w:t> </w:t>
            </w:r>
          </w:p>
        </w:tc>
      </w:tr>
      <w:tr>
        <w:tblPrEx>
          <w:tblCellMar>
            <w:top w:w="0" w:type="dxa"/>
            <w:left w:w="70" w:type="dxa"/>
            <w:bottom w:w="0" w:type="dxa"/>
            <w:right w:w="70" w:type="dxa"/>
          </w:tblCellMar>
        </w:tblPrEx>
        <w:trPr>
          <w:wBefore w:w="0" w:type="dxa"/>
          <w:wAfter w:w="0" w:type="dxa"/>
          <w:trHeight w:val="240"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73" w:type="dxa"/>
            <w:gridSpan w:val="2"/>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0.01</w:t>
            </w:r>
          </w:p>
        </w:tc>
        <w:tc>
          <w:tcPr>
            <w:tcW w:w="674" w:type="dxa"/>
            <w:gridSpan w:val="3"/>
            <w:tcBorders>
              <w:top w:val="single" w:color="auto" w:sz="4" w:space="0"/>
              <w:left w:val="nil"/>
              <w:bottom w:val="single" w:color="auto" w:sz="4" w:space="0"/>
              <w:right w:val="nil"/>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815" w:type="dxa"/>
            <w:gridSpan w:val="5"/>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nil"/>
              <w:left w:val="nil"/>
              <w:bottom w:val="single" w:color="auto" w:sz="4" w:space="0"/>
              <w:right w:val="single" w:color="auto" w:sz="4" w:space="0"/>
            </w:tcBorders>
            <w:shd w:val="clear" w:color="auto" w:fill="FFFFFF"/>
            <w:noWrap w:val="0"/>
            <w:vAlign w:val="center"/>
          </w:tcPr>
          <w:p>
            <w:pPr>
              <w:ind w:firstLine="360" w:firstLineChars="200"/>
              <w:jc w:val="both"/>
              <w:rPr>
                <w:rFonts w:ascii="Arial" w:hAnsi="Arial" w:cs="Arial"/>
                <w:b/>
                <w:bCs/>
                <w:color w:val="000000"/>
                <w:sz w:val="18"/>
                <w:szCs w:val="18"/>
              </w:rPr>
            </w:pPr>
            <w:r>
              <w:rPr>
                <w:rFonts w:ascii="Arial" w:hAnsi="Arial" w:cs="Arial"/>
                <w:b/>
                <w:bCs/>
                <w:color w:val="000000"/>
                <w:sz w:val="18"/>
                <w:szCs w:val="18"/>
              </w:rPr>
              <w:t>Endeudamiento interno</w:t>
            </w:r>
          </w:p>
        </w:tc>
        <w:tc>
          <w:tcPr>
            <w:tcW w:w="2282" w:type="dxa"/>
            <w:tcBorders>
              <w:top w:val="nil"/>
              <w:left w:val="nil"/>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0.00</w:t>
            </w:r>
          </w:p>
        </w:tc>
        <w:tc>
          <w:tcPr>
            <w:tcW w:w="1007" w:type="dxa"/>
            <w:tcBorders>
              <w:top w:val="nil"/>
              <w:left w:val="nil"/>
              <w:bottom w:val="nil"/>
              <w:right w:val="nil"/>
            </w:tcBorders>
            <w:shd w:val="clear" w:color="000000" w:fill="FFFFFF"/>
            <w:noWrap/>
            <w:vAlign w:val="bottom"/>
          </w:tcPr>
          <w:p>
            <w:pPr>
              <w:rPr>
                <w:rFonts w:ascii="Calibri" w:hAnsi="Calibri" w:cs="Arial"/>
                <w:b/>
                <w:bCs/>
                <w:color w:val="000000"/>
                <w:sz w:val="18"/>
                <w:szCs w:val="18"/>
              </w:rPr>
            </w:pPr>
            <w:r>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tcPr>
          <w:p>
            <w:pPr>
              <w:rPr>
                <w:rFonts w:ascii="Calibri" w:hAnsi="Calibri" w:cs="Arial"/>
                <w:b/>
                <w:bCs/>
                <w:color w:val="000000"/>
                <w:sz w:val="18"/>
                <w:szCs w:val="18"/>
              </w:rPr>
            </w:pPr>
            <w:r>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tcPr>
          <w:p>
            <w:pPr>
              <w:rPr>
                <w:rFonts w:ascii="Calibri" w:hAnsi="Calibri" w:cs="Arial"/>
                <w:b/>
                <w:bCs/>
                <w:color w:val="000000"/>
                <w:sz w:val="18"/>
                <w:szCs w:val="18"/>
              </w:rPr>
            </w:pPr>
            <w:r>
              <w:rPr>
                <w:rFonts w:ascii="Calibri" w:hAnsi="Calibri" w:cs="Arial"/>
                <w:b/>
                <w:bCs/>
                <w:color w:val="000000"/>
                <w:sz w:val="18"/>
                <w:szCs w:val="18"/>
              </w:rPr>
              <w:t> </w:t>
            </w:r>
          </w:p>
        </w:tc>
      </w:tr>
      <w:tr>
        <w:tblPrEx>
          <w:tblCellMar>
            <w:top w:w="0" w:type="dxa"/>
            <w:left w:w="70" w:type="dxa"/>
            <w:bottom w:w="0" w:type="dxa"/>
            <w:right w:w="70" w:type="dxa"/>
          </w:tblCellMar>
        </w:tblPrEx>
        <w:trPr>
          <w:wBefore w:w="0" w:type="dxa"/>
          <w:wAfter w:w="0" w:type="dxa"/>
          <w:trHeight w:val="225" w:hRule="atLeast"/>
        </w:trPr>
        <w:tc>
          <w:tcPr>
            <w:tcW w:w="308" w:type="dxa"/>
            <w:gridSpan w:val="2"/>
            <w:tcBorders>
              <w:top w:val="nil"/>
              <w:left w:val="single" w:color="auto" w:sz="4" w:space="0"/>
              <w:bottom w:val="nil"/>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73" w:type="dxa"/>
            <w:gridSpan w:val="2"/>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674" w:type="dxa"/>
            <w:gridSpan w:val="3"/>
            <w:tcBorders>
              <w:top w:val="single" w:color="auto" w:sz="4" w:space="0"/>
              <w:left w:val="single" w:color="auto" w:sz="4" w:space="0"/>
              <w:bottom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0.01.1</w:t>
            </w:r>
          </w:p>
        </w:tc>
        <w:tc>
          <w:tcPr>
            <w:tcW w:w="815" w:type="dxa"/>
            <w:gridSpan w:val="5"/>
            <w:tcBorders>
              <w:top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 </w:t>
            </w:r>
          </w:p>
        </w:tc>
        <w:tc>
          <w:tcPr>
            <w:tcW w:w="54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firstLine="320" w:firstLineChars="200"/>
              <w:jc w:val="both"/>
              <w:rPr>
                <w:rFonts w:ascii="Arial" w:hAnsi="Arial" w:cs="Arial"/>
                <w:color w:val="000000"/>
                <w:sz w:val="16"/>
                <w:szCs w:val="16"/>
              </w:rPr>
            </w:pPr>
            <w:r>
              <w:rPr>
                <w:rFonts w:ascii="Arial" w:hAnsi="Arial" w:cs="Arial"/>
                <w:color w:val="000000"/>
                <w:sz w:val="16"/>
                <w:szCs w:val="16"/>
              </w:rPr>
              <w:t xml:space="preserve">         Endeudamiento interno</w:t>
            </w:r>
          </w:p>
        </w:tc>
        <w:tc>
          <w:tcPr>
            <w:tcW w:w="228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tcPr>
          <w:p>
            <w:pPr>
              <w:rPr>
                <w:rFonts w:ascii="Calibri" w:hAnsi="Calibri" w:cs="Arial"/>
                <w:color w:val="000000"/>
                <w:sz w:val="16"/>
                <w:szCs w:val="16"/>
              </w:rPr>
            </w:pPr>
            <w:r>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tcPr>
          <w:p>
            <w:pPr>
              <w:rPr>
                <w:rFonts w:ascii="Calibri" w:hAnsi="Calibri" w:cs="Arial"/>
                <w:color w:val="000000"/>
                <w:sz w:val="16"/>
                <w:szCs w:val="16"/>
              </w:rPr>
            </w:pPr>
            <w:r>
              <w:rPr>
                <w:rFonts w:ascii="Calibri" w:hAnsi="Calibri" w:cs="Arial"/>
                <w:color w:val="000000"/>
                <w:sz w:val="16"/>
                <w:szCs w:val="16"/>
              </w:rPr>
              <w:t> </w:t>
            </w:r>
          </w:p>
        </w:tc>
      </w:tr>
      <w:tr>
        <w:tblPrEx>
          <w:tblCellMar>
            <w:top w:w="0" w:type="dxa"/>
            <w:left w:w="70" w:type="dxa"/>
            <w:bottom w:w="0" w:type="dxa"/>
            <w:right w:w="70" w:type="dxa"/>
          </w:tblCellMar>
        </w:tblPrEx>
        <w:trPr>
          <w:wBefore w:w="0" w:type="dxa"/>
          <w:wAfter w:w="0" w:type="dxa"/>
          <w:trHeight w:val="225" w:hRule="atLeast"/>
        </w:trPr>
        <w:tc>
          <w:tcPr>
            <w:tcW w:w="308" w:type="dxa"/>
            <w:gridSpan w:val="2"/>
            <w:tcBorders>
              <w:top w:val="nil"/>
              <w:left w:val="single" w:color="auto" w:sz="4" w:space="0"/>
              <w:bottom w:val="nil"/>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73" w:type="dxa"/>
            <w:gridSpan w:val="2"/>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0.03</w:t>
            </w:r>
          </w:p>
        </w:tc>
        <w:tc>
          <w:tcPr>
            <w:tcW w:w="674" w:type="dxa"/>
            <w:gridSpan w:val="3"/>
            <w:tcBorders>
              <w:top w:val="single" w:color="auto" w:sz="4" w:space="0"/>
              <w:left w:val="single" w:color="auto" w:sz="4" w:space="0"/>
              <w:bottom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815" w:type="dxa"/>
            <w:gridSpan w:val="5"/>
            <w:tcBorders>
              <w:top w:val="single" w:color="auto" w:sz="4" w:space="0"/>
              <w:bottom w:val="single" w:color="auto" w:sz="4" w:space="0"/>
              <w:right w:val="single" w:color="auto" w:sz="4" w:space="0"/>
            </w:tcBorders>
            <w:shd w:val="clear" w:color="000000" w:fill="FFFFFF"/>
            <w:noWrap/>
            <w:vAlign w:val="center"/>
          </w:tcPr>
          <w:p>
            <w:pPr>
              <w:jc w:val="center"/>
              <w:rPr>
                <w:rFonts w:ascii="Arial" w:hAnsi="Arial" w:cs="Arial"/>
                <w:b/>
                <w:bCs/>
                <w:color w:val="000000"/>
                <w:sz w:val="18"/>
                <w:szCs w:val="18"/>
              </w:rPr>
            </w:pPr>
            <w:r>
              <w:rPr>
                <w:rFonts w:ascii="Arial" w:hAnsi="Arial" w:cs="Arial"/>
                <w:b/>
                <w:bCs/>
                <w:color w:val="000000"/>
                <w:sz w:val="18"/>
                <w:szCs w:val="18"/>
              </w:rPr>
              <w:t> </w:t>
            </w:r>
          </w:p>
        </w:tc>
        <w:tc>
          <w:tcPr>
            <w:tcW w:w="54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firstLine="360" w:firstLineChars="200"/>
              <w:jc w:val="both"/>
              <w:rPr>
                <w:rFonts w:ascii="Arial" w:hAnsi="Arial" w:cs="Arial"/>
                <w:b/>
                <w:bCs/>
                <w:color w:val="000000"/>
                <w:sz w:val="18"/>
                <w:szCs w:val="18"/>
              </w:rPr>
            </w:pPr>
            <w:r>
              <w:rPr>
                <w:rFonts w:ascii="Arial" w:hAnsi="Arial" w:cs="Arial"/>
                <w:b/>
                <w:bCs/>
                <w:color w:val="000000"/>
                <w:sz w:val="18"/>
                <w:szCs w:val="18"/>
              </w:rPr>
              <w:t>Financiamiento Interno</w:t>
            </w:r>
          </w:p>
        </w:tc>
        <w:tc>
          <w:tcPr>
            <w:tcW w:w="228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right"/>
              <w:rPr>
                <w:rFonts w:ascii="Arial" w:hAnsi="Arial" w:cs="Arial"/>
                <w:b/>
                <w:bCs/>
                <w:color w:val="000000"/>
                <w:sz w:val="18"/>
                <w:szCs w:val="18"/>
              </w:rPr>
            </w:pPr>
            <w:r>
              <w:rPr>
                <w:rFonts w:ascii="Arial" w:hAnsi="Arial" w:cs="Arial"/>
                <w:b/>
                <w:bCs/>
                <w:color w:val="000000"/>
                <w:sz w:val="18"/>
                <w:szCs w:val="18"/>
              </w:rPr>
              <w:t>0.00</w:t>
            </w:r>
          </w:p>
        </w:tc>
        <w:tc>
          <w:tcPr>
            <w:tcW w:w="1007" w:type="dxa"/>
            <w:tcBorders>
              <w:top w:val="nil"/>
              <w:left w:val="nil"/>
              <w:bottom w:val="nil"/>
              <w:right w:val="nil"/>
            </w:tcBorders>
            <w:shd w:val="clear" w:color="000000" w:fill="FFFFFF"/>
            <w:noWrap/>
            <w:vAlign w:val="bottom"/>
          </w:tcPr>
          <w:p>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pPr>
              <w:rPr>
                <w:rFonts w:ascii="Calibri" w:hAnsi="Calibri" w:cs="Arial"/>
                <w:color w:val="000000"/>
                <w:sz w:val="16"/>
                <w:szCs w:val="16"/>
              </w:rPr>
            </w:pPr>
          </w:p>
        </w:tc>
      </w:tr>
      <w:tr>
        <w:tblPrEx>
          <w:tblCellMar>
            <w:top w:w="0" w:type="dxa"/>
            <w:left w:w="70" w:type="dxa"/>
            <w:bottom w:w="0" w:type="dxa"/>
            <w:right w:w="70" w:type="dxa"/>
          </w:tblCellMar>
        </w:tblPrEx>
        <w:trPr>
          <w:wBefore w:w="0" w:type="dxa"/>
          <w:wAfter w:w="0" w:type="dxa"/>
          <w:trHeight w:val="225" w:hRule="atLeast"/>
        </w:trPr>
        <w:tc>
          <w:tcPr>
            <w:tcW w:w="308"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p>
        </w:tc>
        <w:tc>
          <w:tcPr>
            <w:tcW w:w="573" w:type="dxa"/>
            <w:gridSpan w:val="2"/>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p>
        </w:tc>
        <w:tc>
          <w:tcPr>
            <w:tcW w:w="674" w:type="dxa"/>
            <w:gridSpan w:val="3"/>
            <w:tcBorders>
              <w:top w:val="single" w:color="auto" w:sz="4" w:space="0"/>
              <w:left w:val="single" w:color="auto" w:sz="4" w:space="0"/>
              <w:bottom w:val="single" w:color="auto" w:sz="4" w:space="0"/>
            </w:tcBorders>
            <w:shd w:val="clear" w:color="000000" w:fill="FFFFFF"/>
            <w:noWrap/>
            <w:vAlign w:val="center"/>
          </w:tcPr>
          <w:p>
            <w:pPr>
              <w:jc w:val="center"/>
              <w:rPr>
                <w:rFonts w:ascii="Arial" w:hAnsi="Arial" w:cs="Arial"/>
                <w:color w:val="000000"/>
                <w:sz w:val="16"/>
                <w:szCs w:val="16"/>
              </w:rPr>
            </w:pPr>
            <w:r>
              <w:rPr>
                <w:rFonts w:ascii="Arial" w:hAnsi="Arial" w:cs="Arial"/>
                <w:color w:val="000000"/>
                <w:sz w:val="16"/>
                <w:szCs w:val="16"/>
              </w:rPr>
              <w:t>0.03.1</w:t>
            </w:r>
          </w:p>
        </w:tc>
        <w:tc>
          <w:tcPr>
            <w:tcW w:w="815" w:type="dxa"/>
            <w:gridSpan w:val="5"/>
            <w:tcBorders>
              <w:top w:val="single" w:color="auto" w:sz="4" w:space="0"/>
              <w:bottom w:val="single" w:color="auto" w:sz="4" w:space="0"/>
              <w:right w:val="single" w:color="auto" w:sz="4" w:space="0"/>
            </w:tcBorders>
            <w:shd w:val="clear" w:color="000000" w:fill="FFFFFF"/>
            <w:noWrap/>
            <w:vAlign w:val="center"/>
          </w:tcPr>
          <w:p>
            <w:pPr>
              <w:jc w:val="center"/>
              <w:rPr>
                <w:rFonts w:ascii="Arial" w:hAnsi="Arial" w:cs="Arial"/>
                <w:color w:val="000000"/>
                <w:sz w:val="16"/>
                <w:szCs w:val="16"/>
              </w:rPr>
            </w:pPr>
          </w:p>
        </w:tc>
        <w:tc>
          <w:tcPr>
            <w:tcW w:w="54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firstLine="320" w:firstLineChars="200"/>
              <w:jc w:val="both"/>
              <w:rPr>
                <w:rFonts w:ascii="Arial" w:hAnsi="Arial" w:cs="Arial"/>
                <w:color w:val="000000"/>
                <w:sz w:val="16"/>
                <w:szCs w:val="16"/>
              </w:rPr>
            </w:pPr>
            <w:r>
              <w:rPr>
                <w:rFonts w:ascii="Arial" w:hAnsi="Arial" w:cs="Arial"/>
                <w:color w:val="000000"/>
                <w:sz w:val="16"/>
                <w:szCs w:val="16"/>
              </w:rPr>
              <w:t xml:space="preserve">        Financiamiento interno</w:t>
            </w:r>
          </w:p>
        </w:tc>
        <w:tc>
          <w:tcPr>
            <w:tcW w:w="228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right"/>
              <w:rPr>
                <w:rFonts w:ascii="Arial" w:hAnsi="Arial" w:cs="Arial"/>
                <w:color w:val="000000"/>
                <w:sz w:val="16"/>
                <w:szCs w:val="16"/>
              </w:rPr>
            </w:pPr>
            <w:r>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tcPr>
          <w:p>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pPr>
              <w:rPr>
                <w:rFonts w:ascii="Calibri" w:hAnsi="Calibri" w:cs="Arial"/>
                <w:color w:val="000000"/>
                <w:sz w:val="16"/>
                <w:szCs w:val="16"/>
              </w:rPr>
            </w:pPr>
          </w:p>
        </w:tc>
      </w:tr>
    </w:tbl>
    <w:p>
      <w:pPr>
        <w:spacing w:line="360" w:lineRule="auto"/>
        <w:jc w:val="both"/>
        <w:rPr>
          <w:rFonts w:ascii="Century Gothic" w:hAnsi="Century Gothic" w:eastAsia="Calibri" w:cs="Arial"/>
          <w:snapToGrid w:val="0"/>
          <w:sz w:val="18"/>
          <w:szCs w:val="18"/>
          <w:lang w:eastAsia="en-US"/>
        </w:rPr>
      </w:pPr>
    </w:p>
    <w:p>
      <w:pPr>
        <w:widowControl w:val="0"/>
        <w:autoSpaceDE w:val="0"/>
        <w:autoSpaceDN w:val="0"/>
        <w:adjustRightInd w:val="0"/>
        <w:spacing w:line="360" w:lineRule="auto"/>
        <w:jc w:val="both"/>
        <w:rPr>
          <w:rFonts w:ascii="Century Gothic" w:hAnsi="Century Gothic" w:cs="Arial"/>
          <w:b/>
          <w:sz w:val="18"/>
          <w:szCs w:val="18"/>
        </w:rPr>
      </w:pPr>
      <w:r>
        <w:rPr>
          <w:rFonts w:ascii="Century Gothic" w:hAnsi="Century Gothic" w:eastAsia="Calibri" w:cs="Arial"/>
          <w:b/>
          <w:snapToGrid w:val="0"/>
          <w:sz w:val="18"/>
          <w:szCs w:val="18"/>
          <w:lang w:eastAsia="en-US"/>
        </w:rPr>
        <w:t xml:space="preserve">ARTÍCULO 4.- </w:t>
      </w:r>
      <w:r>
        <w:rPr>
          <w:rFonts w:ascii="Century Gothic" w:hAnsi="Century Gothic" w:eastAsia="Calibri" w:cs="Arial"/>
          <w:snapToGrid w:val="0"/>
          <w:sz w:val="18"/>
          <w:szCs w:val="18"/>
          <w:lang w:eastAsia="en-US"/>
        </w:rPr>
        <w:t xml:space="preserve">El total de ingresos para el ejercicio fiscal 2021 será de $ </w:t>
      </w:r>
      <w:r>
        <w:rPr>
          <w:rFonts w:ascii="Arial" w:hAnsi="Arial" w:cs="Arial"/>
          <w:b/>
          <w:bCs/>
          <w:color w:val="000000"/>
          <w:sz w:val="20"/>
          <w:szCs w:val="20"/>
        </w:rPr>
        <w:t xml:space="preserve">3,185,328,408.00 </w:t>
      </w:r>
      <w:r>
        <w:rPr>
          <w:rFonts w:ascii="Century Gothic" w:hAnsi="Century Gothic" w:eastAsia="Calibri" w:cs="Arial"/>
          <w:snapToGrid w:val="0"/>
          <w:sz w:val="18"/>
          <w:szCs w:val="18"/>
          <w:lang w:eastAsia="en-US"/>
        </w:rPr>
        <w:t xml:space="preserve">son: </w:t>
      </w:r>
      <w:r>
        <w:rPr>
          <w:rFonts w:ascii="Century Gothic" w:hAnsi="Century Gothic" w:eastAsia="Calibri" w:cs="Arial"/>
          <w:b/>
          <w:snapToGrid w:val="0"/>
          <w:sz w:val="18"/>
          <w:szCs w:val="18"/>
          <w:lang w:eastAsia="en-US"/>
        </w:rPr>
        <w:t>TRES MIL CIENTO OCHENTA Y CINCO MILLONES, TRESCIENTOS VEINTIOCHO MIL, CUATROCIENTOS OCHO PESOS, CERO CENTAVOS, MONEDA NACIONAL.</w:t>
      </w:r>
    </w:p>
    <w:p>
      <w:pPr>
        <w:spacing w:line="360" w:lineRule="auto"/>
        <w:jc w:val="both"/>
        <w:rPr>
          <w:rFonts w:ascii="Century Gothic" w:hAnsi="Century Gothic" w:eastAsia="Calibri" w:cs="Arial"/>
          <w:snapToGrid w:val="0"/>
          <w:sz w:val="18"/>
          <w:szCs w:val="18"/>
          <w:lang w:eastAsia="en-US"/>
        </w:rPr>
      </w:pPr>
    </w:p>
    <w:p>
      <w:pPr>
        <w:spacing w:line="360" w:lineRule="auto"/>
        <w:jc w:val="center"/>
        <w:rPr>
          <w:rFonts w:ascii="Century Gothic" w:hAnsi="Century Gothic" w:eastAsia="Calibri" w:cs="Arial"/>
          <w:b/>
          <w:snapToGrid w:val="0"/>
          <w:sz w:val="18"/>
          <w:szCs w:val="18"/>
          <w:lang w:eastAsia="en-US"/>
        </w:rPr>
      </w:pPr>
      <w:r>
        <w:rPr>
          <w:rFonts w:ascii="Century Gothic" w:hAnsi="Century Gothic" w:eastAsia="Calibri" w:cs="Arial"/>
          <w:b/>
          <w:snapToGrid w:val="0"/>
          <w:sz w:val="18"/>
          <w:szCs w:val="18"/>
          <w:lang w:eastAsia="en-US"/>
        </w:rPr>
        <w:t>CAPÍTULO TERCERO</w:t>
      </w:r>
    </w:p>
    <w:p>
      <w:pPr>
        <w:spacing w:line="360" w:lineRule="auto"/>
        <w:jc w:val="center"/>
        <w:rPr>
          <w:rFonts w:ascii="Century Gothic" w:hAnsi="Century Gothic" w:eastAsia="Calibri" w:cs="Arial"/>
          <w:b/>
          <w:snapToGrid w:val="0"/>
          <w:sz w:val="18"/>
          <w:szCs w:val="18"/>
          <w:lang w:eastAsia="en-US"/>
        </w:rPr>
      </w:pPr>
      <w:r>
        <w:rPr>
          <w:rFonts w:ascii="Century Gothic" w:hAnsi="Century Gothic" w:eastAsia="Calibri" w:cs="Arial"/>
          <w:b/>
          <w:snapToGrid w:val="0"/>
          <w:sz w:val="18"/>
          <w:szCs w:val="18"/>
          <w:lang w:eastAsia="en-US"/>
        </w:rPr>
        <w:t>De las disposiciones generales</w:t>
      </w:r>
    </w:p>
    <w:p>
      <w:pPr>
        <w:widowControl w:val="0"/>
        <w:autoSpaceDE w:val="0"/>
        <w:autoSpaceDN w:val="0"/>
        <w:adjustRightInd w:val="0"/>
        <w:spacing w:line="360" w:lineRule="auto"/>
        <w:jc w:val="both"/>
        <w:rPr>
          <w:rFonts w:ascii="Century Gothic" w:hAnsi="Century Gothic"/>
          <w:bCs/>
          <w:sz w:val="18"/>
          <w:szCs w:val="18"/>
        </w:rPr>
      </w:pPr>
    </w:p>
    <w:p>
      <w:pPr>
        <w:spacing w:line="360" w:lineRule="auto"/>
        <w:jc w:val="both"/>
        <w:rPr>
          <w:rFonts w:ascii="Century Gothic" w:hAnsi="Century Gothic" w:eastAsia="Calibri" w:cs="Arial"/>
          <w:snapToGrid w:val="0"/>
          <w:sz w:val="18"/>
          <w:szCs w:val="18"/>
          <w:lang w:eastAsia="en-US"/>
        </w:rPr>
      </w:pPr>
      <w:r>
        <w:rPr>
          <w:rFonts w:ascii="Century Gothic" w:hAnsi="Century Gothic" w:eastAsia="Calibri" w:cs="Arial"/>
          <w:b/>
          <w:snapToGrid w:val="0"/>
          <w:sz w:val="18"/>
          <w:szCs w:val="18"/>
          <w:lang w:eastAsia="en-US"/>
        </w:rPr>
        <w:t>ARTÍCULO 5.-</w:t>
      </w:r>
      <w:r>
        <w:rPr>
          <w:rFonts w:ascii="Century Gothic" w:hAnsi="Century Gothic" w:eastAsia="Calibri" w:cs="Arial"/>
          <w:snapToGrid w:val="0"/>
          <w:sz w:val="18"/>
          <w:szCs w:val="18"/>
          <w:lang w:eastAsia="en-US"/>
        </w:rPr>
        <w:t xml:space="preserve"> El monto de las contribuciones o las devoluciones a cargo del fisco municipal se actualizarán por el transcurso del tiempo y con motivo de los cambios de precios en el país.  Las cantidades actualizadas conservan la naturaleza jurídica que tenían antes de la actualización. </w:t>
      </w:r>
    </w:p>
    <w:p>
      <w:pPr>
        <w:spacing w:line="360" w:lineRule="auto"/>
        <w:jc w:val="both"/>
        <w:rPr>
          <w:rFonts w:ascii="Century Gothic" w:hAnsi="Century Gothic" w:eastAsia="Calibri" w:cs="Arial"/>
          <w:snapToGrid w:val="0"/>
          <w:sz w:val="18"/>
          <w:szCs w:val="18"/>
          <w:lang w:eastAsia="en-US"/>
        </w:rPr>
      </w:pPr>
    </w:p>
    <w:p>
      <w:pPr>
        <w:spacing w:line="360" w:lineRule="auto"/>
        <w:jc w:val="both"/>
        <w:rPr>
          <w:rFonts w:ascii="Century Gothic" w:hAnsi="Century Gothic" w:eastAsia="Calibri" w:cs="Arial"/>
          <w:snapToGrid w:val="0"/>
          <w:sz w:val="18"/>
          <w:szCs w:val="18"/>
          <w:lang w:eastAsia="en-US"/>
        </w:rPr>
      </w:pPr>
      <w:r>
        <w:rPr>
          <w:rFonts w:ascii="Century Gothic" w:hAnsi="Century Gothic" w:eastAsia="Calibri" w:cs="Arial"/>
          <w:snapToGrid w:val="0"/>
          <w:sz w:val="18"/>
          <w:szCs w:val="18"/>
          <w:lang w:eastAsia="en-US"/>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pPr>
        <w:spacing w:line="360" w:lineRule="auto"/>
        <w:jc w:val="both"/>
        <w:rPr>
          <w:rFonts w:ascii="Century Gothic" w:hAnsi="Century Gothic" w:cs="Arial"/>
          <w:b/>
          <w:snapToGrid w:val="0"/>
          <w:sz w:val="18"/>
          <w:szCs w:val="18"/>
        </w:rPr>
      </w:pPr>
    </w:p>
    <w:p>
      <w:pPr>
        <w:spacing w:line="360" w:lineRule="auto"/>
        <w:jc w:val="both"/>
        <w:rPr>
          <w:rFonts w:ascii="Century Gothic" w:hAnsi="Century Gothic" w:cs="Arial"/>
          <w:snapToGrid w:val="0"/>
          <w:sz w:val="18"/>
          <w:szCs w:val="18"/>
        </w:rPr>
      </w:pPr>
      <w:r>
        <w:rPr>
          <w:rFonts w:ascii="Century Gothic" w:hAnsi="Century Gothic" w:cs="Arial"/>
          <w:b/>
          <w:snapToGrid w:val="0"/>
          <w:sz w:val="18"/>
          <w:szCs w:val="18"/>
        </w:rPr>
        <w:t xml:space="preserve">ARTÍCULO 6.- </w:t>
      </w:r>
      <w:r>
        <w:rPr>
          <w:rFonts w:ascii="Century Gothic" w:hAnsi="Century Gothic" w:cs="Arial"/>
          <w:snapToGrid w:val="0"/>
          <w:sz w:val="18"/>
          <w:szCs w:val="18"/>
        </w:rPr>
        <w:t>Las contribuciones causadas en ejercicios fiscales anteriores, pendientes de liquidación o pago se determinarán de conformidad con las disposiciones legales que rigieron en la época en que se causaron.</w:t>
      </w:r>
    </w:p>
    <w:p>
      <w:pPr>
        <w:spacing w:line="360" w:lineRule="auto"/>
        <w:jc w:val="both"/>
        <w:rPr>
          <w:rFonts w:ascii="Century Gothic" w:hAnsi="Century Gothic" w:cs="Arial"/>
          <w:snapToGrid w:val="0"/>
          <w:sz w:val="18"/>
          <w:szCs w:val="18"/>
        </w:rPr>
      </w:pPr>
    </w:p>
    <w:p>
      <w:pPr>
        <w:spacing w:line="360" w:lineRule="auto"/>
        <w:jc w:val="both"/>
        <w:rPr>
          <w:rFonts w:ascii="Century Gothic" w:hAnsi="Century Gothic" w:cs="Arial"/>
          <w:snapToGrid w:val="0"/>
          <w:sz w:val="18"/>
          <w:szCs w:val="18"/>
        </w:rPr>
      </w:pPr>
      <w:r>
        <w:rPr>
          <w:rFonts w:ascii="Century Gothic" w:hAnsi="Century Gothic" w:cs="Arial"/>
          <w:b/>
          <w:snapToGrid w:val="0"/>
          <w:sz w:val="18"/>
          <w:szCs w:val="18"/>
        </w:rPr>
        <w:t>ARTÍCULO 7.-</w:t>
      </w:r>
      <w:r>
        <w:rPr>
          <w:rFonts w:ascii="Century Gothic" w:hAnsi="Century Gothic" w:cs="Arial"/>
          <w:snapToGrid w:val="0"/>
          <w:sz w:val="18"/>
          <w:szCs w:val="18"/>
        </w:rPr>
        <w:t xml:space="preserve"> El pago de las contribuciones, aprovechamientos y demás ingresos señalados en esta Ley se acreditará con el recibo oficial expedido por la Dirección de Finanzas y Tesorería del Municipio de Mérida,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w:t>
      </w:r>
    </w:p>
    <w:p>
      <w:pPr>
        <w:spacing w:line="360" w:lineRule="auto"/>
        <w:rPr>
          <w:rFonts w:ascii="Century Gothic" w:hAnsi="Century Gothic" w:cs="Arial"/>
          <w:snapToGrid w:val="0"/>
          <w:sz w:val="18"/>
          <w:szCs w:val="18"/>
        </w:rPr>
      </w:pPr>
    </w:p>
    <w:p>
      <w:pPr>
        <w:spacing w:line="360" w:lineRule="auto"/>
        <w:jc w:val="both"/>
        <w:rPr>
          <w:rFonts w:ascii="Century Gothic" w:hAnsi="Century Gothic" w:cs="Arial"/>
          <w:snapToGrid w:val="0"/>
          <w:sz w:val="18"/>
          <w:szCs w:val="18"/>
        </w:rPr>
      </w:pPr>
      <w:r>
        <w:rPr>
          <w:rFonts w:ascii="Century Gothic" w:hAnsi="Century Gothic" w:cs="Arial"/>
          <w:snapToGrid w:val="0"/>
          <w:sz w:val="18"/>
          <w:szCs w:val="18"/>
        </w:rPr>
        <w:t xml:space="preserve">En caso de que el pago sea realizado mediante transferencia electrónica de fondos y efectuado a través del uso del portal de internet con la dirección www.merida.gob.mx, el recibo oficial electrónico que se emita mediante el uso de las aplicaciones establecidas en el mencionado portal, podrá ser impreso en el momento del pago y servirá como comprobante del mismo. </w:t>
      </w:r>
    </w:p>
    <w:p>
      <w:pPr>
        <w:spacing w:line="360" w:lineRule="auto"/>
        <w:jc w:val="both"/>
        <w:rPr>
          <w:rFonts w:ascii="Century Gothic" w:hAnsi="Century Gothic" w:cs="Arial"/>
          <w:snapToGrid w:val="0"/>
          <w:sz w:val="18"/>
          <w:szCs w:val="18"/>
        </w:rPr>
      </w:pPr>
    </w:p>
    <w:p>
      <w:pPr>
        <w:spacing w:line="360" w:lineRule="auto"/>
        <w:jc w:val="both"/>
        <w:rPr>
          <w:rFonts w:ascii="Century Gothic" w:hAnsi="Century Gothic" w:cs="Arial"/>
          <w:snapToGrid w:val="0"/>
          <w:sz w:val="18"/>
          <w:szCs w:val="18"/>
        </w:rPr>
      </w:pPr>
      <w:r>
        <w:rPr>
          <w:rFonts w:ascii="Century Gothic" w:hAnsi="Century Gothic" w:cs="Arial"/>
          <w:snapToGrid w:val="0"/>
          <w:sz w:val="18"/>
          <w:szCs w:val="18"/>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w:t>
      </w:r>
    </w:p>
    <w:p>
      <w:pPr>
        <w:spacing w:line="360" w:lineRule="auto"/>
        <w:rPr>
          <w:rFonts w:ascii="Century Gothic" w:hAnsi="Century Gothic" w:cs="Arial"/>
          <w:snapToGrid w:val="0"/>
          <w:sz w:val="18"/>
          <w:szCs w:val="18"/>
        </w:rPr>
      </w:pPr>
    </w:p>
    <w:p>
      <w:pPr>
        <w:spacing w:line="360" w:lineRule="auto"/>
        <w:jc w:val="both"/>
        <w:rPr>
          <w:rFonts w:ascii="Century Gothic" w:hAnsi="Century Gothic" w:cs="Arial"/>
          <w:sz w:val="18"/>
          <w:szCs w:val="18"/>
          <w:lang/>
        </w:rPr>
      </w:pPr>
      <w:r>
        <w:rPr>
          <w:rFonts w:ascii="Century Gothic" w:hAnsi="Century Gothic" w:cs="Arial"/>
          <w:sz w:val="18"/>
          <w:szCs w:val="18"/>
          <w:lang/>
        </w:rPr>
        <w:t>Para el caso de pago por los servicios públicos que presta la Administración Pública Municipal a través de sus organismos descentralizados o paramunicipales, servirá como medio para acreditar el pago, los recibos que dichos organismos emitan.</w:t>
      </w:r>
    </w:p>
    <w:p>
      <w:pPr>
        <w:spacing w:line="360" w:lineRule="auto"/>
        <w:rPr>
          <w:rFonts w:ascii="Century Gothic" w:hAnsi="Century Gothic" w:cs="Arial"/>
          <w:sz w:val="18"/>
          <w:szCs w:val="18"/>
          <w:lang/>
        </w:rPr>
      </w:pPr>
    </w:p>
    <w:p>
      <w:pPr>
        <w:spacing w:line="360" w:lineRule="auto"/>
        <w:jc w:val="both"/>
        <w:rPr>
          <w:rFonts w:ascii="Century Gothic" w:hAnsi="Century Gothic" w:cs="Arial"/>
          <w:snapToGrid w:val="0"/>
          <w:sz w:val="18"/>
          <w:szCs w:val="18"/>
        </w:rPr>
      </w:pPr>
      <w:r>
        <w:rPr>
          <w:rFonts w:ascii="Century Gothic" w:hAnsi="Century Gothic" w:cs="Arial"/>
          <w:b/>
          <w:snapToGrid w:val="0"/>
          <w:sz w:val="18"/>
          <w:szCs w:val="18"/>
        </w:rPr>
        <w:t xml:space="preserve">ARTÍCULO 8.- </w:t>
      </w:r>
      <w:r>
        <w:rPr>
          <w:rFonts w:ascii="Century Gothic" w:hAnsi="Century Gothic" w:cs="Arial"/>
          <w:snapToGrid w:val="0"/>
          <w:sz w:val="18"/>
          <w:szCs w:val="18"/>
        </w:rPr>
        <w:t>Las contribuciones se causarán, liquidarán y recaudarán en los términos de la Ley de Hacienda del Municipio de Mérida, y a falta de disposición expresa acerca del procedimiento, se aplicarán supletoriamente el Código Fiscal del Estado de Yucatán, y el Código Fiscal de la Federación.</w:t>
      </w:r>
    </w:p>
    <w:p>
      <w:pPr>
        <w:spacing w:line="360" w:lineRule="auto"/>
        <w:jc w:val="both"/>
        <w:rPr>
          <w:rFonts w:ascii="Century Gothic" w:hAnsi="Century Gothic" w:cs="Arial"/>
          <w:snapToGrid w:val="0"/>
          <w:sz w:val="18"/>
          <w:szCs w:val="18"/>
        </w:rPr>
      </w:pPr>
    </w:p>
    <w:p>
      <w:pPr>
        <w:autoSpaceDE w:val="0"/>
        <w:autoSpaceDN w:val="0"/>
        <w:adjustRightInd w:val="0"/>
        <w:spacing w:line="360" w:lineRule="auto"/>
        <w:jc w:val="both"/>
        <w:rPr>
          <w:rFonts w:ascii="Century Gothic" w:hAnsi="Century Gothic" w:cs="Arial"/>
          <w:snapToGrid w:val="0"/>
          <w:sz w:val="18"/>
          <w:szCs w:val="18"/>
        </w:rPr>
      </w:pPr>
      <w:r>
        <w:rPr>
          <w:rFonts w:ascii="Century Gothic" w:hAnsi="Century Gothic" w:cs="Arial"/>
          <w:b/>
          <w:snapToGrid w:val="0"/>
          <w:sz w:val="18"/>
          <w:szCs w:val="18"/>
        </w:rPr>
        <w:t>ARTÍCULO 9.-</w:t>
      </w:r>
      <w:r>
        <w:rPr>
          <w:rFonts w:ascii="Century Gothic" w:hAnsi="Century Gothic" w:cs="Arial"/>
          <w:snapToGrid w:val="0"/>
          <w:sz w:val="18"/>
          <w:szCs w:val="18"/>
        </w:rPr>
        <w:t xml:space="preserve"> El Ayuntamiento de Mérida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pPr>
        <w:spacing w:line="360" w:lineRule="auto"/>
        <w:jc w:val="center"/>
        <w:rPr>
          <w:rFonts w:ascii="Century Gothic" w:hAnsi="Century Gothic" w:cs="Arial"/>
          <w:b/>
          <w:sz w:val="18"/>
          <w:szCs w:val="18"/>
          <w:lang w:val="pt-BR"/>
        </w:rPr>
      </w:pPr>
    </w:p>
    <w:p>
      <w:pPr>
        <w:spacing w:line="360" w:lineRule="auto"/>
        <w:jc w:val="center"/>
        <w:rPr>
          <w:rFonts w:ascii="Century Gothic" w:hAnsi="Century Gothic" w:cs="Arial"/>
          <w:b/>
          <w:sz w:val="18"/>
          <w:szCs w:val="18"/>
          <w:lang w:val="pt-BR"/>
        </w:rPr>
      </w:pPr>
      <w:r>
        <w:rPr>
          <w:rFonts w:ascii="Century Gothic" w:hAnsi="Century Gothic" w:cs="Arial"/>
          <w:b/>
          <w:sz w:val="18"/>
          <w:szCs w:val="18"/>
          <w:lang w:val="pt-BR"/>
        </w:rPr>
        <w:t>T R A N S I T O R I O</w:t>
      </w:r>
    </w:p>
    <w:p>
      <w:pPr>
        <w:spacing w:line="360" w:lineRule="auto"/>
        <w:jc w:val="center"/>
        <w:rPr>
          <w:rFonts w:ascii="Century Gothic" w:hAnsi="Century Gothic" w:cs="Arial"/>
          <w:b/>
          <w:sz w:val="18"/>
          <w:szCs w:val="18"/>
          <w:lang w:val="pt-BR"/>
        </w:rPr>
      </w:pPr>
    </w:p>
    <w:p>
      <w:pPr>
        <w:spacing w:line="360" w:lineRule="auto"/>
        <w:jc w:val="both"/>
        <w:rPr>
          <w:rFonts w:ascii="Century Gothic" w:hAnsi="Century Gothic" w:cs="Arial"/>
          <w:snapToGrid w:val="0"/>
          <w:sz w:val="18"/>
          <w:szCs w:val="18"/>
        </w:rPr>
      </w:pPr>
      <w:r>
        <w:rPr>
          <w:rFonts w:ascii="Century Gothic" w:hAnsi="Century Gothic" w:cs="Arial"/>
          <w:b/>
          <w:snapToGrid w:val="0"/>
          <w:sz w:val="18"/>
          <w:szCs w:val="18"/>
        </w:rPr>
        <w:t xml:space="preserve">ARTÍCULO ÚNICO- </w:t>
      </w:r>
      <w:r>
        <w:rPr>
          <w:rFonts w:ascii="Century Gothic" w:hAnsi="Century Gothic" w:cs="Arial"/>
          <w:snapToGrid w:val="0"/>
          <w:sz w:val="18"/>
          <w:szCs w:val="18"/>
        </w:rPr>
        <w:t>Esta Ley entrará en vigor el uno de enero del año dos mil veintiuno, y tendrá vigencia hasta el treinta y uno de diciembre del mismo año, previa su publicación en el Diario Oficial del Gobierno del Estado de Yucatán.</w:t>
      </w:r>
    </w:p>
    <w:p>
      <w:pPr>
        <w:spacing w:line="360" w:lineRule="auto"/>
        <w:jc w:val="both"/>
        <w:rPr>
          <w:rFonts w:ascii="Century Gothic" w:hAnsi="Century Gothic" w:cs="Arial"/>
          <w:snapToGrid w:val="0"/>
          <w:sz w:val="18"/>
          <w:szCs w:val="18"/>
        </w:rPr>
      </w:pPr>
    </w:p>
    <w:p>
      <w:pPr>
        <w:spacing w:line="276" w:lineRule="auto"/>
        <w:jc w:val="both"/>
        <w:rPr>
          <w:rFonts w:ascii="Century Gothic" w:hAnsi="Century Gothic"/>
          <w:sz w:val="18"/>
          <w:szCs w:val="18"/>
          <w:lang/>
        </w:rPr>
      </w:pPr>
      <w:bookmarkStart w:id="3" w:name="_Hlk499142611"/>
      <w:r>
        <w:rPr>
          <w:rFonts w:ascii="Century Gothic" w:hAnsi="Century Gothic"/>
          <w:sz w:val="18"/>
          <w:szCs w:val="18"/>
          <w:lang/>
        </w:rPr>
        <w:t>Dado en la ciudad de Mérida, Yucatán a los veinticuatro días del mes de noviembre del año dos mil veinte.</w:t>
      </w:r>
    </w:p>
    <w:bookmarkEnd w:id="3"/>
    <w:p>
      <w:pPr>
        <w:spacing w:line="276" w:lineRule="auto"/>
        <w:jc w:val="center"/>
        <w:rPr>
          <w:rFonts w:ascii="Century Gothic" w:hAnsi="Century Gothic"/>
          <w:b/>
          <w:bCs/>
          <w:iCs/>
          <w:sz w:val="20"/>
          <w:szCs w:val="20"/>
          <w:lang w:val="pt-BR"/>
        </w:rPr>
      </w:pPr>
    </w:p>
    <w:p>
      <w:pPr>
        <w:spacing w:line="276" w:lineRule="auto"/>
        <w:jc w:val="center"/>
        <w:rPr>
          <w:rFonts w:ascii="Century Gothic" w:hAnsi="Century Gothic"/>
          <w:b/>
          <w:bCs/>
          <w:iCs/>
          <w:sz w:val="20"/>
          <w:szCs w:val="20"/>
          <w:lang w:val="pt-BR"/>
        </w:rPr>
      </w:pPr>
      <w:r>
        <w:rPr>
          <w:rFonts w:ascii="Century Gothic" w:hAnsi="Century Gothic"/>
          <w:b/>
          <w:bCs/>
          <w:iCs/>
          <w:sz w:val="20"/>
          <w:szCs w:val="20"/>
          <w:lang w:val="pt-BR"/>
        </w:rPr>
        <w:t>A T E N T A M E N T E</w:t>
      </w:r>
    </w:p>
    <w:p>
      <w:pPr>
        <w:spacing w:line="276" w:lineRule="auto"/>
        <w:jc w:val="center"/>
        <w:rPr>
          <w:rFonts w:ascii="Century Gothic" w:hAnsi="Century Gothic"/>
          <w:b/>
          <w:bCs/>
          <w:iCs/>
          <w:sz w:val="20"/>
          <w:szCs w:val="20"/>
          <w:lang w:val="pt-BR"/>
        </w:rPr>
      </w:pPr>
    </w:p>
    <w:p>
      <w:pPr>
        <w:spacing w:line="276" w:lineRule="auto"/>
        <w:rPr>
          <w:rFonts w:ascii="Century Gothic" w:hAnsi="Century Gothic"/>
          <w:b/>
          <w:bCs/>
          <w:iCs/>
          <w:sz w:val="20"/>
          <w:szCs w:val="20"/>
          <w:lang w:val="pt-BR"/>
        </w:rPr>
      </w:pPr>
    </w:p>
    <w:tbl>
      <w:tblPr>
        <w:tblStyle w:val="12"/>
        <w:tblW w:w="5000" w:type="pct"/>
        <w:tblInd w:w="0" w:type="dxa"/>
        <w:tblLayout w:type="autofit"/>
        <w:tblCellMar>
          <w:top w:w="0" w:type="dxa"/>
          <w:left w:w="70" w:type="dxa"/>
          <w:bottom w:w="0" w:type="dxa"/>
          <w:right w:w="70" w:type="dxa"/>
        </w:tblCellMar>
      </w:tblPr>
      <w:tblGrid>
        <w:gridCol w:w="2927"/>
        <w:gridCol w:w="828"/>
        <w:gridCol w:w="1803"/>
        <w:gridCol w:w="3705"/>
      </w:tblGrid>
      <w:tr>
        <w:tblPrEx>
          <w:tblCellMar>
            <w:top w:w="0" w:type="dxa"/>
            <w:left w:w="70" w:type="dxa"/>
            <w:bottom w:w="0" w:type="dxa"/>
            <w:right w:w="70" w:type="dxa"/>
          </w:tblCellMar>
        </w:tblPrEx>
        <w:trPr>
          <w:wBefore w:w="0" w:type="dxa"/>
          <w:wAfter w:w="0" w:type="dxa"/>
        </w:trPr>
        <w:tc>
          <w:tcPr>
            <w:tcW w:w="2027" w:type="pct"/>
            <w:gridSpan w:val="2"/>
            <w:noWrap w:val="0"/>
            <w:vAlign w:val="top"/>
          </w:tcPr>
          <w:p>
            <w:pPr>
              <w:jc w:val="center"/>
              <w:rPr>
                <w:rFonts w:ascii="Century Gothic" w:hAnsi="Century Gothic"/>
                <w:b/>
                <w:bCs/>
                <w:sz w:val="18"/>
                <w:szCs w:val="18"/>
              </w:rPr>
            </w:pPr>
            <w:r>
              <w:rPr>
                <w:rFonts w:ascii="Century Gothic" w:hAnsi="Century Gothic"/>
                <w:b/>
                <w:bCs/>
                <w:sz w:val="18"/>
                <w:szCs w:val="18"/>
              </w:rPr>
              <w:t>LIC. RENÁN ALBERTO BARRERA CONCHA</w:t>
            </w:r>
          </w:p>
        </w:tc>
        <w:tc>
          <w:tcPr>
            <w:tcW w:w="973" w:type="pct"/>
            <w:noWrap w:val="0"/>
            <w:vAlign w:val="top"/>
          </w:tcPr>
          <w:p>
            <w:pPr>
              <w:spacing w:line="276" w:lineRule="auto"/>
              <w:jc w:val="center"/>
              <w:rPr>
                <w:rFonts w:ascii="Century Gothic" w:hAnsi="Century Gothic"/>
                <w:b/>
                <w:bCs/>
                <w:iCs/>
                <w:sz w:val="20"/>
                <w:szCs w:val="20"/>
              </w:rPr>
            </w:pPr>
          </w:p>
        </w:tc>
        <w:tc>
          <w:tcPr>
            <w:tcW w:w="2000" w:type="pct"/>
            <w:noWrap w:val="0"/>
            <w:vAlign w:val="top"/>
          </w:tcPr>
          <w:p>
            <w:pPr>
              <w:jc w:val="center"/>
              <w:rPr>
                <w:rFonts w:ascii="Century Gothic" w:hAnsi="Century Gothic"/>
                <w:b/>
                <w:bCs/>
                <w:sz w:val="18"/>
                <w:szCs w:val="18"/>
              </w:rPr>
            </w:pPr>
            <w:r>
              <w:rPr>
                <w:rFonts w:ascii="Century Gothic" w:hAnsi="Century Gothic"/>
                <w:b/>
                <w:sz w:val="18"/>
                <w:szCs w:val="18"/>
              </w:rPr>
              <w:t>LIC. ALEJANDRO IVÁN RUZ CASTRO</w:t>
            </w:r>
          </w:p>
        </w:tc>
      </w:tr>
      <w:tr>
        <w:tblPrEx>
          <w:tblCellMar>
            <w:top w:w="0" w:type="dxa"/>
            <w:left w:w="70" w:type="dxa"/>
            <w:bottom w:w="0" w:type="dxa"/>
            <w:right w:w="70" w:type="dxa"/>
          </w:tblCellMar>
        </w:tblPrEx>
        <w:trPr>
          <w:wBefore w:w="0" w:type="dxa"/>
          <w:wAfter w:w="0" w:type="dxa"/>
        </w:trPr>
        <w:tc>
          <w:tcPr>
            <w:tcW w:w="1580" w:type="pct"/>
            <w:noWrap w:val="0"/>
            <w:vAlign w:val="top"/>
          </w:tcPr>
          <w:p>
            <w:pPr>
              <w:jc w:val="center"/>
            </w:pPr>
            <w:r>
              <w:rPr>
                <w:rFonts w:ascii="Century Gothic" w:hAnsi="Century Gothic"/>
                <w:b/>
                <w:bCs/>
                <w:sz w:val="18"/>
                <w:szCs w:val="18"/>
              </w:rPr>
              <w:t xml:space="preserve">               PRESIDENTE MUNICIPAL</w:t>
            </w:r>
          </w:p>
        </w:tc>
        <w:tc>
          <w:tcPr>
            <w:tcW w:w="1420" w:type="pct"/>
            <w:gridSpan w:val="2"/>
            <w:noWrap w:val="0"/>
            <w:vAlign w:val="top"/>
          </w:tcPr>
          <w:p>
            <w:pPr>
              <w:spacing w:line="276" w:lineRule="auto"/>
              <w:jc w:val="center"/>
              <w:rPr>
                <w:rFonts w:ascii="Century Gothic" w:hAnsi="Century Gothic"/>
                <w:b/>
                <w:bCs/>
                <w:iCs/>
                <w:sz w:val="20"/>
                <w:szCs w:val="20"/>
              </w:rPr>
            </w:pPr>
          </w:p>
        </w:tc>
        <w:tc>
          <w:tcPr>
            <w:tcW w:w="2000" w:type="pct"/>
            <w:noWrap w:val="0"/>
            <w:vAlign w:val="top"/>
          </w:tcPr>
          <w:p>
            <w:pPr>
              <w:jc w:val="center"/>
            </w:pPr>
            <w:r>
              <w:rPr>
                <w:rFonts w:ascii="Century Gothic" w:hAnsi="Century Gothic"/>
                <w:b/>
                <w:bCs/>
                <w:sz w:val="18"/>
                <w:szCs w:val="18"/>
              </w:rPr>
              <w:t>SECRETARIO MUNICIPAL</w:t>
            </w:r>
          </w:p>
        </w:tc>
      </w:tr>
    </w:tbl>
    <w:p>
      <w:pPr>
        <w:pStyle w:val="26"/>
        <w:rPr>
          <w:rFonts w:ascii="Century Gothic" w:hAnsi="Century Gothic" w:cs="Arial"/>
          <w:b w:val="0"/>
          <w:i w:val="0"/>
          <w:sz w:val="20"/>
          <w:u w:val="none"/>
          <w:lang w:val="es-ES"/>
        </w:rPr>
      </w:pPr>
    </w:p>
    <w:p>
      <w:pPr>
        <w:pStyle w:val="26"/>
        <w:rPr>
          <w:rFonts w:ascii="Century Gothic" w:hAnsi="Century Gothic" w:cs="Arial"/>
          <w:i w:val="0"/>
          <w:sz w:val="20"/>
          <w:u w:val="none"/>
          <w:lang w:val="es-ES"/>
        </w:rPr>
      </w:pPr>
      <w:r>
        <w:rPr>
          <w:rFonts w:ascii="Century Gothic" w:hAnsi="Century Gothic" w:cs="Arial"/>
          <w:i w:val="0"/>
          <w:sz w:val="20"/>
          <w:u w:val="none"/>
          <w:lang w:val="es-ES"/>
        </w:rPr>
        <w:t>Anexo I</w:t>
      </w:r>
    </w:p>
    <w:p>
      <w:pPr>
        <w:pStyle w:val="26"/>
        <w:rPr>
          <w:rFonts w:ascii="Century Gothic" w:hAnsi="Century Gothic" w:cs="Arial"/>
          <w:i w:val="0"/>
          <w:sz w:val="20"/>
          <w:u w:val="none"/>
          <w:lang w:val="es-ES"/>
        </w:rPr>
      </w:pPr>
    </w:p>
    <w:p>
      <w:pPr>
        <w:pStyle w:val="26"/>
        <w:rPr>
          <w:rFonts w:ascii="Century Gothic" w:hAnsi="Century Gothic" w:cs="Arial"/>
          <w:i w:val="0"/>
          <w:sz w:val="20"/>
          <w:u w:val="none"/>
          <w:lang w:val="es-ES"/>
        </w:rPr>
      </w:pPr>
      <w:r>
        <w:drawing>
          <wp:inline distT="0" distB="0" distL="114300" distR="114300">
            <wp:extent cx="5786755" cy="5356860"/>
            <wp:effectExtent l="0" t="0" r="4445" b="15240"/>
            <wp:docPr id="1" name="Imagen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true"/>
                    </pic:cNvPicPr>
                  </pic:nvPicPr>
                  <pic:blipFill>
                    <a:blip r:embed="rId7"/>
                    <a:stretch>
                      <a:fillRect/>
                    </a:stretch>
                  </pic:blipFill>
                  <pic:spPr>
                    <a:xfrm>
                      <a:off x="0" y="0"/>
                      <a:ext cx="5786755" cy="5356860"/>
                    </a:xfrm>
                    <a:prstGeom prst="rect">
                      <a:avLst/>
                    </a:prstGeom>
                    <a:noFill/>
                    <a:ln>
                      <a:noFill/>
                    </a:ln>
                  </pic:spPr>
                </pic:pic>
              </a:graphicData>
            </a:graphic>
          </wp:inline>
        </w:drawing>
      </w:r>
    </w:p>
    <w:p>
      <w:pPr>
        <w:pStyle w:val="26"/>
        <w:rPr>
          <w:rFonts w:ascii="Century Gothic" w:hAnsi="Century Gothic" w:cs="Arial"/>
          <w:i w:val="0"/>
          <w:sz w:val="20"/>
          <w:u w:val="none"/>
          <w:lang w:val="es-ES"/>
        </w:rPr>
      </w:pPr>
    </w:p>
    <w:p>
      <w:pPr>
        <w:pStyle w:val="26"/>
        <w:rPr>
          <w:rFonts w:ascii="Century Gothic" w:hAnsi="Century Gothic" w:cs="Arial"/>
          <w:i w:val="0"/>
          <w:sz w:val="20"/>
          <w:u w:val="none"/>
          <w:lang w:val="es-ES"/>
        </w:rPr>
      </w:pPr>
    </w:p>
    <w:p>
      <w:pPr>
        <w:pStyle w:val="26"/>
        <w:rPr>
          <w:rFonts w:ascii="Century Gothic" w:hAnsi="Century Gothic" w:cs="Arial"/>
          <w:i w:val="0"/>
          <w:sz w:val="20"/>
          <w:u w:val="none"/>
          <w:lang w:val="es-ES"/>
        </w:rPr>
      </w:pPr>
    </w:p>
    <w:p>
      <w:pPr>
        <w:pStyle w:val="26"/>
        <w:rPr>
          <w:rFonts w:ascii="Century Gothic" w:hAnsi="Century Gothic" w:cs="Arial"/>
          <w:i w:val="0"/>
          <w:sz w:val="20"/>
          <w:u w:val="none"/>
          <w:lang w:val="es-ES"/>
        </w:rPr>
      </w:pPr>
    </w:p>
    <w:p>
      <w:pPr>
        <w:pStyle w:val="26"/>
        <w:rPr>
          <w:rFonts w:ascii="Century Gothic" w:hAnsi="Century Gothic" w:cs="Arial"/>
          <w:i w:val="0"/>
          <w:sz w:val="20"/>
          <w:u w:val="none"/>
          <w:lang w:val="es-ES"/>
        </w:rPr>
      </w:pPr>
    </w:p>
    <w:p>
      <w:pPr>
        <w:pStyle w:val="26"/>
        <w:rPr>
          <w:rFonts w:ascii="Century Gothic" w:hAnsi="Century Gothic" w:cs="Arial"/>
          <w:i w:val="0"/>
          <w:sz w:val="20"/>
          <w:u w:val="none"/>
          <w:lang w:val="es-ES"/>
        </w:rPr>
      </w:pPr>
    </w:p>
    <w:p>
      <w:pPr>
        <w:pStyle w:val="26"/>
        <w:rPr>
          <w:rFonts w:ascii="Century Gothic" w:hAnsi="Century Gothic" w:cs="Arial"/>
          <w:i w:val="0"/>
          <w:sz w:val="20"/>
          <w:u w:val="none"/>
          <w:lang w:val="es-ES"/>
        </w:rPr>
      </w:pPr>
    </w:p>
    <w:p>
      <w:pPr>
        <w:pStyle w:val="26"/>
        <w:rPr>
          <w:rFonts w:ascii="Century Gothic" w:hAnsi="Century Gothic" w:cs="Arial"/>
          <w:i w:val="0"/>
          <w:sz w:val="20"/>
          <w:u w:val="none"/>
          <w:lang w:val="es-ES"/>
        </w:rPr>
      </w:pPr>
    </w:p>
    <w:p>
      <w:pPr>
        <w:pStyle w:val="26"/>
        <w:rPr>
          <w:rFonts w:ascii="Century Gothic" w:hAnsi="Century Gothic" w:cs="Arial"/>
          <w:i w:val="0"/>
          <w:sz w:val="20"/>
          <w:u w:val="none"/>
          <w:lang w:val="es-ES"/>
        </w:rPr>
      </w:pPr>
      <w:r>
        <w:rPr>
          <w:rFonts w:ascii="Century Gothic" w:hAnsi="Century Gothic" w:cs="Arial"/>
          <w:i w:val="0"/>
          <w:sz w:val="20"/>
          <w:u w:val="none"/>
          <w:lang w:val="es-ES"/>
        </w:rPr>
        <w:t>Anexo II</w:t>
      </w:r>
    </w:p>
    <w:p>
      <w:pPr>
        <w:pStyle w:val="26"/>
        <w:shd w:val="clear" w:color="auto" w:fill="FFFFFF"/>
        <w:rPr>
          <w:rFonts w:ascii="Century Gothic" w:hAnsi="Century Gothic" w:cs="Arial"/>
          <w:b w:val="0"/>
          <w:i w:val="0"/>
          <w:sz w:val="20"/>
          <w:u w:val="none"/>
          <w:lang w:val="es-ES"/>
        </w:rPr>
      </w:pPr>
      <w:r>
        <w:drawing>
          <wp:inline distT="0" distB="0" distL="114300" distR="114300">
            <wp:extent cx="5791200" cy="6612890"/>
            <wp:effectExtent l="0" t="0" r="0" b="16510"/>
            <wp:docPr id="2" name="Imagen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true"/>
                    </pic:cNvPicPr>
                  </pic:nvPicPr>
                  <pic:blipFill>
                    <a:blip r:embed="rId8"/>
                    <a:srcRect t="7713"/>
                    <a:stretch>
                      <a:fillRect/>
                    </a:stretch>
                  </pic:blipFill>
                  <pic:spPr>
                    <a:xfrm>
                      <a:off x="0" y="0"/>
                      <a:ext cx="5791200" cy="6612890"/>
                    </a:xfrm>
                    <a:prstGeom prst="rect">
                      <a:avLst/>
                    </a:prstGeom>
                    <a:noFill/>
                    <a:ln>
                      <a:noFill/>
                    </a:ln>
                  </pic:spPr>
                </pic:pic>
              </a:graphicData>
            </a:graphic>
          </wp:inline>
        </w:drawing>
      </w:r>
    </w:p>
    <w:sectPr>
      <w:headerReference r:id="rId3" w:type="default"/>
      <w:footerReference r:id="rId4" w:type="default"/>
      <w:footerReference r:id="rId5" w:type="even"/>
      <w:type w:val="nextColumn"/>
      <w:pgSz w:w="12242" w:h="15842"/>
      <w:pgMar w:top="1950" w:right="1418" w:bottom="1418" w:left="1701" w:header="720" w:footer="1066" w:gutter="0"/>
      <w:cols w:space="708"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Droid Sans Fallback"/>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E1002EFF" w:usb1="C000605B" w:usb2="00000029" w:usb3="00000000" w:csb0="000101FF" w:csb1="00000000"/>
  </w:font>
  <w:font w:name="Century Gothic">
    <w:altName w:val="FreeSans"/>
    <w:panose1 w:val="020B0502020202020204"/>
    <w:charset w:val="00"/>
    <w:family w:val="swiss"/>
    <w:pitch w:val="default"/>
    <w:sig w:usb0="00000287" w:usb1="00000000" w:usb2="00000000" w:usb3="00000000" w:csb0="0000009F" w:csb1="00000000"/>
  </w:font>
  <w:font w:name="FreeSans">
    <w:panose1 w:val="020B0504020202020204"/>
    <w:charset w:val="00"/>
    <w:family w:val="auto"/>
    <w:pitch w:val="default"/>
    <w:sig w:usb0="E4839EFF" w:usb1="4600FDFF" w:usb2="000030A0" w:usb3="00000584" w:csb0="600001BF" w:csb1="DFF7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page" w:x="10549" w:y="1"/>
      <w:rPr>
        <w:rStyle w:val="14"/>
        <w:rFonts w:ascii="Century Gothic" w:hAnsi="Century Gothic" w:cs="Arial"/>
        <w:sz w:val="18"/>
        <w:szCs w:val="18"/>
      </w:rPr>
    </w:pPr>
    <w:r>
      <w:rPr>
        <w:rStyle w:val="14"/>
        <w:rFonts w:ascii="Century Gothic" w:hAnsi="Century Gothic" w:cs="Arial"/>
        <w:sz w:val="18"/>
        <w:szCs w:val="18"/>
      </w:rPr>
      <w:fldChar w:fldCharType="begin"/>
    </w:r>
    <w:r>
      <w:rPr>
        <w:rStyle w:val="14"/>
        <w:rFonts w:ascii="Century Gothic" w:hAnsi="Century Gothic" w:cs="Arial"/>
        <w:sz w:val="18"/>
        <w:szCs w:val="18"/>
      </w:rPr>
      <w:instrText xml:space="preserve">PAGE  </w:instrText>
    </w:r>
    <w:r>
      <w:rPr>
        <w:rStyle w:val="14"/>
        <w:rFonts w:ascii="Century Gothic" w:hAnsi="Century Gothic" w:cs="Arial"/>
        <w:sz w:val="18"/>
        <w:szCs w:val="18"/>
      </w:rPr>
      <w:fldChar w:fldCharType="separate"/>
    </w:r>
    <w:r>
      <w:rPr>
        <w:rStyle w:val="14"/>
        <w:rFonts w:ascii="Century Gothic" w:hAnsi="Century Gothic" w:cs="Arial"/>
        <w:sz w:val="18"/>
        <w:szCs w:val="18"/>
        <w:lang/>
      </w:rPr>
      <w:t>11</w:t>
    </w:r>
    <w:r>
      <w:rPr>
        <w:rStyle w:val="14"/>
        <w:rFonts w:ascii="Century Gothic" w:hAnsi="Century Gothic" w:cs="Arial"/>
        <w:sz w:val="18"/>
        <w:szCs w:val="18"/>
      </w:rPr>
      <w:fldChar w:fldCharType="end"/>
    </w:r>
  </w:p>
  <w:p>
    <w:pPr>
      <w:tabs>
        <w:tab w:val="center" w:pos="4419"/>
        <w:tab w:val="right" w:pos="8838"/>
      </w:tabs>
      <w:ind w:right="360"/>
      <w:rPr>
        <w:rFonts w:ascii="Century Gothic" w:hAnsi="Century Gothic"/>
        <w:b/>
        <w:i/>
        <w:sz w:val="14"/>
        <w:szCs w:val="14"/>
      </w:rPr>
    </w:pPr>
    <w:r>
      <w:rPr>
        <w:rFonts w:ascii="Century Gothic" w:hAnsi="Century Gothic"/>
        <w:b/>
        <w:i/>
        <w:sz w:val="14"/>
        <w:szCs w:val="14"/>
      </w:rPr>
      <w:t>Iniciativa Ley de Ingresos del Municipio de Mérida, Yucatán, para el ejercicio fiscal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14"/>
      </w:rPr>
    </w:pPr>
    <w:r>
      <w:rPr>
        <w:rStyle w:val="14"/>
      </w:rPr>
      <w:fldChar w:fldCharType="begin"/>
    </w:r>
    <w:r>
      <w:rPr>
        <w:rStyle w:val="14"/>
      </w:rPr>
      <w:instrText xml:space="preserve">PAGE  </w:instrText>
    </w:r>
    <w:r>
      <w:rPr>
        <w:rStyle w:val="14"/>
      </w:rPr>
      <w:fldChar w:fldCharType="separate"/>
    </w:r>
    <w:r>
      <w:rPr>
        <w:rStyle w:val="14"/>
        <w:lang/>
      </w:rPr>
      <w:t>9</w:t>
    </w:r>
    <w:r>
      <w:rPr>
        <w:rStyle w:val="14"/>
      </w:rPr>
      <w:fldChar w:fldCharType="end"/>
    </w:r>
  </w:p>
  <w:p>
    <w:pPr>
      <w:framePr w:w="576" w:hSpace="240" w:vSpace="240" w:wrap="auto" w:vAnchor="page" w:hAnchor="page" w:x="6533" w:y="14769"/>
      <w:tabs>
        <w:tab w:val="center" w:pos="4419"/>
        <w:tab w:val="right" w:pos="8838"/>
      </w:tabs>
      <w:ind w:right="360"/>
      <w:jc w:val="right"/>
      <w:rPr>
        <w:lang w:val="en-US"/>
      </w:rPr>
    </w:pPr>
    <w:r>
      <w:rPr>
        <w:lang w:val="en-US"/>
      </w:rPr>
      <w:pgNum/>
    </w:r>
  </w:p>
  <w:p>
    <w:pPr>
      <w:tabs>
        <w:tab w:val="center" w:pos="4419"/>
        <w:tab w:val="right" w:pos="8838"/>
      </w:tabs>
      <w:rPr>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0" allowOverlap="1">
              <wp:simplePos x="0" y="0"/>
              <wp:positionH relativeFrom="page">
                <wp:posOffset>7053580</wp:posOffset>
              </wp:positionH>
              <wp:positionV relativeFrom="page">
                <wp:posOffset>5031740</wp:posOffset>
              </wp:positionV>
              <wp:extent cx="720090" cy="329565"/>
              <wp:effectExtent l="0" t="0" r="3810" b="13335"/>
              <wp:wrapNone/>
              <wp:docPr id="4" name="Rectángulo 7"/>
              <wp:cNvGraphicFramePr/>
              <a:graphic xmlns:a="http://schemas.openxmlformats.org/drawingml/2006/main">
                <a:graphicData uri="http://schemas.microsoft.com/office/word/2010/wordprocessingShape">
                  <wps:wsp>
                    <wps:cNvSpPr/>
                    <wps:spPr>
                      <a:xfrm>
                        <a:off x="0" y="0"/>
                        <a:ext cx="720090" cy="329565"/>
                      </a:xfrm>
                      <a:prstGeom prst="rect">
                        <a:avLst/>
                      </a:prstGeom>
                      <a:solidFill>
                        <a:srgbClr val="FFFFFF"/>
                      </a:solidFill>
                      <a:ln>
                        <a:noFill/>
                      </a:ln>
                    </wps:spPr>
                    <wps:txbx>
                      <w:txbxContent>
                        <w:p>
                          <w:pPr>
                            <w:pBdr>
                              <w:bottom w:val="single" w:color="auto" w:sz="4" w:space="1"/>
                            </w:pBdr>
                            <w:rPr>
                              <w:rFonts w:ascii="Century Gothic" w:hAnsi="Century Gothic"/>
                              <w:sz w:val="16"/>
                              <w:szCs w:val="16"/>
                            </w:rPr>
                          </w:pPr>
                          <w:r>
                            <w:rPr>
                              <w:rFonts w:ascii="Century Gothic" w:hAnsi="Century Gothic"/>
                              <w:sz w:val="16"/>
                              <w:szCs w:val="16"/>
                            </w:rPr>
                            <w:fldChar w:fldCharType="begin"/>
                          </w:r>
                          <w:r>
                            <w:rPr>
                              <w:rFonts w:ascii="Century Gothic" w:hAnsi="Century Gothic"/>
                              <w:sz w:val="16"/>
                              <w:szCs w:val="16"/>
                            </w:rPr>
                            <w:instrText xml:space="preserve">PAGE   \* MERGEFORMAT</w:instrText>
                          </w:r>
                          <w:r>
                            <w:rPr>
                              <w:rFonts w:ascii="Century Gothic" w:hAnsi="Century Gothic"/>
                              <w:sz w:val="16"/>
                              <w:szCs w:val="16"/>
                            </w:rPr>
                            <w:fldChar w:fldCharType="separate"/>
                          </w:r>
                          <w:r>
                            <w:rPr>
                              <w:rFonts w:ascii="Century Gothic" w:hAnsi="Century Gothic"/>
                              <w:sz w:val="16"/>
                              <w:szCs w:val="16"/>
                              <w:lang/>
                            </w:rPr>
                            <w:t>11</w:t>
                          </w:r>
                          <w:r>
                            <w:rPr>
                              <w:rFonts w:ascii="Century Gothic" w:hAnsi="Century Gothic"/>
                              <w:sz w:val="16"/>
                              <w:szCs w:val="16"/>
                            </w:rPr>
                            <w:fldChar w:fldCharType="end"/>
                          </w:r>
                        </w:p>
                      </w:txbxContent>
                    </wps:txbx>
                    <wps:bodyPr wrap="square" upright="true"/>
                  </wps:wsp>
                </a:graphicData>
              </a:graphic>
              <wp14:sizeRelH relativeFrom="rightMargin">
                <wp14:pctWidth>80000</wp14:pctWidth>
              </wp14:sizeRelH>
              <wp14:sizeRelV relativeFrom="page">
                <wp14:pctHeight>0</wp14:pctHeight>
              </wp14:sizeRelV>
            </wp:anchor>
          </w:drawing>
        </mc:Choice>
        <mc:Fallback>
          <w:pict>
            <v:rect id="Rectángulo 7" o:spid="_x0000_s1026" o:spt="1" style="position:absolute;left:0pt;margin-left:555.4pt;margin-top:396.2pt;height:25.95pt;width:56.7pt;mso-position-horizontal-relative:page;mso-position-vertical-relative:page;z-index:251659264;mso-width-relative:right-margin-area;mso-height-relative:page;mso-width-percent:800;" fillcolor="#FFFFFF" filled="t"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v:fill on="t" focussize="0,0"/>
              <v:stroke on="f"/>
              <v:imagedata o:title=""/>
              <o:lock v:ext="edit" aspectratio="f"/>
              <v:textbox>
                <w:txbxContent>
                  <w:p>
                    <w:pPr>
                      <w:pBdr>
                        <w:bottom w:val="single" w:color="auto" w:sz="4" w:space="1"/>
                      </w:pBdr>
                      <w:rPr>
                        <w:rFonts w:ascii="Century Gothic" w:hAnsi="Century Gothic"/>
                        <w:sz w:val="16"/>
                        <w:szCs w:val="16"/>
                      </w:rPr>
                    </w:pPr>
                    <w:r>
                      <w:rPr>
                        <w:rFonts w:ascii="Century Gothic" w:hAnsi="Century Gothic"/>
                        <w:sz w:val="16"/>
                        <w:szCs w:val="16"/>
                      </w:rPr>
                      <w:fldChar w:fldCharType="begin"/>
                    </w:r>
                    <w:r>
                      <w:rPr>
                        <w:rFonts w:ascii="Century Gothic" w:hAnsi="Century Gothic"/>
                        <w:sz w:val="16"/>
                        <w:szCs w:val="16"/>
                      </w:rPr>
                      <w:instrText xml:space="preserve">PAGE   \* MERGEFORMAT</w:instrText>
                    </w:r>
                    <w:r>
                      <w:rPr>
                        <w:rFonts w:ascii="Century Gothic" w:hAnsi="Century Gothic"/>
                        <w:sz w:val="16"/>
                        <w:szCs w:val="16"/>
                      </w:rPr>
                      <w:fldChar w:fldCharType="separate"/>
                    </w:r>
                    <w:r>
                      <w:rPr>
                        <w:rFonts w:ascii="Century Gothic" w:hAnsi="Century Gothic"/>
                        <w:sz w:val="16"/>
                        <w:szCs w:val="16"/>
                        <w:lang/>
                      </w:rPr>
                      <w:t>11</w:t>
                    </w:r>
                    <w:r>
                      <w:rPr>
                        <w:rFonts w:ascii="Century Gothic" w:hAnsi="Century Gothic"/>
                        <w:sz w:val="16"/>
                        <w:szCs w:val="16"/>
                      </w:rPr>
                      <w:fldChar w:fldCharType="end"/>
                    </w:r>
                  </w:p>
                </w:txbxContent>
              </v:textbox>
            </v:rect>
          </w:pict>
        </mc:Fallback>
      </mc:AlternateContent>
    </w:r>
    <w:r>
      <w:rPr>
        <w:lang w:val="es-MX" w:eastAsia="es-MX"/>
      </w:rPr>
      <w:drawing>
        <wp:anchor distT="0" distB="0" distL="114300" distR="114300" simplePos="0" relativeHeight="251658240" behindDoc="0" locked="0" layoutInCell="1" allowOverlap="1">
          <wp:simplePos x="0" y="0"/>
          <wp:positionH relativeFrom="column">
            <wp:posOffset>2642870</wp:posOffset>
          </wp:positionH>
          <wp:positionV relativeFrom="paragraph">
            <wp:posOffset>16510</wp:posOffset>
          </wp:positionV>
          <wp:extent cx="501650" cy="552450"/>
          <wp:effectExtent l="0" t="0" r="12700" b="0"/>
          <wp:wrapNone/>
          <wp:docPr id="3" name="Imagen 5" descr="escudo_mediano_sombra"/>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Imagen 5" descr="escudo_mediano_sombra"/>
                  <pic:cNvPicPr>
                    <a:picLocks noChangeAspect="true"/>
                  </pic:cNvPicPr>
                </pic:nvPicPr>
                <pic:blipFill>
                  <a:blip r:embed="rId1"/>
                  <a:stretch>
                    <a:fillRect/>
                  </a:stretch>
                </pic:blipFill>
                <pic:spPr>
                  <a:xfrm>
                    <a:off x="0" y="0"/>
                    <a:ext cx="50165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upperRoman"/>
      <w:pStyle w:val="4"/>
      <w:lvlText w:val="%1."/>
      <w:legacy w:legacy="1" w:legacySpace="120" w:legacyIndent="720"/>
      <w:lvlJc w:val="left"/>
      <w:pPr>
        <w:ind w:left="567" w:hanging="720"/>
      </w:pPr>
      <w:rPr>
        <w:lang w:val="es-ES"/>
      </w:rPr>
    </w:lvl>
    <w:lvl w:ilvl="1" w:tentative="0">
      <w:start w:val="0"/>
      <w:numFmt w:val="none"/>
      <w:lvlText w:val=""/>
      <w:lvlJc w:val="left"/>
    </w:lvl>
    <w:lvl w:ilvl="2" w:tentative="0">
      <w:start w:val="0"/>
      <w:numFmt w:val="none"/>
      <w:lvlText w:val=""/>
      <w:lvlJc w:val="left"/>
    </w:lvl>
    <w:lvl w:ilvl="3" w:tentative="0">
      <w:start w:val="0"/>
      <w:numFmt w:val="none"/>
      <w:lvlText w:val=""/>
      <w:lvlJc w:val="left"/>
    </w:lvl>
    <w:lvl w:ilvl="4" w:tentative="0">
      <w:start w:val="0"/>
      <w:numFmt w:val="none"/>
      <w:lvlText w:val=""/>
      <w:lvlJc w:val="left"/>
    </w:lvl>
    <w:lvl w:ilvl="5" w:tentative="0">
      <w:start w:val="0"/>
      <w:numFmt w:val="none"/>
      <w:lvlText w:val=""/>
      <w:lvlJc w:val="left"/>
    </w:lvl>
    <w:lvl w:ilvl="6" w:tentative="0">
      <w:start w:val="0"/>
      <w:numFmt w:val="none"/>
      <w:lvlText w:val=""/>
      <w:lvlJc w:val="left"/>
    </w:lvl>
    <w:lvl w:ilvl="7" w:tentative="0">
      <w:start w:val="0"/>
      <w:numFmt w:val="none"/>
      <w:lvlText w:val=""/>
      <w:lvlJc w:val="left"/>
    </w:lvl>
    <w:lvl w:ilvl="8" w:tentative="0">
      <w:start w:val="0"/>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true"/>
  <w:characterSpacingControl w:val="doNotCompress"/>
  <w:hdrShapeDefaults>
    <o:shapelayout v:ext="edit">
      <o:idmap v:ext="edit" data="2"/>
    </o:shapelayout>
  </w:hdrShapeDefaults>
  <w:compa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C3"/>
    <w:rsid w:val="0000058D"/>
    <w:rsid w:val="00000CEA"/>
    <w:rsid w:val="000028B4"/>
    <w:rsid w:val="00006978"/>
    <w:rsid w:val="00007B92"/>
    <w:rsid w:val="0001720D"/>
    <w:rsid w:val="00020773"/>
    <w:rsid w:val="000211D9"/>
    <w:rsid w:val="000218DA"/>
    <w:rsid w:val="00023BFA"/>
    <w:rsid w:val="00024028"/>
    <w:rsid w:val="00024094"/>
    <w:rsid w:val="000248A3"/>
    <w:rsid w:val="00024FBD"/>
    <w:rsid w:val="00026079"/>
    <w:rsid w:val="00027022"/>
    <w:rsid w:val="00027A6F"/>
    <w:rsid w:val="0003421A"/>
    <w:rsid w:val="0003483F"/>
    <w:rsid w:val="000358D3"/>
    <w:rsid w:val="0003623F"/>
    <w:rsid w:val="00036E28"/>
    <w:rsid w:val="00041F7D"/>
    <w:rsid w:val="00044996"/>
    <w:rsid w:val="000456C5"/>
    <w:rsid w:val="000534EE"/>
    <w:rsid w:val="000568C7"/>
    <w:rsid w:val="00056A79"/>
    <w:rsid w:val="00057748"/>
    <w:rsid w:val="00062C0B"/>
    <w:rsid w:val="0006454C"/>
    <w:rsid w:val="000657CE"/>
    <w:rsid w:val="00073660"/>
    <w:rsid w:val="00073BEB"/>
    <w:rsid w:val="0007686E"/>
    <w:rsid w:val="00077B61"/>
    <w:rsid w:val="00084F49"/>
    <w:rsid w:val="000859AD"/>
    <w:rsid w:val="00090C5A"/>
    <w:rsid w:val="00093353"/>
    <w:rsid w:val="00094035"/>
    <w:rsid w:val="00094824"/>
    <w:rsid w:val="00096053"/>
    <w:rsid w:val="000A18DB"/>
    <w:rsid w:val="000A2FD9"/>
    <w:rsid w:val="000A30AB"/>
    <w:rsid w:val="000A3618"/>
    <w:rsid w:val="000A3DD1"/>
    <w:rsid w:val="000A47F1"/>
    <w:rsid w:val="000A4A86"/>
    <w:rsid w:val="000A7D4C"/>
    <w:rsid w:val="000B37CD"/>
    <w:rsid w:val="000B3C42"/>
    <w:rsid w:val="000B402D"/>
    <w:rsid w:val="000B44F4"/>
    <w:rsid w:val="000B5023"/>
    <w:rsid w:val="000B7B07"/>
    <w:rsid w:val="000B7D17"/>
    <w:rsid w:val="000C06F6"/>
    <w:rsid w:val="000C2231"/>
    <w:rsid w:val="000C2456"/>
    <w:rsid w:val="000C3AE7"/>
    <w:rsid w:val="000C49AE"/>
    <w:rsid w:val="000D0520"/>
    <w:rsid w:val="000D0628"/>
    <w:rsid w:val="000D072D"/>
    <w:rsid w:val="000D075B"/>
    <w:rsid w:val="000D07F2"/>
    <w:rsid w:val="000D0831"/>
    <w:rsid w:val="000D154D"/>
    <w:rsid w:val="000D1600"/>
    <w:rsid w:val="000D1B6C"/>
    <w:rsid w:val="000D4001"/>
    <w:rsid w:val="000D61EC"/>
    <w:rsid w:val="000D639B"/>
    <w:rsid w:val="000D74B5"/>
    <w:rsid w:val="000E3611"/>
    <w:rsid w:val="000E46E3"/>
    <w:rsid w:val="000E5270"/>
    <w:rsid w:val="000E6567"/>
    <w:rsid w:val="000E72D3"/>
    <w:rsid w:val="000F258F"/>
    <w:rsid w:val="000F28A3"/>
    <w:rsid w:val="000F2EAD"/>
    <w:rsid w:val="000F327C"/>
    <w:rsid w:val="000F5F34"/>
    <w:rsid w:val="000F65D5"/>
    <w:rsid w:val="000F6656"/>
    <w:rsid w:val="000F7EB6"/>
    <w:rsid w:val="001028BD"/>
    <w:rsid w:val="00103137"/>
    <w:rsid w:val="00103F0C"/>
    <w:rsid w:val="0010696E"/>
    <w:rsid w:val="0010758E"/>
    <w:rsid w:val="00112E2A"/>
    <w:rsid w:val="0011327A"/>
    <w:rsid w:val="0011343E"/>
    <w:rsid w:val="0011345C"/>
    <w:rsid w:val="00115731"/>
    <w:rsid w:val="00117546"/>
    <w:rsid w:val="00117B71"/>
    <w:rsid w:val="00123191"/>
    <w:rsid w:val="001247DC"/>
    <w:rsid w:val="00126009"/>
    <w:rsid w:val="0012686A"/>
    <w:rsid w:val="00126AB7"/>
    <w:rsid w:val="00126CBD"/>
    <w:rsid w:val="00130928"/>
    <w:rsid w:val="00134F4D"/>
    <w:rsid w:val="0014058B"/>
    <w:rsid w:val="001409A3"/>
    <w:rsid w:val="00141DB8"/>
    <w:rsid w:val="0014378F"/>
    <w:rsid w:val="00147285"/>
    <w:rsid w:val="00147655"/>
    <w:rsid w:val="00147B02"/>
    <w:rsid w:val="001508E5"/>
    <w:rsid w:val="00151F19"/>
    <w:rsid w:val="00152654"/>
    <w:rsid w:val="001528AF"/>
    <w:rsid w:val="00155146"/>
    <w:rsid w:val="00155BCE"/>
    <w:rsid w:val="00157EA4"/>
    <w:rsid w:val="001606E3"/>
    <w:rsid w:val="00164135"/>
    <w:rsid w:val="001703D2"/>
    <w:rsid w:val="00171EDB"/>
    <w:rsid w:val="00173EFD"/>
    <w:rsid w:val="001747EE"/>
    <w:rsid w:val="0017545D"/>
    <w:rsid w:val="00176775"/>
    <w:rsid w:val="00176B76"/>
    <w:rsid w:val="00177651"/>
    <w:rsid w:val="001777F8"/>
    <w:rsid w:val="001802E3"/>
    <w:rsid w:val="001817F2"/>
    <w:rsid w:val="00183A9A"/>
    <w:rsid w:val="00184EFA"/>
    <w:rsid w:val="00191A3B"/>
    <w:rsid w:val="001951E2"/>
    <w:rsid w:val="001958A7"/>
    <w:rsid w:val="001965DD"/>
    <w:rsid w:val="001976C1"/>
    <w:rsid w:val="0019786C"/>
    <w:rsid w:val="001A02CF"/>
    <w:rsid w:val="001A221D"/>
    <w:rsid w:val="001A2D4F"/>
    <w:rsid w:val="001A3174"/>
    <w:rsid w:val="001A31DD"/>
    <w:rsid w:val="001A3C4B"/>
    <w:rsid w:val="001A430F"/>
    <w:rsid w:val="001A64AC"/>
    <w:rsid w:val="001A7010"/>
    <w:rsid w:val="001A75EE"/>
    <w:rsid w:val="001A784A"/>
    <w:rsid w:val="001B0216"/>
    <w:rsid w:val="001B0E53"/>
    <w:rsid w:val="001B2243"/>
    <w:rsid w:val="001B31FE"/>
    <w:rsid w:val="001B6F49"/>
    <w:rsid w:val="001C0E37"/>
    <w:rsid w:val="001C17E7"/>
    <w:rsid w:val="001C2A49"/>
    <w:rsid w:val="001C3696"/>
    <w:rsid w:val="001C4A7C"/>
    <w:rsid w:val="001C4D2F"/>
    <w:rsid w:val="001D5279"/>
    <w:rsid w:val="001D5451"/>
    <w:rsid w:val="001D571E"/>
    <w:rsid w:val="001D5A57"/>
    <w:rsid w:val="001D5EFE"/>
    <w:rsid w:val="001D6C02"/>
    <w:rsid w:val="001E13D3"/>
    <w:rsid w:val="001E2F05"/>
    <w:rsid w:val="001E7782"/>
    <w:rsid w:val="001F1728"/>
    <w:rsid w:val="001F1848"/>
    <w:rsid w:val="001F318A"/>
    <w:rsid w:val="001F3309"/>
    <w:rsid w:val="001F3A25"/>
    <w:rsid w:val="001F3B41"/>
    <w:rsid w:val="001F4CDD"/>
    <w:rsid w:val="001F55AA"/>
    <w:rsid w:val="00200C8F"/>
    <w:rsid w:val="00200E40"/>
    <w:rsid w:val="00201E03"/>
    <w:rsid w:val="00203F28"/>
    <w:rsid w:val="002054C4"/>
    <w:rsid w:val="002112ED"/>
    <w:rsid w:val="00211CC3"/>
    <w:rsid w:val="00211F40"/>
    <w:rsid w:val="00212304"/>
    <w:rsid w:val="002124C3"/>
    <w:rsid w:val="00213266"/>
    <w:rsid w:val="00214BEE"/>
    <w:rsid w:val="00214EF7"/>
    <w:rsid w:val="00214F9B"/>
    <w:rsid w:val="00215EE0"/>
    <w:rsid w:val="002161B7"/>
    <w:rsid w:val="00216DC7"/>
    <w:rsid w:val="002211C3"/>
    <w:rsid w:val="002211C8"/>
    <w:rsid w:val="0022183A"/>
    <w:rsid w:val="00222D18"/>
    <w:rsid w:val="00223231"/>
    <w:rsid w:val="00224705"/>
    <w:rsid w:val="0022472B"/>
    <w:rsid w:val="00224E8A"/>
    <w:rsid w:val="002311DA"/>
    <w:rsid w:val="00231E51"/>
    <w:rsid w:val="002335A0"/>
    <w:rsid w:val="00234EA1"/>
    <w:rsid w:val="00243288"/>
    <w:rsid w:val="0024341B"/>
    <w:rsid w:val="002445F0"/>
    <w:rsid w:val="00246D27"/>
    <w:rsid w:val="0024755D"/>
    <w:rsid w:val="00247F93"/>
    <w:rsid w:val="0025013A"/>
    <w:rsid w:val="0025457A"/>
    <w:rsid w:val="00254CD6"/>
    <w:rsid w:val="00261747"/>
    <w:rsid w:val="00261863"/>
    <w:rsid w:val="0026270F"/>
    <w:rsid w:val="00263EDE"/>
    <w:rsid w:val="0026505C"/>
    <w:rsid w:val="002653A3"/>
    <w:rsid w:val="002674EB"/>
    <w:rsid w:val="00272E04"/>
    <w:rsid w:val="00273B95"/>
    <w:rsid w:val="00273BBC"/>
    <w:rsid w:val="0027425A"/>
    <w:rsid w:val="00275B89"/>
    <w:rsid w:val="00276E17"/>
    <w:rsid w:val="0028049A"/>
    <w:rsid w:val="00282FC6"/>
    <w:rsid w:val="002840C5"/>
    <w:rsid w:val="00284FA1"/>
    <w:rsid w:val="00286784"/>
    <w:rsid w:val="00287B87"/>
    <w:rsid w:val="00290734"/>
    <w:rsid w:val="0029457A"/>
    <w:rsid w:val="00295A14"/>
    <w:rsid w:val="002967B6"/>
    <w:rsid w:val="00296D45"/>
    <w:rsid w:val="0029747C"/>
    <w:rsid w:val="002A2FD7"/>
    <w:rsid w:val="002A44DE"/>
    <w:rsid w:val="002A49C5"/>
    <w:rsid w:val="002A5C53"/>
    <w:rsid w:val="002B210D"/>
    <w:rsid w:val="002B2856"/>
    <w:rsid w:val="002B396E"/>
    <w:rsid w:val="002B53FA"/>
    <w:rsid w:val="002B689E"/>
    <w:rsid w:val="002C3A6B"/>
    <w:rsid w:val="002C4914"/>
    <w:rsid w:val="002C61BF"/>
    <w:rsid w:val="002C71D6"/>
    <w:rsid w:val="002C7F64"/>
    <w:rsid w:val="002D17E7"/>
    <w:rsid w:val="002D1A17"/>
    <w:rsid w:val="002D22AC"/>
    <w:rsid w:val="002D241C"/>
    <w:rsid w:val="002D45FB"/>
    <w:rsid w:val="002D5D84"/>
    <w:rsid w:val="002D712E"/>
    <w:rsid w:val="002D73A9"/>
    <w:rsid w:val="002E08C3"/>
    <w:rsid w:val="002E0C77"/>
    <w:rsid w:val="002E142A"/>
    <w:rsid w:val="002E4CD0"/>
    <w:rsid w:val="002F2375"/>
    <w:rsid w:val="002F2EC0"/>
    <w:rsid w:val="002F3A98"/>
    <w:rsid w:val="002F3C4A"/>
    <w:rsid w:val="002F5813"/>
    <w:rsid w:val="002F59F0"/>
    <w:rsid w:val="002F70F8"/>
    <w:rsid w:val="00300065"/>
    <w:rsid w:val="00301879"/>
    <w:rsid w:val="00301B1A"/>
    <w:rsid w:val="003042D9"/>
    <w:rsid w:val="00304A60"/>
    <w:rsid w:val="00305D80"/>
    <w:rsid w:val="00307794"/>
    <w:rsid w:val="003112A5"/>
    <w:rsid w:val="00312A78"/>
    <w:rsid w:val="003135E7"/>
    <w:rsid w:val="003230E9"/>
    <w:rsid w:val="003248D7"/>
    <w:rsid w:val="003312AD"/>
    <w:rsid w:val="003313B8"/>
    <w:rsid w:val="00331906"/>
    <w:rsid w:val="00332321"/>
    <w:rsid w:val="0034007F"/>
    <w:rsid w:val="003475A2"/>
    <w:rsid w:val="00351189"/>
    <w:rsid w:val="0035150E"/>
    <w:rsid w:val="00352647"/>
    <w:rsid w:val="0035466B"/>
    <w:rsid w:val="0035735B"/>
    <w:rsid w:val="003579B0"/>
    <w:rsid w:val="003614B6"/>
    <w:rsid w:val="00362564"/>
    <w:rsid w:val="00364B93"/>
    <w:rsid w:val="00365242"/>
    <w:rsid w:val="0036583C"/>
    <w:rsid w:val="00366DDA"/>
    <w:rsid w:val="00367008"/>
    <w:rsid w:val="00367BE2"/>
    <w:rsid w:val="00370606"/>
    <w:rsid w:val="00371225"/>
    <w:rsid w:val="003740AB"/>
    <w:rsid w:val="003743A1"/>
    <w:rsid w:val="003747AC"/>
    <w:rsid w:val="003749DD"/>
    <w:rsid w:val="003767A4"/>
    <w:rsid w:val="00377944"/>
    <w:rsid w:val="00381BBA"/>
    <w:rsid w:val="00382508"/>
    <w:rsid w:val="00382C36"/>
    <w:rsid w:val="00386687"/>
    <w:rsid w:val="003866E4"/>
    <w:rsid w:val="00387009"/>
    <w:rsid w:val="00390B23"/>
    <w:rsid w:val="0039267E"/>
    <w:rsid w:val="003936B4"/>
    <w:rsid w:val="00393853"/>
    <w:rsid w:val="003938E5"/>
    <w:rsid w:val="00395089"/>
    <w:rsid w:val="003956B3"/>
    <w:rsid w:val="0039665C"/>
    <w:rsid w:val="003A34A0"/>
    <w:rsid w:val="003B11BB"/>
    <w:rsid w:val="003B11FC"/>
    <w:rsid w:val="003B4559"/>
    <w:rsid w:val="003B49AA"/>
    <w:rsid w:val="003B4AC3"/>
    <w:rsid w:val="003B4C15"/>
    <w:rsid w:val="003B6257"/>
    <w:rsid w:val="003B643F"/>
    <w:rsid w:val="003B6966"/>
    <w:rsid w:val="003B6B63"/>
    <w:rsid w:val="003B6E61"/>
    <w:rsid w:val="003C3A0D"/>
    <w:rsid w:val="003C42DA"/>
    <w:rsid w:val="003C49B3"/>
    <w:rsid w:val="003C50CF"/>
    <w:rsid w:val="003C7A15"/>
    <w:rsid w:val="003D1DE4"/>
    <w:rsid w:val="003D2879"/>
    <w:rsid w:val="003D2BF0"/>
    <w:rsid w:val="003D3E83"/>
    <w:rsid w:val="003D3F6C"/>
    <w:rsid w:val="003D4855"/>
    <w:rsid w:val="003D5279"/>
    <w:rsid w:val="003D59DF"/>
    <w:rsid w:val="003D71B7"/>
    <w:rsid w:val="003E0A98"/>
    <w:rsid w:val="003E0BE1"/>
    <w:rsid w:val="003E4836"/>
    <w:rsid w:val="003E6E34"/>
    <w:rsid w:val="003E7461"/>
    <w:rsid w:val="003E7868"/>
    <w:rsid w:val="003F0D13"/>
    <w:rsid w:val="003F5049"/>
    <w:rsid w:val="003F6329"/>
    <w:rsid w:val="00400229"/>
    <w:rsid w:val="00400EE7"/>
    <w:rsid w:val="00400F77"/>
    <w:rsid w:val="00401B21"/>
    <w:rsid w:val="00403066"/>
    <w:rsid w:val="00404593"/>
    <w:rsid w:val="00404A60"/>
    <w:rsid w:val="00405DC0"/>
    <w:rsid w:val="004076D6"/>
    <w:rsid w:val="00407D79"/>
    <w:rsid w:val="00410846"/>
    <w:rsid w:val="00413781"/>
    <w:rsid w:val="004151FA"/>
    <w:rsid w:val="0041678B"/>
    <w:rsid w:val="0042142D"/>
    <w:rsid w:val="00422845"/>
    <w:rsid w:val="0042304B"/>
    <w:rsid w:val="004246FC"/>
    <w:rsid w:val="00425E6A"/>
    <w:rsid w:val="00430B01"/>
    <w:rsid w:val="00430C98"/>
    <w:rsid w:val="004315FE"/>
    <w:rsid w:val="00433A29"/>
    <w:rsid w:val="00434EC8"/>
    <w:rsid w:val="00440244"/>
    <w:rsid w:val="00453BFE"/>
    <w:rsid w:val="004570C1"/>
    <w:rsid w:val="00457D45"/>
    <w:rsid w:val="00463E86"/>
    <w:rsid w:val="00466BF1"/>
    <w:rsid w:val="00467E4B"/>
    <w:rsid w:val="004716CC"/>
    <w:rsid w:val="004725D2"/>
    <w:rsid w:val="004739B3"/>
    <w:rsid w:val="00474EBD"/>
    <w:rsid w:val="004778C4"/>
    <w:rsid w:val="00480B71"/>
    <w:rsid w:val="00480E9B"/>
    <w:rsid w:val="00480F4B"/>
    <w:rsid w:val="004822FD"/>
    <w:rsid w:val="00482CA6"/>
    <w:rsid w:val="0048363B"/>
    <w:rsid w:val="004846B7"/>
    <w:rsid w:val="00486001"/>
    <w:rsid w:val="004862DE"/>
    <w:rsid w:val="00486D36"/>
    <w:rsid w:val="004926A9"/>
    <w:rsid w:val="004932E9"/>
    <w:rsid w:val="004948A9"/>
    <w:rsid w:val="00494E1C"/>
    <w:rsid w:val="00496F47"/>
    <w:rsid w:val="004A15CF"/>
    <w:rsid w:val="004A2AD1"/>
    <w:rsid w:val="004A7259"/>
    <w:rsid w:val="004A79B3"/>
    <w:rsid w:val="004B19EA"/>
    <w:rsid w:val="004B2A5D"/>
    <w:rsid w:val="004B40F3"/>
    <w:rsid w:val="004B4F82"/>
    <w:rsid w:val="004C0A3D"/>
    <w:rsid w:val="004C1091"/>
    <w:rsid w:val="004C202C"/>
    <w:rsid w:val="004C2335"/>
    <w:rsid w:val="004C2978"/>
    <w:rsid w:val="004C2F3C"/>
    <w:rsid w:val="004C7B1D"/>
    <w:rsid w:val="004D144A"/>
    <w:rsid w:val="004D15EE"/>
    <w:rsid w:val="004D3412"/>
    <w:rsid w:val="004D5900"/>
    <w:rsid w:val="004E3611"/>
    <w:rsid w:val="004E36B0"/>
    <w:rsid w:val="004E36C0"/>
    <w:rsid w:val="004E461B"/>
    <w:rsid w:val="004E49C5"/>
    <w:rsid w:val="004E6372"/>
    <w:rsid w:val="004E6E35"/>
    <w:rsid w:val="004E7ACE"/>
    <w:rsid w:val="004F1EC1"/>
    <w:rsid w:val="004F20B1"/>
    <w:rsid w:val="004F2DD5"/>
    <w:rsid w:val="004F57F4"/>
    <w:rsid w:val="004F635C"/>
    <w:rsid w:val="004F682D"/>
    <w:rsid w:val="004F79D0"/>
    <w:rsid w:val="00501306"/>
    <w:rsid w:val="00503AF5"/>
    <w:rsid w:val="00505815"/>
    <w:rsid w:val="005065DD"/>
    <w:rsid w:val="00506F30"/>
    <w:rsid w:val="00512466"/>
    <w:rsid w:val="00512A36"/>
    <w:rsid w:val="0051344C"/>
    <w:rsid w:val="00515117"/>
    <w:rsid w:val="005151EB"/>
    <w:rsid w:val="005168A7"/>
    <w:rsid w:val="00520A6D"/>
    <w:rsid w:val="00524445"/>
    <w:rsid w:val="00525EB3"/>
    <w:rsid w:val="00526FBD"/>
    <w:rsid w:val="00527C96"/>
    <w:rsid w:val="0053389A"/>
    <w:rsid w:val="00533EE4"/>
    <w:rsid w:val="00534325"/>
    <w:rsid w:val="00536B17"/>
    <w:rsid w:val="005401BF"/>
    <w:rsid w:val="005436A4"/>
    <w:rsid w:val="00545AC8"/>
    <w:rsid w:val="00545CAD"/>
    <w:rsid w:val="00546F5C"/>
    <w:rsid w:val="0054703B"/>
    <w:rsid w:val="00547201"/>
    <w:rsid w:val="00550627"/>
    <w:rsid w:val="00550F7B"/>
    <w:rsid w:val="005525F5"/>
    <w:rsid w:val="00554E50"/>
    <w:rsid w:val="00562F80"/>
    <w:rsid w:val="00563B17"/>
    <w:rsid w:val="00563F19"/>
    <w:rsid w:val="00566513"/>
    <w:rsid w:val="00566AD8"/>
    <w:rsid w:val="005703D2"/>
    <w:rsid w:val="00570806"/>
    <w:rsid w:val="0057206D"/>
    <w:rsid w:val="0057237E"/>
    <w:rsid w:val="005737A5"/>
    <w:rsid w:val="00574285"/>
    <w:rsid w:val="0057797B"/>
    <w:rsid w:val="005829A1"/>
    <w:rsid w:val="00583491"/>
    <w:rsid w:val="00585D6D"/>
    <w:rsid w:val="00587E44"/>
    <w:rsid w:val="005910F7"/>
    <w:rsid w:val="0059157F"/>
    <w:rsid w:val="00592722"/>
    <w:rsid w:val="00592730"/>
    <w:rsid w:val="005939C4"/>
    <w:rsid w:val="0059588A"/>
    <w:rsid w:val="00595C89"/>
    <w:rsid w:val="00596EA4"/>
    <w:rsid w:val="00597D82"/>
    <w:rsid w:val="005A00CF"/>
    <w:rsid w:val="005A29AD"/>
    <w:rsid w:val="005B0350"/>
    <w:rsid w:val="005B16F0"/>
    <w:rsid w:val="005B1880"/>
    <w:rsid w:val="005B61A8"/>
    <w:rsid w:val="005C2F0B"/>
    <w:rsid w:val="005C34F0"/>
    <w:rsid w:val="005C46A2"/>
    <w:rsid w:val="005C4CDA"/>
    <w:rsid w:val="005C618D"/>
    <w:rsid w:val="005C76D5"/>
    <w:rsid w:val="005D25BA"/>
    <w:rsid w:val="005D2728"/>
    <w:rsid w:val="005D5D2B"/>
    <w:rsid w:val="005E109E"/>
    <w:rsid w:val="005E248E"/>
    <w:rsid w:val="005E37F8"/>
    <w:rsid w:val="005E6CC5"/>
    <w:rsid w:val="005F0092"/>
    <w:rsid w:val="005F00E3"/>
    <w:rsid w:val="005F0BD5"/>
    <w:rsid w:val="005F4643"/>
    <w:rsid w:val="005F7212"/>
    <w:rsid w:val="005F728F"/>
    <w:rsid w:val="00603358"/>
    <w:rsid w:val="00613C0B"/>
    <w:rsid w:val="006144FE"/>
    <w:rsid w:val="00614D57"/>
    <w:rsid w:val="00614DB3"/>
    <w:rsid w:val="006153A8"/>
    <w:rsid w:val="00615653"/>
    <w:rsid w:val="00615EB2"/>
    <w:rsid w:val="006168A5"/>
    <w:rsid w:val="00616E08"/>
    <w:rsid w:val="0062221E"/>
    <w:rsid w:val="006226C0"/>
    <w:rsid w:val="0062394B"/>
    <w:rsid w:val="00623CAE"/>
    <w:rsid w:val="00624128"/>
    <w:rsid w:val="006259AA"/>
    <w:rsid w:val="00631626"/>
    <w:rsid w:val="00636C32"/>
    <w:rsid w:val="00637CD4"/>
    <w:rsid w:val="00640F9B"/>
    <w:rsid w:val="006412B3"/>
    <w:rsid w:val="006418FC"/>
    <w:rsid w:val="0064247D"/>
    <w:rsid w:val="006460BB"/>
    <w:rsid w:val="0064643B"/>
    <w:rsid w:val="00652AB5"/>
    <w:rsid w:val="006530AB"/>
    <w:rsid w:val="00653198"/>
    <w:rsid w:val="0065472D"/>
    <w:rsid w:val="006566BD"/>
    <w:rsid w:val="00656B0D"/>
    <w:rsid w:val="006573A7"/>
    <w:rsid w:val="00663091"/>
    <w:rsid w:val="0066654B"/>
    <w:rsid w:val="00666621"/>
    <w:rsid w:val="00666BA3"/>
    <w:rsid w:val="00670E8D"/>
    <w:rsid w:val="006710A7"/>
    <w:rsid w:val="00671F42"/>
    <w:rsid w:val="00672E24"/>
    <w:rsid w:val="00673B5E"/>
    <w:rsid w:val="00674499"/>
    <w:rsid w:val="00675F9C"/>
    <w:rsid w:val="00680592"/>
    <w:rsid w:val="006810F7"/>
    <w:rsid w:val="00682C9A"/>
    <w:rsid w:val="00682D11"/>
    <w:rsid w:val="006845F0"/>
    <w:rsid w:val="00685469"/>
    <w:rsid w:val="00687845"/>
    <w:rsid w:val="00691175"/>
    <w:rsid w:val="00693064"/>
    <w:rsid w:val="006933E1"/>
    <w:rsid w:val="00694F8E"/>
    <w:rsid w:val="0069639E"/>
    <w:rsid w:val="00697E34"/>
    <w:rsid w:val="006A08A0"/>
    <w:rsid w:val="006A15C5"/>
    <w:rsid w:val="006A2CEC"/>
    <w:rsid w:val="006A4304"/>
    <w:rsid w:val="006A5155"/>
    <w:rsid w:val="006A5B82"/>
    <w:rsid w:val="006A776F"/>
    <w:rsid w:val="006B148D"/>
    <w:rsid w:val="006B23E5"/>
    <w:rsid w:val="006B5000"/>
    <w:rsid w:val="006B551E"/>
    <w:rsid w:val="006B6DF7"/>
    <w:rsid w:val="006B748D"/>
    <w:rsid w:val="006B7878"/>
    <w:rsid w:val="006B7D6F"/>
    <w:rsid w:val="006C0104"/>
    <w:rsid w:val="006C0C95"/>
    <w:rsid w:val="006C2E56"/>
    <w:rsid w:val="006C3487"/>
    <w:rsid w:val="006C409B"/>
    <w:rsid w:val="006C66C1"/>
    <w:rsid w:val="006D1A0E"/>
    <w:rsid w:val="006D22C8"/>
    <w:rsid w:val="006D306C"/>
    <w:rsid w:val="006D51A0"/>
    <w:rsid w:val="006E04DD"/>
    <w:rsid w:val="006E0B3A"/>
    <w:rsid w:val="006E135C"/>
    <w:rsid w:val="006E21BA"/>
    <w:rsid w:val="006E5172"/>
    <w:rsid w:val="006E60BD"/>
    <w:rsid w:val="006E61C9"/>
    <w:rsid w:val="006F1049"/>
    <w:rsid w:val="006F12F1"/>
    <w:rsid w:val="006F2345"/>
    <w:rsid w:val="006F2FB7"/>
    <w:rsid w:val="006F6D12"/>
    <w:rsid w:val="006F7915"/>
    <w:rsid w:val="006F799A"/>
    <w:rsid w:val="006F7B74"/>
    <w:rsid w:val="007005BB"/>
    <w:rsid w:val="00702BCD"/>
    <w:rsid w:val="00703CD9"/>
    <w:rsid w:val="00705C37"/>
    <w:rsid w:val="0070704A"/>
    <w:rsid w:val="00710AFC"/>
    <w:rsid w:val="00711E3C"/>
    <w:rsid w:val="00713685"/>
    <w:rsid w:val="00713B9B"/>
    <w:rsid w:val="007154C8"/>
    <w:rsid w:val="00717838"/>
    <w:rsid w:val="00717D33"/>
    <w:rsid w:val="007226DD"/>
    <w:rsid w:val="00723EC8"/>
    <w:rsid w:val="0072417E"/>
    <w:rsid w:val="00726508"/>
    <w:rsid w:val="00727D2B"/>
    <w:rsid w:val="007307D4"/>
    <w:rsid w:val="007309EF"/>
    <w:rsid w:val="007346B4"/>
    <w:rsid w:val="00736BE4"/>
    <w:rsid w:val="0074205C"/>
    <w:rsid w:val="007464F2"/>
    <w:rsid w:val="00751B47"/>
    <w:rsid w:val="00752C25"/>
    <w:rsid w:val="00754D93"/>
    <w:rsid w:val="00761913"/>
    <w:rsid w:val="00766B59"/>
    <w:rsid w:val="00767188"/>
    <w:rsid w:val="007705FF"/>
    <w:rsid w:val="00772A2A"/>
    <w:rsid w:val="007738B6"/>
    <w:rsid w:val="00773A70"/>
    <w:rsid w:val="007741A2"/>
    <w:rsid w:val="007742C1"/>
    <w:rsid w:val="0077579E"/>
    <w:rsid w:val="007809C5"/>
    <w:rsid w:val="007813D0"/>
    <w:rsid w:val="00782168"/>
    <w:rsid w:val="00782808"/>
    <w:rsid w:val="00782B1E"/>
    <w:rsid w:val="007846F1"/>
    <w:rsid w:val="00784BF3"/>
    <w:rsid w:val="007858D7"/>
    <w:rsid w:val="007869E6"/>
    <w:rsid w:val="00787001"/>
    <w:rsid w:val="00787AA3"/>
    <w:rsid w:val="007903E4"/>
    <w:rsid w:val="0079078F"/>
    <w:rsid w:val="007911C0"/>
    <w:rsid w:val="00794A14"/>
    <w:rsid w:val="00794D12"/>
    <w:rsid w:val="00794DC3"/>
    <w:rsid w:val="00795939"/>
    <w:rsid w:val="00796545"/>
    <w:rsid w:val="00797FF2"/>
    <w:rsid w:val="007A2BDA"/>
    <w:rsid w:val="007A2FB5"/>
    <w:rsid w:val="007A3A4D"/>
    <w:rsid w:val="007A4032"/>
    <w:rsid w:val="007A46E1"/>
    <w:rsid w:val="007A4EF0"/>
    <w:rsid w:val="007A668A"/>
    <w:rsid w:val="007A68ED"/>
    <w:rsid w:val="007A6A95"/>
    <w:rsid w:val="007B1539"/>
    <w:rsid w:val="007B2AA4"/>
    <w:rsid w:val="007B2B31"/>
    <w:rsid w:val="007B5F1B"/>
    <w:rsid w:val="007B6525"/>
    <w:rsid w:val="007C10D0"/>
    <w:rsid w:val="007C339B"/>
    <w:rsid w:val="007C4353"/>
    <w:rsid w:val="007C52FB"/>
    <w:rsid w:val="007C60F7"/>
    <w:rsid w:val="007C6B72"/>
    <w:rsid w:val="007D3F3F"/>
    <w:rsid w:val="007D467A"/>
    <w:rsid w:val="007D4A39"/>
    <w:rsid w:val="007D642C"/>
    <w:rsid w:val="007D66AE"/>
    <w:rsid w:val="007D70DC"/>
    <w:rsid w:val="007E07CF"/>
    <w:rsid w:val="007E1F2E"/>
    <w:rsid w:val="007E1F50"/>
    <w:rsid w:val="007E3CD7"/>
    <w:rsid w:val="007E4F2D"/>
    <w:rsid w:val="007E604D"/>
    <w:rsid w:val="007E7F63"/>
    <w:rsid w:val="007F03B3"/>
    <w:rsid w:val="007F17B7"/>
    <w:rsid w:val="007F2241"/>
    <w:rsid w:val="007F32F7"/>
    <w:rsid w:val="007F4FE3"/>
    <w:rsid w:val="007F59B3"/>
    <w:rsid w:val="00800375"/>
    <w:rsid w:val="008008A7"/>
    <w:rsid w:val="00810DD5"/>
    <w:rsid w:val="008110D9"/>
    <w:rsid w:val="0081220C"/>
    <w:rsid w:val="0081254B"/>
    <w:rsid w:val="00812A08"/>
    <w:rsid w:val="008142B2"/>
    <w:rsid w:val="00815433"/>
    <w:rsid w:val="00826A16"/>
    <w:rsid w:val="00827483"/>
    <w:rsid w:val="008318C3"/>
    <w:rsid w:val="0083542A"/>
    <w:rsid w:val="00835EC5"/>
    <w:rsid w:val="0084109D"/>
    <w:rsid w:val="0084188C"/>
    <w:rsid w:val="008418C5"/>
    <w:rsid w:val="00842101"/>
    <w:rsid w:val="00843590"/>
    <w:rsid w:val="008468F9"/>
    <w:rsid w:val="008513A0"/>
    <w:rsid w:val="008530CE"/>
    <w:rsid w:val="00857673"/>
    <w:rsid w:val="008605E1"/>
    <w:rsid w:val="00861FAA"/>
    <w:rsid w:val="00862B09"/>
    <w:rsid w:val="00862F16"/>
    <w:rsid w:val="00863519"/>
    <w:rsid w:val="008667B4"/>
    <w:rsid w:val="0087257C"/>
    <w:rsid w:val="008741EA"/>
    <w:rsid w:val="00875411"/>
    <w:rsid w:val="0087609F"/>
    <w:rsid w:val="00876519"/>
    <w:rsid w:val="00877798"/>
    <w:rsid w:val="00881AD8"/>
    <w:rsid w:val="008869FD"/>
    <w:rsid w:val="00890213"/>
    <w:rsid w:val="008914B3"/>
    <w:rsid w:val="00894BC7"/>
    <w:rsid w:val="008970B7"/>
    <w:rsid w:val="0089720C"/>
    <w:rsid w:val="00897EF9"/>
    <w:rsid w:val="008A31EB"/>
    <w:rsid w:val="008A33E8"/>
    <w:rsid w:val="008A4BB0"/>
    <w:rsid w:val="008A5E6A"/>
    <w:rsid w:val="008A6883"/>
    <w:rsid w:val="008B0CB5"/>
    <w:rsid w:val="008B1A7D"/>
    <w:rsid w:val="008B204E"/>
    <w:rsid w:val="008B22EB"/>
    <w:rsid w:val="008B4177"/>
    <w:rsid w:val="008B42EE"/>
    <w:rsid w:val="008B5D07"/>
    <w:rsid w:val="008B6E27"/>
    <w:rsid w:val="008B7993"/>
    <w:rsid w:val="008C0661"/>
    <w:rsid w:val="008C363C"/>
    <w:rsid w:val="008C3E98"/>
    <w:rsid w:val="008C4FEA"/>
    <w:rsid w:val="008C58F1"/>
    <w:rsid w:val="008C65DB"/>
    <w:rsid w:val="008D18FB"/>
    <w:rsid w:val="008D7697"/>
    <w:rsid w:val="008E1E6F"/>
    <w:rsid w:val="008E533D"/>
    <w:rsid w:val="008E7BA7"/>
    <w:rsid w:val="008E7C07"/>
    <w:rsid w:val="008F0B52"/>
    <w:rsid w:val="008F3CB3"/>
    <w:rsid w:val="008F7C77"/>
    <w:rsid w:val="00900639"/>
    <w:rsid w:val="009023A6"/>
    <w:rsid w:val="00904DD4"/>
    <w:rsid w:val="00907E17"/>
    <w:rsid w:val="00910F65"/>
    <w:rsid w:val="00911FC9"/>
    <w:rsid w:val="00913580"/>
    <w:rsid w:val="00913B89"/>
    <w:rsid w:val="00915FA9"/>
    <w:rsid w:val="009165F3"/>
    <w:rsid w:val="00916A51"/>
    <w:rsid w:val="00923A46"/>
    <w:rsid w:val="0092454F"/>
    <w:rsid w:val="00924BC3"/>
    <w:rsid w:val="009260F9"/>
    <w:rsid w:val="009268B5"/>
    <w:rsid w:val="0093009B"/>
    <w:rsid w:val="009315C4"/>
    <w:rsid w:val="00931A4A"/>
    <w:rsid w:val="00935411"/>
    <w:rsid w:val="00935FFA"/>
    <w:rsid w:val="00937749"/>
    <w:rsid w:val="00937C51"/>
    <w:rsid w:val="009406D1"/>
    <w:rsid w:val="00940B0E"/>
    <w:rsid w:val="00940CC9"/>
    <w:rsid w:val="00940DC9"/>
    <w:rsid w:val="0094156D"/>
    <w:rsid w:val="00943C0A"/>
    <w:rsid w:val="00943EE2"/>
    <w:rsid w:val="00947442"/>
    <w:rsid w:val="00953567"/>
    <w:rsid w:val="00954123"/>
    <w:rsid w:val="00954191"/>
    <w:rsid w:val="009542F2"/>
    <w:rsid w:val="00954BF4"/>
    <w:rsid w:val="00956480"/>
    <w:rsid w:val="00961460"/>
    <w:rsid w:val="009619F5"/>
    <w:rsid w:val="0096508E"/>
    <w:rsid w:val="0096537C"/>
    <w:rsid w:val="009713C0"/>
    <w:rsid w:val="00971DC9"/>
    <w:rsid w:val="00973D5B"/>
    <w:rsid w:val="0097432F"/>
    <w:rsid w:val="00977F5F"/>
    <w:rsid w:val="009804C7"/>
    <w:rsid w:val="00981693"/>
    <w:rsid w:val="00982FCC"/>
    <w:rsid w:val="00984112"/>
    <w:rsid w:val="00985966"/>
    <w:rsid w:val="0098601F"/>
    <w:rsid w:val="009876DA"/>
    <w:rsid w:val="0099164D"/>
    <w:rsid w:val="0099386A"/>
    <w:rsid w:val="00993E09"/>
    <w:rsid w:val="0099564D"/>
    <w:rsid w:val="00997026"/>
    <w:rsid w:val="009A1830"/>
    <w:rsid w:val="009A2186"/>
    <w:rsid w:val="009A3175"/>
    <w:rsid w:val="009A59F5"/>
    <w:rsid w:val="009A5EAB"/>
    <w:rsid w:val="009A7459"/>
    <w:rsid w:val="009A7767"/>
    <w:rsid w:val="009B1B11"/>
    <w:rsid w:val="009B3A3D"/>
    <w:rsid w:val="009B3B0C"/>
    <w:rsid w:val="009B4B8D"/>
    <w:rsid w:val="009B4FE1"/>
    <w:rsid w:val="009B54A3"/>
    <w:rsid w:val="009B5545"/>
    <w:rsid w:val="009B5AB6"/>
    <w:rsid w:val="009B5FCD"/>
    <w:rsid w:val="009B6ABE"/>
    <w:rsid w:val="009B7970"/>
    <w:rsid w:val="009C1711"/>
    <w:rsid w:val="009C4DCE"/>
    <w:rsid w:val="009C52BE"/>
    <w:rsid w:val="009C594A"/>
    <w:rsid w:val="009C74B6"/>
    <w:rsid w:val="009D00F5"/>
    <w:rsid w:val="009D1845"/>
    <w:rsid w:val="009D3BD1"/>
    <w:rsid w:val="009D5491"/>
    <w:rsid w:val="009D7370"/>
    <w:rsid w:val="009E089A"/>
    <w:rsid w:val="009E0C41"/>
    <w:rsid w:val="009E0D27"/>
    <w:rsid w:val="009E1AA1"/>
    <w:rsid w:val="009E3C3F"/>
    <w:rsid w:val="009E3F9D"/>
    <w:rsid w:val="009F1039"/>
    <w:rsid w:val="009F1264"/>
    <w:rsid w:val="009F218B"/>
    <w:rsid w:val="009F4C86"/>
    <w:rsid w:val="009F5991"/>
    <w:rsid w:val="009F5AB9"/>
    <w:rsid w:val="009F5CD7"/>
    <w:rsid w:val="009F6072"/>
    <w:rsid w:val="009F702F"/>
    <w:rsid w:val="009F7C3B"/>
    <w:rsid w:val="00A0017B"/>
    <w:rsid w:val="00A006E0"/>
    <w:rsid w:val="00A00772"/>
    <w:rsid w:val="00A04F72"/>
    <w:rsid w:val="00A0568A"/>
    <w:rsid w:val="00A064B5"/>
    <w:rsid w:val="00A06804"/>
    <w:rsid w:val="00A07157"/>
    <w:rsid w:val="00A1027F"/>
    <w:rsid w:val="00A12673"/>
    <w:rsid w:val="00A13A3D"/>
    <w:rsid w:val="00A1550A"/>
    <w:rsid w:val="00A17D2F"/>
    <w:rsid w:val="00A204CE"/>
    <w:rsid w:val="00A21561"/>
    <w:rsid w:val="00A246B0"/>
    <w:rsid w:val="00A255CD"/>
    <w:rsid w:val="00A304BA"/>
    <w:rsid w:val="00A305A5"/>
    <w:rsid w:val="00A31030"/>
    <w:rsid w:val="00A311A4"/>
    <w:rsid w:val="00A31CD6"/>
    <w:rsid w:val="00A31D86"/>
    <w:rsid w:val="00A32467"/>
    <w:rsid w:val="00A336DB"/>
    <w:rsid w:val="00A35B0F"/>
    <w:rsid w:val="00A372B3"/>
    <w:rsid w:val="00A37A7E"/>
    <w:rsid w:val="00A37F34"/>
    <w:rsid w:val="00A402EE"/>
    <w:rsid w:val="00A41F77"/>
    <w:rsid w:val="00A42C7F"/>
    <w:rsid w:val="00A42C92"/>
    <w:rsid w:val="00A4450E"/>
    <w:rsid w:val="00A47EA4"/>
    <w:rsid w:val="00A5189E"/>
    <w:rsid w:val="00A523A0"/>
    <w:rsid w:val="00A527B9"/>
    <w:rsid w:val="00A56066"/>
    <w:rsid w:val="00A657F7"/>
    <w:rsid w:val="00A70374"/>
    <w:rsid w:val="00A717B9"/>
    <w:rsid w:val="00A753F7"/>
    <w:rsid w:val="00A75C12"/>
    <w:rsid w:val="00A80B74"/>
    <w:rsid w:val="00A8151B"/>
    <w:rsid w:val="00A82604"/>
    <w:rsid w:val="00A82752"/>
    <w:rsid w:val="00A83414"/>
    <w:rsid w:val="00A856DF"/>
    <w:rsid w:val="00A9006C"/>
    <w:rsid w:val="00A9191D"/>
    <w:rsid w:val="00A92569"/>
    <w:rsid w:val="00A9311A"/>
    <w:rsid w:val="00A956D2"/>
    <w:rsid w:val="00A96B59"/>
    <w:rsid w:val="00AA245A"/>
    <w:rsid w:val="00AA3D22"/>
    <w:rsid w:val="00AA5280"/>
    <w:rsid w:val="00AA7823"/>
    <w:rsid w:val="00AB03C4"/>
    <w:rsid w:val="00AB09FD"/>
    <w:rsid w:val="00AB1210"/>
    <w:rsid w:val="00AB1619"/>
    <w:rsid w:val="00AB7B9D"/>
    <w:rsid w:val="00AB7D0B"/>
    <w:rsid w:val="00AC0CB6"/>
    <w:rsid w:val="00AC0D9E"/>
    <w:rsid w:val="00AC32E4"/>
    <w:rsid w:val="00AC3A06"/>
    <w:rsid w:val="00AC4ADE"/>
    <w:rsid w:val="00AC4BD4"/>
    <w:rsid w:val="00AC63C0"/>
    <w:rsid w:val="00AC6E63"/>
    <w:rsid w:val="00AD0C43"/>
    <w:rsid w:val="00AD29B2"/>
    <w:rsid w:val="00AD593F"/>
    <w:rsid w:val="00AD5F49"/>
    <w:rsid w:val="00AD7D68"/>
    <w:rsid w:val="00AE262B"/>
    <w:rsid w:val="00AE2870"/>
    <w:rsid w:val="00AE3941"/>
    <w:rsid w:val="00AE394D"/>
    <w:rsid w:val="00AF0785"/>
    <w:rsid w:val="00AF0921"/>
    <w:rsid w:val="00AF2669"/>
    <w:rsid w:val="00AF6163"/>
    <w:rsid w:val="00B00C47"/>
    <w:rsid w:val="00B00EDF"/>
    <w:rsid w:val="00B01A7D"/>
    <w:rsid w:val="00B05824"/>
    <w:rsid w:val="00B10B55"/>
    <w:rsid w:val="00B11BF8"/>
    <w:rsid w:val="00B1213E"/>
    <w:rsid w:val="00B135EC"/>
    <w:rsid w:val="00B1516F"/>
    <w:rsid w:val="00B16E6C"/>
    <w:rsid w:val="00B17E4A"/>
    <w:rsid w:val="00B210FB"/>
    <w:rsid w:val="00B218D1"/>
    <w:rsid w:val="00B223F8"/>
    <w:rsid w:val="00B226C8"/>
    <w:rsid w:val="00B22725"/>
    <w:rsid w:val="00B2281F"/>
    <w:rsid w:val="00B231AA"/>
    <w:rsid w:val="00B24427"/>
    <w:rsid w:val="00B25E9E"/>
    <w:rsid w:val="00B26334"/>
    <w:rsid w:val="00B270C2"/>
    <w:rsid w:val="00B272F5"/>
    <w:rsid w:val="00B30B96"/>
    <w:rsid w:val="00B30CC7"/>
    <w:rsid w:val="00B324E1"/>
    <w:rsid w:val="00B3493B"/>
    <w:rsid w:val="00B36C59"/>
    <w:rsid w:val="00B36DED"/>
    <w:rsid w:val="00B4369A"/>
    <w:rsid w:val="00B44710"/>
    <w:rsid w:val="00B460BF"/>
    <w:rsid w:val="00B46934"/>
    <w:rsid w:val="00B50169"/>
    <w:rsid w:val="00B5478C"/>
    <w:rsid w:val="00B551FD"/>
    <w:rsid w:val="00B55DD5"/>
    <w:rsid w:val="00B57D41"/>
    <w:rsid w:val="00B6106B"/>
    <w:rsid w:val="00B639F0"/>
    <w:rsid w:val="00B64B36"/>
    <w:rsid w:val="00B6503B"/>
    <w:rsid w:val="00B70518"/>
    <w:rsid w:val="00B735F6"/>
    <w:rsid w:val="00B74430"/>
    <w:rsid w:val="00B76B47"/>
    <w:rsid w:val="00B7784D"/>
    <w:rsid w:val="00B77CC7"/>
    <w:rsid w:val="00B81EC5"/>
    <w:rsid w:val="00B82860"/>
    <w:rsid w:val="00B835CA"/>
    <w:rsid w:val="00B865CA"/>
    <w:rsid w:val="00B9053F"/>
    <w:rsid w:val="00B92658"/>
    <w:rsid w:val="00B97D0D"/>
    <w:rsid w:val="00BA1A8B"/>
    <w:rsid w:val="00BA484C"/>
    <w:rsid w:val="00BA7D35"/>
    <w:rsid w:val="00BA7E80"/>
    <w:rsid w:val="00BB179F"/>
    <w:rsid w:val="00BB2C9D"/>
    <w:rsid w:val="00BB3245"/>
    <w:rsid w:val="00BB3593"/>
    <w:rsid w:val="00BB3829"/>
    <w:rsid w:val="00BB5E49"/>
    <w:rsid w:val="00BB6BA9"/>
    <w:rsid w:val="00BB72ED"/>
    <w:rsid w:val="00BB73CF"/>
    <w:rsid w:val="00BC009F"/>
    <w:rsid w:val="00BC1BD9"/>
    <w:rsid w:val="00BC1EA0"/>
    <w:rsid w:val="00BC2C16"/>
    <w:rsid w:val="00BC33CB"/>
    <w:rsid w:val="00BC3483"/>
    <w:rsid w:val="00BC6A06"/>
    <w:rsid w:val="00BD38A2"/>
    <w:rsid w:val="00BD4264"/>
    <w:rsid w:val="00BD57CB"/>
    <w:rsid w:val="00BD68CF"/>
    <w:rsid w:val="00BE0A7C"/>
    <w:rsid w:val="00BE18B3"/>
    <w:rsid w:val="00BE28BB"/>
    <w:rsid w:val="00BE43BA"/>
    <w:rsid w:val="00BE4796"/>
    <w:rsid w:val="00BE7EF5"/>
    <w:rsid w:val="00BF1471"/>
    <w:rsid w:val="00BF38A9"/>
    <w:rsid w:val="00BF59CD"/>
    <w:rsid w:val="00C0113C"/>
    <w:rsid w:val="00C0503D"/>
    <w:rsid w:val="00C05F57"/>
    <w:rsid w:val="00C061FD"/>
    <w:rsid w:val="00C07EE5"/>
    <w:rsid w:val="00C10E7F"/>
    <w:rsid w:val="00C1206A"/>
    <w:rsid w:val="00C13B98"/>
    <w:rsid w:val="00C142ED"/>
    <w:rsid w:val="00C16142"/>
    <w:rsid w:val="00C17C22"/>
    <w:rsid w:val="00C2025E"/>
    <w:rsid w:val="00C22E7D"/>
    <w:rsid w:val="00C22F17"/>
    <w:rsid w:val="00C24814"/>
    <w:rsid w:val="00C26E0C"/>
    <w:rsid w:val="00C316BD"/>
    <w:rsid w:val="00C32A64"/>
    <w:rsid w:val="00C33AD5"/>
    <w:rsid w:val="00C353C3"/>
    <w:rsid w:val="00C35F20"/>
    <w:rsid w:val="00C3623A"/>
    <w:rsid w:val="00C37191"/>
    <w:rsid w:val="00C37A49"/>
    <w:rsid w:val="00C412D3"/>
    <w:rsid w:val="00C427B0"/>
    <w:rsid w:val="00C43C0D"/>
    <w:rsid w:val="00C45BBA"/>
    <w:rsid w:val="00C50C58"/>
    <w:rsid w:val="00C51CA8"/>
    <w:rsid w:val="00C53B1E"/>
    <w:rsid w:val="00C54477"/>
    <w:rsid w:val="00C6102D"/>
    <w:rsid w:val="00C6211C"/>
    <w:rsid w:val="00C63327"/>
    <w:rsid w:val="00C67D45"/>
    <w:rsid w:val="00C71F65"/>
    <w:rsid w:val="00C72A69"/>
    <w:rsid w:val="00C7326B"/>
    <w:rsid w:val="00C74C05"/>
    <w:rsid w:val="00C74E54"/>
    <w:rsid w:val="00C77C23"/>
    <w:rsid w:val="00C8006C"/>
    <w:rsid w:val="00C803E8"/>
    <w:rsid w:val="00C811B0"/>
    <w:rsid w:val="00C832F0"/>
    <w:rsid w:val="00C84DB2"/>
    <w:rsid w:val="00C85188"/>
    <w:rsid w:val="00C85638"/>
    <w:rsid w:val="00C8719D"/>
    <w:rsid w:val="00C87DE1"/>
    <w:rsid w:val="00C90D0F"/>
    <w:rsid w:val="00C93786"/>
    <w:rsid w:val="00C938DD"/>
    <w:rsid w:val="00C96076"/>
    <w:rsid w:val="00C96B9C"/>
    <w:rsid w:val="00CA2CDD"/>
    <w:rsid w:val="00CA6A86"/>
    <w:rsid w:val="00CA7422"/>
    <w:rsid w:val="00CA7ECA"/>
    <w:rsid w:val="00CB0016"/>
    <w:rsid w:val="00CB0698"/>
    <w:rsid w:val="00CB191A"/>
    <w:rsid w:val="00CB376F"/>
    <w:rsid w:val="00CB7A37"/>
    <w:rsid w:val="00CC0040"/>
    <w:rsid w:val="00CC018C"/>
    <w:rsid w:val="00CC08DE"/>
    <w:rsid w:val="00CC2471"/>
    <w:rsid w:val="00CC4A55"/>
    <w:rsid w:val="00CC547B"/>
    <w:rsid w:val="00CC7134"/>
    <w:rsid w:val="00CD2350"/>
    <w:rsid w:val="00CD27C3"/>
    <w:rsid w:val="00CD285A"/>
    <w:rsid w:val="00CD3EC3"/>
    <w:rsid w:val="00CD46E5"/>
    <w:rsid w:val="00CD4D5C"/>
    <w:rsid w:val="00CD594E"/>
    <w:rsid w:val="00CD61E6"/>
    <w:rsid w:val="00CE0C41"/>
    <w:rsid w:val="00CE1F04"/>
    <w:rsid w:val="00CE449A"/>
    <w:rsid w:val="00CE49B3"/>
    <w:rsid w:val="00CE5328"/>
    <w:rsid w:val="00CF0F14"/>
    <w:rsid w:val="00CF2067"/>
    <w:rsid w:val="00CF58C6"/>
    <w:rsid w:val="00CF5FDF"/>
    <w:rsid w:val="00D017E9"/>
    <w:rsid w:val="00D018F7"/>
    <w:rsid w:val="00D021A5"/>
    <w:rsid w:val="00D02784"/>
    <w:rsid w:val="00D02B85"/>
    <w:rsid w:val="00D04A39"/>
    <w:rsid w:val="00D0535D"/>
    <w:rsid w:val="00D06BCD"/>
    <w:rsid w:val="00D1252C"/>
    <w:rsid w:val="00D126E8"/>
    <w:rsid w:val="00D16287"/>
    <w:rsid w:val="00D16C6B"/>
    <w:rsid w:val="00D17D18"/>
    <w:rsid w:val="00D21617"/>
    <w:rsid w:val="00D21C99"/>
    <w:rsid w:val="00D2507E"/>
    <w:rsid w:val="00D25BDB"/>
    <w:rsid w:val="00D27054"/>
    <w:rsid w:val="00D27AAF"/>
    <w:rsid w:val="00D3120A"/>
    <w:rsid w:val="00D325F7"/>
    <w:rsid w:val="00D36AAA"/>
    <w:rsid w:val="00D41353"/>
    <w:rsid w:val="00D413BC"/>
    <w:rsid w:val="00D42538"/>
    <w:rsid w:val="00D4369D"/>
    <w:rsid w:val="00D43FC0"/>
    <w:rsid w:val="00D46769"/>
    <w:rsid w:val="00D5028B"/>
    <w:rsid w:val="00D51E42"/>
    <w:rsid w:val="00D5340F"/>
    <w:rsid w:val="00D5419E"/>
    <w:rsid w:val="00D54589"/>
    <w:rsid w:val="00D550FA"/>
    <w:rsid w:val="00D55F6C"/>
    <w:rsid w:val="00D56A34"/>
    <w:rsid w:val="00D56EAB"/>
    <w:rsid w:val="00D6065E"/>
    <w:rsid w:val="00D61C9A"/>
    <w:rsid w:val="00D63EE4"/>
    <w:rsid w:val="00D63FCB"/>
    <w:rsid w:val="00D6479F"/>
    <w:rsid w:val="00D6535D"/>
    <w:rsid w:val="00D659D6"/>
    <w:rsid w:val="00D669FB"/>
    <w:rsid w:val="00D673C9"/>
    <w:rsid w:val="00D67D32"/>
    <w:rsid w:val="00D716D2"/>
    <w:rsid w:val="00D738FC"/>
    <w:rsid w:val="00D76652"/>
    <w:rsid w:val="00D77E4A"/>
    <w:rsid w:val="00D837F8"/>
    <w:rsid w:val="00D8775F"/>
    <w:rsid w:val="00D87E5D"/>
    <w:rsid w:val="00D90017"/>
    <w:rsid w:val="00D92E55"/>
    <w:rsid w:val="00D93890"/>
    <w:rsid w:val="00DA0304"/>
    <w:rsid w:val="00DA0525"/>
    <w:rsid w:val="00DA0A53"/>
    <w:rsid w:val="00DA0B89"/>
    <w:rsid w:val="00DA28CE"/>
    <w:rsid w:val="00DA29B1"/>
    <w:rsid w:val="00DA29CB"/>
    <w:rsid w:val="00DA32BA"/>
    <w:rsid w:val="00DA51CD"/>
    <w:rsid w:val="00DA52E3"/>
    <w:rsid w:val="00DA58F1"/>
    <w:rsid w:val="00DA5D62"/>
    <w:rsid w:val="00DA6C14"/>
    <w:rsid w:val="00DB2AAD"/>
    <w:rsid w:val="00DB2CA2"/>
    <w:rsid w:val="00DB561C"/>
    <w:rsid w:val="00DB669B"/>
    <w:rsid w:val="00DB7915"/>
    <w:rsid w:val="00DC1FBD"/>
    <w:rsid w:val="00DC6B61"/>
    <w:rsid w:val="00DD1721"/>
    <w:rsid w:val="00DD2262"/>
    <w:rsid w:val="00DD26EB"/>
    <w:rsid w:val="00DD3780"/>
    <w:rsid w:val="00DD423A"/>
    <w:rsid w:val="00DD432B"/>
    <w:rsid w:val="00DD5B7D"/>
    <w:rsid w:val="00DD6B8A"/>
    <w:rsid w:val="00DD7E22"/>
    <w:rsid w:val="00DD7FAA"/>
    <w:rsid w:val="00DE0F43"/>
    <w:rsid w:val="00DE3585"/>
    <w:rsid w:val="00DE39DF"/>
    <w:rsid w:val="00DE3D56"/>
    <w:rsid w:val="00DE52FE"/>
    <w:rsid w:val="00DE6999"/>
    <w:rsid w:val="00DF6187"/>
    <w:rsid w:val="00DF700A"/>
    <w:rsid w:val="00E002F1"/>
    <w:rsid w:val="00E00795"/>
    <w:rsid w:val="00E02807"/>
    <w:rsid w:val="00E03565"/>
    <w:rsid w:val="00E041A0"/>
    <w:rsid w:val="00E045EF"/>
    <w:rsid w:val="00E05294"/>
    <w:rsid w:val="00E07208"/>
    <w:rsid w:val="00E127EE"/>
    <w:rsid w:val="00E168AF"/>
    <w:rsid w:val="00E21379"/>
    <w:rsid w:val="00E21EFC"/>
    <w:rsid w:val="00E24DC1"/>
    <w:rsid w:val="00E24EB1"/>
    <w:rsid w:val="00E2576B"/>
    <w:rsid w:val="00E26A93"/>
    <w:rsid w:val="00E30054"/>
    <w:rsid w:val="00E3037E"/>
    <w:rsid w:val="00E30E48"/>
    <w:rsid w:val="00E311A6"/>
    <w:rsid w:val="00E318EF"/>
    <w:rsid w:val="00E319CD"/>
    <w:rsid w:val="00E31AD5"/>
    <w:rsid w:val="00E34CBD"/>
    <w:rsid w:val="00E369FD"/>
    <w:rsid w:val="00E371D5"/>
    <w:rsid w:val="00E375C0"/>
    <w:rsid w:val="00E40D14"/>
    <w:rsid w:val="00E41D72"/>
    <w:rsid w:val="00E436BA"/>
    <w:rsid w:val="00E4430E"/>
    <w:rsid w:val="00E47A9B"/>
    <w:rsid w:val="00E47C73"/>
    <w:rsid w:val="00E50203"/>
    <w:rsid w:val="00E512B1"/>
    <w:rsid w:val="00E51F88"/>
    <w:rsid w:val="00E533C0"/>
    <w:rsid w:val="00E53F1B"/>
    <w:rsid w:val="00E54389"/>
    <w:rsid w:val="00E55D85"/>
    <w:rsid w:val="00E563B1"/>
    <w:rsid w:val="00E60ECF"/>
    <w:rsid w:val="00E639D8"/>
    <w:rsid w:val="00E66C41"/>
    <w:rsid w:val="00E66D67"/>
    <w:rsid w:val="00E67578"/>
    <w:rsid w:val="00E727D6"/>
    <w:rsid w:val="00E73D84"/>
    <w:rsid w:val="00E77067"/>
    <w:rsid w:val="00E77B4D"/>
    <w:rsid w:val="00E8008C"/>
    <w:rsid w:val="00E80742"/>
    <w:rsid w:val="00E8131B"/>
    <w:rsid w:val="00E81AEC"/>
    <w:rsid w:val="00E8201C"/>
    <w:rsid w:val="00E83836"/>
    <w:rsid w:val="00E84780"/>
    <w:rsid w:val="00E868ED"/>
    <w:rsid w:val="00E90302"/>
    <w:rsid w:val="00E909DE"/>
    <w:rsid w:val="00E92472"/>
    <w:rsid w:val="00E92B52"/>
    <w:rsid w:val="00E93E1A"/>
    <w:rsid w:val="00E95AC1"/>
    <w:rsid w:val="00E97CD5"/>
    <w:rsid w:val="00EA134B"/>
    <w:rsid w:val="00EA1357"/>
    <w:rsid w:val="00EA16B0"/>
    <w:rsid w:val="00EA439E"/>
    <w:rsid w:val="00EA4975"/>
    <w:rsid w:val="00EA546E"/>
    <w:rsid w:val="00EA585B"/>
    <w:rsid w:val="00EA58C0"/>
    <w:rsid w:val="00EA5F14"/>
    <w:rsid w:val="00EB5529"/>
    <w:rsid w:val="00EB5722"/>
    <w:rsid w:val="00EB6C73"/>
    <w:rsid w:val="00EB7347"/>
    <w:rsid w:val="00EC289F"/>
    <w:rsid w:val="00EC44FA"/>
    <w:rsid w:val="00EC4832"/>
    <w:rsid w:val="00EC4AEC"/>
    <w:rsid w:val="00EC73A9"/>
    <w:rsid w:val="00ED150C"/>
    <w:rsid w:val="00ED1924"/>
    <w:rsid w:val="00ED29A0"/>
    <w:rsid w:val="00ED4A4C"/>
    <w:rsid w:val="00ED6FAF"/>
    <w:rsid w:val="00ED70BA"/>
    <w:rsid w:val="00ED74DD"/>
    <w:rsid w:val="00ED7B97"/>
    <w:rsid w:val="00EE020F"/>
    <w:rsid w:val="00EE0A3F"/>
    <w:rsid w:val="00EE31C7"/>
    <w:rsid w:val="00EE4ED2"/>
    <w:rsid w:val="00EE75BE"/>
    <w:rsid w:val="00EE7723"/>
    <w:rsid w:val="00EF1B4F"/>
    <w:rsid w:val="00EF2AAF"/>
    <w:rsid w:val="00EF2C1E"/>
    <w:rsid w:val="00EF4408"/>
    <w:rsid w:val="00EF5522"/>
    <w:rsid w:val="00EF6DC6"/>
    <w:rsid w:val="00F00308"/>
    <w:rsid w:val="00F01A1D"/>
    <w:rsid w:val="00F01C9A"/>
    <w:rsid w:val="00F0375B"/>
    <w:rsid w:val="00F03AEC"/>
    <w:rsid w:val="00F0606B"/>
    <w:rsid w:val="00F1223F"/>
    <w:rsid w:val="00F12842"/>
    <w:rsid w:val="00F2061D"/>
    <w:rsid w:val="00F20E53"/>
    <w:rsid w:val="00F21BBC"/>
    <w:rsid w:val="00F22326"/>
    <w:rsid w:val="00F242E7"/>
    <w:rsid w:val="00F24C6C"/>
    <w:rsid w:val="00F2649E"/>
    <w:rsid w:val="00F26529"/>
    <w:rsid w:val="00F26945"/>
    <w:rsid w:val="00F2784E"/>
    <w:rsid w:val="00F27A43"/>
    <w:rsid w:val="00F3078F"/>
    <w:rsid w:val="00F32483"/>
    <w:rsid w:val="00F327EF"/>
    <w:rsid w:val="00F342AD"/>
    <w:rsid w:val="00F347DD"/>
    <w:rsid w:val="00F347EE"/>
    <w:rsid w:val="00F4024E"/>
    <w:rsid w:val="00F41C16"/>
    <w:rsid w:val="00F41DD9"/>
    <w:rsid w:val="00F42FD7"/>
    <w:rsid w:val="00F45408"/>
    <w:rsid w:val="00F4609F"/>
    <w:rsid w:val="00F46341"/>
    <w:rsid w:val="00F471FD"/>
    <w:rsid w:val="00F51AF4"/>
    <w:rsid w:val="00F529D1"/>
    <w:rsid w:val="00F54630"/>
    <w:rsid w:val="00F54669"/>
    <w:rsid w:val="00F54A7D"/>
    <w:rsid w:val="00F571FF"/>
    <w:rsid w:val="00F60C43"/>
    <w:rsid w:val="00F61966"/>
    <w:rsid w:val="00F629A1"/>
    <w:rsid w:val="00F64741"/>
    <w:rsid w:val="00F67154"/>
    <w:rsid w:val="00F67F92"/>
    <w:rsid w:val="00F70B8B"/>
    <w:rsid w:val="00F72E14"/>
    <w:rsid w:val="00F740F1"/>
    <w:rsid w:val="00F755EA"/>
    <w:rsid w:val="00F75DF9"/>
    <w:rsid w:val="00F7688E"/>
    <w:rsid w:val="00F77166"/>
    <w:rsid w:val="00F77FBD"/>
    <w:rsid w:val="00F80C55"/>
    <w:rsid w:val="00F8671C"/>
    <w:rsid w:val="00F868E0"/>
    <w:rsid w:val="00F902CC"/>
    <w:rsid w:val="00F90613"/>
    <w:rsid w:val="00F91B9B"/>
    <w:rsid w:val="00F94289"/>
    <w:rsid w:val="00F94C8E"/>
    <w:rsid w:val="00FA23A7"/>
    <w:rsid w:val="00FA3059"/>
    <w:rsid w:val="00FA4336"/>
    <w:rsid w:val="00FA5CF6"/>
    <w:rsid w:val="00FB0321"/>
    <w:rsid w:val="00FB1993"/>
    <w:rsid w:val="00FB2EE0"/>
    <w:rsid w:val="00FB49C6"/>
    <w:rsid w:val="00FB6B28"/>
    <w:rsid w:val="00FB6C21"/>
    <w:rsid w:val="00FB7BFC"/>
    <w:rsid w:val="00FB7FAC"/>
    <w:rsid w:val="00FC0376"/>
    <w:rsid w:val="00FC390D"/>
    <w:rsid w:val="00FC5BBB"/>
    <w:rsid w:val="00FC6AA6"/>
    <w:rsid w:val="00FC7B70"/>
    <w:rsid w:val="00FD06CE"/>
    <w:rsid w:val="00FD263C"/>
    <w:rsid w:val="00FD2C25"/>
    <w:rsid w:val="00FD342E"/>
    <w:rsid w:val="00FD34D5"/>
    <w:rsid w:val="00FD5AD1"/>
    <w:rsid w:val="00FE09BA"/>
    <w:rsid w:val="00FE143A"/>
    <w:rsid w:val="00FE19A3"/>
    <w:rsid w:val="00FE4FB7"/>
    <w:rsid w:val="00FE7972"/>
    <w:rsid w:val="00FE7AEC"/>
    <w:rsid w:val="00FF3E3A"/>
    <w:rsid w:val="00FF48CA"/>
    <w:rsid w:val="00FF4A76"/>
    <w:rsid w:val="00FF76F0"/>
    <w:rsid w:val="FF74DD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sz w:val="24"/>
      <w:szCs w:val="24"/>
      <w:lang w:val="es-ES" w:eastAsia="es-ES" w:bidi="ar-SA"/>
    </w:rPr>
  </w:style>
  <w:style w:type="paragraph" w:styleId="2">
    <w:name w:val="heading 1"/>
    <w:basedOn w:val="1"/>
    <w:next w:val="1"/>
    <w:qFormat/>
    <w:uiPriority w:val="0"/>
    <w:pPr>
      <w:keepNext/>
      <w:spacing w:after="120"/>
      <w:jc w:val="center"/>
      <w:outlineLvl w:val="0"/>
    </w:pPr>
    <w:rPr>
      <w:rFonts w:ascii="Arial" w:hAnsi="Arial"/>
      <w:b/>
      <w:sz w:val="28"/>
      <w:szCs w:val="20"/>
      <w:lang/>
    </w:rPr>
  </w:style>
  <w:style w:type="paragraph" w:styleId="3">
    <w:name w:val="heading 2"/>
    <w:basedOn w:val="1"/>
    <w:next w:val="1"/>
    <w:qFormat/>
    <w:uiPriority w:val="0"/>
    <w:pPr>
      <w:keepNext/>
      <w:spacing w:after="120" w:line="360" w:lineRule="auto"/>
      <w:jc w:val="center"/>
      <w:outlineLvl w:val="1"/>
    </w:pPr>
    <w:rPr>
      <w:rFonts w:ascii="Arial" w:hAnsi="Arial" w:cs="Arial"/>
      <w:b/>
      <w:szCs w:val="20"/>
    </w:rPr>
  </w:style>
  <w:style w:type="paragraph" w:styleId="4">
    <w:name w:val="heading 3"/>
    <w:basedOn w:val="1"/>
    <w:next w:val="1"/>
    <w:qFormat/>
    <w:uiPriority w:val="0"/>
    <w:pPr>
      <w:keepNext/>
      <w:numPr>
        <w:ilvl w:val="0"/>
        <w:numId w:val="1"/>
      </w:numPr>
      <w:tabs>
        <w:tab w:val="left" w:pos="567"/>
        <w:tab w:val="left" w:pos="720"/>
      </w:tabs>
      <w:spacing w:before="120" w:after="240" w:line="360" w:lineRule="atLeast"/>
      <w:ind w:right="618"/>
      <w:jc w:val="center"/>
      <w:outlineLvl w:val="2"/>
    </w:pPr>
    <w:rPr>
      <w:rFonts w:ascii="Arial" w:hAnsi="Arial"/>
      <w:b/>
      <w:spacing w:val="28"/>
      <w:sz w:val="28"/>
      <w:szCs w:val="20"/>
      <w:lang/>
    </w:rPr>
  </w:style>
  <w:style w:type="paragraph" w:styleId="5">
    <w:name w:val="heading 4"/>
    <w:basedOn w:val="1"/>
    <w:next w:val="1"/>
    <w:qFormat/>
    <w:uiPriority w:val="0"/>
    <w:pPr>
      <w:keepNext/>
      <w:spacing w:after="120"/>
      <w:ind w:left="5664" w:right="-162" w:firstLine="708"/>
      <w:jc w:val="both"/>
      <w:outlineLvl w:val="3"/>
    </w:pPr>
    <w:rPr>
      <w:rFonts w:ascii="Arial" w:hAnsi="Arial"/>
      <w:b/>
      <w:lang w:val="es-MX"/>
    </w:rPr>
  </w:style>
  <w:style w:type="paragraph" w:styleId="6">
    <w:name w:val="heading 5"/>
    <w:basedOn w:val="1"/>
    <w:next w:val="1"/>
    <w:link w:val="36"/>
    <w:qFormat/>
    <w:uiPriority w:val="0"/>
    <w:pPr>
      <w:keepNext/>
      <w:ind w:left="5664" w:right="-164" w:firstLine="709"/>
      <w:jc w:val="both"/>
      <w:outlineLvl w:val="4"/>
    </w:pPr>
    <w:rPr>
      <w:rFonts w:ascii="Arial" w:hAnsi="Arial"/>
      <w:b/>
      <w:lang w:val="es-MX"/>
    </w:rPr>
  </w:style>
  <w:style w:type="paragraph" w:styleId="7">
    <w:name w:val="heading 6"/>
    <w:basedOn w:val="1"/>
    <w:next w:val="1"/>
    <w:qFormat/>
    <w:uiPriority w:val="0"/>
    <w:pPr>
      <w:keepNext/>
      <w:spacing w:after="120" w:line="360" w:lineRule="auto"/>
      <w:ind w:right="-162"/>
      <w:jc w:val="both"/>
      <w:outlineLvl w:val="5"/>
    </w:pPr>
    <w:rPr>
      <w:rFonts w:ascii="Arial" w:hAnsi="Arial" w:cs="Arial"/>
      <w:b/>
      <w:szCs w:val="20"/>
    </w:rPr>
  </w:style>
  <w:style w:type="paragraph" w:styleId="8">
    <w:name w:val="heading 7"/>
    <w:basedOn w:val="1"/>
    <w:next w:val="1"/>
    <w:qFormat/>
    <w:uiPriority w:val="0"/>
    <w:pPr>
      <w:keepNext/>
      <w:outlineLvl w:val="6"/>
    </w:pPr>
    <w:rPr>
      <w:rFonts w:ascii="Arial" w:hAnsi="Arial"/>
      <w:b/>
      <w:szCs w:val="20"/>
    </w:rPr>
  </w:style>
  <w:style w:type="paragraph" w:styleId="9">
    <w:name w:val="heading 8"/>
    <w:basedOn w:val="1"/>
    <w:next w:val="1"/>
    <w:qFormat/>
    <w:uiPriority w:val="0"/>
    <w:pPr>
      <w:keepNext/>
      <w:spacing w:after="120"/>
      <w:jc w:val="both"/>
      <w:outlineLvl w:val="7"/>
    </w:pPr>
    <w:rPr>
      <w:rFonts w:ascii="Arial" w:hAnsi="Arial"/>
      <w:b/>
      <w:szCs w:val="20"/>
      <w:u w:val="single"/>
      <w:lang/>
    </w:rPr>
  </w:style>
  <w:style w:type="paragraph" w:styleId="10">
    <w:name w:val="heading 9"/>
    <w:basedOn w:val="1"/>
    <w:next w:val="1"/>
    <w:qFormat/>
    <w:uiPriority w:val="0"/>
    <w:pPr>
      <w:keepNext/>
      <w:spacing w:after="120" w:line="360" w:lineRule="auto"/>
      <w:ind w:right="-162"/>
      <w:outlineLvl w:val="8"/>
    </w:pPr>
    <w:rPr>
      <w:rFonts w:ascii="Arial" w:hAnsi="Arial" w:cs="Arial"/>
      <w:bCs/>
      <w:szCs w:val="20"/>
    </w:rPr>
  </w:style>
  <w:style w:type="character" w:default="1" w:styleId="11">
    <w:name w:val="Default Paragraph Font"/>
    <w:unhideWhenUsed/>
    <w:uiPriority w:val="1"/>
  </w:style>
  <w:style w:type="table" w:default="1" w:styleId="12">
    <w:name w:val="Normal Table"/>
    <w:semiHidden/>
    <w:unhideWhenUsed/>
    <w:qFormat/>
    <w:uiPriority w:val="99"/>
    <w:tblPr>
      <w:tblStyle w:val="12"/>
      <w:tblCellMar>
        <w:top w:w="0" w:type="dxa"/>
        <w:left w:w="108" w:type="dxa"/>
        <w:bottom w:w="0" w:type="dxa"/>
        <w:right w:w="108" w:type="dxa"/>
      </w:tblCellMar>
    </w:tblPr>
    <w:trPr>
      <w:wBefore w:w="0" w:type="dxa"/>
    </w:trPr>
  </w:style>
  <w:style w:type="character" w:styleId="13">
    <w:name w:val="annotation reference"/>
    <w:semiHidden/>
    <w:uiPriority w:val="0"/>
    <w:rPr>
      <w:sz w:val="16"/>
      <w:szCs w:val="16"/>
    </w:rPr>
  </w:style>
  <w:style w:type="character" w:styleId="14">
    <w:name w:val="page number"/>
    <w:basedOn w:val="11"/>
    <w:uiPriority w:val="0"/>
  </w:style>
  <w:style w:type="paragraph" w:styleId="15">
    <w:name w:val="annotation subject"/>
    <w:basedOn w:val="16"/>
    <w:next w:val="16"/>
    <w:semiHidden/>
    <w:uiPriority w:val="0"/>
    <w:rPr>
      <w:b/>
      <w:bCs/>
    </w:rPr>
  </w:style>
  <w:style w:type="paragraph" w:styleId="16">
    <w:name w:val="annotation text"/>
    <w:basedOn w:val="1"/>
    <w:semiHidden/>
    <w:uiPriority w:val="0"/>
    <w:rPr>
      <w:sz w:val="20"/>
      <w:szCs w:val="20"/>
    </w:rPr>
  </w:style>
  <w:style w:type="paragraph" w:styleId="17">
    <w:name w:val="Balloon Text"/>
    <w:basedOn w:val="1"/>
    <w:semiHidden/>
    <w:uiPriority w:val="0"/>
    <w:rPr>
      <w:rFonts w:ascii="Tahoma" w:hAnsi="Tahoma" w:cs="Tahoma"/>
      <w:sz w:val="16"/>
      <w:szCs w:val="16"/>
    </w:rPr>
  </w:style>
  <w:style w:type="paragraph" w:styleId="18">
    <w:name w:val="Body Text 2"/>
    <w:basedOn w:val="1"/>
    <w:uiPriority w:val="0"/>
    <w:pPr>
      <w:spacing w:line="360" w:lineRule="auto"/>
      <w:jc w:val="both"/>
    </w:pPr>
    <w:rPr>
      <w:rFonts w:ascii="Arial" w:hAnsi="Arial"/>
      <w:szCs w:val="20"/>
    </w:rPr>
  </w:style>
  <w:style w:type="paragraph" w:styleId="19">
    <w:name w:val="header"/>
    <w:basedOn w:val="1"/>
    <w:link w:val="37"/>
    <w:uiPriority w:val="99"/>
    <w:pPr>
      <w:tabs>
        <w:tab w:val="center" w:pos="4419"/>
        <w:tab w:val="right" w:pos="8838"/>
      </w:tabs>
    </w:pPr>
    <w:rPr>
      <w:rFonts w:ascii="Arial" w:hAnsi="Arial"/>
      <w:szCs w:val="20"/>
    </w:rPr>
  </w:style>
  <w:style w:type="paragraph" w:styleId="20">
    <w:name w:val="Body Text Indent 3"/>
    <w:basedOn w:val="1"/>
    <w:uiPriority w:val="0"/>
    <w:pPr>
      <w:tabs>
        <w:tab w:val="left" w:pos="8789"/>
      </w:tabs>
      <w:spacing w:before="120" w:after="120" w:line="360" w:lineRule="auto"/>
      <w:ind w:right="18" w:firstLine="1134"/>
      <w:jc w:val="both"/>
    </w:pPr>
    <w:rPr>
      <w:rFonts w:ascii="Arial" w:hAnsi="Arial" w:cs="Arial"/>
      <w:szCs w:val="20"/>
    </w:rPr>
  </w:style>
  <w:style w:type="paragraph" w:styleId="21">
    <w:name w:val="Body Text Indent"/>
    <w:basedOn w:val="1"/>
    <w:uiPriority w:val="0"/>
    <w:pPr>
      <w:spacing w:line="360" w:lineRule="auto"/>
      <w:ind w:firstLine="708"/>
      <w:jc w:val="both"/>
    </w:pPr>
    <w:rPr>
      <w:rFonts w:ascii="Arial" w:hAnsi="Arial"/>
      <w:b/>
      <w:i/>
      <w:szCs w:val="20"/>
    </w:rPr>
  </w:style>
  <w:style w:type="paragraph" w:styleId="22">
    <w:name w:val="Normal (Web)"/>
    <w:basedOn w:val="1"/>
    <w:link w:val="34"/>
    <w:uiPriority w:val="99"/>
    <w:pPr>
      <w:spacing w:before="100" w:beforeAutospacing="1" w:after="100" w:afterAutospacing="1"/>
    </w:pPr>
  </w:style>
  <w:style w:type="paragraph" w:styleId="23">
    <w:name w:val="footer"/>
    <w:basedOn w:val="1"/>
    <w:link w:val="40"/>
    <w:uiPriority w:val="99"/>
    <w:pPr>
      <w:tabs>
        <w:tab w:val="center" w:pos="4252"/>
        <w:tab w:val="right" w:pos="8504"/>
      </w:tabs>
    </w:pPr>
  </w:style>
  <w:style w:type="paragraph" w:styleId="24">
    <w:name w:val="Body Text Indent 2"/>
    <w:basedOn w:val="1"/>
    <w:link w:val="38"/>
    <w:uiPriority w:val="0"/>
    <w:pPr>
      <w:spacing w:after="120" w:line="480" w:lineRule="auto"/>
      <w:ind w:left="283"/>
    </w:pPr>
  </w:style>
  <w:style w:type="paragraph" w:styleId="25">
    <w:name w:val="Block Text"/>
    <w:basedOn w:val="1"/>
    <w:uiPriority w:val="0"/>
    <w:pPr>
      <w:tabs>
        <w:tab w:val="left" w:pos="8789"/>
      </w:tabs>
      <w:spacing w:before="240" w:after="240" w:line="360" w:lineRule="atLeast"/>
      <w:ind w:left="426" w:right="474"/>
      <w:jc w:val="both"/>
    </w:pPr>
    <w:rPr>
      <w:rFonts w:ascii="Arial" w:hAnsi="Arial"/>
      <w:szCs w:val="20"/>
      <w:lang w:val="es-MX"/>
    </w:rPr>
  </w:style>
  <w:style w:type="paragraph" w:styleId="26">
    <w:name w:val="Body Text"/>
    <w:basedOn w:val="1"/>
    <w:link w:val="47"/>
    <w:uiPriority w:val="0"/>
    <w:pPr>
      <w:spacing w:after="120"/>
      <w:jc w:val="both"/>
    </w:pPr>
    <w:rPr>
      <w:rFonts w:ascii="Arial" w:hAnsi="Arial"/>
      <w:b/>
      <w:i/>
      <w:szCs w:val="20"/>
      <w:u w:val="single"/>
      <w:lang/>
    </w:rPr>
  </w:style>
  <w:style w:type="paragraph" w:styleId="27">
    <w:name w:val="Body Text 3"/>
    <w:basedOn w:val="1"/>
    <w:uiPriority w:val="0"/>
    <w:pPr>
      <w:spacing w:after="120"/>
    </w:pPr>
    <w:rPr>
      <w:sz w:val="16"/>
      <w:szCs w:val="16"/>
    </w:rPr>
  </w:style>
  <w:style w:type="table" w:styleId="28">
    <w:name w:val="Table Grid"/>
    <w:basedOn w:val="12"/>
    <w:uiPriority w:val="0"/>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
    <w:name w:val="Texto de bloque1"/>
    <w:basedOn w:val="1"/>
    <w:uiPriority w:val="0"/>
    <w:pPr>
      <w:spacing w:before="240" w:after="240" w:line="360" w:lineRule="atLeast"/>
      <w:ind w:left="567" w:right="618"/>
      <w:jc w:val="both"/>
    </w:pPr>
    <w:rPr>
      <w:rFonts w:ascii="Arial" w:hAnsi="Arial"/>
      <w:szCs w:val="20"/>
      <w:lang/>
    </w:rPr>
  </w:style>
  <w:style w:type="paragraph" w:customStyle="1" w:styleId="30">
    <w:name w:val="Texto independiente 31"/>
    <w:basedOn w:val="1"/>
    <w:uiPriority w:val="0"/>
    <w:pPr>
      <w:spacing w:after="120"/>
      <w:jc w:val="both"/>
    </w:pPr>
    <w:rPr>
      <w:rFonts w:ascii="Arial" w:hAnsi="Arial"/>
      <w:b/>
      <w:szCs w:val="20"/>
      <w:lang/>
    </w:rPr>
  </w:style>
  <w:style w:type="paragraph" w:customStyle="1" w:styleId="31">
    <w:name w:val="WW-Texto independiente 2"/>
    <w:basedOn w:val="1"/>
    <w:uiPriority w:val="0"/>
    <w:pPr>
      <w:widowControl w:val="0"/>
      <w:suppressAutoHyphens/>
      <w:overflowPunct w:val="0"/>
      <w:autoSpaceDE w:val="0"/>
      <w:autoSpaceDN w:val="0"/>
      <w:adjustRightInd w:val="0"/>
      <w:spacing w:line="360" w:lineRule="auto"/>
      <w:jc w:val="both"/>
      <w:textAlignment w:val="baseline"/>
    </w:pPr>
    <w:rPr>
      <w:rFonts w:ascii="Arial" w:hAnsi="Arial"/>
      <w:sz w:val="21"/>
      <w:szCs w:val="20"/>
      <w:lang/>
    </w:rPr>
  </w:style>
  <w:style w:type="paragraph" w:customStyle="1" w:styleId="32">
    <w:name w:val="xl44"/>
    <w:basedOn w:val="1"/>
    <w:uiPriority w:val="0"/>
    <w:pPr>
      <w:pBdr>
        <w:left w:val="double" w:color="000000" w:sz="6" w:space="0"/>
      </w:pBdr>
      <w:suppressAutoHyphens/>
      <w:overflowPunct w:val="0"/>
      <w:autoSpaceDE w:val="0"/>
      <w:autoSpaceDN w:val="0"/>
      <w:adjustRightInd w:val="0"/>
      <w:spacing w:before="100" w:after="100"/>
      <w:jc w:val="both"/>
      <w:textAlignment w:val="baseline"/>
    </w:pPr>
    <w:rPr>
      <w:rFonts w:ascii="Arial" w:hAnsi="Arial"/>
      <w:szCs w:val="20"/>
    </w:rPr>
  </w:style>
  <w:style w:type="paragraph" w:customStyle="1" w:styleId="33">
    <w:name w:val="T"/>
    <w:basedOn w:val="1"/>
    <w:uiPriority w:val="0"/>
    <w:pPr>
      <w:tabs>
        <w:tab w:val="left" w:pos="426"/>
        <w:tab w:val="left" w:pos="851"/>
        <w:tab w:val="left" w:pos="1276"/>
        <w:tab w:val="left" w:leader="dot" w:pos="5245"/>
        <w:tab w:val="right" w:pos="6096"/>
      </w:tabs>
      <w:ind w:left="426" w:right="49" w:hanging="426"/>
      <w:jc w:val="both"/>
    </w:pPr>
    <w:rPr>
      <w:rFonts w:ascii="Arial" w:hAnsi="Arial"/>
      <w:snapToGrid w:val="0"/>
      <w:sz w:val="18"/>
      <w:szCs w:val="20"/>
    </w:rPr>
  </w:style>
  <w:style w:type="character" w:customStyle="1" w:styleId="34">
    <w:name w:val="Normal (Web) Car"/>
    <w:aliases w:val="Normal (Web)1 Car Car1,Normal (Web)1 Car Car Car,Normal (Web)1 Car Car Car Car Car Car Car Car Car Car Car Car Car Car Car Car Car Car Car Car Car Car Car Car Car Car Car Car Car Car"/>
    <w:link w:val="22"/>
    <w:uiPriority w:val="0"/>
    <w:rPr>
      <w:sz w:val="24"/>
      <w:szCs w:val="24"/>
      <w:lang w:val="es-ES" w:eastAsia="es-ES" w:bidi="ar-SA"/>
    </w:rPr>
  </w:style>
  <w:style w:type="paragraph" w:customStyle="1" w:styleId="35">
    <w:name w:val="Char Char Car Car Car Car Car Car Car Car3 Car Car Car Car Car Car Car Car Car Car Car Car Car"/>
    <w:basedOn w:val="1"/>
    <w:uiPriority w:val="0"/>
    <w:pPr>
      <w:spacing w:after="160" w:line="240" w:lineRule="exact"/>
    </w:pPr>
    <w:rPr>
      <w:rFonts w:ascii="Tahoma" w:hAnsi="Tahoma"/>
      <w:sz w:val="20"/>
      <w:szCs w:val="20"/>
      <w:lang w:eastAsia="en-US"/>
    </w:rPr>
  </w:style>
  <w:style w:type="character" w:customStyle="1" w:styleId="36">
    <w:name w:val="Título 5 Car"/>
    <w:link w:val="6"/>
    <w:uiPriority w:val="0"/>
    <w:rPr>
      <w:rFonts w:ascii="Arial" w:hAnsi="Arial"/>
      <w:b/>
      <w:sz w:val="24"/>
      <w:szCs w:val="24"/>
      <w:lang w:val="es-MX" w:eastAsia="es-ES"/>
    </w:rPr>
  </w:style>
  <w:style w:type="character" w:customStyle="1" w:styleId="37">
    <w:name w:val="Encabezado Car"/>
    <w:link w:val="19"/>
    <w:uiPriority w:val="99"/>
    <w:rPr>
      <w:rFonts w:ascii="Arial" w:hAnsi="Arial"/>
      <w:sz w:val="24"/>
      <w:lang w:val="es-ES" w:eastAsia="es-ES"/>
    </w:rPr>
  </w:style>
  <w:style w:type="character" w:customStyle="1" w:styleId="38">
    <w:name w:val="Sangría 2 de t. independiente Car"/>
    <w:link w:val="24"/>
    <w:uiPriority w:val="0"/>
    <w:rPr>
      <w:sz w:val="24"/>
      <w:szCs w:val="24"/>
      <w:lang w:val="es-ES" w:eastAsia="es-ES"/>
    </w:rPr>
  </w:style>
  <w:style w:type="paragraph" w:styleId="39">
    <w:name w:val="List Paragraph"/>
    <w:basedOn w:val="1"/>
    <w:qFormat/>
    <w:uiPriority w:val="34"/>
    <w:pPr>
      <w:ind w:left="720"/>
      <w:contextualSpacing/>
    </w:pPr>
  </w:style>
  <w:style w:type="character" w:customStyle="1" w:styleId="40">
    <w:name w:val="Pie de página Car"/>
    <w:link w:val="23"/>
    <w:uiPriority w:val="99"/>
    <w:rPr>
      <w:sz w:val="24"/>
      <w:szCs w:val="24"/>
      <w:lang w:val="es-ES" w:eastAsia="es-ES"/>
    </w:rPr>
  </w:style>
  <w:style w:type="paragraph" w:customStyle="1" w:styleId="41">
    <w:name w:val="Default"/>
    <w:link w:val="46"/>
    <w:uiPriority w:val="0"/>
    <w:pPr>
      <w:autoSpaceDE w:val="0"/>
      <w:autoSpaceDN w:val="0"/>
      <w:adjustRightInd w:val="0"/>
    </w:pPr>
    <w:rPr>
      <w:rFonts w:ascii="Tahoma" w:hAnsi="Tahoma"/>
      <w:color w:val="000000"/>
      <w:sz w:val="24"/>
      <w:szCs w:val="24"/>
      <w:lang w:val="es-ES" w:eastAsia="es-ES" w:bidi="ar-SA"/>
    </w:rPr>
  </w:style>
  <w:style w:type="character" w:customStyle="1" w:styleId="42">
    <w:name w:val="red1"/>
    <w:uiPriority w:val="0"/>
    <w:rPr>
      <w:b/>
      <w:bCs/>
      <w:color w:val="0000FF"/>
      <w:shd w:val="clear" w:color="auto" w:fill="FFFF00"/>
    </w:rPr>
  </w:style>
  <w:style w:type="character" w:customStyle="1" w:styleId="43">
    <w:name w:val="ecxlabesdetalle"/>
    <w:basedOn w:val="11"/>
    <w:uiPriority w:val="0"/>
  </w:style>
  <w:style w:type="character" w:customStyle="1" w:styleId="44">
    <w:name w:val="ecxgoog_qs-tidbit-0"/>
    <w:basedOn w:val="11"/>
    <w:uiPriority w:val="0"/>
  </w:style>
  <w:style w:type="character" w:customStyle="1" w:styleId="45">
    <w:name w:val="ecxgoog_qs-tidbit-1"/>
    <w:basedOn w:val="11"/>
    <w:uiPriority w:val="0"/>
  </w:style>
  <w:style w:type="character" w:customStyle="1" w:styleId="46">
    <w:name w:val="Default Car"/>
    <w:link w:val="41"/>
    <w:locked/>
    <w:uiPriority w:val="0"/>
    <w:rPr>
      <w:rFonts w:ascii="Tahoma" w:hAnsi="Tahoma"/>
      <w:color w:val="000000"/>
      <w:sz w:val="24"/>
      <w:szCs w:val="24"/>
      <w:lang w:val="es-ES" w:eastAsia="es-ES" w:bidi="ar-SA"/>
    </w:rPr>
  </w:style>
  <w:style w:type="character" w:customStyle="1" w:styleId="47">
    <w:name w:val="Texto independiente Car"/>
    <w:link w:val="26"/>
    <w:uiPriority w:val="0"/>
    <w:rPr>
      <w:rFonts w:ascii="Arial" w:hAnsi="Arial"/>
      <w:b/>
      <w:i/>
      <w:sz w:val="24"/>
      <w:u w:val="single"/>
      <w:lang/>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4877</Words>
  <Characters>26824</Characters>
  <Lines>223</Lines>
  <Paragraphs>63</Paragraphs>
  <TotalTime>0</TotalTime>
  <ScaleCrop>false</ScaleCrop>
  <LinksUpToDate>false</LinksUpToDate>
  <CharactersWithSpaces>31638</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2020-11-26T14:37:00Z</dcterms:created>
  <dc:creator>Delmy Cruz</dc:creator>
  <cp:lastModifiedBy>sistemas</cp:lastModifiedBy>
  <cp:lastPrinted>2020-11-26T14:37:00Z</cp:lastPrinted>
  <dcterms:modified xsi:type="dcterms:W3CDTF">2020-12-02T16:10:45Z</dcterms:modified>
  <dc:title>COMISIONES PERMANENTES DE LEGISLACIÓN, PUNTOS CONSTITUCIONALES, GOBERNACIÓN Y ASUNTOS ELECTORALES Y DE HACIENDA PÚBLICA, INSPE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3082-11.1.0.9719</vt:lpwstr>
  </property>
</Properties>
</file>