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rPr>
          <w:rFonts w:ascii="Century Gothic" w:hAnsi="Century Gothic"/>
          <w:b/>
          <w:sz w:val="20"/>
          <w:szCs w:val="20"/>
        </w:rPr>
      </w:pPr>
      <w:bookmarkStart w:id="7" w:name="_GoBack"/>
      <w:bookmarkEnd w:id="7"/>
      <w:r>
        <w:rPr>
          <w:rFonts w:ascii="Century Gothic" w:hAnsi="Century Gothic"/>
          <w:b/>
          <w:sz w:val="20"/>
          <w:szCs w:val="20"/>
        </w:rPr>
        <w:t>H. CONGRESO DEL ESTADO DE YUCATÁN</w:t>
      </w:r>
    </w:p>
    <w:p>
      <w:pPr>
        <w:spacing w:line="276" w:lineRule="auto"/>
        <w:rPr>
          <w:rFonts w:ascii="Century Gothic" w:hAnsi="Century Gothic"/>
          <w:b/>
          <w:sz w:val="20"/>
          <w:szCs w:val="20"/>
        </w:rPr>
      </w:pPr>
      <w:r>
        <w:rPr>
          <w:rFonts w:ascii="Century Gothic" w:hAnsi="Century Gothic"/>
          <w:b/>
          <w:sz w:val="20"/>
          <w:szCs w:val="20"/>
        </w:rPr>
        <w:t>PRESENTE.</w:t>
      </w:r>
    </w:p>
    <w:p>
      <w:pPr>
        <w:spacing w:line="276" w:lineRule="auto"/>
        <w:rPr>
          <w:rFonts w:ascii="Century Gothic" w:hAnsi="Century Gothic"/>
          <w:sz w:val="20"/>
          <w:szCs w:val="20"/>
          <w:lang w:val="es-MX"/>
        </w:rPr>
      </w:pPr>
      <w:r>
        <w:rPr>
          <w:rFonts w:ascii="Century Gothic" w:hAnsi="Century Gothic"/>
          <w:sz w:val="20"/>
          <w:szCs w:val="20"/>
          <w:lang w:val="es-MX"/>
        </w:rPr>
        <w:t>El H. Ayuntamiento de Mérida 2018-2021 en ejercicio de la facultad que le confiere el artículo 35, fracción IV, de la Constitución Política y 16 de la Ley de Gobierno del Poder Legislativo, ambas del Estado de Yucatán, y bajo la aprobación del Cabildo, presenta la siguiente Iniciativa de reformas a la Ley de Hacienda del Municipio de Mérida, Yucatán, con base a la siguiente:</w:t>
      </w:r>
    </w:p>
    <w:p>
      <w:pPr>
        <w:spacing w:line="276" w:lineRule="auto"/>
        <w:jc w:val="center"/>
        <w:rPr>
          <w:rFonts w:ascii="Century Gothic" w:hAnsi="Century Gothic"/>
          <w:sz w:val="20"/>
          <w:szCs w:val="20"/>
        </w:rPr>
      </w:pPr>
      <w:r>
        <w:rPr>
          <w:rFonts w:ascii="Century Gothic" w:hAnsi="Century Gothic"/>
          <w:b/>
          <w:iCs/>
          <w:sz w:val="20"/>
          <w:szCs w:val="20"/>
        </w:rPr>
        <w:t>EXPOSICIÓN DE MOTIVOS</w:t>
      </w:r>
    </w:p>
    <w:p>
      <w:pPr>
        <w:spacing w:line="276" w:lineRule="auto"/>
        <w:rPr>
          <w:rFonts w:ascii="Century Gothic" w:hAnsi="Century Gothic"/>
          <w:iCs/>
          <w:sz w:val="20"/>
          <w:szCs w:val="20"/>
          <w:lang w:val="es-MX"/>
        </w:rPr>
      </w:pPr>
      <w:bookmarkStart w:id="0" w:name="_Hlk56531934"/>
      <w:r>
        <w:rPr>
          <w:rFonts w:ascii="Century Gothic" w:hAnsi="Century Gothic"/>
          <w:iCs/>
          <w:sz w:val="20"/>
          <w:szCs w:val="20"/>
          <w:lang w:val="es-MX"/>
        </w:rPr>
        <w:t xml:space="preserve">De conformidad con lo establecido por el artículo 31, fracción IV, de la Constitución Política de los Estados Unidos Mexicanos, es obligación de los mexicanos, contribuir para los gastos públicos de la Federación, de los Estados, de la Ciudad de México y del Municipio en que residan, de la manera proporcional y equitativa que dispongan las leyes. </w:t>
      </w:r>
    </w:p>
    <w:p>
      <w:pPr>
        <w:spacing w:line="276" w:lineRule="auto"/>
        <w:rPr>
          <w:rFonts w:ascii="Century Gothic" w:hAnsi="Century Gothic"/>
          <w:iCs/>
          <w:sz w:val="20"/>
          <w:szCs w:val="20"/>
          <w:lang w:val="es-MX"/>
        </w:rPr>
      </w:pPr>
      <w:r>
        <w:rPr>
          <w:rFonts w:ascii="Century Gothic" w:hAnsi="Century Gothic"/>
          <w:iCs/>
          <w:sz w:val="20"/>
          <w:szCs w:val="20"/>
          <w:lang w:val="es-MX"/>
        </w:rPr>
        <w:t>Una de las principales funciones de un gobierno es satisfacer las necesidades básicas de sus gobernados, y para ello, éste tiene que propiciar las condiciones para generar y allegarse de los recursos suficientes para atender las demandas de la sociedad y las necesidades que se derivan del proceso de desarrollo económico y del bienestar social.</w:t>
      </w:r>
    </w:p>
    <w:p>
      <w:pPr>
        <w:spacing w:line="276" w:lineRule="auto"/>
        <w:rPr>
          <w:rFonts w:ascii="Century Gothic" w:hAnsi="Century Gothic"/>
          <w:iCs/>
          <w:sz w:val="20"/>
          <w:szCs w:val="20"/>
          <w:lang w:val="es-MX"/>
        </w:rPr>
      </w:pPr>
      <w:r>
        <w:rPr>
          <w:rFonts w:ascii="Century Gothic" w:hAnsi="Century Gothic"/>
          <w:iCs/>
          <w:sz w:val="20"/>
          <w:szCs w:val="20"/>
          <w:lang w:val="es-MX"/>
        </w:rPr>
        <w:t>El Ayuntamiento de Mérida, atendiendo a los compromisos de la Administración 2018-2021, enfoca sus acciones en mantener un marco jurídico acorde a nuestra realidad socioeconómica, transparente, con cuentas claras, garante de los principios constitucionales, mediante un esquema de fortalecimiento de los ingresos propios, con orden, disciplina, equidad y sustento en el gasto, que redunden en obras, propiciando un escenario en el que confluyan el crecimiento económico de la entidad y el bienestar común de los habitantes de nuestro Municipio.</w:t>
      </w:r>
    </w:p>
    <w:p>
      <w:pPr>
        <w:spacing w:line="276" w:lineRule="auto"/>
        <w:rPr>
          <w:rFonts w:ascii="Century Gothic" w:hAnsi="Century Gothic"/>
          <w:iCs/>
          <w:sz w:val="20"/>
          <w:szCs w:val="20"/>
          <w:lang w:val="es-MX"/>
        </w:rPr>
      </w:pPr>
      <w:r>
        <w:rPr>
          <w:rFonts w:ascii="Century Gothic" w:hAnsi="Century Gothic"/>
          <w:iCs/>
          <w:sz w:val="20"/>
          <w:szCs w:val="20"/>
          <w:lang w:val="es-MX"/>
        </w:rPr>
        <w:t>Por lo anterior, esta autoridad mantiene la administración pública en constante perfeccionamiento, adecuándola a las necesidades técnicas y humanas de la Entidad, considerando que día a día crece la demanda de los servicios de los ciudadanos, por lo que se requiere la generación de recursos públicos para dotar de dichos servicios a la ciudadanía.</w:t>
      </w:r>
    </w:p>
    <w:p>
      <w:pPr>
        <w:spacing w:line="276" w:lineRule="auto"/>
        <w:rPr>
          <w:rFonts w:ascii="Century Gothic" w:hAnsi="Century Gothic"/>
          <w:iCs/>
          <w:sz w:val="20"/>
          <w:szCs w:val="20"/>
          <w:lang w:val="es-MX"/>
        </w:rPr>
      </w:pPr>
      <w:r>
        <w:rPr>
          <w:rFonts w:ascii="Century Gothic" w:hAnsi="Century Gothic"/>
          <w:iCs/>
          <w:sz w:val="20"/>
          <w:szCs w:val="20"/>
          <w:lang w:val="es-MX"/>
        </w:rPr>
        <w:t>De esta forma, la presente Administración conjunta esfuerzos, políticas, planes, programas y acciones que garanticen el acceso y ejercicio de todos los derechos constitucionales orientados al desarrollo del Municipio de Mérida.</w:t>
      </w:r>
    </w:p>
    <w:p>
      <w:pPr>
        <w:spacing w:line="276" w:lineRule="auto"/>
        <w:rPr>
          <w:rFonts w:ascii="Century Gothic" w:hAnsi="Century Gothic"/>
          <w:iCs/>
          <w:sz w:val="20"/>
          <w:szCs w:val="20"/>
          <w:lang w:val="es-MX"/>
        </w:rPr>
      </w:pPr>
      <w:r>
        <w:rPr>
          <w:rFonts w:ascii="Century Gothic" w:hAnsi="Century Gothic"/>
          <w:iCs/>
          <w:sz w:val="20"/>
          <w:szCs w:val="20"/>
          <w:lang w:val="es-MX"/>
        </w:rPr>
        <w:t xml:space="preserve">En tal sentido, se proponen diversas adecuaciones a la legislación hacendaria, por lo que de aprobarse la presente propuesta, el Congreso del Estado de Yucatán, contribuirá a consolidar el marco normativo-financiero del Municipio de Mérida, otorgándole herramientas para fortalecer el sistema de recaudación que redunde en el saneamiento de las finanzas públicas, la transparencia y la rendición de cuentas y que proporcione mayor certidumbre al contribuyente en cuanto a las contribuciones que debe pagar, cuidando los principios de equidad y proporcionalidad que consagra la Constitución Política de los Estados Unidos Mexicanos, procurando la reorientación del destino de los ingresos públicos hacia la atención de las necesidades más apremiantes de los ciudadanos y, que permita de igual forma, aminorar los efectos que produce la parcial dependencia que se tiene de las participaciones Federales y Estatales, que si bien es cierto son imprescindibles, también lo es que por su naturaleza son inciertas o variables. </w:t>
      </w:r>
    </w:p>
    <w:p>
      <w:pPr>
        <w:spacing w:line="276" w:lineRule="auto"/>
        <w:rPr>
          <w:rFonts w:ascii="Century Gothic" w:hAnsi="Century Gothic"/>
          <w:iCs/>
          <w:sz w:val="20"/>
          <w:szCs w:val="20"/>
          <w:lang w:val="es-MX"/>
        </w:rPr>
      </w:pPr>
      <w:bookmarkStart w:id="1" w:name="_Hlk56531284"/>
      <w:r>
        <w:rPr>
          <w:rFonts w:ascii="Century Gothic" w:hAnsi="Century Gothic"/>
          <w:iCs/>
          <w:sz w:val="20"/>
          <w:szCs w:val="20"/>
          <w:lang w:val="es-MX"/>
        </w:rPr>
        <w:t>Con el fin de continuar el fortalecimiento de la Hacienda Pública, propósito fundamental de esta Administración, se genera la necesidad de mantener la certeza jurídica a los ciudadanos, mediante los ajustes encaminados al mejor desempeño de la Ley de Hacienda en cumplimiento con las disposiciones normativas vigentes. Cabe resaltar que no se proponen alzas a las tarifas o tasas de los impuestos.</w:t>
      </w:r>
    </w:p>
    <w:bookmarkEnd w:id="1"/>
    <w:p>
      <w:pPr>
        <w:spacing w:line="276" w:lineRule="auto"/>
        <w:rPr>
          <w:rFonts w:ascii="Century Gothic" w:hAnsi="Century Gothic"/>
          <w:iCs/>
          <w:sz w:val="20"/>
          <w:szCs w:val="20"/>
          <w:lang w:val="es-MX"/>
        </w:rPr>
      </w:pPr>
      <w:r>
        <w:rPr>
          <w:rFonts w:ascii="Century Gothic" w:hAnsi="Century Gothic"/>
          <w:iCs/>
          <w:sz w:val="20"/>
          <w:szCs w:val="20"/>
          <w:lang w:val="es-MX"/>
        </w:rPr>
        <w:t xml:space="preserve">Los impuestos municipales son las contribuciones establecidas en la Ley de Hacienda que deben pagar las personas físicas y las morales que se encuentren en las situaciones jurídicas o de hecho, previstas por la misma, y que sean distintas a los derechos y contribuciones de mejora, en este contexto, este proyecto no contempla actualización de valores catastrales, sin embargo, se propone reformar el artículo 46 de la Ley de Hacienda del Municipio de Mérida, en su fracción I, al incorporarse a las tablas de valores unitarios de terreno los valores vigentes asignados a las unidades habitacionales o condominios que fueron creados en el transcurso del ejercicio fiscal 2020 mismos que se incluyen en tablas de la Sección 6: fraccionamiento Tabia; Sección 18: colonia San José Tzal; Sección 31: fraccionamiento Providencia; Sección 33: condominio Alera, condominio Dzitya 20, condominio Moratta Privada Residencial, condominio Real Laguna Privada Residencial; Sección 34: condominio Amidanah, condominio Corazón de Tierra, condominio Kahuna Villas Temozón, condominio Lucera Town Houses, condominio Skywork, condominio Soluna, condominio Syrah, condominio Townhouses vía 29, condominio Volu, condominio Xa’an Temozón; Sección 35: condominio Gardena, condominio Gran Valle, condominio La Vida, condominio Macora 86, condominio U-tara Towers, condominio Varena, condominio Yukan, condominio Zentura; Sección 36: fraccionamiento Punta Esmeralda; Sección 43: condominio Tapiola; Sección 44: condominio Altozano la nueva Mérida Fogata, condominio residencial Amaranto Luxury Homes y Sección 45: condominio Arcadia y condominio Compostela; asimismo, se propone la corrección del nombre de la comisaría “Tahdzibichén” ubicada en la Sección 37 al encontrarse como “Tahzibichén”; esto, de conformidad al artículo 3 inciso A, del Reglamento de Comisarías y Subcomisarías del Municipio de Mérida. </w:t>
      </w:r>
    </w:p>
    <w:p>
      <w:pPr>
        <w:spacing w:line="276" w:lineRule="auto"/>
        <w:rPr>
          <w:rFonts w:ascii="Century Gothic" w:hAnsi="Century Gothic"/>
          <w:iCs/>
          <w:sz w:val="20"/>
          <w:szCs w:val="20"/>
        </w:rPr>
      </w:pPr>
      <w:bookmarkStart w:id="2" w:name="_Hlk56961912"/>
      <w:r>
        <w:rPr>
          <w:rFonts w:ascii="Century Gothic" w:hAnsi="Century Gothic"/>
          <w:iCs/>
          <w:sz w:val="20"/>
          <w:szCs w:val="20"/>
        </w:rPr>
        <w:t xml:space="preserve">Considerando que el impuesto predial es una de las más importantes fuentes de ingresos de captación directa a nivel municipal, y con el fin de no afectar la economía de los hogares que ya han sido alcanzados por los efectos que genera la pandemia derivada del virus SARS-CoV-2, y a efecto de </w:t>
      </w:r>
      <w:r>
        <w:rPr>
          <w:rFonts w:ascii="Century Gothic" w:hAnsi="Century Gothic"/>
          <w:sz w:val="20"/>
          <w:szCs w:val="20"/>
        </w:rPr>
        <w:t xml:space="preserve">proteger a los contribuyentes para que no se incremente su impuesto predial, </w:t>
      </w:r>
      <w:r>
        <w:rPr>
          <w:rFonts w:ascii="Century Gothic" w:hAnsi="Century Gothic"/>
          <w:iCs/>
          <w:sz w:val="20"/>
          <w:szCs w:val="20"/>
        </w:rPr>
        <w:t xml:space="preserve">se propone para el ejercicio 2021, en el artículo </w:t>
      </w:r>
      <w:r>
        <w:rPr>
          <w:rFonts w:ascii="Century Gothic" w:hAnsi="Century Gothic" w:cs="Tahoma"/>
          <w:sz w:val="20"/>
          <w:szCs w:val="20"/>
        </w:rPr>
        <w:t>Transitorio Noveno</w:t>
      </w:r>
      <w:r>
        <w:rPr>
          <w:rFonts w:ascii="Century Gothic" w:hAnsi="Century Gothic"/>
          <w:iCs/>
          <w:sz w:val="20"/>
          <w:szCs w:val="20"/>
        </w:rPr>
        <w:t xml:space="preserve">, </w:t>
      </w:r>
      <w:r>
        <w:rPr>
          <w:rFonts w:ascii="Century Gothic" w:hAnsi="Century Gothic"/>
          <w:sz w:val="20"/>
          <w:szCs w:val="20"/>
        </w:rPr>
        <w:t>que el importe anual a pagar por los contribuyentes del impuesto predial base valor catastral, no podrá exceder del que le haya correspondido durante el ejercicio fiscal 2020; efectuando este comparativo solamente sobre el impuesto principal, sin tomar en consideración bonificaciones, exenciones, reducciones, estímulos o accesorios legales. Con excepción de los predios que, como resultado de alguna modificación en su superficie de terreno, construcción, así como de la tipología de su construcción, haya aumentado en más de un 50% el valor catastral que tenía antes de dichas modificaciones, de conformidad con las disposiciones legales aplicables, en cuyo caso aplicará el cálculo establecido en el artículo 47 de la</w:t>
      </w:r>
      <w:r>
        <w:rPr>
          <w:rFonts w:ascii="Century Gothic" w:hAnsi="Century Gothic"/>
          <w:iCs/>
          <w:sz w:val="20"/>
          <w:szCs w:val="20"/>
          <w:lang w:val="es-MX"/>
        </w:rPr>
        <w:t xml:space="preserve"> Ley de Hacienda del Municipio de Mérida</w:t>
      </w:r>
      <w:r>
        <w:rPr>
          <w:rFonts w:ascii="Century Gothic" w:hAnsi="Century Gothic"/>
          <w:sz w:val="20"/>
          <w:szCs w:val="20"/>
        </w:rPr>
        <w:t>; y los predios que fueron objeto de traslación de dominio a partir del ejercicio inmediato anterior, en cuyo caso aplicará el cálculo establecido en el artículo 47 de la referida Ley</w:t>
      </w:r>
      <w:r>
        <w:rPr>
          <w:rFonts w:ascii="Century Gothic" w:hAnsi="Century Gothic"/>
          <w:iCs/>
          <w:sz w:val="20"/>
          <w:szCs w:val="20"/>
        </w:rPr>
        <w:t>. Asimismo, se incluye en ese mismo artículo un párrafo con la finalidad de que a partir del ejercicio 2022 se siga protegiendo a los contribuyentes, respecto del pago del impuesto predial base valor catastral.</w:t>
      </w:r>
    </w:p>
    <w:bookmarkEnd w:id="2"/>
    <w:p>
      <w:pPr>
        <w:spacing w:line="276" w:lineRule="auto"/>
        <w:rPr>
          <w:rFonts w:ascii="Century Gothic" w:hAnsi="Century Gothic"/>
          <w:iCs/>
          <w:sz w:val="20"/>
          <w:szCs w:val="20"/>
          <w:lang w:val="es-MX"/>
        </w:rPr>
      </w:pPr>
      <w:bookmarkStart w:id="3" w:name="_Hlk56961386"/>
      <w:r>
        <w:rPr>
          <w:rFonts w:ascii="Century Gothic" w:hAnsi="Century Gothic"/>
          <w:iCs/>
          <w:sz w:val="20"/>
          <w:szCs w:val="20"/>
          <w:lang w:val="es-MX"/>
        </w:rPr>
        <w:t xml:space="preserve">Se propone modificar la fracción VI del artículo 57 de la Ley de Hacienda del Municipio de Mérida, que a la letra dice: </w:t>
      </w:r>
      <w:r>
        <w:rPr>
          <w:rFonts w:ascii="Century Gothic" w:hAnsi="Century Gothic"/>
          <w:i/>
          <w:iCs/>
          <w:sz w:val="20"/>
          <w:szCs w:val="20"/>
          <w:lang w:val="es-MX"/>
        </w:rPr>
        <w:t>“Se exceptúa del pago del Impuesto Sobre Adquisición de Inmuebles en las adquisiciones que realicen la Federación, los Estados, los Municipios y en los casos siguientes: VI.-La donación entre consortes, ascendientes y descendientes en línea directa, con la comprobación del parentesco respectivo en original o copia certificada ante la Dirección de Finanzas y Tesorería Municipal”</w:t>
      </w:r>
      <w:r>
        <w:rPr>
          <w:rFonts w:ascii="Century Gothic" w:hAnsi="Century Gothic"/>
          <w:iCs/>
          <w:sz w:val="20"/>
          <w:szCs w:val="20"/>
          <w:lang w:val="es-MX"/>
        </w:rPr>
        <w:t xml:space="preserve">, la propuesta consiste en dejar única y exclusivamente el supuesto de excepción del pago del ISAI, esto es, </w:t>
      </w:r>
      <w:r>
        <w:rPr>
          <w:rFonts w:ascii="Century Gothic" w:hAnsi="Century Gothic"/>
          <w:i/>
          <w:iCs/>
          <w:sz w:val="20"/>
          <w:szCs w:val="20"/>
          <w:lang w:val="es-MX"/>
        </w:rPr>
        <w:t>“La donación entre consortes, ascendientes y descendientes en línea directa”</w:t>
      </w:r>
      <w:r>
        <w:rPr>
          <w:rFonts w:ascii="Century Gothic" w:hAnsi="Century Gothic"/>
          <w:iCs/>
          <w:sz w:val="20"/>
          <w:szCs w:val="20"/>
          <w:lang w:val="es-MX"/>
        </w:rPr>
        <w:t xml:space="preserve"> pues esa es la naturaleza y objeto de dicha disposición normativa. Estimamos que la iniciativa que se dictamina, encuentra sustento normativo en el artículo 96 de la Ley del Notariado del Estado de Yucatán, específicamente en su último párrafo, con relación a la fracción I de dicho artículo. Por lo que la facultad de comprobar el parentesco entre las personas que acuden a formalizar una traslación de dominio como la donación, es del Fedatario Público, ya que la esencia principal de la actividad notarial, consiste en otorgar fe pública de los actos que le sean presentados.</w:t>
      </w:r>
    </w:p>
    <w:bookmarkEnd w:id="3"/>
    <w:p>
      <w:pPr>
        <w:spacing w:line="276" w:lineRule="auto"/>
        <w:rPr>
          <w:rFonts w:ascii="Century Gothic" w:hAnsi="Century Gothic"/>
          <w:iCs/>
          <w:sz w:val="20"/>
          <w:szCs w:val="20"/>
          <w:lang w:val="es-MX"/>
        </w:rPr>
      </w:pPr>
      <w:r>
        <w:rPr>
          <w:rFonts w:ascii="Century Gothic" w:hAnsi="Century Gothic"/>
          <w:iCs/>
          <w:sz w:val="20"/>
          <w:szCs w:val="20"/>
          <w:lang w:val="es-MX"/>
        </w:rPr>
        <w:t xml:space="preserve">Los Derechos, son las contribuciones establecidas en la Ley de Hacienda del Municipio de Mérida como contraprestación por los servicios que presta el Ayuntamiento en sus funciones de Derecho Público, así como por el uso y aprovechamiento de los bienes de dominio público del patrimonio municipal destinados a la prestación de un servicio público. </w:t>
      </w:r>
    </w:p>
    <w:p>
      <w:pPr>
        <w:spacing w:line="276" w:lineRule="auto"/>
        <w:rPr>
          <w:rFonts w:ascii="Century Gothic" w:hAnsi="Century Gothic"/>
          <w:iCs/>
          <w:sz w:val="20"/>
          <w:szCs w:val="20"/>
          <w:lang w:val="es-MX"/>
        </w:rPr>
      </w:pPr>
      <w:r>
        <w:rPr>
          <w:rFonts w:ascii="Century Gothic" w:hAnsi="Century Gothic"/>
          <w:iCs/>
          <w:sz w:val="20"/>
          <w:szCs w:val="20"/>
          <w:lang w:val="es-MX"/>
        </w:rPr>
        <w:t>En ese mismo contexto y considerando que el Ayuntamiento de Mérida tiene a su cargo los servicios públicos por mandato Constitucional, se requiere tener la capacidad económica suficiente para garantizar la atención de las necesidades de la ciudadanía, y darle certeza jurídica a las solicitudes de los servicios que los ciudadanos requieren y que presta el Ayuntamiento.</w:t>
      </w:r>
    </w:p>
    <w:p>
      <w:pPr>
        <w:spacing w:line="276" w:lineRule="auto"/>
        <w:rPr>
          <w:rFonts w:ascii="Century Gothic" w:hAnsi="Century Gothic"/>
          <w:bCs/>
          <w:sz w:val="20"/>
          <w:szCs w:val="20"/>
        </w:rPr>
      </w:pPr>
      <w:r>
        <w:rPr>
          <w:rFonts w:ascii="Century Gothic" w:hAnsi="Century Gothic"/>
          <w:iCs/>
          <w:sz w:val="20"/>
          <w:szCs w:val="20"/>
          <w:lang w:val="es-MX"/>
        </w:rPr>
        <w:t>Con el fin de continuar en la lucha del fortalecimiento de la Hacienda Pública, propósito fundamental de esta administración, se genera la necesidad de mantener la calidad de vida de los ciudadanos, mediante el establecimiento de cuotas y tarifas con incrementos sustentables para hacerle frente a los compromisos de ofrecer servicios de calidad y que satisfagan las necesidades y demandas ciudadanas, para ello, es necesario determinar que los servicios tengan un valor justo e intrínsecamente relacionado con el servicio prestado, como consecuencia de esto, se propone actualizar diversos montos de los derechos por los servicios que presta el Ayuntamiento, a fin de que contribuyan al objeto fundamental de la política fiscal de generar los recursos financieros indispensables para el desarrollo adecuado de sus funciones, tal es el caso de la Dirección de Desarrollo Urbano, Dirección de Catastro y Dirección de Finanzas y Tesorería Municipal</w:t>
      </w:r>
      <w:r>
        <w:rPr>
          <w:rFonts w:ascii="Century Gothic" w:hAnsi="Century Gothic"/>
          <w:sz w:val="20"/>
          <w:szCs w:val="20"/>
        </w:rPr>
        <w:t>.</w:t>
      </w:r>
    </w:p>
    <w:p>
      <w:pPr>
        <w:spacing w:line="276" w:lineRule="auto"/>
        <w:rPr>
          <w:rFonts w:ascii="Century Gothic" w:hAnsi="Century Gothic"/>
          <w:iCs/>
          <w:sz w:val="20"/>
          <w:szCs w:val="20"/>
          <w:lang w:val="es-MX"/>
        </w:rPr>
      </w:pPr>
      <w:r>
        <w:rPr>
          <w:rFonts w:ascii="Century Gothic" w:hAnsi="Century Gothic"/>
          <w:iCs/>
          <w:sz w:val="20"/>
          <w:szCs w:val="20"/>
          <w:lang w:val="es-MX"/>
        </w:rPr>
        <w:t>Se actualiza el costo del servicio señalado en el numeral 7, de la fracción IV del artículo 76, relativo a la 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Dicha actualización del costo, se realiza en función de lo que eroga la Administración Pública Municipal en la prestación de tal servicio, ya que requiere de visita física, gastos de traslado, de artículos de oficina y de utilización de equipos de medición, para dar el seguimiento adecuado en tiempo y forma al servicio.</w:t>
      </w:r>
    </w:p>
    <w:p>
      <w:pPr>
        <w:spacing w:line="276" w:lineRule="auto"/>
        <w:rPr>
          <w:rFonts w:ascii="Century Gothic" w:hAnsi="Century Gothic"/>
          <w:iCs/>
          <w:sz w:val="20"/>
          <w:szCs w:val="20"/>
          <w:lang w:val="es-MX"/>
        </w:rPr>
      </w:pPr>
      <w:r>
        <w:rPr>
          <w:rFonts w:ascii="Century Gothic" w:hAnsi="Century Gothic"/>
          <w:iCs/>
          <w:sz w:val="20"/>
          <w:szCs w:val="20"/>
          <w:lang w:val="es-MX"/>
        </w:rPr>
        <w:t>Se reforma la fracción VIII del artículo 76, relativa al Dictamen Técnico, al adicionar a los numerales 1, 2, 3 y 4 sus respectivos incisos a), b), c) y d), asimismo al inciso b) de cada zona se le adicionan los puntos 1) y 2)</w:t>
      </w:r>
      <w:r>
        <w:rPr>
          <w:rStyle w:val="8"/>
          <w:rFonts w:ascii="Times New Roman" w:hAnsi="Times New Roman" w:eastAsia="Times New Roman"/>
          <w:lang w:eastAsia="es-ES"/>
        </w:rPr>
        <w:t xml:space="preserve">. </w:t>
      </w:r>
      <w:r>
        <w:rPr>
          <w:rFonts w:ascii="Century Gothic" w:hAnsi="Century Gothic"/>
          <w:iCs/>
          <w:sz w:val="20"/>
          <w:szCs w:val="20"/>
          <w:lang w:val="es-MX"/>
        </w:rPr>
        <w:t>Dicha reforma se realiza para establecer rangos en función al número de unidades a revisar en cada una de las 4 zonas establecidas de acuerdo al Programa Municipal de Desarrollo Urbano, vigente.</w:t>
      </w:r>
    </w:p>
    <w:p>
      <w:pPr>
        <w:spacing w:line="276" w:lineRule="auto"/>
        <w:rPr>
          <w:rFonts w:ascii="Century Gothic" w:hAnsi="Century Gothic"/>
          <w:iCs/>
          <w:sz w:val="20"/>
          <w:szCs w:val="20"/>
          <w:lang w:val="es-MX"/>
        </w:rPr>
      </w:pPr>
      <w:r>
        <w:rPr>
          <w:rFonts w:ascii="Century Gothic" w:hAnsi="Century Gothic"/>
          <w:iCs/>
          <w:sz w:val="20"/>
          <w:szCs w:val="20"/>
          <w:lang w:val="es-MX"/>
        </w:rPr>
        <w:t>Se adiciona el inciso l) a la fracción III, del artículo 89 por la expedición de oficio de diligencia</w:t>
      </w:r>
      <w:r>
        <w:rPr>
          <w:rStyle w:val="8"/>
          <w:rFonts w:ascii="Times New Roman" w:hAnsi="Times New Roman" w:eastAsia="Times New Roman"/>
          <w:lang w:eastAsia="es-ES"/>
        </w:rPr>
        <w:t xml:space="preserve"> </w:t>
      </w:r>
      <w:r>
        <w:rPr>
          <w:rFonts w:ascii="Century Gothic" w:hAnsi="Century Gothic"/>
          <w:iCs/>
          <w:sz w:val="20"/>
          <w:szCs w:val="20"/>
          <w:lang w:val="es-MX"/>
        </w:rPr>
        <w:t>de perito empadronado. Se solicita la inclusión de este servicio, ya que la Dirección de Catastro expedirá un oficio el cual tendrá la validez que el usuario requiere, esto en caso de ser aprobada por la Dirección la diligencia de validación en línea realizada por perito empadronado.</w:t>
      </w:r>
    </w:p>
    <w:p>
      <w:pPr>
        <w:spacing w:line="276" w:lineRule="auto"/>
        <w:rPr>
          <w:rFonts w:ascii="Century Gothic" w:hAnsi="Century Gothic"/>
          <w:iCs/>
          <w:sz w:val="20"/>
          <w:szCs w:val="20"/>
          <w:lang w:val="es-MX"/>
        </w:rPr>
      </w:pPr>
      <w:r>
        <w:rPr>
          <w:rFonts w:ascii="Century Gothic" w:hAnsi="Century Gothic"/>
          <w:iCs/>
          <w:sz w:val="20"/>
          <w:szCs w:val="20"/>
          <w:lang w:val="es-MX"/>
        </w:rPr>
        <w:t>Se reforman los incisos a) y b) de la fracción VII; se reforma el primer párrafo y se adiciona el inciso f), ambos de la fracción VIII del artículo 89. La razón de incluir el servicio de medición y procesamiento de cada punto altimétrico en el terreno, es debido a que, dadas las condiciones climatológicas de los últimos tiempos y la recomendación de expertos en la materia, hace imperante la necesidad de contar con un estudio que permita determinar y representar la altura de cada uno de los puntos respecto a un plano de referencia, ya sea para construir, determinar peculiaridades de drenaje, crear puntos de control, entre otros.</w:t>
      </w:r>
    </w:p>
    <w:p>
      <w:pPr>
        <w:spacing w:line="276" w:lineRule="auto"/>
        <w:rPr>
          <w:rFonts w:ascii="Century Gothic" w:hAnsi="Century Gothic"/>
          <w:iCs/>
          <w:sz w:val="20"/>
          <w:szCs w:val="20"/>
          <w:lang w:val="es-MX"/>
        </w:rPr>
      </w:pPr>
      <w:r>
        <w:rPr>
          <w:rFonts w:ascii="Century Gothic" w:hAnsi="Century Gothic"/>
          <w:iCs/>
          <w:sz w:val="20"/>
          <w:szCs w:val="20"/>
          <w:lang w:val="es-MX"/>
        </w:rPr>
        <w:t xml:space="preserve">Asimismo, se reforman los párrafos penúltimo y último actuales de la fracción VIII, del artículo 89, para precisar la fracción a la que se refieren. Y se adiciona un último párrafo a la fracción VIII del citado artículo, en el cual se precisa que la cuota a pagar será el 50% de los derechos correspondientes a los incisos d) y f) cuando el trabajo que requiera de una diligencia de verificación de altimetría sea realizado por topógrafos empadronados a la Dirección de Catastro del Municipio de Mérida. </w:t>
      </w:r>
    </w:p>
    <w:p>
      <w:pPr>
        <w:spacing w:line="276" w:lineRule="auto"/>
        <w:rPr>
          <w:rFonts w:ascii="Century Gothic" w:hAnsi="Century Gothic"/>
          <w:iCs/>
          <w:sz w:val="20"/>
          <w:szCs w:val="20"/>
          <w:lang w:val="es-MX"/>
        </w:rPr>
      </w:pPr>
      <w:r>
        <w:rPr>
          <w:rFonts w:ascii="Century Gothic" w:hAnsi="Century Gothic"/>
          <w:iCs/>
          <w:sz w:val="20"/>
          <w:szCs w:val="20"/>
          <w:lang w:val="es-MX"/>
        </w:rPr>
        <w:t xml:space="preserve">Se reforma el artículo 92, al hacer mención del servicio de diligencia de verificación de altimetría. </w:t>
      </w:r>
    </w:p>
    <w:p>
      <w:pPr>
        <w:spacing w:line="276" w:lineRule="auto"/>
        <w:rPr>
          <w:rFonts w:ascii="Century Gothic" w:hAnsi="Century Gothic"/>
          <w:iCs/>
          <w:sz w:val="20"/>
          <w:szCs w:val="20"/>
          <w:lang w:val="es-MX"/>
        </w:rPr>
      </w:pPr>
      <w:r>
        <w:rPr>
          <w:rFonts w:ascii="Century Gothic" w:hAnsi="Century Gothic"/>
          <w:iCs/>
          <w:sz w:val="20"/>
          <w:szCs w:val="20"/>
          <w:lang w:val="es-MX"/>
        </w:rPr>
        <w:t>Se reforman las fracciones IV y V, del artículo 123, para precisar el concepto correcto del ticket al que hacen referencia dichas fracciones.</w:t>
      </w:r>
    </w:p>
    <w:bookmarkEnd w:id="0"/>
    <w:p>
      <w:pPr>
        <w:spacing w:line="276" w:lineRule="auto"/>
        <w:rPr>
          <w:rFonts w:ascii="Century Gothic" w:hAnsi="Century Gothic"/>
          <w:iCs/>
          <w:sz w:val="20"/>
          <w:szCs w:val="20"/>
          <w:lang w:val="es-MX"/>
        </w:rPr>
      </w:pPr>
      <w:r>
        <w:rPr>
          <w:rFonts w:ascii="Century Gothic" w:hAnsi="Century Gothic"/>
          <w:iCs/>
          <w:sz w:val="20"/>
          <w:szCs w:val="20"/>
          <w:lang w:val="es-MX"/>
        </w:rPr>
        <w:t>Por estas razones, se propone la presente Iniciativa de Reforma a la Ley de Hacienda del Municipio de Mérida, teniendo como premisas fundamentales: fortalecer los ingresos propios, controlar y mantener finanzas sanas, otorgar certidumbre jurídica y brindar transparencia en el ejercicio del gasto público, de conformidad al proyecto siguiente:</w:t>
      </w:r>
    </w:p>
    <w:p>
      <w:pPr>
        <w:spacing w:line="276" w:lineRule="auto"/>
        <w:jc w:val="center"/>
        <w:rPr>
          <w:rFonts w:ascii="Century Gothic" w:hAnsi="Century Gothic"/>
          <w:b/>
          <w:bCs/>
          <w:color w:val="000000"/>
          <w:sz w:val="20"/>
          <w:szCs w:val="20"/>
        </w:rPr>
      </w:pPr>
    </w:p>
    <w:p>
      <w:pPr>
        <w:spacing w:line="276" w:lineRule="auto"/>
        <w:jc w:val="center"/>
        <w:rPr>
          <w:rFonts w:ascii="Century Gothic" w:hAnsi="Century Gothic"/>
          <w:b/>
          <w:bCs/>
          <w:color w:val="000000"/>
          <w:sz w:val="20"/>
          <w:szCs w:val="20"/>
        </w:rPr>
      </w:pPr>
    </w:p>
    <w:p>
      <w:pPr>
        <w:spacing w:line="276" w:lineRule="auto"/>
        <w:jc w:val="center"/>
        <w:rPr>
          <w:rFonts w:ascii="Century Gothic" w:hAnsi="Century Gothic"/>
          <w:b/>
          <w:bCs/>
          <w:sz w:val="20"/>
          <w:szCs w:val="20"/>
        </w:rPr>
      </w:pPr>
      <w:r>
        <w:rPr>
          <w:rFonts w:ascii="Century Gothic" w:hAnsi="Century Gothic"/>
          <w:b/>
          <w:bCs/>
          <w:color w:val="000000"/>
          <w:sz w:val="20"/>
          <w:szCs w:val="20"/>
        </w:rPr>
        <w:t>REFORMAS A LA LEY DE HACIENDA DEL MUNICIPIO DE MÉRIDA, YUCATÁN</w:t>
      </w:r>
    </w:p>
    <w:p>
      <w:pPr>
        <w:spacing w:line="276" w:lineRule="auto"/>
        <w:jc w:val="center"/>
        <w:rPr>
          <w:rFonts w:ascii="Century Gothic" w:hAnsi="Century Gothic"/>
          <w:b/>
          <w:bCs/>
          <w:sz w:val="20"/>
          <w:szCs w:val="20"/>
        </w:rPr>
      </w:pPr>
      <w:r>
        <w:rPr>
          <w:rFonts w:ascii="Century Gothic" w:hAnsi="Century Gothic"/>
          <w:b/>
          <w:bCs/>
          <w:sz w:val="20"/>
          <w:szCs w:val="20"/>
        </w:rPr>
        <w:t>DECRETO</w:t>
      </w:r>
    </w:p>
    <w:p>
      <w:pPr>
        <w:spacing w:line="276" w:lineRule="auto"/>
        <w:rPr>
          <w:rFonts w:ascii="Century Gothic" w:hAnsi="Century Gothic"/>
          <w:color w:val="000000"/>
          <w:sz w:val="20"/>
          <w:szCs w:val="20"/>
        </w:rPr>
      </w:pPr>
      <w:r>
        <w:rPr>
          <w:rFonts w:ascii="Century Gothic" w:hAnsi="Century Gothic"/>
          <w:b/>
          <w:sz w:val="20"/>
          <w:szCs w:val="20"/>
        </w:rPr>
        <w:t>Artículo Único.-</w:t>
      </w:r>
      <w:r>
        <w:rPr>
          <w:rFonts w:ascii="Century Gothic" w:hAnsi="Century Gothic"/>
          <w:b/>
          <w:bCs/>
          <w:color w:val="000000"/>
          <w:sz w:val="20"/>
          <w:szCs w:val="20"/>
        </w:rPr>
        <w:t xml:space="preserve"> </w:t>
      </w:r>
      <w:r>
        <w:rPr>
          <w:rFonts w:ascii="Century Gothic" w:hAnsi="Century Gothic"/>
          <w:color w:val="000000"/>
          <w:sz w:val="20"/>
          <w:szCs w:val="20"/>
        </w:rPr>
        <w:t>Se reforman las tablas de las Secciones 6, 18, 31, 33, 34, 35, 36, 37, 43, 44 y 45 de la fracción I del artículo 46; se reforma la fracción VI, del artículo 57; se reforma el numeral 7 de la fracción IV, se reforman de la fracción VIII, los numerales 1, 2, 3 y 4 y se les adicionan sus respectivos incisos a), b),c) y d), al inciso b) de cada zona se le adicionan los puntos 1) y 2), todas del artículo 76; se adiciona el inciso l) a la fracción III, se reforman los incisos a) y b) de la fracción VII, se reforma el primer párrafo, se adiciona el inciso f), se reforman los párrafos penúltimo y último actuales y se adiciona un último párrafo, todo lo anterior de la fracción VIII, todos del artículo 89; se reforma el artículo 92; se reforman las fracciones IV y V, del artículo 123; todos de la Ley de Hacienda del Municipio de Mérida, Yucatán, para quedar en los términos siguientes:</w:t>
      </w:r>
    </w:p>
    <w:p>
      <w:pPr>
        <w:spacing w:line="276" w:lineRule="auto"/>
        <w:jc w:val="center"/>
        <w:rPr>
          <w:rFonts w:ascii="Century Gothic" w:hAnsi="Century Gothic"/>
          <w:b/>
          <w:sz w:val="20"/>
          <w:szCs w:val="20"/>
        </w:rPr>
      </w:pPr>
      <w:r>
        <w:rPr>
          <w:rFonts w:ascii="Century Gothic" w:hAnsi="Century Gothic"/>
          <w:b/>
          <w:sz w:val="20"/>
          <w:szCs w:val="20"/>
        </w:rPr>
        <w:t>TÍTULO SEGUNDO</w:t>
      </w:r>
    </w:p>
    <w:p>
      <w:pPr>
        <w:spacing w:after="240"/>
        <w:jc w:val="center"/>
        <w:rPr>
          <w:rFonts w:ascii="Century Gothic" w:hAnsi="Century Gothic"/>
          <w:b/>
          <w:sz w:val="20"/>
          <w:szCs w:val="20"/>
        </w:rPr>
      </w:pPr>
      <w:r>
        <w:rPr>
          <w:rFonts w:ascii="Century Gothic" w:hAnsi="Century Gothic"/>
          <w:b/>
          <w:sz w:val="20"/>
          <w:szCs w:val="20"/>
        </w:rPr>
        <w:t>DE LOS CONCEPTOS DE INGRESOS</w:t>
      </w:r>
    </w:p>
    <w:p>
      <w:pPr>
        <w:spacing w:after="120"/>
        <w:jc w:val="center"/>
        <w:rPr>
          <w:rFonts w:ascii="Century Gothic" w:hAnsi="Century Gothic"/>
          <w:b/>
          <w:sz w:val="20"/>
          <w:szCs w:val="20"/>
        </w:rPr>
      </w:pPr>
      <w:r>
        <w:rPr>
          <w:rFonts w:ascii="Century Gothic" w:hAnsi="Century Gothic"/>
          <w:b/>
          <w:sz w:val="20"/>
          <w:szCs w:val="20"/>
        </w:rPr>
        <w:t>CAPÍTULO I</w:t>
      </w:r>
    </w:p>
    <w:p>
      <w:pPr>
        <w:spacing w:after="240"/>
        <w:jc w:val="center"/>
        <w:rPr>
          <w:rFonts w:ascii="Century Gothic" w:hAnsi="Century Gothic"/>
          <w:b/>
          <w:sz w:val="20"/>
          <w:szCs w:val="20"/>
          <w:highlight w:val="cyan"/>
        </w:rPr>
      </w:pPr>
      <w:r>
        <w:rPr>
          <w:rFonts w:ascii="Century Gothic" w:hAnsi="Century Gothic"/>
          <w:b/>
          <w:sz w:val="20"/>
          <w:szCs w:val="20"/>
        </w:rPr>
        <w:t>IMPUESTOS</w:t>
      </w:r>
    </w:p>
    <w:p>
      <w:pPr>
        <w:spacing w:after="240"/>
        <w:jc w:val="center"/>
        <w:rPr>
          <w:rFonts w:ascii="Century Gothic" w:hAnsi="Century Gothic"/>
          <w:b/>
          <w:sz w:val="20"/>
          <w:szCs w:val="20"/>
          <w:highlight w:val="cyan"/>
        </w:rPr>
      </w:pPr>
    </w:p>
    <w:p>
      <w:pPr>
        <w:tabs>
          <w:tab w:val="left" w:pos="1838"/>
        </w:tabs>
        <w:spacing w:after="120"/>
        <w:jc w:val="center"/>
        <w:rPr>
          <w:rFonts w:ascii="Century Gothic" w:hAnsi="Century Gothic"/>
          <w:b/>
          <w:bCs/>
          <w:sz w:val="20"/>
          <w:szCs w:val="20"/>
        </w:rPr>
      </w:pPr>
      <w:r>
        <w:rPr>
          <w:rFonts w:ascii="Century Gothic" w:hAnsi="Century Gothic"/>
          <w:b/>
          <w:bCs/>
          <w:sz w:val="20"/>
          <w:szCs w:val="20"/>
        </w:rPr>
        <w:t>Sección Primera</w:t>
      </w:r>
    </w:p>
    <w:p>
      <w:pPr>
        <w:tabs>
          <w:tab w:val="left" w:pos="1838"/>
        </w:tabs>
        <w:spacing w:after="120"/>
        <w:jc w:val="center"/>
        <w:rPr>
          <w:rFonts w:ascii="Century Gothic" w:hAnsi="Century Gothic"/>
          <w:b/>
          <w:bCs/>
          <w:sz w:val="20"/>
          <w:szCs w:val="20"/>
        </w:rPr>
      </w:pPr>
      <w:r>
        <w:rPr>
          <w:rFonts w:ascii="Century Gothic" w:hAnsi="Century Gothic"/>
          <w:b/>
          <w:bCs/>
          <w:sz w:val="20"/>
          <w:szCs w:val="20"/>
        </w:rPr>
        <w:t>Impuesto Predial</w:t>
      </w:r>
    </w:p>
    <w:p>
      <w:pPr>
        <w:spacing w:after="240"/>
        <w:rPr>
          <w:rFonts w:ascii="Century Gothic" w:hAnsi="Century Gothic"/>
          <w:b/>
          <w:sz w:val="20"/>
          <w:szCs w:val="20"/>
        </w:rPr>
      </w:pPr>
      <w:r>
        <w:rPr>
          <w:rFonts w:ascii="Century Gothic" w:hAnsi="Century Gothic"/>
          <w:b/>
          <w:sz w:val="20"/>
          <w:szCs w:val="20"/>
        </w:rPr>
        <w:t>De la base Valor Catastral</w:t>
      </w:r>
    </w:p>
    <w:p>
      <w:pPr>
        <w:spacing w:line="276" w:lineRule="auto"/>
        <w:rPr>
          <w:rFonts w:ascii="Century Gothic" w:hAnsi="Century Gothic"/>
          <w:b/>
          <w:sz w:val="20"/>
          <w:szCs w:val="20"/>
        </w:rPr>
      </w:pPr>
      <w:r>
        <w:rPr>
          <w:rFonts w:ascii="Century Gothic" w:hAnsi="Century Gothic"/>
          <w:b/>
          <w:sz w:val="20"/>
          <w:szCs w:val="20"/>
        </w:rPr>
        <w:t>ARTÍCULO 46.-</w:t>
      </w:r>
      <w:r>
        <w:rPr>
          <w:rFonts w:ascii="Century Gothic" w:hAnsi="Century Gothic"/>
          <w:sz w:val="20"/>
          <w:szCs w:val="20"/>
        </w:rPr>
        <w:t>…</w:t>
      </w:r>
    </w:p>
    <w:p>
      <w:pPr>
        <w:spacing w:line="276" w:lineRule="auto"/>
        <w:rPr>
          <w:rFonts w:ascii="Century Gothic" w:hAnsi="Century Gothic"/>
          <w:sz w:val="20"/>
          <w:szCs w:val="20"/>
        </w:rPr>
      </w:pPr>
      <w:r>
        <w:rPr>
          <w:rFonts w:ascii="Century Gothic" w:hAnsi="Century Gothic"/>
          <w:sz w:val="20"/>
          <w:szCs w:val="20"/>
        </w:rPr>
        <w:t>I.-…</w:t>
      </w:r>
    </w:p>
    <w:p>
      <w:pPr>
        <w:spacing w:line="276" w:lineRule="auto"/>
        <w:rPr>
          <w:rFonts w:ascii="Century Gothic" w:hAnsi="Century Gothic"/>
          <w:b/>
          <w:sz w:val="20"/>
          <w:szCs w:val="20"/>
        </w:rPr>
      </w:pPr>
      <w:bookmarkStart w:id="4" w:name="_Hlk55821517"/>
      <w:r>
        <w:rPr>
          <w:rFonts w:ascii="Century Gothic" w:hAnsi="Century Gothic"/>
          <w:b/>
          <w:sz w:val="20"/>
          <w:szCs w:val="20"/>
        </w:rPr>
        <w:t>SECCIÓN 1</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2</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3</w:t>
      </w:r>
    </w:p>
    <w:p>
      <w:pPr>
        <w:autoSpaceDE w:val="0"/>
        <w:autoSpaceDN w:val="0"/>
        <w:adjustRightInd w:val="0"/>
        <w:spacing w:after="120"/>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4</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5</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6</w:t>
      </w:r>
    </w:p>
    <w:tbl>
      <w:tblPr>
        <w:tblStyle w:val="7"/>
        <w:tblW w:w="9356" w:type="dxa"/>
        <w:tblInd w:w="-72" w:type="dxa"/>
        <w:tblLayout w:type="fixed"/>
        <w:tblCellMar>
          <w:top w:w="0" w:type="dxa"/>
          <w:left w:w="70" w:type="dxa"/>
          <w:bottom w:w="0" w:type="dxa"/>
          <w:right w:w="70" w:type="dxa"/>
        </w:tblCellMar>
      </w:tblPr>
      <w:tblGrid>
        <w:gridCol w:w="993"/>
        <w:gridCol w:w="1276"/>
        <w:gridCol w:w="1275"/>
        <w:gridCol w:w="4111"/>
        <w:gridCol w:w="1701"/>
      </w:tblGrid>
      <w:tr>
        <w:tblPrEx>
          <w:tblCellMar>
            <w:top w:w="0" w:type="dxa"/>
            <w:left w:w="70" w:type="dxa"/>
            <w:bottom w:w="0" w:type="dxa"/>
            <w:right w:w="70" w:type="dxa"/>
          </w:tblCellMar>
        </w:tblPrEx>
        <w:trPr>
          <w:wBefore w:w="0" w:type="dxa"/>
          <w:trHeight w:val="309" w:hRule="atLeast"/>
        </w:trPr>
        <w:tc>
          <w:tcPr>
            <w:tcW w:w="99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CALLE</w:t>
            </w: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TRAMO</w:t>
            </w:r>
          </w:p>
        </w:tc>
        <w:tc>
          <w:tcPr>
            <w:tcW w:w="411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UNIDAD HABITACIONAL / COMISARIA</w:t>
            </w:r>
          </w:p>
        </w:tc>
        <w:tc>
          <w:tcPr>
            <w:tcW w:w="170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VALOR UNITARIO POR M2</w:t>
            </w:r>
          </w:p>
        </w:tc>
      </w:tr>
      <w:tr>
        <w:tblPrEx>
          <w:tblCellMar>
            <w:top w:w="0" w:type="dxa"/>
            <w:left w:w="70" w:type="dxa"/>
            <w:bottom w:w="0" w:type="dxa"/>
            <w:right w:w="70" w:type="dxa"/>
          </w:tblCellMar>
        </w:tblPrEx>
        <w:trPr>
          <w:wBefore w:w="0" w:type="dxa"/>
          <w:trHeight w:val="245" w:hRule="atLeast"/>
        </w:trPr>
        <w:tc>
          <w:tcPr>
            <w:tcW w:w="99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DE CALLE</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A CALLE</w:t>
            </w:r>
          </w:p>
        </w:tc>
        <w:tc>
          <w:tcPr>
            <w:tcW w:w="411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70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ADOLFO LÓPEZ MATEOS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880.00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EMILIANO ZAPATA ORIENTE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776.00</w:t>
            </w:r>
          </w:p>
        </w:tc>
      </w:tr>
      <w:tr>
        <w:tblPrEx>
          <w:tblCellMar>
            <w:top w:w="0" w:type="dxa"/>
            <w:left w:w="70" w:type="dxa"/>
            <w:bottom w:w="0" w:type="dxa"/>
            <w:right w:w="70" w:type="dxa"/>
          </w:tblCellMar>
        </w:tblPrEx>
        <w:trPr>
          <w:wBefore w:w="0" w:type="dxa"/>
          <w:trHeight w:val="492"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FERROCARRILERA HÉCTOR VICTORIA AGUILAR</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960.00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HÉCTOR VICTORIA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960.00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JESÚS CARRANZA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1,120.00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LAS PALMAS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863.00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MIGUEL ALEMÁN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1,466.00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NUEVO YUCATÁN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1,200.00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PETKANCHÉ</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1,035.00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SAN ESTEBAN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1,639.00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SAN JUAN GRANDE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1,294.00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SAN NICOLÁS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1,380.00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AMPLIACIÓN SAN MIGUEL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1,466.00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ARBOLEDAS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960.00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BRISAS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949.00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JARDINES DE MÉRIDA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1,466.00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NUEVA ALEMÁN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1,466.00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SAN LUIS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880.00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SAN MIGUEL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1,639.00</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TABIA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880.00 </w:t>
            </w:r>
          </w:p>
        </w:tc>
      </w:tr>
      <w:tr>
        <w:tblPrEx>
          <w:tblCellMar>
            <w:top w:w="0" w:type="dxa"/>
            <w:left w:w="70" w:type="dxa"/>
            <w:bottom w:w="0" w:type="dxa"/>
            <w:right w:w="70" w:type="dxa"/>
          </w:tblCellMar>
        </w:tblPrEx>
        <w:trPr>
          <w:wBefore w:w="0" w:type="dxa"/>
          <w:trHeight w:val="245" w:hRule="atLeast"/>
        </w:trPr>
        <w:tc>
          <w:tcPr>
            <w:tcW w:w="9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p>
        </w:tc>
        <w:tc>
          <w:tcPr>
            <w:tcW w:w="4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690.00</w:t>
            </w:r>
          </w:p>
        </w:tc>
      </w:tr>
    </w:tbl>
    <w:p>
      <w:pPr>
        <w:spacing w:line="276" w:lineRule="auto"/>
        <w:jc w:val="left"/>
        <w:rPr>
          <w:rFonts w:ascii="Century Gothic" w:hAnsi="Century Gothic"/>
          <w:b/>
          <w:sz w:val="20"/>
          <w:szCs w:val="20"/>
        </w:rPr>
      </w:pPr>
      <w:r>
        <w:rPr>
          <w:rFonts w:ascii="Century Gothic" w:hAnsi="Century Gothic"/>
          <w:b/>
          <w:sz w:val="20"/>
          <w:szCs w:val="20"/>
        </w:rPr>
        <w:br w:type="page"/>
      </w:r>
      <w:r>
        <w:rPr>
          <w:rFonts w:ascii="Century Gothic" w:hAnsi="Century Gothic"/>
          <w:b/>
          <w:sz w:val="20"/>
          <w:szCs w:val="20"/>
        </w:rPr>
        <w:t>SECCIÓN 7</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8</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9</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10</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rPr>
          <w:rFonts w:ascii="Century Gothic" w:hAnsi="Century Gothic"/>
          <w:b/>
          <w:sz w:val="20"/>
          <w:szCs w:val="20"/>
        </w:rPr>
      </w:pPr>
      <w:r>
        <w:rPr>
          <w:rFonts w:ascii="Century Gothic" w:hAnsi="Century Gothic"/>
          <w:b/>
          <w:sz w:val="20"/>
          <w:szCs w:val="20"/>
        </w:rPr>
        <w:t>SECCIÓN 11</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12</w:t>
      </w:r>
    </w:p>
    <w:p>
      <w:pPr>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13</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rPr>
          <w:rFonts w:ascii="Century Gothic" w:hAnsi="Century Gothic"/>
          <w:b/>
          <w:sz w:val="20"/>
          <w:szCs w:val="20"/>
        </w:rPr>
      </w:pPr>
      <w:r>
        <w:rPr>
          <w:rFonts w:ascii="Century Gothic" w:hAnsi="Century Gothic"/>
          <w:b/>
          <w:sz w:val="20"/>
          <w:szCs w:val="20"/>
        </w:rPr>
        <w:t>SECCIÓN 14</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15</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16</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17</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autoSpaceDE w:val="0"/>
        <w:autoSpaceDN w:val="0"/>
        <w:adjustRightInd w:val="0"/>
        <w:spacing w:line="276" w:lineRule="auto"/>
        <w:rPr>
          <w:rFonts w:ascii="Century Gothic" w:hAnsi="Century Gothic"/>
          <w:b/>
          <w:sz w:val="20"/>
          <w:szCs w:val="20"/>
        </w:rPr>
      </w:pPr>
      <w:r>
        <w:rPr>
          <w:rFonts w:ascii="Century Gothic" w:hAnsi="Century Gothic"/>
          <w:b/>
          <w:sz w:val="20"/>
          <w:szCs w:val="20"/>
        </w:rPr>
        <w:t>SECCIÓN 18</w:t>
      </w:r>
    </w:p>
    <w:tbl>
      <w:tblPr>
        <w:tblStyle w:val="7"/>
        <w:tblW w:w="9356" w:type="dxa"/>
        <w:tblInd w:w="-72" w:type="dxa"/>
        <w:tblLayout w:type="fixed"/>
        <w:tblCellMar>
          <w:top w:w="0" w:type="dxa"/>
          <w:left w:w="70" w:type="dxa"/>
          <w:bottom w:w="0" w:type="dxa"/>
          <w:right w:w="70" w:type="dxa"/>
        </w:tblCellMar>
      </w:tblPr>
      <w:tblGrid>
        <w:gridCol w:w="851"/>
        <w:gridCol w:w="9"/>
        <w:gridCol w:w="1267"/>
        <w:gridCol w:w="1310"/>
        <w:gridCol w:w="4076"/>
        <w:gridCol w:w="1843"/>
      </w:tblGrid>
      <w:tr>
        <w:tblPrEx>
          <w:tblCellMar>
            <w:top w:w="0" w:type="dxa"/>
            <w:left w:w="70" w:type="dxa"/>
            <w:bottom w:w="0" w:type="dxa"/>
            <w:right w:w="70" w:type="dxa"/>
          </w:tblCellMar>
        </w:tblPrEx>
        <w:trPr>
          <w:wBefore w:w="0" w:type="dxa"/>
          <w:trHeight w:val="309" w:hRule="atLeast"/>
        </w:trPr>
        <w:tc>
          <w:tcPr>
            <w:tcW w:w="860" w:type="dxa"/>
            <w:gridSpan w:val="2"/>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CALLE</w:t>
            </w:r>
          </w:p>
        </w:tc>
        <w:tc>
          <w:tcPr>
            <w:tcW w:w="25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TRAMO</w:t>
            </w:r>
          </w:p>
        </w:tc>
        <w:tc>
          <w:tcPr>
            <w:tcW w:w="407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UNIDAD HABITACIONAL / COMISARIA</w:t>
            </w:r>
          </w:p>
        </w:tc>
        <w:tc>
          <w:tcPr>
            <w:tcW w:w="184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VALOR UNITARIO POR M2</w:t>
            </w:r>
          </w:p>
        </w:tc>
      </w:tr>
      <w:tr>
        <w:tblPrEx>
          <w:tblCellMar>
            <w:top w:w="0" w:type="dxa"/>
            <w:left w:w="70" w:type="dxa"/>
            <w:bottom w:w="0" w:type="dxa"/>
            <w:right w:w="70" w:type="dxa"/>
          </w:tblCellMar>
        </w:tblPrEx>
        <w:trPr>
          <w:wBefore w:w="0" w:type="dxa"/>
          <w:trHeight w:val="245" w:hRule="atLeast"/>
        </w:trPr>
        <w:tc>
          <w:tcPr>
            <w:tcW w:w="860" w:type="dxa"/>
            <w:gridSpan w:val="2"/>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DE CALLE</w:t>
            </w:r>
          </w:p>
        </w:tc>
        <w:tc>
          <w:tcPr>
            <w:tcW w:w="13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A CALLE</w:t>
            </w:r>
          </w:p>
        </w:tc>
        <w:tc>
          <w:tcPr>
            <w:tcW w:w="407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84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AMPLIACIÓN MIRAFLORES</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760.00</w:t>
            </w:r>
          </w:p>
        </w:tc>
      </w:tr>
      <w:tr>
        <w:tblPrEx>
          <w:tblCellMar>
            <w:top w:w="0" w:type="dxa"/>
            <w:left w:w="70" w:type="dxa"/>
            <w:bottom w:w="0" w:type="dxa"/>
            <w:right w:w="70" w:type="dxa"/>
          </w:tblCellMar>
        </w:tblPrEx>
        <w:trPr>
          <w:wBefore w:w="0" w:type="dxa"/>
          <w:trHeight w:val="492"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76"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20"/>
                <w:szCs w:val="20"/>
              </w:rPr>
            </w:pPr>
            <w:r>
              <w:rPr>
                <w:rFonts w:ascii="Century Gothic" w:hAnsi="Century Gothic" w:cs="Arial"/>
                <w:color w:val="000000"/>
                <w:sz w:val="20"/>
                <w:szCs w:val="20"/>
              </w:rPr>
              <w:t>COLONIA AMPLIACIÓN SALVADOR ALVARADO SUR</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600.00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AZCORRA</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604.00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CECILIO CHI</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397.00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MARÍA LUISA</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604.00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MORELOS ORIENTE</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720.00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MULCHECHÉN</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492.00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NUEVA KUKULCÁN</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665.00</w:t>
            </w:r>
          </w:p>
        </w:tc>
      </w:tr>
      <w:tr>
        <w:tblPrEx>
          <w:tblCellMar>
            <w:top w:w="0" w:type="dxa"/>
            <w:left w:w="70" w:type="dxa"/>
            <w:bottom w:w="0" w:type="dxa"/>
            <w:right w:w="70" w:type="dxa"/>
          </w:tblCellMar>
        </w:tblPrEx>
        <w:trPr>
          <w:wBefore w:w="0" w:type="dxa"/>
          <w:trHeight w:val="111"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left"/>
              <w:rPr>
                <w:rFonts w:ascii="Century Gothic" w:hAnsi="Century Gothic" w:cs="Arial"/>
                <w:color w:val="000000"/>
                <w:sz w:val="20"/>
                <w:szCs w:val="20"/>
              </w:rPr>
            </w:pPr>
            <w:r>
              <w:rPr>
                <w:rFonts w:ascii="Century Gothic" w:hAnsi="Century Gothic" w:cs="Arial"/>
                <w:color w:val="000000"/>
                <w:sz w:val="20"/>
                <w:szCs w:val="20"/>
              </w:rPr>
              <w:t>COLONIA NUEVA SALVADOR ALVARADO SUR</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535.00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SALVADOR ALVARADO SUR</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535.00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SAN ANTONIO KAUA I</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760.00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SAN ANTONIO KAUA II</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760.00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SAN ANTONIO KAUA III</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535.00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SAN ANTONIO KAUA IV</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760.00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SAN JOSÉ TZAL</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355.00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REPARTO LAS GRANJAS</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600.00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SAN ANTONIO KAUA</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760.00</w:t>
            </w:r>
          </w:p>
        </w:tc>
      </w:tr>
      <w:tr>
        <w:tblPrEx>
          <w:tblCellMar>
            <w:top w:w="0" w:type="dxa"/>
            <w:left w:w="70" w:type="dxa"/>
            <w:bottom w:w="0" w:type="dxa"/>
            <w:right w:w="70" w:type="dxa"/>
          </w:tblCellMar>
        </w:tblPrEx>
        <w:trPr>
          <w:wBefore w:w="0" w:type="dxa"/>
          <w:trHeight w:val="245" w:hRule="atLeast"/>
        </w:trPr>
        <w:tc>
          <w:tcPr>
            <w:tcW w:w="860"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460.00</w:t>
            </w:r>
          </w:p>
        </w:tc>
      </w:tr>
    </w:tbl>
    <w:p>
      <w:pPr>
        <w:autoSpaceDE w:val="0"/>
        <w:autoSpaceDN w:val="0"/>
        <w:adjustRightInd w:val="0"/>
        <w:spacing w:line="276" w:lineRule="auto"/>
        <w:rPr>
          <w:rFonts w:ascii="Century Gothic" w:hAnsi="Century Gothic"/>
          <w:b/>
          <w:sz w:val="20"/>
          <w:szCs w:val="20"/>
        </w:rPr>
      </w:pPr>
    </w:p>
    <w:p>
      <w:pPr>
        <w:spacing w:line="276" w:lineRule="auto"/>
        <w:jc w:val="left"/>
        <w:rPr>
          <w:rFonts w:ascii="Century Gothic" w:hAnsi="Century Gothic"/>
          <w:b/>
          <w:sz w:val="20"/>
          <w:szCs w:val="20"/>
        </w:rPr>
      </w:pPr>
      <w:r>
        <w:rPr>
          <w:rFonts w:ascii="Century Gothic" w:hAnsi="Century Gothic"/>
          <w:b/>
          <w:sz w:val="20"/>
          <w:szCs w:val="20"/>
        </w:rPr>
        <w:t>SECCIÓN 19</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20</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21</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22</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23</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24</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25</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autoSpaceDE w:val="0"/>
        <w:autoSpaceDN w:val="0"/>
        <w:adjustRightInd w:val="0"/>
        <w:spacing w:line="276" w:lineRule="auto"/>
        <w:rPr>
          <w:rFonts w:ascii="Century Gothic" w:hAnsi="Century Gothic"/>
          <w:b/>
          <w:sz w:val="20"/>
          <w:szCs w:val="20"/>
        </w:rPr>
      </w:pPr>
      <w:r>
        <w:rPr>
          <w:rFonts w:ascii="Century Gothic" w:hAnsi="Century Gothic"/>
          <w:b/>
          <w:sz w:val="20"/>
          <w:szCs w:val="20"/>
        </w:rPr>
        <w:t>SECCIÓN 26</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27</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autoSpaceDE w:val="0"/>
        <w:autoSpaceDN w:val="0"/>
        <w:adjustRightInd w:val="0"/>
        <w:spacing w:line="276" w:lineRule="auto"/>
        <w:rPr>
          <w:rFonts w:ascii="Century Gothic" w:hAnsi="Century Gothic"/>
          <w:bCs/>
          <w:sz w:val="20"/>
          <w:szCs w:val="20"/>
        </w:rPr>
      </w:pPr>
    </w:p>
    <w:p>
      <w:pPr>
        <w:spacing w:line="276" w:lineRule="auto"/>
        <w:jc w:val="left"/>
        <w:rPr>
          <w:rFonts w:ascii="Century Gothic" w:hAnsi="Century Gothic"/>
          <w:b/>
          <w:sz w:val="20"/>
          <w:szCs w:val="20"/>
        </w:rPr>
      </w:pPr>
      <w:r>
        <w:rPr>
          <w:rFonts w:ascii="Century Gothic" w:hAnsi="Century Gothic"/>
          <w:b/>
          <w:sz w:val="20"/>
          <w:szCs w:val="20"/>
        </w:rPr>
        <w:t>SECCIÓN 28</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29</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30</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31</w:t>
      </w:r>
    </w:p>
    <w:tbl>
      <w:tblPr>
        <w:tblStyle w:val="7"/>
        <w:tblW w:w="9356" w:type="dxa"/>
        <w:tblInd w:w="-72" w:type="dxa"/>
        <w:tblLayout w:type="fixed"/>
        <w:tblCellMar>
          <w:top w:w="0" w:type="dxa"/>
          <w:left w:w="70" w:type="dxa"/>
          <w:bottom w:w="0" w:type="dxa"/>
          <w:right w:w="70" w:type="dxa"/>
        </w:tblCellMar>
      </w:tblPr>
      <w:tblGrid>
        <w:gridCol w:w="860"/>
        <w:gridCol w:w="1288"/>
        <w:gridCol w:w="1289"/>
        <w:gridCol w:w="4076"/>
        <w:gridCol w:w="1843"/>
      </w:tblGrid>
      <w:tr>
        <w:tblPrEx>
          <w:tblCellMar>
            <w:top w:w="0" w:type="dxa"/>
            <w:left w:w="70" w:type="dxa"/>
            <w:bottom w:w="0" w:type="dxa"/>
            <w:right w:w="70" w:type="dxa"/>
          </w:tblCellMar>
        </w:tblPrEx>
        <w:trPr>
          <w:wBefore w:w="0" w:type="dxa"/>
          <w:trHeight w:val="309" w:hRule="atLeast"/>
        </w:trPr>
        <w:tc>
          <w:tcPr>
            <w:tcW w:w="86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CALLE</w:t>
            </w:r>
          </w:p>
        </w:tc>
        <w:tc>
          <w:tcPr>
            <w:tcW w:w="25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TRAMO</w:t>
            </w:r>
          </w:p>
        </w:tc>
        <w:tc>
          <w:tcPr>
            <w:tcW w:w="407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UNIDAD HABITACIONAL / COMISARIA</w:t>
            </w:r>
          </w:p>
        </w:tc>
        <w:tc>
          <w:tcPr>
            <w:tcW w:w="184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VALOR UNITARIO POR M2</w:t>
            </w:r>
          </w:p>
        </w:tc>
      </w:tr>
      <w:tr>
        <w:tblPrEx>
          <w:tblCellMar>
            <w:top w:w="0" w:type="dxa"/>
            <w:left w:w="70" w:type="dxa"/>
            <w:bottom w:w="0" w:type="dxa"/>
            <w:right w:w="70" w:type="dxa"/>
          </w:tblCellMar>
        </w:tblPrEx>
        <w:trPr>
          <w:wBefore w:w="0" w:type="dxa"/>
          <w:trHeight w:val="245" w:hRule="atLeast"/>
        </w:trPr>
        <w:tc>
          <w:tcPr>
            <w:tcW w:w="86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DE CALLE</w:t>
            </w:r>
          </w:p>
        </w:tc>
        <w:tc>
          <w:tcPr>
            <w:tcW w:w="12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A CALLE</w:t>
            </w:r>
          </w:p>
        </w:tc>
        <w:tc>
          <w:tcPr>
            <w:tcW w:w="407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84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TIXCACAL</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256.00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LOS FAISANES DE TIXCACAL</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535.00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PASEO ALEGRÍA</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406.00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PROVIDENCIA</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406.00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SOLANA RESIDENCIAL</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535.00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TIXCACAL</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535.00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0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w:t>
            </w: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256.00</w:t>
            </w:r>
          </w:p>
        </w:tc>
      </w:tr>
    </w:tbl>
    <w:p>
      <w:pPr>
        <w:autoSpaceDE w:val="0"/>
        <w:autoSpaceDN w:val="0"/>
        <w:adjustRightInd w:val="0"/>
        <w:spacing w:line="276" w:lineRule="auto"/>
        <w:rPr>
          <w:rFonts w:ascii="Century Gothic" w:hAnsi="Century Gothic"/>
          <w:b/>
          <w:sz w:val="20"/>
          <w:szCs w:val="20"/>
        </w:rPr>
      </w:pPr>
    </w:p>
    <w:p>
      <w:pPr>
        <w:spacing w:line="276" w:lineRule="auto"/>
        <w:jc w:val="left"/>
        <w:rPr>
          <w:rFonts w:ascii="Century Gothic" w:hAnsi="Century Gothic"/>
          <w:b/>
          <w:sz w:val="20"/>
          <w:szCs w:val="20"/>
        </w:rPr>
      </w:pPr>
      <w:r>
        <w:rPr>
          <w:rFonts w:ascii="Century Gothic" w:hAnsi="Century Gothic"/>
          <w:b/>
          <w:sz w:val="20"/>
          <w:szCs w:val="20"/>
        </w:rPr>
        <w:t>SECCIÓN 32</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33</w:t>
      </w:r>
    </w:p>
    <w:tbl>
      <w:tblPr>
        <w:tblStyle w:val="7"/>
        <w:tblW w:w="9356" w:type="dxa"/>
        <w:tblInd w:w="-72" w:type="dxa"/>
        <w:tblLayout w:type="fixed"/>
        <w:tblCellMar>
          <w:top w:w="0" w:type="dxa"/>
          <w:left w:w="70" w:type="dxa"/>
          <w:bottom w:w="0" w:type="dxa"/>
          <w:right w:w="70" w:type="dxa"/>
        </w:tblCellMar>
      </w:tblPr>
      <w:tblGrid>
        <w:gridCol w:w="860"/>
        <w:gridCol w:w="1288"/>
        <w:gridCol w:w="1289"/>
        <w:gridCol w:w="4218"/>
        <w:gridCol w:w="1701"/>
      </w:tblGrid>
      <w:tr>
        <w:tblPrEx>
          <w:tblCellMar>
            <w:top w:w="0" w:type="dxa"/>
            <w:left w:w="70" w:type="dxa"/>
            <w:bottom w:w="0" w:type="dxa"/>
            <w:right w:w="70" w:type="dxa"/>
          </w:tblCellMar>
        </w:tblPrEx>
        <w:trPr>
          <w:wBefore w:w="0" w:type="dxa"/>
          <w:trHeight w:val="309" w:hRule="atLeast"/>
        </w:trPr>
        <w:tc>
          <w:tcPr>
            <w:tcW w:w="86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CALLE</w:t>
            </w:r>
          </w:p>
        </w:tc>
        <w:tc>
          <w:tcPr>
            <w:tcW w:w="25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TRAMO</w:t>
            </w:r>
          </w:p>
        </w:tc>
        <w:tc>
          <w:tcPr>
            <w:tcW w:w="42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UNIDAD HABITACIONAL / COMISARIA</w:t>
            </w:r>
          </w:p>
        </w:tc>
        <w:tc>
          <w:tcPr>
            <w:tcW w:w="170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VALOR UNITARIO POR M2</w:t>
            </w:r>
          </w:p>
        </w:tc>
      </w:tr>
      <w:tr>
        <w:tblPrEx>
          <w:tblCellMar>
            <w:top w:w="0" w:type="dxa"/>
            <w:left w:w="70" w:type="dxa"/>
            <w:bottom w:w="0" w:type="dxa"/>
            <w:right w:w="70" w:type="dxa"/>
          </w:tblCellMar>
        </w:tblPrEx>
        <w:trPr>
          <w:wBefore w:w="0" w:type="dxa"/>
          <w:trHeight w:val="245" w:hRule="atLeast"/>
        </w:trPr>
        <w:tc>
          <w:tcPr>
            <w:tcW w:w="86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DE CALLE</w:t>
            </w:r>
          </w:p>
        </w:tc>
        <w:tc>
          <w:tcPr>
            <w:tcW w:w="12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A CALLE</w:t>
            </w:r>
          </w:p>
        </w:tc>
        <w:tc>
          <w:tcPr>
            <w:tcW w:w="42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70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DZITYÁ POLÍGONO CHUBURNÁ</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440.00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TAMARINDOS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480.00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REAL MONTEJO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1,520.00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DZITYÁ</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400.00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SAN ANTONIO HOOL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264.00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ALERA</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AVELLANEDA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920.00</w:t>
            </w:r>
          </w:p>
        </w:tc>
      </w:tr>
      <w:tr>
        <w:tblPrEx>
          <w:tblCellMar>
            <w:top w:w="0" w:type="dxa"/>
            <w:left w:w="70" w:type="dxa"/>
            <w:bottom w:w="0" w:type="dxa"/>
            <w:right w:w="70" w:type="dxa"/>
          </w:tblCellMar>
        </w:tblPrEx>
        <w:trPr>
          <w:wBefore w:w="0" w:type="dxa"/>
          <w:trHeight w:val="259"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DZITYÁ 20</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920.00</w:t>
            </w:r>
          </w:p>
        </w:tc>
      </w:tr>
      <w:tr>
        <w:tblPrEx>
          <w:tblCellMar>
            <w:top w:w="0" w:type="dxa"/>
            <w:left w:w="70" w:type="dxa"/>
            <w:bottom w:w="0" w:type="dxa"/>
            <w:right w:w="70" w:type="dxa"/>
          </w:tblCellMar>
        </w:tblPrEx>
        <w:trPr>
          <w:wBefore w:w="0" w:type="dxa"/>
          <w:trHeight w:val="259"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20"/>
                <w:szCs w:val="20"/>
              </w:rPr>
            </w:pPr>
            <w:r>
              <w:rPr>
                <w:rFonts w:ascii="Century Gothic" w:hAnsi="Century Gothic" w:cs="Arial"/>
                <w:color w:val="000000"/>
                <w:sz w:val="20"/>
                <w:szCs w:val="20"/>
              </w:rPr>
              <w:t>CONDOMINIO FRACCIONAMIENTO VILLAS SAMSARA</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394.00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GRAN CIELO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581.00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left"/>
              <w:rPr>
                <w:rFonts w:ascii="Century Gothic" w:hAnsi="Century Gothic" w:cs="Arial"/>
                <w:color w:val="000000"/>
                <w:sz w:val="20"/>
                <w:szCs w:val="20"/>
              </w:rPr>
            </w:pPr>
            <w:r>
              <w:rPr>
                <w:rFonts w:ascii="Century Gothic" w:hAnsi="Century Gothic" w:cs="Arial"/>
                <w:color w:val="000000"/>
                <w:sz w:val="20"/>
                <w:szCs w:val="20"/>
              </w:rPr>
              <w:t>CONDOMINIO MORATTA PRIVADA RESIDENCIAL</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left"/>
              <w:rPr>
                <w:rFonts w:ascii="Century Gothic" w:hAnsi="Century Gothic" w:cs="Arial"/>
                <w:color w:val="000000"/>
                <w:sz w:val="20"/>
                <w:szCs w:val="20"/>
              </w:rPr>
            </w:pPr>
            <w:r>
              <w:rPr>
                <w:rFonts w:ascii="Century Gothic" w:hAnsi="Century Gothic" w:cs="Arial"/>
                <w:color w:val="000000"/>
                <w:sz w:val="20"/>
                <w:szCs w:val="20"/>
              </w:rPr>
              <w:t>CONDOMINIO REAL LAGUNA PRIVADA RESIDENCIAL</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1,520.00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SIARA PRIVADA RESIDENCIAL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975.00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LAS AMÉRICAS MÉRIDA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PARQUE INDUSTRIAL YUCATÁN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1,173.00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PEDREGALES LAS AMÉRICAS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REAL DE DZITYÁ</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960.00</w:t>
            </w:r>
          </w:p>
        </w:tc>
      </w:tr>
      <w:tr>
        <w:tblPrEx>
          <w:tblCellMar>
            <w:top w:w="0" w:type="dxa"/>
            <w:left w:w="70" w:type="dxa"/>
            <w:bottom w:w="0" w:type="dxa"/>
            <w:right w:w="70" w:type="dxa"/>
          </w:tblCellMar>
        </w:tblPrEx>
        <w:trPr>
          <w:wBefore w:w="0" w:type="dxa"/>
          <w:trHeight w:val="207"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20"/>
                <w:szCs w:val="20"/>
              </w:rPr>
            </w:pPr>
            <w:r>
              <w:rPr>
                <w:rFonts w:ascii="Century Gothic" w:hAnsi="Century Gothic" w:cs="Arial"/>
                <w:color w:val="000000"/>
                <w:sz w:val="20"/>
                <w:szCs w:val="20"/>
              </w:rPr>
              <w:t>FRACC. RESIDENCIAL PUERTA DE PIEDRA DZITYÁ</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920.00</w:t>
            </w:r>
          </w:p>
        </w:tc>
      </w:tr>
      <w:tr>
        <w:tblPrEx>
          <w:tblCellMar>
            <w:top w:w="0" w:type="dxa"/>
            <w:left w:w="70" w:type="dxa"/>
            <w:bottom w:w="0" w:type="dxa"/>
            <w:right w:w="70" w:type="dxa"/>
          </w:tblCellMar>
        </w:tblPrEx>
        <w:trPr>
          <w:wBefore w:w="0" w:type="dxa"/>
          <w:trHeight w:val="187"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RESIDENCIAL SAC-UH</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800.00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ROYAL DEL PARQUE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SAN ANTONIO RESIDENCIAL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XO´TIK</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375.00</w:t>
            </w:r>
          </w:p>
        </w:tc>
      </w:tr>
    </w:tbl>
    <w:p>
      <w:pPr>
        <w:autoSpaceDE w:val="0"/>
        <w:autoSpaceDN w:val="0"/>
        <w:adjustRightInd w:val="0"/>
        <w:spacing w:line="276" w:lineRule="auto"/>
        <w:rPr>
          <w:rFonts w:ascii="Century Gothic" w:hAnsi="Century Gothic"/>
          <w:b/>
          <w:sz w:val="20"/>
          <w:szCs w:val="20"/>
        </w:rPr>
      </w:pPr>
    </w:p>
    <w:p>
      <w:pPr>
        <w:spacing w:line="276" w:lineRule="auto"/>
        <w:jc w:val="left"/>
        <w:rPr>
          <w:rFonts w:ascii="Century Gothic" w:hAnsi="Century Gothic"/>
          <w:b/>
          <w:sz w:val="20"/>
          <w:szCs w:val="20"/>
        </w:rPr>
      </w:pPr>
      <w:r>
        <w:rPr>
          <w:rFonts w:ascii="Century Gothic" w:hAnsi="Century Gothic"/>
          <w:b/>
          <w:sz w:val="20"/>
          <w:szCs w:val="20"/>
        </w:rPr>
        <w:t>SECCIÓN 34</w:t>
      </w:r>
    </w:p>
    <w:tbl>
      <w:tblPr>
        <w:tblStyle w:val="7"/>
        <w:tblW w:w="9356" w:type="dxa"/>
        <w:tblInd w:w="-72" w:type="dxa"/>
        <w:tblLayout w:type="fixed"/>
        <w:tblCellMar>
          <w:top w:w="0" w:type="dxa"/>
          <w:left w:w="70" w:type="dxa"/>
          <w:bottom w:w="0" w:type="dxa"/>
          <w:right w:w="70" w:type="dxa"/>
        </w:tblCellMar>
      </w:tblPr>
      <w:tblGrid>
        <w:gridCol w:w="860"/>
        <w:gridCol w:w="1288"/>
        <w:gridCol w:w="1289"/>
        <w:gridCol w:w="4218"/>
        <w:gridCol w:w="1701"/>
      </w:tblGrid>
      <w:tr>
        <w:tblPrEx>
          <w:tblCellMar>
            <w:top w:w="0" w:type="dxa"/>
            <w:left w:w="70" w:type="dxa"/>
            <w:bottom w:w="0" w:type="dxa"/>
            <w:right w:w="70" w:type="dxa"/>
          </w:tblCellMar>
        </w:tblPrEx>
        <w:trPr>
          <w:wBefore w:w="0" w:type="dxa"/>
          <w:trHeight w:val="309" w:hRule="atLeast"/>
        </w:trPr>
        <w:tc>
          <w:tcPr>
            <w:tcW w:w="86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CALLE</w:t>
            </w:r>
          </w:p>
        </w:tc>
        <w:tc>
          <w:tcPr>
            <w:tcW w:w="25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TRAMO</w:t>
            </w:r>
          </w:p>
        </w:tc>
        <w:tc>
          <w:tcPr>
            <w:tcW w:w="42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UNIDAD HABITACIONAL / COMISARIA</w:t>
            </w:r>
          </w:p>
        </w:tc>
        <w:tc>
          <w:tcPr>
            <w:tcW w:w="170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VALOR UNITARIO POR M2</w:t>
            </w:r>
          </w:p>
        </w:tc>
      </w:tr>
      <w:tr>
        <w:tblPrEx>
          <w:tblCellMar>
            <w:top w:w="0" w:type="dxa"/>
            <w:left w:w="70" w:type="dxa"/>
            <w:bottom w:w="0" w:type="dxa"/>
            <w:right w:w="70" w:type="dxa"/>
          </w:tblCellMar>
        </w:tblPrEx>
        <w:trPr>
          <w:wBefore w:w="0" w:type="dxa"/>
          <w:trHeight w:val="245" w:hRule="atLeast"/>
        </w:trPr>
        <w:tc>
          <w:tcPr>
            <w:tcW w:w="86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DE CALLE</w:t>
            </w:r>
          </w:p>
        </w:tc>
        <w:tc>
          <w:tcPr>
            <w:tcW w:w="12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A CALLE</w:t>
            </w:r>
          </w:p>
        </w:tc>
        <w:tc>
          <w:tcPr>
            <w:tcW w:w="42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70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NÚCLEO SODZIL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1,406.00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TEMOZÓN NORTE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1,040.00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ALTEZA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2,000.00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ALTO VIENTO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1,424.00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AMIDANAH</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ANONA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ASTORIA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2,366.00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ATIKA #1 TEMOZÓN NORTE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BAOBA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1,356.00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CABO NORTE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3,865.00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CAMPUS UNIVERSITY CITY</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3,040.00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CONJUNTO CATENA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2,366.00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CORAZÓN DE TIERRA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2,035.00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ECO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EMERALD TEMOZÓN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FARO DEL MAYAB</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3,040.00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KAHUNA VILLAS TEMOZON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KATNA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LA VISTA LUXURY TOWERS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4,400.00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LAS FINCAS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3,840.00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LOS AZULEJOS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LUCERA TOWN HOUSES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MADERO 54</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2,240.00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MAKENA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MARELA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2,366.00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MODENA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2,800.00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MURANTA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2,800.00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MYKONOS RESIDENCIAL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2,306.00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NORDEN 48</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2,800.00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NOVARA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2,366.00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PALMEQUEN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2,560.00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PARQUE TUUNICH</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2,240.00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PIEDRA ANTIGUA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3,360.00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PRIVADA ALPHA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2,560.00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PRIVADA KA'AN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2,726.00</w:t>
            </w:r>
          </w:p>
        </w:tc>
      </w:tr>
      <w:tr>
        <w:tblPrEx>
          <w:tblCellMar>
            <w:top w:w="0" w:type="dxa"/>
            <w:left w:w="70" w:type="dxa"/>
            <w:bottom w:w="0" w:type="dxa"/>
            <w:right w:w="70" w:type="dxa"/>
          </w:tblCellMar>
        </w:tblPrEx>
        <w:trPr>
          <w:wBefore w:w="0" w:type="dxa"/>
          <w:trHeight w:val="492"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20"/>
                <w:szCs w:val="20"/>
              </w:rPr>
            </w:pPr>
            <w:r>
              <w:rPr>
                <w:rFonts w:ascii="Century Gothic" w:hAnsi="Century Gothic" w:cs="Arial"/>
                <w:color w:val="000000"/>
                <w:sz w:val="20"/>
                <w:szCs w:val="20"/>
              </w:rPr>
              <w:t>CONDOMINIO PRIVADA RESIDENCIAL QUINTA PUERTO RICO</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2,726.00</w:t>
            </w:r>
          </w:p>
        </w:tc>
      </w:tr>
      <w:tr>
        <w:tblPrEx>
          <w:tblCellMar>
            <w:top w:w="0" w:type="dxa"/>
            <w:left w:w="70" w:type="dxa"/>
            <w:bottom w:w="0" w:type="dxa"/>
            <w:right w:w="70" w:type="dxa"/>
          </w:tblCellMar>
        </w:tblPrEx>
        <w:trPr>
          <w:wBefore w:w="0" w:type="dxa"/>
          <w:trHeight w:val="257"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20"/>
                <w:szCs w:val="20"/>
              </w:rPr>
            </w:pPr>
            <w:r>
              <w:rPr>
                <w:rFonts w:ascii="Century Gothic" w:hAnsi="Century Gothic" w:cs="Arial"/>
                <w:color w:val="000000"/>
                <w:sz w:val="20"/>
                <w:szCs w:val="20"/>
              </w:rPr>
              <w:t>CONDOMINIO PRIVADA RESIDENCIAL YAXCHÉ</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2,240.00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PRIVADA TEMOZÓN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2,761.00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PRIVADA TEMOZÓN NORTE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2,035.00</w:t>
            </w:r>
          </w:p>
        </w:tc>
      </w:tr>
      <w:tr>
        <w:tblPrEx>
          <w:tblCellMar>
            <w:top w:w="0" w:type="dxa"/>
            <w:left w:w="70" w:type="dxa"/>
            <w:bottom w:w="0" w:type="dxa"/>
            <w:right w:w="70" w:type="dxa"/>
          </w:tblCellMar>
        </w:tblPrEx>
        <w:trPr>
          <w:wBefore w:w="0" w:type="dxa"/>
          <w:trHeight w:val="257"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20"/>
                <w:szCs w:val="20"/>
              </w:rPr>
            </w:pPr>
            <w:r>
              <w:rPr>
                <w:rFonts w:ascii="Century Gothic" w:hAnsi="Century Gothic" w:cs="Arial"/>
                <w:color w:val="000000"/>
                <w:sz w:val="20"/>
                <w:szCs w:val="20"/>
              </w:rPr>
              <w:t>CONDOMINIO PUNTA LAGO PRIVADA RESIDENCIAL</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4,160.00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PUNTA LOMAS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2,800.00</w:t>
            </w:r>
          </w:p>
        </w:tc>
      </w:tr>
      <w:tr>
        <w:tblPrEx>
          <w:tblCellMar>
            <w:top w:w="0" w:type="dxa"/>
            <w:left w:w="70" w:type="dxa"/>
            <w:bottom w:w="0" w:type="dxa"/>
            <w:right w:w="70" w:type="dxa"/>
          </w:tblCellMar>
        </w:tblPrEx>
        <w:trPr>
          <w:wBefore w:w="0" w:type="dxa"/>
          <w:trHeight w:val="293"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20"/>
                <w:szCs w:val="20"/>
              </w:rPr>
            </w:pPr>
            <w:r>
              <w:rPr>
                <w:rFonts w:ascii="Century Gothic" w:hAnsi="Century Gothic" w:cs="Arial"/>
                <w:color w:val="000000"/>
                <w:sz w:val="20"/>
                <w:szCs w:val="20"/>
              </w:rPr>
              <w:t>CONDOMINIO RESIDENCIAL PRIVADA TEMOZÓN</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2,375.00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RESIDENCIAL TANAJ</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SAN ANDRÉS COCOYOLES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3,360.00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SAN JERÓNIMO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1,356.00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SAO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2,035.00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SIMARUBA1</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2,761.00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SKYWORK</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3,500.00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SOHO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2,800.00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SOLASTA RESIDENCIAL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2,761.00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SOLUNA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2,035.00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SYRAH</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2,163.00</w:t>
            </w:r>
          </w:p>
        </w:tc>
      </w:tr>
      <w:tr>
        <w:tblPrEx>
          <w:tblCellMar>
            <w:top w:w="0" w:type="dxa"/>
            <w:left w:w="70" w:type="dxa"/>
            <w:bottom w:w="0" w:type="dxa"/>
            <w:right w:w="70" w:type="dxa"/>
          </w:tblCellMar>
        </w:tblPrEx>
        <w:trPr>
          <w:wBefore w:w="0" w:type="dxa"/>
          <w:trHeight w:val="492"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20"/>
                <w:szCs w:val="20"/>
              </w:rPr>
            </w:pPr>
            <w:r>
              <w:rPr>
                <w:rFonts w:ascii="Century Gothic" w:hAnsi="Century Gothic" w:cs="Arial"/>
                <w:color w:val="000000"/>
                <w:sz w:val="20"/>
                <w:szCs w:val="20"/>
              </w:rPr>
              <w:t>CONDOMINIO TAMARINDOS TEMOZÓN, PRIVADA RESIDENCIAL</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TEMOZÓN 39</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TEMOZÓN CASA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2,761.00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TEMOZÓN QUATRO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TOWNHOUSES VIA 29</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VILLAS MALBEC</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2,240.00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VOLU</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1,845.00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XA’AN TEMOZÓN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RESIDENCIAL ANDALUCÍA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1,356.00</w:t>
            </w:r>
          </w:p>
        </w:tc>
      </w:tr>
      <w:tr>
        <w:tblPrEx>
          <w:tblCellMar>
            <w:top w:w="0" w:type="dxa"/>
            <w:left w:w="70" w:type="dxa"/>
            <w:bottom w:w="0" w:type="dxa"/>
            <w:right w:w="70" w:type="dxa"/>
          </w:tblCellMar>
        </w:tblPrEx>
        <w:trPr>
          <w:wBefore w:w="0" w:type="dxa"/>
          <w:trHeight w:val="492"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 II PRIVADA LAURELES</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1,695.00</w:t>
            </w:r>
          </w:p>
        </w:tc>
      </w:tr>
      <w:tr>
        <w:tblPrEx>
          <w:tblCellMar>
            <w:top w:w="0" w:type="dxa"/>
            <w:left w:w="70" w:type="dxa"/>
            <w:bottom w:w="0" w:type="dxa"/>
            <w:right w:w="70" w:type="dxa"/>
          </w:tblCellMar>
        </w:tblPrEx>
        <w:trPr>
          <w:wBefore w:w="0" w:type="dxa"/>
          <w:trHeight w:val="492"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 III RESIDENCIAL DEL MAYAB</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2,240.00</w:t>
            </w:r>
          </w:p>
        </w:tc>
      </w:tr>
    </w:tbl>
    <w:p>
      <w:pPr>
        <w:autoSpaceDE w:val="0"/>
        <w:autoSpaceDN w:val="0"/>
        <w:adjustRightInd w:val="0"/>
        <w:spacing w:line="276" w:lineRule="auto"/>
        <w:rPr>
          <w:rFonts w:ascii="Century Gothic" w:hAnsi="Century Gothic"/>
          <w:b/>
          <w:sz w:val="20"/>
          <w:szCs w:val="20"/>
        </w:rPr>
      </w:pPr>
    </w:p>
    <w:p>
      <w:pPr>
        <w:spacing w:line="276" w:lineRule="auto"/>
        <w:jc w:val="left"/>
        <w:rPr>
          <w:rFonts w:ascii="Century Gothic" w:hAnsi="Century Gothic"/>
          <w:b/>
          <w:sz w:val="20"/>
          <w:szCs w:val="20"/>
        </w:rPr>
      </w:pPr>
      <w:r>
        <w:rPr>
          <w:rFonts w:ascii="Century Gothic" w:hAnsi="Century Gothic"/>
          <w:b/>
          <w:sz w:val="20"/>
          <w:szCs w:val="20"/>
        </w:rPr>
        <w:t>SECCIÓN 35</w:t>
      </w:r>
    </w:p>
    <w:tbl>
      <w:tblPr>
        <w:tblStyle w:val="7"/>
        <w:tblW w:w="9356" w:type="dxa"/>
        <w:tblInd w:w="-72" w:type="dxa"/>
        <w:tblLayout w:type="fixed"/>
        <w:tblCellMar>
          <w:top w:w="0" w:type="dxa"/>
          <w:left w:w="70" w:type="dxa"/>
          <w:bottom w:w="0" w:type="dxa"/>
          <w:right w:w="70" w:type="dxa"/>
        </w:tblCellMar>
      </w:tblPr>
      <w:tblGrid>
        <w:gridCol w:w="860"/>
        <w:gridCol w:w="1288"/>
        <w:gridCol w:w="1289"/>
        <w:gridCol w:w="4218"/>
        <w:gridCol w:w="1701"/>
      </w:tblGrid>
      <w:tr>
        <w:tblPrEx>
          <w:tblCellMar>
            <w:top w:w="0" w:type="dxa"/>
            <w:left w:w="70" w:type="dxa"/>
            <w:bottom w:w="0" w:type="dxa"/>
            <w:right w:w="70" w:type="dxa"/>
          </w:tblCellMar>
        </w:tblPrEx>
        <w:trPr>
          <w:wBefore w:w="0" w:type="dxa"/>
          <w:trHeight w:val="309" w:hRule="atLeast"/>
        </w:trPr>
        <w:tc>
          <w:tcPr>
            <w:tcW w:w="86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18"/>
                <w:szCs w:val="18"/>
              </w:rPr>
            </w:pPr>
            <w:r>
              <w:rPr>
                <w:rFonts w:ascii="Century Gothic" w:hAnsi="Century Gothic" w:cs="Arial"/>
                <w:b/>
                <w:bCs/>
                <w:color w:val="000000"/>
                <w:sz w:val="18"/>
                <w:szCs w:val="18"/>
              </w:rPr>
              <w:t>CALLE</w:t>
            </w:r>
          </w:p>
        </w:tc>
        <w:tc>
          <w:tcPr>
            <w:tcW w:w="25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18"/>
                <w:szCs w:val="18"/>
              </w:rPr>
            </w:pPr>
            <w:r>
              <w:rPr>
                <w:rFonts w:ascii="Century Gothic" w:hAnsi="Century Gothic" w:cs="Arial"/>
                <w:b/>
                <w:bCs/>
                <w:color w:val="000000"/>
                <w:sz w:val="18"/>
                <w:szCs w:val="18"/>
              </w:rPr>
              <w:t>TRAMO</w:t>
            </w:r>
          </w:p>
        </w:tc>
        <w:tc>
          <w:tcPr>
            <w:tcW w:w="42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18"/>
                <w:szCs w:val="18"/>
              </w:rPr>
            </w:pPr>
            <w:r>
              <w:rPr>
                <w:rFonts w:ascii="Century Gothic" w:hAnsi="Century Gothic" w:cs="Arial"/>
                <w:b/>
                <w:bCs/>
                <w:color w:val="000000"/>
                <w:sz w:val="18"/>
                <w:szCs w:val="18"/>
              </w:rPr>
              <w:t>UNIDAD HABITACIONAL / COMISARIA</w:t>
            </w:r>
          </w:p>
        </w:tc>
        <w:tc>
          <w:tcPr>
            <w:tcW w:w="170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18"/>
                <w:szCs w:val="18"/>
              </w:rPr>
            </w:pPr>
            <w:r>
              <w:rPr>
                <w:rFonts w:ascii="Century Gothic" w:hAnsi="Century Gothic" w:cs="Arial"/>
                <w:b/>
                <w:bCs/>
                <w:color w:val="000000"/>
                <w:sz w:val="18"/>
                <w:szCs w:val="18"/>
              </w:rPr>
              <w:t>VALOR UNITARIO POR M2</w:t>
            </w:r>
          </w:p>
        </w:tc>
      </w:tr>
      <w:tr>
        <w:tblPrEx>
          <w:tblCellMar>
            <w:top w:w="0" w:type="dxa"/>
            <w:left w:w="70" w:type="dxa"/>
            <w:bottom w:w="0" w:type="dxa"/>
            <w:right w:w="70" w:type="dxa"/>
          </w:tblCellMar>
        </w:tblPrEx>
        <w:trPr>
          <w:wBefore w:w="0" w:type="dxa"/>
          <w:trHeight w:val="245" w:hRule="atLeast"/>
        </w:trPr>
        <w:tc>
          <w:tcPr>
            <w:tcW w:w="86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18"/>
                <w:szCs w:val="18"/>
              </w:rPr>
            </w:pPr>
            <w:r>
              <w:rPr>
                <w:rFonts w:ascii="Century Gothic" w:hAnsi="Century Gothic" w:cs="Arial"/>
                <w:b/>
                <w:bCs/>
                <w:color w:val="000000"/>
                <w:sz w:val="18"/>
                <w:szCs w:val="18"/>
              </w:rPr>
              <w:t>DE CALLE</w:t>
            </w:r>
          </w:p>
        </w:tc>
        <w:tc>
          <w:tcPr>
            <w:tcW w:w="12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18"/>
                <w:szCs w:val="18"/>
              </w:rPr>
            </w:pPr>
            <w:r>
              <w:rPr>
                <w:rFonts w:ascii="Century Gothic" w:hAnsi="Century Gothic" w:cs="Arial"/>
                <w:b/>
                <w:bCs/>
                <w:color w:val="000000"/>
                <w:sz w:val="18"/>
                <w:szCs w:val="18"/>
              </w:rPr>
              <w:t>A CALLE</w:t>
            </w:r>
          </w:p>
        </w:tc>
        <w:tc>
          <w:tcPr>
            <w:tcW w:w="42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18"/>
                <w:szCs w:val="18"/>
              </w:rPr>
            </w:pPr>
          </w:p>
        </w:tc>
        <w:tc>
          <w:tcPr>
            <w:tcW w:w="170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18"/>
                <w:szCs w:val="18"/>
              </w:rPr>
            </w:pP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COLONIA GRANJAS CHOLUL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1,280.00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COLONIA GUADALUPE CHOLUL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1,280.00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COLONIA SANTA GERTRUDIS COPÓ</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1,829.00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COLONIA SANTA RITA CHOLUL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1,600.00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COMISARÍA CHOLUL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880.00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COMISARÍA TIXCUYTÚN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464.00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ÁLAMO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2,120.00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ALLEGRA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3,600.00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ALESSIA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1,680.00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ALTAVISTA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2,170.00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AMANTEA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2,170.00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AMARA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2,800.00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ANTALYA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2,063.00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ANTURIO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AQUA NATIVA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1,680.00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ARBORETTOS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3,200.00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BOLONIA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1,280.00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BOSQUES DE SAN JOSÉ 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1,840.00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BOSQUES DE SAN JOSÉ II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1,840.00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CIERZO RESIDENCIAL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1,680.00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COLIBRÍ</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1,680.00</w:t>
            </w:r>
          </w:p>
        </w:tc>
      </w:tr>
      <w:tr>
        <w:tblPrEx>
          <w:tblCellMar>
            <w:top w:w="0" w:type="dxa"/>
            <w:left w:w="70" w:type="dxa"/>
            <w:bottom w:w="0" w:type="dxa"/>
            <w:right w:w="70" w:type="dxa"/>
          </w:tblCellMar>
        </w:tblPrEx>
        <w:trPr>
          <w:wBefore w:w="0" w:type="dxa"/>
          <w:trHeight w:val="399"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18"/>
                <w:szCs w:val="18"/>
              </w:rPr>
            </w:pPr>
            <w:r>
              <w:rPr>
                <w:rFonts w:ascii="Century Gothic" w:hAnsi="Century Gothic" w:cs="Arial"/>
                <w:color w:val="000000"/>
                <w:sz w:val="18"/>
                <w:szCs w:val="18"/>
              </w:rPr>
              <w:t>CONDOMINIO EL SECRETO PRIVADA MANANTIALES DE COCOYOLES</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4,320.00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FONTANA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2,160.00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GARDENA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2,063.00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GRAN VALLE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1,760.00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HELIA CONDOS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2,080.00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JULIETA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KINISH</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1,360.00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LA RUA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2,035.00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LA VIDA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1,680.00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LAS MARGARITAS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1,600.00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LOS GAVIONES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2,160.00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LUMTANA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2,063.00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MACORA 86</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1,900.00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MACULI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1,563.00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MANANTIALES DE COCOYOLES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3,440.00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MARGARITAS 202</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2,160.00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NAVITA RESIDENCIAL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3,040.00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OASIS CHOLUL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2,160.00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PALMETOS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2,960.00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PALTA 152</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2,031.00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PEDREGALES DE TIXCUYTÚN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1,221.00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PIEDRA VERDE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2,160.00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PORTO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3,440.00</w:t>
            </w:r>
          </w:p>
        </w:tc>
      </w:tr>
      <w:tr>
        <w:tblPrEx>
          <w:tblCellMar>
            <w:top w:w="0" w:type="dxa"/>
            <w:left w:w="70" w:type="dxa"/>
            <w:bottom w:w="0" w:type="dxa"/>
            <w:right w:w="70" w:type="dxa"/>
          </w:tblCellMar>
        </w:tblPrEx>
        <w:trPr>
          <w:wBefore w:w="0" w:type="dxa"/>
          <w:trHeight w:val="247"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18"/>
                <w:szCs w:val="18"/>
              </w:rPr>
            </w:pPr>
            <w:r>
              <w:rPr>
                <w:rFonts w:ascii="Century Gothic" w:hAnsi="Century Gothic" w:cs="Arial"/>
                <w:color w:val="000000"/>
                <w:sz w:val="18"/>
                <w:szCs w:val="18"/>
              </w:rPr>
              <w:t>CONDOMINIO PRIVADA ALTAMIRA RESIDENCIAL</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2,063.00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PRIVADA CONKAL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1,680.00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PRIVADA CÚSPIDE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PRIVADA EL TRIUNFO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PRIVADA GRAND VIEW</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PRIVADA MONTEBELLO NORTE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4,320.00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PRIVADA OLIVA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2,063.00</w:t>
            </w:r>
          </w:p>
        </w:tc>
      </w:tr>
      <w:tr>
        <w:tblPrEx>
          <w:tblCellMar>
            <w:top w:w="0" w:type="dxa"/>
            <w:left w:w="70" w:type="dxa"/>
            <w:bottom w:w="0" w:type="dxa"/>
            <w:right w:w="70" w:type="dxa"/>
          </w:tblCellMar>
        </w:tblPrEx>
        <w:trPr>
          <w:wBefore w:w="0" w:type="dxa"/>
          <w:trHeight w:val="186"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18"/>
                <w:szCs w:val="18"/>
              </w:rPr>
            </w:pPr>
            <w:r>
              <w:rPr>
                <w:rFonts w:ascii="Century Gothic" w:hAnsi="Century Gothic" w:cs="Arial"/>
                <w:color w:val="000000"/>
                <w:sz w:val="18"/>
                <w:szCs w:val="18"/>
              </w:rPr>
              <w:t>CONDOMINIO PRIVADA RESIDENCIAL ALBARELLA</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2,160.00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PRIVADA SEVILLA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1,783.00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PRIVADA TIXCUYTÚN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1,040.00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PRIVADAS COPO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2,063.00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SAC CHACA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SAN GABRIEL TULIPANES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SAN JAVIER TULIPANES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2,960.00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SAN JOSÉ TULIPANES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492"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18"/>
                <w:szCs w:val="18"/>
              </w:rPr>
            </w:pPr>
            <w:r>
              <w:rPr>
                <w:rFonts w:ascii="Century Gothic" w:hAnsi="Century Gothic" w:cs="Arial"/>
                <w:color w:val="000000"/>
                <w:sz w:val="18"/>
                <w:szCs w:val="18"/>
              </w:rPr>
              <w:t>CONDOMINIO SANTA GERTRUDIS PRIVADA RESIDENCIAL</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SENDA NORTE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SENTINELLO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1,988.00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SIANKA AN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1,783.00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SILVANO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SONATA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TINTARELA RESIDENCIAL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TORRE ONZE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4,320.00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TRINUM</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2,160.00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U-TARA TOWERS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VARENA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1,360.00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VILLAS DEL BOSQUE CHOLUL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VILLAS RUE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1,764.00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YUKAN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1,900.00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CONDOMINIO ZENTURA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2,035.00</w:t>
            </w:r>
          </w:p>
        </w:tc>
      </w:tr>
      <w:tr>
        <w:tblPrEx>
          <w:tblCellMar>
            <w:top w:w="0" w:type="dxa"/>
            <w:left w:w="70" w:type="dxa"/>
            <w:bottom w:w="0" w:type="dxa"/>
            <w:right w:w="70" w:type="dxa"/>
          </w:tblCellMar>
        </w:tblPrEx>
        <w:trPr>
          <w:wBefore w:w="0" w:type="dxa"/>
          <w:trHeight w:val="259"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left"/>
              <w:rPr>
                <w:rFonts w:ascii="Century Gothic" w:hAnsi="Century Gothic" w:cs="Arial"/>
                <w:color w:val="000000"/>
                <w:sz w:val="18"/>
                <w:szCs w:val="18"/>
              </w:rPr>
            </w:pPr>
            <w:r>
              <w:rPr>
                <w:rFonts w:ascii="Century Gothic" w:hAnsi="Century Gothic" w:cs="Arial"/>
                <w:color w:val="000000"/>
                <w:sz w:val="18"/>
                <w:szCs w:val="18"/>
              </w:rPr>
              <w:t>FRACC. ALGARROBOS DESARROLLO RESIDENCIAL</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4,400.00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FRACC. ALURA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1,840.00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FRACC. BOGDAN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1,221.00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FRACC. CHOLUL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1,493.00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FRACC. CHOLUL 26</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1,760.00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FRACC. CLOVERLEAF CHOLUL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1,760.00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FRACC. JALAPA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1,760.00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FRACC. LAS FINCAS CHOLUL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1,760.00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FRACC. RESIDENCIAL CAMPESTRE VILADIÚ</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1,760.00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FRACC. SAN PEDRO CHOLUL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1,760.00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FRACC. SANTA GERTRUDIS</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2,240.00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18"/>
                <w:szCs w:val="18"/>
              </w:rPr>
            </w:pPr>
            <w:r>
              <w:rPr>
                <w:rFonts w:ascii="Century Gothic" w:hAnsi="Century Gothic" w:cs="Arial"/>
                <w:color w:val="000000"/>
                <w:sz w:val="18"/>
                <w:szCs w:val="18"/>
              </w:rPr>
              <w:t>FRACC. VIDA VERDE</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1,695.00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18"/>
                <w:szCs w:val="18"/>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color w:val="000000"/>
                <w:sz w:val="18"/>
                <w:szCs w:val="18"/>
              </w:rPr>
            </w:pPr>
            <w:r>
              <w:rPr>
                <w:rFonts w:ascii="Century Gothic" w:hAnsi="Century Gothic" w:cs="Arial"/>
                <w:b/>
                <w:bCs/>
                <w:color w:val="000000"/>
                <w:sz w:val="18"/>
                <w:szCs w:val="18"/>
              </w:rPr>
              <w:t>COMPLEMENTO DE SECCIÓN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18"/>
                <w:szCs w:val="18"/>
              </w:rPr>
            </w:pPr>
            <w:r>
              <w:rPr>
                <w:rFonts w:ascii="Century Gothic" w:hAnsi="Century Gothic" w:cs="Arial"/>
                <w:color w:val="000000"/>
                <w:sz w:val="18"/>
                <w:szCs w:val="18"/>
              </w:rPr>
              <w:t xml:space="preserve"> $        733.00</w:t>
            </w:r>
          </w:p>
        </w:tc>
      </w:tr>
    </w:tbl>
    <w:p>
      <w:pPr>
        <w:autoSpaceDE w:val="0"/>
        <w:autoSpaceDN w:val="0"/>
        <w:adjustRightInd w:val="0"/>
        <w:spacing w:line="276" w:lineRule="auto"/>
        <w:rPr>
          <w:rFonts w:ascii="Century Gothic" w:hAnsi="Century Gothic"/>
          <w:bCs/>
          <w:sz w:val="20"/>
          <w:szCs w:val="20"/>
        </w:rPr>
      </w:pPr>
    </w:p>
    <w:p>
      <w:pPr>
        <w:spacing w:line="276" w:lineRule="auto"/>
        <w:jc w:val="left"/>
        <w:rPr>
          <w:rFonts w:ascii="Century Gothic" w:hAnsi="Century Gothic"/>
          <w:b/>
          <w:sz w:val="20"/>
          <w:szCs w:val="20"/>
        </w:rPr>
      </w:pPr>
      <w:r>
        <w:rPr>
          <w:rFonts w:ascii="Century Gothic" w:hAnsi="Century Gothic"/>
          <w:b/>
          <w:sz w:val="20"/>
          <w:szCs w:val="20"/>
        </w:rPr>
        <w:t>SECCIÓN 36</w:t>
      </w:r>
    </w:p>
    <w:tbl>
      <w:tblPr>
        <w:tblStyle w:val="7"/>
        <w:tblW w:w="935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860"/>
        <w:gridCol w:w="1267"/>
        <w:gridCol w:w="1310"/>
        <w:gridCol w:w="42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trHeight w:val="309" w:hRule="atLeast"/>
        </w:trPr>
        <w:tc>
          <w:tcPr>
            <w:tcW w:w="860" w:type="dxa"/>
            <w:vMerge w:val="restart"/>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CALLE</w:t>
            </w:r>
          </w:p>
        </w:tc>
        <w:tc>
          <w:tcPr>
            <w:tcW w:w="2577" w:type="dxa"/>
            <w:gridSpan w:val="2"/>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TRAMO</w:t>
            </w:r>
          </w:p>
        </w:tc>
        <w:tc>
          <w:tcPr>
            <w:tcW w:w="4218" w:type="dxa"/>
            <w:vMerge w:val="restart"/>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UNIDAD HABITACIONAL / COMISARIA</w:t>
            </w:r>
          </w:p>
        </w:tc>
        <w:tc>
          <w:tcPr>
            <w:tcW w:w="1701" w:type="dxa"/>
            <w:vMerge w:val="restart"/>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VALOR UNITARIO POR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trHeight w:val="245" w:hRule="atLeast"/>
        </w:trPr>
        <w:tc>
          <w:tcPr>
            <w:tcW w:w="860" w:type="dxa"/>
            <w:vMerge w:val="continue"/>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267" w:type="dxa"/>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DE CALLE</w:t>
            </w:r>
          </w:p>
        </w:tc>
        <w:tc>
          <w:tcPr>
            <w:tcW w:w="1310" w:type="dxa"/>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A CALLE</w:t>
            </w:r>
          </w:p>
        </w:tc>
        <w:tc>
          <w:tcPr>
            <w:tcW w:w="4218" w:type="dxa"/>
            <w:vMerge w:val="continue"/>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701" w:type="dxa"/>
            <w:vMerge w:val="continue"/>
            <w:noWrap w:val="0"/>
            <w:vAlign w:val="center"/>
          </w:tcPr>
          <w:p>
            <w:pPr>
              <w:autoSpaceDE w:val="0"/>
              <w:autoSpaceDN w:val="0"/>
              <w:adjustRightInd w:val="0"/>
              <w:spacing w:after="0"/>
              <w:jc w:val="center"/>
              <w:rPr>
                <w:rFonts w:ascii="Century Gothic" w:hAnsi="Century Gothic" w:cs="Arial"/>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trHeight w:val="245" w:hRule="atLeast"/>
        </w:trPr>
        <w:tc>
          <w:tcPr>
            <w:tcW w:w="86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LEANDRO VALLE</w:t>
            </w:r>
          </w:p>
        </w:tc>
        <w:tc>
          <w:tcPr>
            <w:tcW w:w="1701" w:type="dxa"/>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1,173.00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trHeight w:val="245" w:hRule="atLeast"/>
        </w:trPr>
        <w:tc>
          <w:tcPr>
            <w:tcW w:w="86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CHICHÍ SUÁREZ</w:t>
            </w:r>
          </w:p>
        </w:tc>
        <w:tc>
          <w:tcPr>
            <w:tcW w:w="1701" w:type="dxa"/>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756.00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trHeight w:val="245" w:hRule="atLeast"/>
        </w:trPr>
        <w:tc>
          <w:tcPr>
            <w:tcW w:w="86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FLORESTA RESIDENCIAL</w:t>
            </w:r>
          </w:p>
        </w:tc>
        <w:tc>
          <w:tcPr>
            <w:tcW w:w="1701" w:type="dxa"/>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1,208.00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trHeight w:val="245" w:hRule="atLeast"/>
        </w:trPr>
        <w:tc>
          <w:tcPr>
            <w:tcW w:w="86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LOS HÉROES</w:t>
            </w:r>
          </w:p>
        </w:tc>
        <w:tc>
          <w:tcPr>
            <w:tcW w:w="1701" w:type="dxa"/>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811.00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trHeight w:val="245" w:hRule="atLeast"/>
        </w:trPr>
        <w:tc>
          <w:tcPr>
            <w:tcW w:w="86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LOS HÉROES II</w:t>
            </w:r>
          </w:p>
        </w:tc>
        <w:tc>
          <w:tcPr>
            <w:tcW w:w="1701" w:type="dxa"/>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811.00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trHeight w:val="245" w:hRule="atLeast"/>
        </w:trPr>
        <w:tc>
          <w:tcPr>
            <w:tcW w:w="86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PUNTA ESMERALDA</w:t>
            </w:r>
          </w:p>
        </w:tc>
        <w:tc>
          <w:tcPr>
            <w:tcW w:w="1701" w:type="dxa"/>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811.00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trHeight w:val="245" w:hRule="atLeast"/>
        </w:trPr>
        <w:tc>
          <w:tcPr>
            <w:tcW w:w="86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267"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1310" w:type="dxa"/>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noWrap w:val="0"/>
            <w:vAlign w:val="top"/>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w:t>
            </w:r>
          </w:p>
        </w:tc>
        <w:tc>
          <w:tcPr>
            <w:tcW w:w="1701" w:type="dxa"/>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716.00</w:t>
            </w:r>
          </w:p>
        </w:tc>
      </w:tr>
    </w:tbl>
    <w:p>
      <w:pPr>
        <w:autoSpaceDE w:val="0"/>
        <w:autoSpaceDN w:val="0"/>
        <w:adjustRightInd w:val="0"/>
        <w:spacing w:line="276" w:lineRule="auto"/>
        <w:rPr>
          <w:rFonts w:ascii="Century Gothic" w:hAnsi="Century Gothic"/>
          <w:b/>
          <w:sz w:val="20"/>
          <w:szCs w:val="20"/>
        </w:rPr>
      </w:pPr>
    </w:p>
    <w:p>
      <w:pPr>
        <w:spacing w:line="276" w:lineRule="auto"/>
        <w:jc w:val="left"/>
        <w:rPr>
          <w:rFonts w:ascii="Century Gothic" w:hAnsi="Century Gothic"/>
          <w:bCs/>
          <w:sz w:val="20"/>
          <w:szCs w:val="20"/>
        </w:rPr>
      </w:pPr>
      <w:r>
        <w:rPr>
          <w:rFonts w:ascii="Century Gothic" w:hAnsi="Century Gothic"/>
          <w:b/>
          <w:sz w:val="20"/>
          <w:szCs w:val="20"/>
        </w:rPr>
        <w:t>SECCIÓN 37</w:t>
      </w:r>
    </w:p>
    <w:tbl>
      <w:tblPr>
        <w:tblStyle w:val="7"/>
        <w:tblW w:w="9356" w:type="dxa"/>
        <w:tblInd w:w="-72" w:type="dxa"/>
        <w:tblLayout w:type="fixed"/>
        <w:tblCellMar>
          <w:top w:w="0" w:type="dxa"/>
          <w:left w:w="70" w:type="dxa"/>
          <w:bottom w:w="0" w:type="dxa"/>
          <w:right w:w="70" w:type="dxa"/>
        </w:tblCellMar>
      </w:tblPr>
      <w:tblGrid>
        <w:gridCol w:w="860"/>
        <w:gridCol w:w="1288"/>
        <w:gridCol w:w="1289"/>
        <w:gridCol w:w="4218"/>
        <w:gridCol w:w="1701"/>
      </w:tblGrid>
      <w:tr>
        <w:tblPrEx>
          <w:tblCellMar>
            <w:top w:w="0" w:type="dxa"/>
            <w:left w:w="70" w:type="dxa"/>
            <w:bottom w:w="0" w:type="dxa"/>
            <w:right w:w="70" w:type="dxa"/>
          </w:tblCellMar>
        </w:tblPrEx>
        <w:trPr>
          <w:wBefore w:w="0" w:type="dxa"/>
          <w:trHeight w:val="309" w:hRule="atLeast"/>
        </w:trPr>
        <w:tc>
          <w:tcPr>
            <w:tcW w:w="86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CALLE</w:t>
            </w:r>
          </w:p>
        </w:tc>
        <w:tc>
          <w:tcPr>
            <w:tcW w:w="25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TRAMO</w:t>
            </w:r>
          </w:p>
        </w:tc>
        <w:tc>
          <w:tcPr>
            <w:tcW w:w="42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UNIDAD HABITACIONAL / COMISARIA</w:t>
            </w:r>
          </w:p>
        </w:tc>
        <w:tc>
          <w:tcPr>
            <w:tcW w:w="170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VALOR UNITARIO POR M2</w:t>
            </w:r>
          </w:p>
        </w:tc>
      </w:tr>
      <w:tr>
        <w:tblPrEx>
          <w:tblCellMar>
            <w:top w:w="0" w:type="dxa"/>
            <w:left w:w="70" w:type="dxa"/>
            <w:bottom w:w="0" w:type="dxa"/>
            <w:right w:w="70" w:type="dxa"/>
          </w:tblCellMar>
        </w:tblPrEx>
        <w:trPr>
          <w:wBefore w:w="0" w:type="dxa"/>
          <w:trHeight w:val="245" w:hRule="atLeast"/>
        </w:trPr>
        <w:tc>
          <w:tcPr>
            <w:tcW w:w="86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DE CALLE</w:t>
            </w:r>
          </w:p>
        </w:tc>
        <w:tc>
          <w:tcPr>
            <w:tcW w:w="12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A CALLE</w:t>
            </w:r>
          </w:p>
        </w:tc>
        <w:tc>
          <w:tcPr>
            <w:tcW w:w="42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70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GUADALUPANA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242.00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JACINTO CANEK</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304.00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JARDINES DE TAHDZIBICHÉN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242.00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LEONA VICARIO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242.00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NUEVA SAN JOSÉ TECOH</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392.00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PLAN DE AYALA SUR</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392.00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PLAN DE AYALA SUR II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392.00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PLAN DE AYALA SUR III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392.00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COLONIA SAN JOSÉ TZAL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152.00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TAHDZIBICHÉN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264.00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XMATKUIL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264.00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BELLAVISTA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378.00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REYES DEL SUR</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378.00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VILLA BONITA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560.00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VILLA BONITA III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560.00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182.00</w:t>
            </w:r>
          </w:p>
        </w:tc>
      </w:tr>
    </w:tbl>
    <w:p>
      <w:pPr>
        <w:autoSpaceDE w:val="0"/>
        <w:autoSpaceDN w:val="0"/>
        <w:adjustRightInd w:val="0"/>
        <w:spacing w:line="276" w:lineRule="auto"/>
        <w:rPr>
          <w:rFonts w:ascii="Century Gothic" w:hAnsi="Century Gothic"/>
          <w:b/>
          <w:sz w:val="20"/>
          <w:szCs w:val="20"/>
        </w:rPr>
      </w:pPr>
    </w:p>
    <w:p>
      <w:pPr>
        <w:spacing w:line="276" w:lineRule="auto"/>
        <w:jc w:val="left"/>
        <w:rPr>
          <w:rFonts w:ascii="Century Gothic" w:hAnsi="Century Gothic"/>
          <w:b/>
          <w:sz w:val="20"/>
          <w:szCs w:val="20"/>
        </w:rPr>
      </w:pPr>
      <w:r>
        <w:rPr>
          <w:rFonts w:ascii="Century Gothic" w:hAnsi="Century Gothic"/>
          <w:b/>
          <w:sz w:val="20"/>
          <w:szCs w:val="20"/>
        </w:rPr>
        <w:t>SECCIÓN 38</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39</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40</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41</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42</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43</w:t>
      </w:r>
    </w:p>
    <w:tbl>
      <w:tblPr>
        <w:tblStyle w:val="7"/>
        <w:tblW w:w="9356" w:type="dxa"/>
        <w:tblInd w:w="-72" w:type="dxa"/>
        <w:tblLayout w:type="fixed"/>
        <w:tblCellMar>
          <w:top w:w="0" w:type="dxa"/>
          <w:left w:w="70" w:type="dxa"/>
          <w:bottom w:w="0" w:type="dxa"/>
          <w:right w:w="70" w:type="dxa"/>
        </w:tblCellMar>
      </w:tblPr>
      <w:tblGrid>
        <w:gridCol w:w="860"/>
        <w:gridCol w:w="1288"/>
        <w:gridCol w:w="1289"/>
        <w:gridCol w:w="4218"/>
        <w:gridCol w:w="1701"/>
      </w:tblGrid>
      <w:tr>
        <w:tblPrEx>
          <w:tblCellMar>
            <w:top w:w="0" w:type="dxa"/>
            <w:left w:w="70" w:type="dxa"/>
            <w:bottom w:w="0" w:type="dxa"/>
            <w:right w:w="70" w:type="dxa"/>
          </w:tblCellMar>
        </w:tblPrEx>
        <w:trPr>
          <w:wBefore w:w="0" w:type="dxa"/>
          <w:trHeight w:val="309" w:hRule="atLeast"/>
        </w:trPr>
        <w:tc>
          <w:tcPr>
            <w:tcW w:w="86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CALLE</w:t>
            </w:r>
          </w:p>
        </w:tc>
        <w:tc>
          <w:tcPr>
            <w:tcW w:w="25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TRAMO</w:t>
            </w:r>
          </w:p>
        </w:tc>
        <w:tc>
          <w:tcPr>
            <w:tcW w:w="42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UNIDAD HABITACIONAL / COMISARIA</w:t>
            </w:r>
          </w:p>
        </w:tc>
        <w:tc>
          <w:tcPr>
            <w:tcW w:w="170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VALOR UNITARIO POR M2</w:t>
            </w:r>
          </w:p>
        </w:tc>
      </w:tr>
      <w:tr>
        <w:tblPrEx>
          <w:tblCellMar>
            <w:top w:w="0" w:type="dxa"/>
            <w:left w:w="70" w:type="dxa"/>
            <w:bottom w:w="0" w:type="dxa"/>
            <w:right w:w="70" w:type="dxa"/>
          </w:tblCellMar>
        </w:tblPrEx>
        <w:trPr>
          <w:wBefore w:w="0" w:type="dxa"/>
          <w:trHeight w:val="245" w:hRule="atLeast"/>
        </w:trPr>
        <w:tc>
          <w:tcPr>
            <w:tcW w:w="86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DE CALLE</w:t>
            </w:r>
          </w:p>
        </w:tc>
        <w:tc>
          <w:tcPr>
            <w:tcW w:w="12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A CALLE</w:t>
            </w:r>
          </w:p>
        </w:tc>
        <w:tc>
          <w:tcPr>
            <w:tcW w:w="42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70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DZIDZILCHÉ</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136.00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KIKTEIL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136.00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KOMCHÉN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136.00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shd w:val="clear" w:color="auto" w:fill="auto"/>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shd w:val="clear" w:color="auto" w:fill="auto"/>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shd w:val="clear" w:color="auto" w:fill="auto"/>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BLUE CEDAR</w:t>
            </w:r>
          </w:p>
        </w:tc>
        <w:tc>
          <w:tcPr>
            <w:tcW w:w="1701" w:type="dxa"/>
            <w:tcBorders>
              <w:top w:val="single" w:color="auto" w:sz="6" w:space="0"/>
              <w:left w:val="single" w:color="auto" w:sz="6" w:space="0"/>
              <w:bottom w:val="single" w:color="auto" w:sz="6" w:space="0"/>
              <w:right w:val="single" w:color="auto" w:sz="6" w:space="0"/>
            </w:tcBorders>
            <w:shd w:val="clear" w:color="auto" w:fill="auto"/>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3,040.00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shd w:val="clear" w:color="auto" w:fill="auto"/>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shd w:val="clear" w:color="auto" w:fill="auto"/>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shd w:val="clear" w:color="auto" w:fill="auto"/>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shd w:val="clear" w:color="auto" w:fill="auto"/>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TAPIOLA</w:t>
            </w:r>
          </w:p>
        </w:tc>
        <w:tc>
          <w:tcPr>
            <w:tcW w:w="1701" w:type="dxa"/>
            <w:tcBorders>
              <w:top w:val="single" w:color="auto" w:sz="6" w:space="0"/>
              <w:left w:val="single" w:color="auto" w:sz="6" w:space="0"/>
              <w:bottom w:val="single" w:color="auto" w:sz="6" w:space="0"/>
              <w:right w:val="single" w:color="auto" w:sz="6" w:space="0"/>
            </w:tcBorders>
            <w:shd w:val="clear" w:color="auto" w:fill="auto"/>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2,000.00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RESIDENCIAL KANTARA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608.00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NORTEMERIDA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3,040.00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LAS AMÉRICAS II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LAS AMÉRICAS III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LAS AMÉRICAS IV</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LAS AMÉRICAS VI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960.00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RESIDENCIAL XCANATÚN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1,400.00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105.00</w:t>
            </w:r>
          </w:p>
        </w:tc>
      </w:tr>
    </w:tbl>
    <w:p>
      <w:pPr>
        <w:autoSpaceDE w:val="0"/>
        <w:autoSpaceDN w:val="0"/>
        <w:adjustRightInd w:val="0"/>
        <w:spacing w:line="276" w:lineRule="auto"/>
        <w:rPr>
          <w:rFonts w:ascii="Century Gothic" w:hAnsi="Century Gothic"/>
          <w:b/>
          <w:sz w:val="20"/>
          <w:szCs w:val="20"/>
        </w:rPr>
      </w:pPr>
    </w:p>
    <w:p>
      <w:pPr>
        <w:spacing w:line="276" w:lineRule="auto"/>
        <w:jc w:val="left"/>
        <w:rPr>
          <w:rFonts w:ascii="Century Gothic" w:hAnsi="Century Gothic"/>
          <w:b/>
          <w:sz w:val="20"/>
          <w:szCs w:val="20"/>
        </w:rPr>
      </w:pPr>
      <w:r>
        <w:rPr>
          <w:rFonts w:ascii="Century Gothic" w:hAnsi="Century Gothic"/>
          <w:b/>
          <w:sz w:val="20"/>
          <w:szCs w:val="20"/>
        </w:rPr>
        <w:t>SECCIÓN 44</w:t>
      </w:r>
    </w:p>
    <w:tbl>
      <w:tblPr>
        <w:tblStyle w:val="7"/>
        <w:tblW w:w="9356" w:type="dxa"/>
        <w:tblInd w:w="-72" w:type="dxa"/>
        <w:tblLayout w:type="fixed"/>
        <w:tblCellMar>
          <w:top w:w="0" w:type="dxa"/>
          <w:left w:w="70" w:type="dxa"/>
          <w:bottom w:w="0" w:type="dxa"/>
          <w:right w:w="70" w:type="dxa"/>
        </w:tblCellMar>
      </w:tblPr>
      <w:tblGrid>
        <w:gridCol w:w="860"/>
        <w:gridCol w:w="1288"/>
        <w:gridCol w:w="1289"/>
        <w:gridCol w:w="4218"/>
        <w:gridCol w:w="1701"/>
      </w:tblGrid>
      <w:tr>
        <w:tblPrEx>
          <w:tblCellMar>
            <w:top w:w="0" w:type="dxa"/>
            <w:left w:w="70" w:type="dxa"/>
            <w:bottom w:w="0" w:type="dxa"/>
            <w:right w:w="70" w:type="dxa"/>
          </w:tblCellMar>
        </w:tblPrEx>
        <w:trPr>
          <w:wBefore w:w="0" w:type="dxa"/>
          <w:trHeight w:val="309" w:hRule="atLeast"/>
        </w:trPr>
        <w:tc>
          <w:tcPr>
            <w:tcW w:w="86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CALLE</w:t>
            </w:r>
          </w:p>
        </w:tc>
        <w:tc>
          <w:tcPr>
            <w:tcW w:w="25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TRAMO</w:t>
            </w:r>
          </w:p>
        </w:tc>
        <w:tc>
          <w:tcPr>
            <w:tcW w:w="42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UNIDAD HABITACIONAL / COMISARIA</w:t>
            </w:r>
          </w:p>
        </w:tc>
        <w:tc>
          <w:tcPr>
            <w:tcW w:w="170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VALOR UNITARIO POR M2</w:t>
            </w:r>
          </w:p>
        </w:tc>
      </w:tr>
      <w:tr>
        <w:tblPrEx>
          <w:tblCellMar>
            <w:top w:w="0" w:type="dxa"/>
            <w:left w:w="70" w:type="dxa"/>
            <w:bottom w:w="0" w:type="dxa"/>
            <w:right w:w="70" w:type="dxa"/>
          </w:tblCellMar>
        </w:tblPrEx>
        <w:trPr>
          <w:wBefore w:w="0" w:type="dxa"/>
          <w:trHeight w:val="245" w:hRule="atLeast"/>
        </w:trPr>
        <w:tc>
          <w:tcPr>
            <w:tcW w:w="86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DE CALLE</w:t>
            </w:r>
          </w:p>
        </w:tc>
        <w:tc>
          <w:tcPr>
            <w:tcW w:w="12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A CALLE</w:t>
            </w:r>
          </w:p>
        </w:tc>
        <w:tc>
          <w:tcPr>
            <w:tcW w:w="42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70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SACNICTÉ</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128.00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SANTA MARIA YAXCHÉ</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128.00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TAMANCHÉ</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XCUNYÁ</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216.00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ALTOZANO LA NUEVA MÉRIDA FOGATA</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3,469.00</w:t>
            </w:r>
          </w:p>
        </w:tc>
      </w:tr>
      <w:tr>
        <w:tblPrEx>
          <w:tblCellMar>
            <w:top w:w="0" w:type="dxa"/>
            <w:left w:w="70" w:type="dxa"/>
            <w:bottom w:w="0" w:type="dxa"/>
            <w:right w:w="70" w:type="dxa"/>
          </w:tblCellMar>
        </w:tblPrEx>
        <w:trPr>
          <w:wBefore w:w="0" w:type="dxa"/>
          <w:trHeight w:val="492"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ALTOZANO LA NUEVA MÉRIDA LAGO</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3,469.00</w:t>
            </w:r>
          </w:p>
        </w:tc>
      </w:tr>
      <w:tr>
        <w:tblPrEx>
          <w:tblCellMar>
            <w:top w:w="0" w:type="dxa"/>
            <w:left w:w="70" w:type="dxa"/>
            <w:bottom w:w="0" w:type="dxa"/>
            <w:right w:w="70" w:type="dxa"/>
          </w:tblCellMar>
        </w:tblPrEx>
        <w:trPr>
          <w:wBefore w:w="0" w:type="dxa"/>
          <w:trHeight w:val="492"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ALTOZANO LA NUEVA MÉRIDA PLANICIE</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3,469.00</w:t>
            </w:r>
          </w:p>
        </w:tc>
      </w:tr>
      <w:tr>
        <w:tblPrEx>
          <w:tblCellMar>
            <w:top w:w="0" w:type="dxa"/>
            <w:left w:w="70" w:type="dxa"/>
            <w:bottom w:w="0" w:type="dxa"/>
            <w:right w:w="70" w:type="dxa"/>
          </w:tblCellMar>
        </w:tblPrEx>
        <w:trPr>
          <w:wBefore w:w="0" w:type="dxa"/>
          <w:trHeight w:val="492"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ALTOZANO LA NUEVA MÉRIDA OCÉANO</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3,469.00</w:t>
            </w:r>
          </w:p>
        </w:tc>
      </w:tr>
      <w:tr>
        <w:tblPrEx>
          <w:tblCellMar>
            <w:top w:w="0" w:type="dxa"/>
            <w:left w:w="70" w:type="dxa"/>
            <w:bottom w:w="0" w:type="dxa"/>
            <w:right w:w="70" w:type="dxa"/>
          </w:tblCellMar>
        </w:tblPrEx>
        <w:trPr>
          <w:wBefore w:w="0" w:type="dxa"/>
          <w:trHeight w:val="492"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ALTOZANO LA NUEVA MÉRIDA RIO</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3,469.00</w:t>
            </w:r>
          </w:p>
        </w:tc>
      </w:tr>
      <w:tr>
        <w:tblPrEx>
          <w:tblCellMar>
            <w:top w:w="0" w:type="dxa"/>
            <w:left w:w="70" w:type="dxa"/>
            <w:bottom w:w="0" w:type="dxa"/>
            <w:right w:w="70" w:type="dxa"/>
          </w:tblCellMar>
        </w:tblPrEx>
        <w:trPr>
          <w:wBefore w:w="0" w:type="dxa"/>
          <w:trHeight w:val="492"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ALTOZANO LA NUEVA MÉRIDA RISCO</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3,469.00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EL CORTIJO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1,250.00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LUA ELITE COUNTRY</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2,625.00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RESIDENCIAL AMARANTO LUXURY HOMES</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3,469.00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YUCATÁN VILLAGE &amp; RESORT</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4,000.00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CEIBA II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520.00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MISNEBALAM</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MISNEBALAM 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MISNEBALAM II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108.00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xml:space="preserve"> $        144.00</w:t>
            </w:r>
          </w:p>
        </w:tc>
      </w:tr>
    </w:tbl>
    <w:p>
      <w:pPr>
        <w:autoSpaceDE w:val="0"/>
        <w:autoSpaceDN w:val="0"/>
        <w:adjustRightInd w:val="0"/>
        <w:spacing w:line="276" w:lineRule="auto"/>
        <w:rPr>
          <w:rFonts w:ascii="Century Gothic" w:hAnsi="Century Gothic"/>
          <w:b/>
          <w:sz w:val="20"/>
          <w:szCs w:val="20"/>
        </w:rPr>
      </w:pPr>
    </w:p>
    <w:p>
      <w:pPr>
        <w:spacing w:line="276" w:lineRule="auto"/>
        <w:jc w:val="left"/>
        <w:rPr>
          <w:rFonts w:ascii="Century Gothic" w:hAnsi="Century Gothic"/>
          <w:b/>
          <w:sz w:val="20"/>
          <w:szCs w:val="20"/>
        </w:rPr>
      </w:pPr>
      <w:r>
        <w:rPr>
          <w:rFonts w:ascii="Century Gothic" w:hAnsi="Century Gothic"/>
          <w:b/>
          <w:sz w:val="20"/>
          <w:szCs w:val="20"/>
        </w:rPr>
        <w:t>SECCIÓN 45</w:t>
      </w:r>
    </w:p>
    <w:tbl>
      <w:tblPr>
        <w:tblStyle w:val="7"/>
        <w:tblpPr w:leftFromText="141" w:rightFromText="141" w:vertAnchor="text" w:tblpY="39"/>
        <w:tblW w:w="9356" w:type="dxa"/>
        <w:tblInd w:w="0" w:type="dxa"/>
        <w:tblLayout w:type="fixed"/>
        <w:tblCellMar>
          <w:top w:w="0" w:type="dxa"/>
          <w:left w:w="70" w:type="dxa"/>
          <w:bottom w:w="0" w:type="dxa"/>
          <w:right w:w="70" w:type="dxa"/>
        </w:tblCellMar>
      </w:tblPr>
      <w:tblGrid>
        <w:gridCol w:w="860"/>
        <w:gridCol w:w="1288"/>
        <w:gridCol w:w="1289"/>
        <w:gridCol w:w="4218"/>
        <w:gridCol w:w="1701"/>
      </w:tblGrid>
      <w:tr>
        <w:tblPrEx>
          <w:tblCellMar>
            <w:top w:w="0" w:type="dxa"/>
            <w:left w:w="70" w:type="dxa"/>
            <w:bottom w:w="0" w:type="dxa"/>
            <w:right w:w="70" w:type="dxa"/>
          </w:tblCellMar>
        </w:tblPrEx>
        <w:trPr>
          <w:wBefore w:w="0" w:type="dxa"/>
          <w:trHeight w:val="309" w:hRule="atLeast"/>
        </w:trPr>
        <w:tc>
          <w:tcPr>
            <w:tcW w:w="86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CALLE</w:t>
            </w:r>
          </w:p>
        </w:tc>
        <w:tc>
          <w:tcPr>
            <w:tcW w:w="257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TRAMO</w:t>
            </w:r>
          </w:p>
        </w:tc>
        <w:tc>
          <w:tcPr>
            <w:tcW w:w="42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UNIDAD HABITACIONAL / COMISARIA</w:t>
            </w:r>
          </w:p>
        </w:tc>
        <w:tc>
          <w:tcPr>
            <w:tcW w:w="170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VALOR UNITARIO POR M2</w:t>
            </w:r>
          </w:p>
        </w:tc>
      </w:tr>
      <w:tr>
        <w:tblPrEx>
          <w:tblCellMar>
            <w:top w:w="0" w:type="dxa"/>
            <w:left w:w="70" w:type="dxa"/>
            <w:bottom w:w="0" w:type="dxa"/>
            <w:right w:w="70" w:type="dxa"/>
          </w:tblCellMar>
        </w:tblPrEx>
        <w:trPr>
          <w:wBefore w:w="0" w:type="dxa"/>
          <w:trHeight w:val="245" w:hRule="atLeast"/>
        </w:trPr>
        <w:tc>
          <w:tcPr>
            <w:tcW w:w="86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DE CALLE</w:t>
            </w:r>
          </w:p>
        </w:tc>
        <w:tc>
          <w:tcPr>
            <w:tcW w:w="12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r>
              <w:rPr>
                <w:rFonts w:ascii="Century Gothic" w:hAnsi="Century Gothic" w:cs="Arial"/>
                <w:b/>
                <w:bCs/>
                <w:color w:val="000000"/>
                <w:sz w:val="20"/>
                <w:szCs w:val="20"/>
              </w:rPr>
              <w:t>A CALLE</w:t>
            </w:r>
          </w:p>
        </w:tc>
        <w:tc>
          <w:tcPr>
            <w:tcW w:w="42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c>
          <w:tcPr>
            <w:tcW w:w="170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after="0"/>
              <w:jc w:val="center"/>
              <w:rPr>
                <w:rFonts w:ascii="Century Gothic" w:hAnsi="Century Gothic" w:cs="Arial"/>
                <w:b/>
                <w:bCs/>
                <w:color w:val="000000"/>
                <w:sz w:val="20"/>
                <w:szCs w:val="20"/>
              </w:rPr>
            </w:pP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CHABLEKAL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264.00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DZIBICHALTÚN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216.00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COMISARÍA XCANATÚN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264.00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ARCADIA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1,426.00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ARTISANA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1,019.00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CHAACTÚN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1,019.00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COMPOSTELA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1,426.00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EL SUEÑO</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1,426.00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PASEO COUNTRY</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PRIVADA CLUB DE GOLF</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1,920.00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CONDOMINIO VILLAREAL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1,019.00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CEIBA</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2,175.00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CEIBA II</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520.00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RESIDENCIAL QUINTA REAL</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1,426.00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color w:val="000000"/>
                <w:sz w:val="20"/>
                <w:szCs w:val="20"/>
              </w:rPr>
            </w:pPr>
            <w:r>
              <w:rPr>
                <w:rFonts w:ascii="Century Gothic" w:hAnsi="Century Gothic" w:cs="Arial"/>
                <w:color w:val="000000"/>
                <w:sz w:val="20"/>
                <w:szCs w:val="20"/>
              </w:rPr>
              <w:t>FRACC. XCANATÚN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711.00</w:t>
            </w:r>
          </w:p>
        </w:tc>
      </w:tr>
      <w:tr>
        <w:tblPrEx>
          <w:tblCellMar>
            <w:top w:w="0" w:type="dxa"/>
            <w:left w:w="70" w:type="dxa"/>
            <w:bottom w:w="0" w:type="dxa"/>
            <w:right w:w="70" w:type="dxa"/>
          </w:tblCellMar>
        </w:tblPrEx>
        <w:trPr>
          <w:wBefore w:w="0" w:type="dxa"/>
          <w:trHeight w:val="245" w:hRule="atLeast"/>
        </w:trPr>
        <w:tc>
          <w:tcPr>
            <w:tcW w:w="8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128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right"/>
              <w:rPr>
                <w:rFonts w:ascii="Century Gothic" w:hAnsi="Century Gothic" w:cs="Arial"/>
                <w:color w:val="000000"/>
                <w:sz w:val="20"/>
                <w:szCs w:val="20"/>
              </w:rPr>
            </w:pPr>
          </w:p>
        </w:tc>
        <w:tc>
          <w:tcPr>
            <w:tcW w:w="42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rPr>
                <w:rFonts w:ascii="Century Gothic" w:hAnsi="Century Gothic" w:cs="Arial"/>
                <w:b/>
                <w:bCs/>
                <w:color w:val="000000"/>
                <w:sz w:val="20"/>
                <w:szCs w:val="20"/>
              </w:rPr>
            </w:pPr>
            <w:r>
              <w:rPr>
                <w:rFonts w:ascii="Century Gothic" w:hAnsi="Century Gothic" w:cs="Arial"/>
                <w:b/>
                <w:bCs/>
                <w:color w:val="000000"/>
                <w:sz w:val="20"/>
                <w:szCs w:val="20"/>
              </w:rPr>
              <w:t>COMPLEMENTO DE SECCIÓN</w:t>
            </w: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after="0"/>
              <w:jc w:val="center"/>
              <w:rPr>
                <w:rFonts w:ascii="Century Gothic" w:hAnsi="Century Gothic" w:cs="Arial"/>
                <w:color w:val="000000"/>
                <w:sz w:val="20"/>
                <w:szCs w:val="20"/>
              </w:rPr>
            </w:pPr>
            <w:r>
              <w:rPr>
                <w:rFonts w:ascii="Century Gothic" w:hAnsi="Century Gothic" w:cs="Arial"/>
                <w:color w:val="000000"/>
                <w:sz w:val="20"/>
                <w:szCs w:val="20"/>
              </w:rPr>
              <w:t>$        264.00</w:t>
            </w:r>
          </w:p>
        </w:tc>
      </w:tr>
    </w:tbl>
    <w:p>
      <w:pPr>
        <w:autoSpaceDE w:val="0"/>
        <w:autoSpaceDN w:val="0"/>
        <w:adjustRightInd w:val="0"/>
        <w:spacing w:line="276" w:lineRule="auto"/>
        <w:rPr>
          <w:rFonts w:ascii="Century Gothic" w:hAnsi="Century Gothic"/>
          <w:b/>
          <w:sz w:val="20"/>
          <w:szCs w:val="20"/>
        </w:rPr>
      </w:pPr>
    </w:p>
    <w:p>
      <w:pPr>
        <w:spacing w:line="276" w:lineRule="auto"/>
        <w:jc w:val="left"/>
        <w:rPr>
          <w:rFonts w:ascii="Century Gothic" w:hAnsi="Century Gothic"/>
          <w:b/>
          <w:sz w:val="20"/>
          <w:szCs w:val="20"/>
        </w:rPr>
      </w:pPr>
      <w:r>
        <w:rPr>
          <w:rFonts w:ascii="Century Gothic" w:hAnsi="Century Gothic"/>
          <w:b/>
          <w:sz w:val="20"/>
          <w:szCs w:val="20"/>
        </w:rPr>
        <w:t>SECCIÓN 46</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47</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48</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49</w:t>
      </w:r>
    </w:p>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jc w:val="left"/>
        <w:rPr>
          <w:rFonts w:ascii="Century Gothic" w:hAnsi="Century Gothic"/>
          <w:b/>
          <w:sz w:val="20"/>
          <w:szCs w:val="20"/>
        </w:rPr>
      </w:pPr>
      <w:r>
        <w:rPr>
          <w:rFonts w:ascii="Century Gothic" w:hAnsi="Century Gothic"/>
          <w:b/>
          <w:sz w:val="20"/>
          <w:szCs w:val="20"/>
        </w:rPr>
        <w:t>SECCIÓN 50</w:t>
      </w:r>
    </w:p>
    <w:bookmarkEnd w:id="4"/>
    <w:p>
      <w:pPr>
        <w:autoSpaceDE w:val="0"/>
        <w:autoSpaceDN w:val="0"/>
        <w:adjustRightInd w:val="0"/>
        <w:spacing w:line="276" w:lineRule="auto"/>
        <w:rPr>
          <w:rFonts w:ascii="Century Gothic" w:hAnsi="Century Gothic"/>
          <w:bCs/>
          <w:sz w:val="20"/>
          <w:szCs w:val="20"/>
        </w:rPr>
      </w:pPr>
      <w:r>
        <w:rPr>
          <w:rFonts w:ascii="Century Gothic" w:hAnsi="Century Gothic"/>
          <w:bCs/>
          <w:sz w:val="20"/>
          <w:szCs w:val="20"/>
        </w:rPr>
        <w:t>…</w:t>
      </w:r>
    </w:p>
    <w:p>
      <w:pPr>
        <w:spacing w:line="276" w:lineRule="auto"/>
        <w:rPr>
          <w:rFonts w:ascii="Century Gothic" w:hAnsi="Century Gothic"/>
          <w:sz w:val="20"/>
          <w:szCs w:val="20"/>
          <w:lang w:val="en-US"/>
        </w:rPr>
      </w:pPr>
      <w:r>
        <w:rPr>
          <w:rFonts w:ascii="Century Gothic" w:hAnsi="Century Gothic"/>
          <w:sz w:val="20"/>
          <w:szCs w:val="20"/>
          <w:lang w:val="en-US"/>
        </w:rPr>
        <w:t>…</w:t>
      </w:r>
    </w:p>
    <w:p>
      <w:pPr>
        <w:spacing w:line="276" w:lineRule="auto"/>
        <w:rPr>
          <w:rFonts w:ascii="Century Gothic" w:hAnsi="Century Gothic"/>
          <w:sz w:val="20"/>
          <w:szCs w:val="20"/>
          <w:lang w:val="en-US"/>
        </w:rPr>
      </w:pPr>
      <w:r>
        <w:rPr>
          <w:rFonts w:ascii="Century Gothic" w:hAnsi="Century Gothic"/>
          <w:sz w:val="20"/>
          <w:szCs w:val="20"/>
          <w:lang w:val="en-US"/>
        </w:rPr>
        <w:t>ll.- …</w:t>
      </w:r>
    </w:p>
    <w:p>
      <w:pPr>
        <w:spacing w:line="276" w:lineRule="auto"/>
        <w:rPr>
          <w:rFonts w:ascii="Century Gothic" w:hAnsi="Century Gothic"/>
          <w:sz w:val="20"/>
          <w:szCs w:val="20"/>
          <w:highlight w:val="cyan"/>
          <w:lang w:val="en-US"/>
        </w:rPr>
      </w:pPr>
      <w:r>
        <w:rPr>
          <w:rFonts w:ascii="Century Gothic" w:hAnsi="Century Gothic"/>
          <w:sz w:val="20"/>
          <w:szCs w:val="20"/>
          <w:lang w:val="en-US"/>
        </w:rPr>
        <w:t>lll.- …</w:t>
      </w:r>
    </w:p>
    <w:p>
      <w:pPr>
        <w:spacing w:line="276" w:lineRule="auto"/>
        <w:rPr>
          <w:rFonts w:ascii="Century Gothic" w:hAnsi="Century Gothic"/>
          <w:sz w:val="20"/>
          <w:szCs w:val="20"/>
          <w:lang w:val="en-US"/>
        </w:rPr>
      </w:pPr>
      <w:r>
        <w:rPr>
          <w:rFonts w:ascii="Century Gothic" w:hAnsi="Century Gothic"/>
          <w:sz w:val="20"/>
          <w:szCs w:val="20"/>
          <w:lang w:val="en-US"/>
        </w:rPr>
        <w:t>lV.- …</w:t>
      </w:r>
    </w:p>
    <w:p>
      <w:pPr>
        <w:spacing w:line="276" w:lineRule="auto"/>
        <w:rPr>
          <w:rFonts w:ascii="Century Gothic" w:hAnsi="Century Gothic"/>
          <w:sz w:val="20"/>
          <w:szCs w:val="20"/>
          <w:lang w:val="en-US"/>
        </w:rPr>
      </w:pPr>
      <w:r>
        <w:rPr>
          <w:rFonts w:ascii="Century Gothic" w:hAnsi="Century Gothic"/>
          <w:sz w:val="20"/>
          <w:szCs w:val="20"/>
          <w:lang w:val="en-US"/>
        </w:rPr>
        <w:t>V.-…</w:t>
      </w:r>
    </w:p>
    <w:p>
      <w:pPr>
        <w:spacing w:line="276" w:lineRule="auto"/>
        <w:rPr>
          <w:rFonts w:ascii="Century Gothic" w:hAnsi="Century Gothic"/>
          <w:sz w:val="20"/>
          <w:szCs w:val="20"/>
          <w:lang w:val="en-US"/>
        </w:rPr>
      </w:pPr>
      <w:r>
        <w:rPr>
          <w:rFonts w:ascii="Century Gothic" w:hAnsi="Century Gothic"/>
          <w:sz w:val="20"/>
          <w:szCs w:val="20"/>
          <w:lang w:val="en-US"/>
        </w:rPr>
        <w:t>V Bis.-…</w:t>
      </w:r>
    </w:p>
    <w:p>
      <w:pPr>
        <w:spacing w:line="276" w:lineRule="auto"/>
        <w:rPr>
          <w:rFonts w:ascii="Century Gothic" w:hAnsi="Century Gothic"/>
          <w:sz w:val="20"/>
          <w:szCs w:val="20"/>
          <w:lang w:val="en-US"/>
        </w:rPr>
      </w:pPr>
      <w:r>
        <w:rPr>
          <w:rFonts w:ascii="Century Gothic" w:hAnsi="Century Gothic"/>
          <w:sz w:val="20"/>
          <w:szCs w:val="20"/>
          <w:lang w:val="en-US"/>
        </w:rPr>
        <w:t>VI.- …</w:t>
      </w:r>
    </w:p>
    <w:p>
      <w:pPr>
        <w:spacing w:after="120"/>
        <w:jc w:val="center"/>
        <w:rPr>
          <w:rFonts w:ascii="Century Gothic" w:hAnsi="Century Gothic" w:cs="Calibri"/>
          <w:b/>
          <w:sz w:val="20"/>
          <w:szCs w:val="20"/>
          <w:lang w:val="en-US"/>
        </w:rPr>
      </w:pPr>
    </w:p>
    <w:p>
      <w:pPr>
        <w:tabs>
          <w:tab w:val="left" w:pos="1838"/>
        </w:tabs>
        <w:spacing w:after="120"/>
        <w:jc w:val="center"/>
        <w:rPr>
          <w:rFonts w:ascii="Century Gothic" w:hAnsi="Century Gothic"/>
          <w:b/>
          <w:bCs/>
          <w:sz w:val="20"/>
          <w:szCs w:val="20"/>
        </w:rPr>
      </w:pPr>
      <w:r>
        <w:rPr>
          <w:rFonts w:ascii="Century Gothic" w:hAnsi="Century Gothic"/>
          <w:b/>
          <w:bCs/>
          <w:sz w:val="20"/>
          <w:szCs w:val="20"/>
        </w:rPr>
        <w:t>Sección Segunda</w:t>
      </w:r>
    </w:p>
    <w:p>
      <w:pPr>
        <w:tabs>
          <w:tab w:val="left" w:pos="1838"/>
        </w:tabs>
        <w:spacing w:after="120"/>
        <w:jc w:val="center"/>
        <w:rPr>
          <w:rFonts w:ascii="Century Gothic" w:hAnsi="Century Gothic"/>
          <w:b/>
          <w:bCs/>
          <w:sz w:val="20"/>
          <w:szCs w:val="20"/>
        </w:rPr>
      </w:pPr>
      <w:r>
        <w:rPr>
          <w:rFonts w:ascii="Century Gothic" w:hAnsi="Century Gothic"/>
          <w:b/>
          <w:bCs/>
          <w:sz w:val="20"/>
          <w:szCs w:val="20"/>
        </w:rPr>
        <w:t>Del Impuesto sobre Adquisición de Inmuebles</w:t>
      </w:r>
    </w:p>
    <w:p>
      <w:pPr>
        <w:spacing w:after="120"/>
        <w:jc w:val="left"/>
        <w:rPr>
          <w:rFonts w:ascii="Century Gothic" w:hAnsi="Century Gothic" w:cs="Calibri"/>
          <w:b/>
          <w:sz w:val="20"/>
          <w:szCs w:val="20"/>
        </w:rPr>
      </w:pPr>
      <w:r>
        <w:rPr>
          <w:rFonts w:ascii="Century Gothic" w:hAnsi="Century Gothic" w:cs="Calibri"/>
          <w:b/>
          <w:sz w:val="20"/>
          <w:szCs w:val="20"/>
        </w:rPr>
        <w:t>De las excepciones</w:t>
      </w:r>
    </w:p>
    <w:p>
      <w:pPr>
        <w:spacing w:line="276" w:lineRule="auto"/>
        <w:rPr>
          <w:rFonts w:ascii="Century Gothic" w:hAnsi="Century Gothic"/>
          <w:bCs/>
          <w:sz w:val="20"/>
          <w:szCs w:val="20"/>
          <w:lang w:val="es-MX"/>
        </w:rPr>
      </w:pPr>
      <w:r>
        <w:rPr>
          <w:rFonts w:ascii="Century Gothic" w:hAnsi="Century Gothic"/>
          <w:b/>
          <w:sz w:val="20"/>
          <w:szCs w:val="20"/>
        </w:rPr>
        <w:t>ARTÍCULO 57.-</w:t>
      </w:r>
      <w:r>
        <w:rPr>
          <w:rFonts w:ascii="Century Gothic" w:hAnsi="Century Gothic"/>
          <w:sz w:val="20"/>
          <w:szCs w:val="20"/>
        </w:rPr>
        <w:t xml:space="preserve"> </w:t>
      </w:r>
      <w:r>
        <w:rPr>
          <w:rFonts w:ascii="Century Gothic" w:hAnsi="Century Gothic"/>
          <w:bCs/>
          <w:sz w:val="20"/>
          <w:szCs w:val="20"/>
          <w:lang w:val="es-MX"/>
        </w:rPr>
        <w:t>…</w:t>
      </w:r>
    </w:p>
    <w:p>
      <w:pPr>
        <w:spacing w:line="276" w:lineRule="auto"/>
        <w:rPr>
          <w:rFonts w:ascii="Century Gothic" w:hAnsi="Century Gothic"/>
          <w:sz w:val="20"/>
          <w:szCs w:val="20"/>
        </w:rPr>
      </w:pPr>
      <w:r>
        <w:rPr>
          <w:rFonts w:ascii="Century Gothic" w:hAnsi="Century Gothic"/>
          <w:sz w:val="20"/>
          <w:szCs w:val="20"/>
        </w:rPr>
        <w:t xml:space="preserve">I.- </w:t>
      </w:r>
      <w:r>
        <w:rPr>
          <w:rFonts w:ascii="Century Gothic" w:hAnsi="Century Gothic"/>
          <w:bCs/>
          <w:sz w:val="20"/>
          <w:szCs w:val="20"/>
          <w:lang w:val="es-MX"/>
        </w:rPr>
        <w:t>…</w:t>
      </w:r>
    </w:p>
    <w:p>
      <w:pPr>
        <w:spacing w:line="276" w:lineRule="auto"/>
        <w:rPr>
          <w:rFonts w:ascii="Century Gothic" w:hAnsi="Century Gothic"/>
          <w:sz w:val="20"/>
          <w:szCs w:val="20"/>
        </w:rPr>
      </w:pPr>
      <w:r>
        <w:rPr>
          <w:rFonts w:ascii="Century Gothic" w:hAnsi="Century Gothic"/>
          <w:sz w:val="20"/>
          <w:szCs w:val="20"/>
        </w:rPr>
        <w:t xml:space="preserve">II.- </w:t>
      </w:r>
      <w:r>
        <w:rPr>
          <w:rFonts w:ascii="Century Gothic" w:hAnsi="Century Gothic"/>
          <w:bCs/>
          <w:sz w:val="20"/>
          <w:szCs w:val="20"/>
          <w:lang w:val="es-MX"/>
        </w:rPr>
        <w:t>…</w:t>
      </w:r>
    </w:p>
    <w:p>
      <w:pPr>
        <w:spacing w:line="276" w:lineRule="auto"/>
        <w:rPr>
          <w:rFonts w:ascii="Century Gothic" w:hAnsi="Century Gothic"/>
          <w:sz w:val="20"/>
          <w:szCs w:val="20"/>
        </w:rPr>
      </w:pPr>
      <w:r>
        <w:rPr>
          <w:rFonts w:ascii="Century Gothic" w:hAnsi="Century Gothic"/>
          <w:sz w:val="20"/>
          <w:szCs w:val="20"/>
        </w:rPr>
        <w:t xml:space="preserve">III.- </w:t>
      </w:r>
      <w:r>
        <w:rPr>
          <w:rFonts w:ascii="Century Gothic" w:hAnsi="Century Gothic"/>
          <w:bCs/>
          <w:sz w:val="20"/>
          <w:szCs w:val="20"/>
          <w:lang w:val="es-MX"/>
        </w:rPr>
        <w:t>…</w:t>
      </w:r>
    </w:p>
    <w:p>
      <w:pPr>
        <w:spacing w:line="276" w:lineRule="auto"/>
        <w:rPr>
          <w:rFonts w:ascii="Century Gothic" w:hAnsi="Century Gothic"/>
          <w:sz w:val="20"/>
          <w:szCs w:val="20"/>
        </w:rPr>
      </w:pPr>
      <w:r>
        <w:rPr>
          <w:rFonts w:ascii="Century Gothic" w:hAnsi="Century Gothic"/>
          <w:sz w:val="20"/>
          <w:szCs w:val="20"/>
        </w:rPr>
        <w:t xml:space="preserve">IV.- </w:t>
      </w:r>
      <w:r>
        <w:rPr>
          <w:rFonts w:ascii="Century Gothic" w:hAnsi="Century Gothic"/>
          <w:bCs/>
          <w:sz w:val="20"/>
          <w:szCs w:val="20"/>
          <w:lang w:val="es-MX"/>
        </w:rPr>
        <w:t>…</w:t>
      </w:r>
    </w:p>
    <w:p>
      <w:pPr>
        <w:spacing w:line="276" w:lineRule="auto"/>
        <w:rPr>
          <w:rFonts w:ascii="Century Gothic" w:hAnsi="Century Gothic"/>
          <w:sz w:val="20"/>
          <w:szCs w:val="20"/>
        </w:rPr>
      </w:pPr>
      <w:r>
        <w:rPr>
          <w:rFonts w:ascii="Century Gothic" w:hAnsi="Century Gothic"/>
          <w:sz w:val="20"/>
          <w:szCs w:val="20"/>
        </w:rPr>
        <w:t>V.-…</w:t>
      </w:r>
    </w:p>
    <w:p>
      <w:pPr>
        <w:spacing w:line="276" w:lineRule="auto"/>
        <w:rPr>
          <w:rFonts w:ascii="Century Gothic" w:hAnsi="Century Gothic"/>
          <w:sz w:val="20"/>
          <w:szCs w:val="20"/>
        </w:rPr>
      </w:pPr>
      <w:r>
        <w:rPr>
          <w:rFonts w:ascii="Century Gothic" w:hAnsi="Century Gothic"/>
          <w:sz w:val="20"/>
          <w:szCs w:val="20"/>
        </w:rPr>
        <w:t>VI.- La donación entre consortes, ascendientes y descendientes en línea directa.</w:t>
      </w:r>
    </w:p>
    <w:p>
      <w:pPr>
        <w:spacing w:after="120"/>
        <w:jc w:val="center"/>
        <w:rPr>
          <w:rFonts w:ascii="Century Gothic" w:hAnsi="Century Gothic" w:cs="Calibri"/>
          <w:b/>
          <w:sz w:val="20"/>
          <w:szCs w:val="20"/>
        </w:rPr>
      </w:pPr>
    </w:p>
    <w:p>
      <w:pPr>
        <w:spacing w:after="120"/>
        <w:jc w:val="center"/>
        <w:rPr>
          <w:rFonts w:ascii="Century Gothic" w:hAnsi="Century Gothic" w:cs="Calibri"/>
          <w:b/>
          <w:sz w:val="20"/>
          <w:szCs w:val="20"/>
        </w:rPr>
      </w:pPr>
      <w:r>
        <w:rPr>
          <w:rFonts w:ascii="Century Gothic" w:hAnsi="Century Gothic" w:cs="Calibri"/>
          <w:b/>
          <w:sz w:val="20"/>
          <w:szCs w:val="20"/>
        </w:rPr>
        <w:t>CAPÍTULO II</w:t>
      </w:r>
    </w:p>
    <w:p>
      <w:pPr>
        <w:spacing w:after="240"/>
        <w:jc w:val="center"/>
        <w:rPr>
          <w:rFonts w:ascii="Century Gothic" w:hAnsi="Century Gothic"/>
          <w:sz w:val="20"/>
          <w:szCs w:val="20"/>
        </w:rPr>
      </w:pPr>
      <w:r>
        <w:rPr>
          <w:rFonts w:ascii="Century Gothic" w:hAnsi="Century Gothic" w:cs="Calibri"/>
          <w:b/>
          <w:sz w:val="20"/>
          <w:szCs w:val="20"/>
        </w:rPr>
        <w:t>DERECHOS</w:t>
      </w:r>
    </w:p>
    <w:p>
      <w:pPr>
        <w:tabs>
          <w:tab w:val="left" w:pos="1838"/>
        </w:tabs>
        <w:spacing w:after="120"/>
        <w:jc w:val="center"/>
        <w:rPr>
          <w:rFonts w:ascii="Century Gothic" w:hAnsi="Century Gothic"/>
          <w:b/>
          <w:bCs/>
          <w:sz w:val="20"/>
          <w:szCs w:val="20"/>
        </w:rPr>
      </w:pPr>
      <w:r>
        <w:rPr>
          <w:rFonts w:ascii="Century Gothic" w:hAnsi="Century Gothic"/>
          <w:b/>
          <w:bCs/>
          <w:sz w:val="20"/>
          <w:szCs w:val="20"/>
        </w:rPr>
        <w:t>Sección Segunda</w:t>
      </w:r>
    </w:p>
    <w:p>
      <w:pPr>
        <w:tabs>
          <w:tab w:val="left" w:pos="1838"/>
        </w:tabs>
        <w:spacing w:after="120"/>
        <w:jc w:val="center"/>
        <w:rPr>
          <w:rFonts w:ascii="Century Gothic" w:hAnsi="Century Gothic"/>
          <w:b/>
          <w:bCs/>
          <w:sz w:val="20"/>
          <w:szCs w:val="20"/>
        </w:rPr>
      </w:pPr>
      <w:r>
        <w:rPr>
          <w:rFonts w:ascii="Century Gothic" w:hAnsi="Century Gothic"/>
          <w:b/>
          <w:bCs/>
          <w:sz w:val="20"/>
          <w:szCs w:val="20"/>
        </w:rPr>
        <w:t>De los Servicios que presta la Dirección de Desarrollo Urbano</w:t>
      </w:r>
    </w:p>
    <w:p>
      <w:pPr>
        <w:tabs>
          <w:tab w:val="left" w:pos="709"/>
          <w:tab w:val="left" w:pos="1418"/>
          <w:tab w:val="left" w:pos="2127"/>
          <w:tab w:val="left" w:pos="2836"/>
          <w:tab w:val="left" w:pos="3545"/>
          <w:tab w:val="center" w:pos="4419"/>
        </w:tabs>
        <w:spacing w:line="276" w:lineRule="auto"/>
        <w:rPr>
          <w:rFonts w:ascii="Century Gothic" w:hAnsi="Century Gothic"/>
          <w:b/>
          <w:sz w:val="20"/>
          <w:szCs w:val="20"/>
        </w:rPr>
      </w:pPr>
    </w:p>
    <w:p>
      <w:pPr>
        <w:tabs>
          <w:tab w:val="left" w:pos="709"/>
          <w:tab w:val="left" w:pos="1418"/>
          <w:tab w:val="left" w:pos="2127"/>
          <w:tab w:val="left" w:pos="2836"/>
          <w:tab w:val="left" w:pos="3545"/>
          <w:tab w:val="center" w:pos="4419"/>
        </w:tabs>
        <w:spacing w:line="276" w:lineRule="auto"/>
        <w:rPr>
          <w:rFonts w:ascii="Century Gothic" w:hAnsi="Century Gothic"/>
          <w:b/>
          <w:sz w:val="20"/>
          <w:szCs w:val="20"/>
        </w:rPr>
      </w:pPr>
      <w:r>
        <w:rPr>
          <w:rFonts w:ascii="Century Gothic" w:hAnsi="Century Gothic"/>
          <w:b/>
          <w:sz w:val="20"/>
          <w:szCs w:val="20"/>
        </w:rPr>
        <w:t>De la Base y de las Cuotas</w:t>
      </w:r>
    </w:p>
    <w:p>
      <w:pPr>
        <w:spacing w:line="276" w:lineRule="auto"/>
        <w:jc w:val="left"/>
        <w:rPr>
          <w:rFonts w:ascii="Century Gothic" w:hAnsi="Century Gothic"/>
          <w:bCs/>
          <w:sz w:val="20"/>
          <w:szCs w:val="20"/>
        </w:rPr>
      </w:pPr>
      <w:r>
        <w:rPr>
          <w:rFonts w:ascii="Century Gothic" w:hAnsi="Century Gothic"/>
          <w:b/>
          <w:sz w:val="20"/>
          <w:szCs w:val="20"/>
        </w:rPr>
        <w:t>ARTÍCULO 76.-</w:t>
      </w:r>
      <w:r>
        <w:rPr>
          <w:rFonts w:ascii="Century Gothic" w:hAnsi="Century Gothic"/>
          <w:bCs/>
          <w:sz w:val="20"/>
          <w:szCs w:val="20"/>
        </w:rPr>
        <w:t>…</w:t>
      </w:r>
    </w:p>
    <w:tbl>
      <w:tblPr>
        <w:tblStyle w:val="7"/>
        <w:tblpPr w:leftFromText="141" w:rightFromText="141" w:vertAnchor="text" w:horzAnchor="margin" w:tblpY="163"/>
        <w:tblW w:w="0" w:type="auto"/>
        <w:tblInd w:w="0" w:type="dxa"/>
        <w:tblLayout w:type="fixed"/>
        <w:tblCellMar>
          <w:top w:w="0" w:type="dxa"/>
          <w:left w:w="70" w:type="dxa"/>
          <w:bottom w:w="0" w:type="dxa"/>
          <w:right w:w="70" w:type="dxa"/>
        </w:tblCellMar>
      </w:tblPr>
      <w:tblGrid>
        <w:gridCol w:w="6591"/>
        <w:gridCol w:w="1134"/>
        <w:gridCol w:w="1253"/>
      </w:tblGrid>
      <w:tr>
        <w:tblPrEx>
          <w:tblCellMar>
            <w:top w:w="0" w:type="dxa"/>
            <w:left w:w="70" w:type="dxa"/>
            <w:bottom w:w="0" w:type="dxa"/>
            <w:right w:w="70" w:type="dxa"/>
          </w:tblCellMar>
        </w:tblPrEx>
        <w:trPr>
          <w:wBefore w:w="0" w:type="dxa"/>
          <w:wAfter w:w="0" w:type="dxa"/>
          <w:cantSplit/>
          <w:trHeight w:val="423" w:hRule="atLeast"/>
        </w:trPr>
        <w:tc>
          <w:tcPr>
            <w:tcW w:w="6591" w:type="dxa"/>
            <w:noWrap w:val="0"/>
            <w:vAlign w:val="center"/>
          </w:tcPr>
          <w:p>
            <w:pPr>
              <w:tabs>
                <w:tab w:val="left" w:pos="285"/>
              </w:tabs>
              <w:spacing w:after="0"/>
              <w:jc w:val="center"/>
              <w:rPr>
                <w:rFonts w:ascii="Century Gothic" w:hAnsi="Century Gothic"/>
                <w:b/>
                <w:sz w:val="20"/>
                <w:szCs w:val="20"/>
              </w:rPr>
            </w:pPr>
            <w:r>
              <w:rPr>
                <w:rFonts w:ascii="Century Gothic" w:hAnsi="Century Gothic"/>
                <w:b/>
                <w:sz w:val="20"/>
                <w:szCs w:val="20"/>
              </w:rPr>
              <w:t>Concepto</w:t>
            </w:r>
          </w:p>
        </w:tc>
        <w:tc>
          <w:tcPr>
            <w:tcW w:w="2387" w:type="dxa"/>
            <w:gridSpan w:val="2"/>
            <w:noWrap w:val="0"/>
            <w:vAlign w:val="center"/>
          </w:tcPr>
          <w:p>
            <w:pPr>
              <w:tabs>
                <w:tab w:val="left" w:pos="285"/>
              </w:tabs>
              <w:spacing w:after="0"/>
              <w:jc w:val="center"/>
              <w:rPr>
                <w:rFonts w:ascii="Century Gothic" w:hAnsi="Century Gothic"/>
                <w:b/>
                <w:sz w:val="20"/>
                <w:szCs w:val="20"/>
              </w:rPr>
            </w:pPr>
            <w:r>
              <w:rPr>
                <w:rFonts w:ascii="Century Gothic" w:hAnsi="Century Gothic"/>
                <w:b/>
                <w:sz w:val="20"/>
                <w:szCs w:val="20"/>
              </w:rPr>
              <w:t>Veces la unidad de medida y actualización</w:t>
            </w:r>
          </w:p>
        </w:tc>
      </w:tr>
      <w:tr>
        <w:tblPrEx>
          <w:tblCellMar>
            <w:top w:w="0" w:type="dxa"/>
            <w:left w:w="70" w:type="dxa"/>
            <w:bottom w:w="0" w:type="dxa"/>
            <w:right w:w="70" w:type="dxa"/>
          </w:tblCellMar>
        </w:tblPrEx>
        <w:trPr>
          <w:wBefore w:w="0" w:type="dxa"/>
          <w:wAfter w:w="0" w:type="dxa"/>
          <w:cantSplit/>
          <w:trHeight w:val="258" w:hRule="atLeast"/>
        </w:trPr>
        <w:tc>
          <w:tcPr>
            <w:tcW w:w="8978" w:type="dxa"/>
            <w:gridSpan w:val="3"/>
            <w:noWrap w:val="0"/>
            <w:vAlign w:val="center"/>
          </w:tcPr>
          <w:p>
            <w:pPr>
              <w:jc w:val="left"/>
              <w:rPr>
                <w:rFonts w:ascii="Century Gothic" w:hAnsi="Century Gothic"/>
                <w:sz w:val="20"/>
                <w:szCs w:val="20"/>
                <w:lang/>
              </w:rPr>
            </w:pPr>
            <w:r>
              <w:rPr>
                <w:rFonts w:ascii="Century Gothic" w:hAnsi="Century Gothic"/>
                <w:sz w:val="20"/>
                <w:szCs w:val="20"/>
                <w:lang/>
              </w:rPr>
              <w:t>I.-…</w:t>
            </w:r>
          </w:p>
        </w:tc>
      </w:tr>
      <w:tr>
        <w:tblPrEx>
          <w:tblCellMar>
            <w:top w:w="0" w:type="dxa"/>
            <w:left w:w="70" w:type="dxa"/>
            <w:bottom w:w="0" w:type="dxa"/>
            <w:right w:w="70" w:type="dxa"/>
          </w:tblCellMar>
        </w:tblPrEx>
        <w:trPr>
          <w:wBefore w:w="0" w:type="dxa"/>
          <w:wAfter w:w="0" w:type="dxa"/>
          <w:cantSplit/>
          <w:trHeight w:val="252" w:hRule="atLeast"/>
        </w:trPr>
        <w:tc>
          <w:tcPr>
            <w:tcW w:w="8978" w:type="dxa"/>
            <w:gridSpan w:val="3"/>
            <w:noWrap w:val="0"/>
            <w:vAlign w:val="center"/>
          </w:tcPr>
          <w:p>
            <w:pPr>
              <w:jc w:val="left"/>
              <w:rPr>
                <w:rFonts w:ascii="Century Gothic" w:hAnsi="Century Gothic"/>
                <w:sz w:val="20"/>
                <w:szCs w:val="20"/>
              </w:rPr>
            </w:pPr>
            <w:r>
              <w:rPr>
                <w:rFonts w:ascii="Century Gothic" w:hAnsi="Century Gothic"/>
                <w:sz w:val="20"/>
                <w:szCs w:val="20"/>
                <w:lang/>
              </w:rPr>
              <w:t>1. …</w:t>
            </w:r>
          </w:p>
        </w:tc>
      </w:tr>
      <w:tr>
        <w:tblPrEx>
          <w:tblCellMar>
            <w:top w:w="0" w:type="dxa"/>
            <w:left w:w="70" w:type="dxa"/>
            <w:bottom w:w="0" w:type="dxa"/>
            <w:right w:w="70" w:type="dxa"/>
          </w:tblCellMar>
        </w:tblPrEx>
        <w:trPr>
          <w:wBefore w:w="0" w:type="dxa"/>
          <w:wAfter w:w="0" w:type="dxa"/>
          <w:cantSplit/>
          <w:trHeight w:val="243" w:hRule="atLeast"/>
        </w:trPr>
        <w:tc>
          <w:tcPr>
            <w:tcW w:w="8978" w:type="dxa"/>
            <w:gridSpan w:val="3"/>
            <w:noWrap w:val="0"/>
            <w:vAlign w:val="center"/>
          </w:tcPr>
          <w:p>
            <w:pPr>
              <w:ind w:firstLine="142"/>
              <w:jc w:val="left"/>
              <w:rPr>
                <w:rFonts w:ascii="Century Gothic" w:hAnsi="Century Gothic"/>
                <w:sz w:val="20"/>
                <w:szCs w:val="20"/>
              </w:rPr>
            </w:pPr>
            <w:r>
              <w:rPr>
                <w:rFonts w:ascii="Century Gothic" w:hAnsi="Century Gothic"/>
                <w:sz w:val="20"/>
                <w:szCs w:val="20"/>
              </w:rPr>
              <w:t>a)…</w:t>
            </w:r>
          </w:p>
        </w:tc>
      </w:tr>
      <w:tr>
        <w:tblPrEx>
          <w:tblCellMar>
            <w:top w:w="0" w:type="dxa"/>
            <w:left w:w="70" w:type="dxa"/>
            <w:bottom w:w="0" w:type="dxa"/>
            <w:right w:w="70" w:type="dxa"/>
          </w:tblCellMar>
        </w:tblPrEx>
        <w:trPr>
          <w:wBefore w:w="0" w:type="dxa"/>
          <w:wAfter w:w="0" w:type="dxa"/>
          <w:cantSplit/>
          <w:trHeight w:val="391"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lang/>
              </w:rPr>
              <w:t>1)…</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82"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lang/>
              </w:rPr>
              <w:t>2)…</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2"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lang/>
              </w:rPr>
              <w:t>3)…</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80"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lang/>
              </w:rPr>
              <w:t>4)…</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72"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lang/>
              </w:rPr>
              <w:t>5)…</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51" w:hRule="atLeast"/>
        </w:trPr>
        <w:tc>
          <w:tcPr>
            <w:tcW w:w="6591" w:type="dxa"/>
            <w:noWrap w:val="0"/>
            <w:vAlign w:val="center"/>
          </w:tcPr>
          <w:p>
            <w:pPr>
              <w:ind w:left="426" w:hanging="142"/>
              <w:jc w:val="left"/>
              <w:rPr>
                <w:rFonts w:ascii="Century Gothic" w:hAnsi="Century Gothic"/>
                <w:sz w:val="20"/>
                <w:szCs w:val="20"/>
                <w:lang/>
              </w:rPr>
            </w:pPr>
            <w:r>
              <w:rPr>
                <w:rFonts w:ascii="Century Gothic" w:hAnsi="Century Gothic"/>
                <w:sz w:val="20"/>
                <w:szCs w:val="20"/>
                <w:lang/>
              </w:rPr>
              <w:t>6)…</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57" w:hRule="atLeast"/>
        </w:trPr>
        <w:tc>
          <w:tcPr>
            <w:tcW w:w="8978" w:type="dxa"/>
            <w:gridSpan w:val="3"/>
            <w:noWrap w:val="0"/>
            <w:vAlign w:val="center"/>
          </w:tcPr>
          <w:p>
            <w:pPr>
              <w:ind w:firstLine="142"/>
              <w:jc w:val="left"/>
              <w:rPr>
                <w:rFonts w:ascii="Century Gothic" w:hAnsi="Century Gothic"/>
                <w:sz w:val="20"/>
                <w:szCs w:val="20"/>
              </w:rPr>
            </w:pPr>
            <w:r>
              <w:rPr>
                <w:rFonts w:ascii="Century Gothic" w:hAnsi="Century Gothic"/>
                <w:sz w:val="20"/>
                <w:szCs w:val="20"/>
              </w:rPr>
              <w:t>b)...</w:t>
            </w:r>
          </w:p>
        </w:tc>
      </w:tr>
      <w:tr>
        <w:tblPrEx>
          <w:tblCellMar>
            <w:top w:w="0" w:type="dxa"/>
            <w:left w:w="70" w:type="dxa"/>
            <w:bottom w:w="0" w:type="dxa"/>
            <w:right w:w="70" w:type="dxa"/>
          </w:tblCellMar>
        </w:tblPrEx>
        <w:trPr>
          <w:wBefore w:w="0" w:type="dxa"/>
          <w:wAfter w:w="0" w:type="dxa"/>
          <w:cantSplit/>
          <w:trHeight w:val="350" w:hRule="atLeast"/>
        </w:trPr>
        <w:tc>
          <w:tcPr>
            <w:tcW w:w="6591" w:type="dxa"/>
            <w:noWrap w:val="0"/>
            <w:vAlign w:val="center"/>
          </w:tcPr>
          <w:p>
            <w:pPr>
              <w:ind w:left="567" w:hanging="283"/>
              <w:jc w:val="left"/>
              <w:rPr>
                <w:rFonts w:ascii="Century Gothic" w:hAnsi="Century Gothic"/>
                <w:sz w:val="20"/>
                <w:szCs w:val="20"/>
              </w:rPr>
            </w:pPr>
            <w:r>
              <w:rPr>
                <w:rFonts w:ascii="Century Gothic" w:hAnsi="Century Gothic"/>
                <w:sz w:val="20"/>
                <w:szCs w:val="20"/>
                <w:lang/>
              </w:rPr>
              <w:t>1)…</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42"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lang/>
              </w:rPr>
              <w:t>2)…</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33"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lang/>
              </w:rPr>
              <w:t>3)…</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39"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lang/>
              </w:rPr>
              <w:t>4)…</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32"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lang/>
              </w:rPr>
              <w:t>5)…</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66"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lang/>
              </w:rPr>
              <w:t>6)…</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6" w:hRule="atLeast"/>
        </w:trPr>
        <w:tc>
          <w:tcPr>
            <w:tcW w:w="8978" w:type="dxa"/>
            <w:gridSpan w:val="3"/>
            <w:noWrap w:val="0"/>
            <w:vAlign w:val="center"/>
          </w:tcPr>
          <w:p>
            <w:pPr>
              <w:ind w:firstLine="142"/>
              <w:rPr>
                <w:rFonts w:ascii="Century Gothic" w:hAnsi="Century Gothic"/>
                <w:sz w:val="20"/>
                <w:szCs w:val="20"/>
              </w:rPr>
            </w:pPr>
            <w:r>
              <w:rPr>
                <w:rFonts w:ascii="Century Gothic" w:hAnsi="Century Gothic"/>
                <w:sz w:val="20"/>
                <w:szCs w:val="20"/>
              </w:rPr>
              <w:t>c)</w:t>
            </w:r>
            <w:r>
              <w:rPr>
                <w:rFonts w:ascii="Century Gothic" w:hAnsi="Century Gothic"/>
                <w:sz w:val="20"/>
                <w:szCs w:val="20"/>
                <w:lang/>
              </w:rPr>
              <w:t>…</w:t>
            </w:r>
          </w:p>
        </w:tc>
      </w:tr>
      <w:tr>
        <w:tblPrEx>
          <w:tblCellMar>
            <w:top w:w="0" w:type="dxa"/>
            <w:left w:w="70" w:type="dxa"/>
            <w:bottom w:w="0" w:type="dxa"/>
            <w:right w:w="70" w:type="dxa"/>
          </w:tblCellMar>
        </w:tblPrEx>
        <w:trPr>
          <w:wBefore w:w="0" w:type="dxa"/>
          <w:wAfter w:w="0" w:type="dxa"/>
          <w:cantSplit/>
          <w:trHeight w:val="407"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1)…</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16"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2)…</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92"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3)…</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56"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4)…</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89"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5)…</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40"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6)…</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04" w:hRule="atLeast"/>
        </w:trPr>
        <w:tc>
          <w:tcPr>
            <w:tcW w:w="8978" w:type="dxa"/>
            <w:gridSpan w:val="3"/>
            <w:noWrap w:val="0"/>
            <w:vAlign w:val="center"/>
          </w:tcPr>
          <w:p>
            <w:pPr>
              <w:ind w:firstLine="142"/>
              <w:rPr>
                <w:rFonts w:ascii="Century Gothic" w:hAnsi="Century Gothic"/>
                <w:sz w:val="20"/>
                <w:szCs w:val="20"/>
              </w:rPr>
            </w:pPr>
            <w:r>
              <w:rPr>
                <w:rFonts w:ascii="Century Gothic" w:hAnsi="Century Gothic"/>
                <w:sz w:val="20"/>
                <w:szCs w:val="20"/>
              </w:rPr>
              <w:t>d)…</w:t>
            </w:r>
          </w:p>
        </w:tc>
      </w:tr>
      <w:tr>
        <w:tblPrEx>
          <w:tblCellMar>
            <w:top w:w="0" w:type="dxa"/>
            <w:left w:w="70" w:type="dxa"/>
            <w:bottom w:w="0" w:type="dxa"/>
            <w:right w:w="70" w:type="dxa"/>
          </w:tblCellMar>
        </w:tblPrEx>
        <w:trPr>
          <w:wBefore w:w="0" w:type="dxa"/>
          <w:wAfter w:w="0" w:type="dxa"/>
          <w:cantSplit/>
          <w:trHeight w:val="287"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1)…</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57"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2)…</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66"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3)…</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37"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4)…</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62"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5)…</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19"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lang/>
              </w:rPr>
              <w:t>6)…</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03" w:hRule="atLeast"/>
        </w:trPr>
        <w:tc>
          <w:tcPr>
            <w:tcW w:w="8978" w:type="dxa"/>
            <w:gridSpan w:val="3"/>
            <w:noWrap w:val="0"/>
            <w:vAlign w:val="center"/>
          </w:tcPr>
          <w:p>
            <w:pPr>
              <w:rPr>
                <w:rFonts w:ascii="Century Gothic" w:hAnsi="Century Gothic"/>
                <w:sz w:val="20"/>
                <w:szCs w:val="20"/>
              </w:rPr>
            </w:pPr>
            <w:r>
              <w:rPr>
                <w:rFonts w:ascii="Century Gothic" w:hAnsi="Century Gothic"/>
                <w:sz w:val="20"/>
                <w:szCs w:val="20"/>
              </w:rPr>
              <w:t>2.-…</w:t>
            </w:r>
          </w:p>
        </w:tc>
      </w:tr>
      <w:tr>
        <w:tblPrEx>
          <w:tblCellMar>
            <w:top w:w="0" w:type="dxa"/>
            <w:left w:w="70" w:type="dxa"/>
            <w:bottom w:w="0" w:type="dxa"/>
            <w:right w:w="70" w:type="dxa"/>
          </w:tblCellMar>
        </w:tblPrEx>
        <w:trPr>
          <w:wBefore w:w="0" w:type="dxa"/>
          <w:wAfter w:w="0" w:type="dxa"/>
          <w:cantSplit/>
          <w:trHeight w:val="399" w:hRule="atLeast"/>
        </w:trPr>
        <w:tc>
          <w:tcPr>
            <w:tcW w:w="8978" w:type="dxa"/>
            <w:gridSpan w:val="3"/>
            <w:noWrap w:val="0"/>
            <w:vAlign w:val="center"/>
          </w:tcPr>
          <w:p>
            <w:pPr>
              <w:ind w:firstLine="142"/>
              <w:rPr>
                <w:rFonts w:ascii="Century Gothic" w:hAnsi="Century Gothic"/>
                <w:sz w:val="20"/>
                <w:szCs w:val="20"/>
              </w:rPr>
            </w:pPr>
            <w:r>
              <w:rPr>
                <w:rFonts w:ascii="Century Gothic" w:hAnsi="Century Gothic"/>
                <w:sz w:val="20"/>
                <w:szCs w:val="20"/>
              </w:rPr>
              <w:t>a)</w:t>
            </w:r>
            <w:r>
              <w:rPr>
                <w:rFonts w:ascii="Century Gothic" w:hAnsi="Century Gothic"/>
                <w:sz w:val="20"/>
                <w:szCs w:val="20"/>
                <w:lang/>
              </w:rPr>
              <w:t>…</w:t>
            </w:r>
          </w:p>
        </w:tc>
      </w:tr>
      <w:tr>
        <w:tblPrEx>
          <w:tblCellMar>
            <w:top w:w="0" w:type="dxa"/>
            <w:left w:w="70" w:type="dxa"/>
            <w:bottom w:w="0" w:type="dxa"/>
            <w:right w:w="70" w:type="dxa"/>
          </w:tblCellMar>
        </w:tblPrEx>
        <w:trPr>
          <w:wBefore w:w="0" w:type="dxa"/>
          <w:wAfter w:w="0" w:type="dxa"/>
          <w:cantSplit/>
          <w:trHeight w:val="283" w:hRule="atLeast"/>
        </w:trPr>
        <w:tc>
          <w:tcPr>
            <w:tcW w:w="6591" w:type="dxa"/>
            <w:noWrap w:val="0"/>
            <w:vAlign w:val="top"/>
          </w:tcPr>
          <w:p>
            <w:pPr>
              <w:ind w:left="426" w:hanging="142"/>
              <w:rPr>
                <w:rFonts w:ascii="Century Gothic" w:hAnsi="Century Gothic"/>
                <w:sz w:val="20"/>
                <w:szCs w:val="20"/>
              </w:rPr>
            </w:pPr>
            <w:r>
              <w:rPr>
                <w:rFonts w:ascii="Century Gothic" w:hAnsi="Century Gothic"/>
                <w:sz w:val="20"/>
                <w:szCs w:val="20"/>
              </w:rPr>
              <w:t>1)</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95" w:hRule="atLeast"/>
        </w:trPr>
        <w:tc>
          <w:tcPr>
            <w:tcW w:w="6591" w:type="dxa"/>
            <w:noWrap w:val="0"/>
            <w:vAlign w:val="top"/>
          </w:tcPr>
          <w:p>
            <w:pPr>
              <w:ind w:left="426" w:hanging="142"/>
              <w:rPr>
                <w:rFonts w:ascii="Century Gothic" w:hAnsi="Century Gothic"/>
                <w:sz w:val="20"/>
                <w:szCs w:val="20"/>
              </w:rPr>
            </w:pPr>
            <w:r>
              <w:rPr>
                <w:rFonts w:ascii="Century Gothic" w:hAnsi="Century Gothic"/>
                <w:sz w:val="20"/>
                <w:szCs w:val="20"/>
              </w:rPr>
              <w:t>2)</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62"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33" w:hRule="atLeast"/>
        </w:trPr>
        <w:tc>
          <w:tcPr>
            <w:tcW w:w="6591" w:type="dxa"/>
            <w:noWrap w:val="0"/>
            <w:vAlign w:val="center"/>
          </w:tcPr>
          <w:p>
            <w:pPr>
              <w:ind w:left="426" w:hanging="142"/>
              <w:jc w:val="left"/>
              <w:rPr>
                <w:rFonts w:ascii="Century Gothic" w:hAnsi="Century Gothic"/>
                <w:sz w:val="20"/>
                <w:szCs w:val="20"/>
                <w:lang/>
              </w:rPr>
            </w:pPr>
            <w:r>
              <w:rPr>
                <w:rFonts w:ascii="Century Gothic" w:hAnsi="Century Gothic"/>
                <w:sz w:val="20"/>
                <w:szCs w:val="20"/>
              </w:rPr>
              <w:t>4)</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99"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rPr>
              <w:t>5)</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43" w:hRule="atLeast"/>
        </w:trPr>
        <w:tc>
          <w:tcPr>
            <w:tcW w:w="8978" w:type="dxa"/>
            <w:gridSpan w:val="3"/>
            <w:noWrap w:val="0"/>
            <w:vAlign w:val="center"/>
          </w:tcPr>
          <w:p>
            <w:pPr>
              <w:ind w:firstLine="142"/>
              <w:jc w:val="left"/>
              <w:rPr>
                <w:rFonts w:ascii="Century Gothic" w:hAnsi="Century Gothic"/>
                <w:sz w:val="20"/>
                <w:szCs w:val="20"/>
              </w:rPr>
            </w:pPr>
            <w:r>
              <w:rPr>
                <w:rFonts w:ascii="Century Gothic" w:hAnsi="Century Gothic"/>
                <w:sz w:val="20"/>
                <w:szCs w:val="20"/>
              </w:rPr>
              <w:t>b)</w:t>
            </w:r>
            <w:r>
              <w:rPr>
                <w:rFonts w:ascii="Century Gothic" w:hAnsi="Century Gothic"/>
                <w:sz w:val="20"/>
                <w:szCs w:val="20"/>
                <w:lang/>
              </w:rPr>
              <w:t>…</w:t>
            </w:r>
          </w:p>
        </w:tc>
      </w:tr>
      <w:tr>
        <w:tblPrEx>
          <w:tblCellMar>
            <w:top w:w="0" w:type="dxa"/>
            <w:left w:w="70" w:type="dxa"/>
            <w:bottom w:w="0" w:type="dxa"/>
            <w:right w:w="70" w:type="dxa"/>
          </w:tblCellMar>
        </w:tblPrEx>
        <w:trPr>
          <w:wBefore w:w="0" w:type="dxa"/>
          <w:wAfter w:w="0" w:type="dxa"/>
          <w:cantSplit/>
          <w:trHeight w:val="249"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1)</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88"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2)</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3)</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83"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4)</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37"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5)</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9" w:hRule="atLeast"/>
        </w:trPr>
        <w:tc>
          <w:tcPr>
            <w:tcW w:w="8978" w:type="dxa"/>
            <w:gridSpan w:val="3"/>
            <w:noWrap w:val="0"/>
            <w:vAlign w:val="center"/>
          </w:tcPr>
          <w:p>
            <w:pPr>
              <w:ind w:firstLine="142"/>
              <w:rPr>
                <w:rFonts w:ascii="Century Gothic" w:hAnsi="Century Gothic"/>
                <w:sz w:val="20"/>
                <w:szCs w:val="20"/>
              </w:rPr>
            </w:pPr>
            <w:r>
              <w:rPr>
                <w:rFonts w:ascii="Century Gothic" w:hAnsi="Century Gothic"/>
                <w:sz w:val="20"/>
                <w:szCs w:val="20"/>
              </w:rPr>
              <w:t>c)</w:t>
            </w:r>
            <w:r>
              <w:rPr>
                <w:rFonts w:ascii="Century Gothic" w:hAnsi="Century Gothic"/>
                <w:sz w:val="20"/>
                <w:szCs w:val="20"/>
                <w:lang/>
              </w:rPr>
              <w:t>…</w:t>
            </w:r>
          </w:p>
        </w:tc>
      </w:tr>
      <w:tr>
        <w:tblPrEx>
          <w:tblCellMar>
            <w:top w:w="0" w:type="dxa"/>
            <w:left w:w="70" w:type="dxa"/>
            <w:bottom w:w="0" w:type="dxa"/>
            <w:right w:w="70" w:type="dxa"/>
          </w:tblCellMar>
        </w:tblPrEx>
        <w:trPr>
          <w:wBefore w:w="0" w:type="dxa"/>
          <w:wAfter w:w="0" w:type="dxa"/>
          <w:cantSplit/>
          <w:trHeight w:val="199"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1)</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07"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2)</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97"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3)</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83"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4)</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54"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5)</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21" w:hRule="atLeast"/>
        </w:trPr>
        <w:tc>
          <w:tcPr>
            <w:tcW w:w="8978" w:type="dxa"/>
            <w:gridSpan w:val="3"/>
            <w:noWrap w:val="0"/>
            <w:vAlign w:val="center"/>
          </w:tcPr>
          <w:p>
            <w:pPr>
              <w:ind w:firstLine="142"/>
              <w:rPr>
                <w:rFonts w:ascii="Century Gothic" w:hAnsi="Century Gothic"/>
                <w:sz w:val="20"/>
                <w:szCs w:val="20"/>
              </w:rPr>
            </w:pPr>
            <w:r>
              <w:rPr>
                <w:rFonts w:ascii="Century Gothic" w:hAnsi="Century Gothic"/>
                <w:sz w:val="20"/>
                <w:szCs w:val="20"/>
              </w:rPr>
              <w:t>d)</w:t>
            </w:r>
            <w:r>
              <w:rPr>
                <w:rFonts w:ascii="Century Gothic" w:hAnsi="Century Gothic"/>
                <w:sz w:val="20"/>
                <w:szCs w:val="20"/>
                <w:lang/>
              </w:rPr>
              <w:t>…</w:t>
            </w:r>
          </w:p>
        </w:tc>
      </w:tr>
      <w:tr>
        <w:tblPrEx>
          <w:tblCellMar>
            <w:top w:w="0" w:type="dxa"/>
            <w:left w:w="70" w:type="dxa"/>
            <w:bottom w:w="0" w:type="dxa"/>
            <w:right w:w="70" w:type="dxa"/>
          </w:tblCellMar>
        </w:tblPrEx>
        <w:trPr>
          <w:wBefore w:w="0" w:type="dxa"/>
          <w:wAfter w:w="0" w:type="dxa"/>
          <w:cantSplit/>
          <w:trHeight w:val="475"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1)</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17"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2)</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71"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3)</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95"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4)</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29" w:hRule="atLeast"/>
        </w:trPr>
        <w:tc>
          <w:tcPr>
            <w:tcW w:w="6591" w:type="dxa"/>
            <w:noWrap w:val="0"/>
            <w:vAlign w:val="center"/>
          </w:tcPr>
          <w:p>
            <w:pPr>
              <w:ind w:left="426" w:hanging="142"/>
              <w:rPr>
                <w:rFonts w:ascii="Century Gothic" w:hAnsi="Century Gothic"/>
                <w:sz w:val="20"/>
                <w:szCs w:val="20"/>
              </w:rPr>
            </w:pPr>
            <w:r>
              <w:rPr>
                <w:rFonts w:ascii="Century Gothic" w:hAnsi="Century Gothic"/>
                <w:sz w:val="20"/>
                <w:szCs w:val="20"/>
              </w:rPr>
              <w:t>5)</w:t>
            </w:r>
            <w:r>
              <w:rPr>
                <w:rFonts w:ascii="Century Gothic" w:hAnsi="Century Gothic"/>
                <w:sz w:val="20"/>
                <w:szCs w:val="20"/>
                <w:lang/>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8978" w:type="dxa"/>
            <w:gridSpan w:val="3"/>
            <w:noWrap w:val="0"/>
            <w:vAlign w:val="center"/>
          </w:tcPr>
          <w:p>
            <w:pPr>
              <w:ind w:firstLine="284"/>
              <w:rPr>
                <w:rFonts w:ascii="Century Gothic" w:hAnsi="Century Gothic"/>
                <w:sz w:val="20"/>
                <w:szCs w:val="20"/>
                <w:lang/>
              </w:rPr>
            </w:pPr>
            <w:r>
              <w:rPr>
                <w:rFonts w:ascii="Century Gothic" w:hAnsi="Century Gothic"/>
                <w:sz w:val="20"/>
                <w:szCs w:val="20"/>
                <w:lang/>
              </w:rPr>
              <w:t>…</w:t>
            </w:r>
          </w:p>
        </w:tc>
      </w:tr>
      <w:tr>
        <w:tblPrEx>
          <w:tblCellMar>
            <w:top w:w="0" w:type="dxa"/>
            <w:left w:w="70" w:type="dxa"/>
            <w:bottom w:w="0" w:type="dxa"/>
            <w:right w:w="70" w:type="dxa"/>
          </w:tblCellMar>
        </w:tblPrEx>
        <w:trPr>
          <w:wBefore w:w="0" w:type="dxa"/>
          <w:wAfter w:w="0" w:type="dxa"/>
          <w:cantSplit/>
          <w:trHeight w:val="70" w:hRule="atLeast"/>
        </w:trPr>
        <w:tc>
          <w:tcPr>
            <w:tcW w:w="8978" w:type="dxa"/>
            <w:gridSpan w:val="3"/>
            <w:noWrap w:val="0"/>
            <w:vAlign w:val="center"/>
          </w:tcPr>
          <w:p>
            <w:pPr>
              <w:ind w:firstLine="142"/>
              <w:rPr>
                <w:rFonts w:ascii="Century Gothic" w:hAnsi="Century Gothic"/>
                <w:sz w:val="20"/>
                <w:szCs w:val="20"/>
              </w:rPr>
            </w:pPr>
            <w:r>
              <w:rPr>
                <w:rFonts w:ascii="Century Gothic" w:hAnsi="Century Gothic"/>
                <w:sz w:val="20"/>
                <w:szCs w:val="20"/>
                <w:lang/>
              </w:rPr>
              <w:t>e</w:t>
            </w: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37" w:hRule="atLeast"/>
        </w:trPr>
        <w:tc>
          <w:tcPr>
            <w:tcW w:w="6591" w:type="dxa"/>
            <w:noWrap w:val="0"/>
            <w:vAlign w:val="center"/>
          </w:tcPr>
          <w:p>
            <w:pPr>
              <w:ind w:left="426" w:hanging="142"/>
              <w:jc w:val="left"/>
              <w:rPr>
                <w:rFonts w:ascii="Century Gothic" w:hAnsi="Century Gothic"/>
                <w:sz w:val="20"/>
                <w:szCs w:val="20"/>
                <w:lang/>
              </w:rPr>
            </w:pPr>
            <w:r>
              <w:rPr>
                <w:rFonts w:ascii="Century Gothic" w:hAnsi="Century Gothic"/>
                <w:sz w:val="20"/>
                <w:szCs w:val="20"/>
                <w:lang/>
              </w:rPr>
              <w:t>1.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65"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rPr>
              <w:t>2.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33"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rPr>
              <w:t>3.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rPr>
              <w:t>4.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55"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rPr>
              <w:t>5.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05"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lang w:val="es-MX"/>
              </w:rPr>
              <w:t>6.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97"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rPr>
              <w:t>7.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31" w:hRule="atLeast"/>
        </w:trPr>
        <w:tc>
          <w:tcPr>
            <w:tcW w:w="6591" w:type="dxa"/>
            <w:noWrap w:val="0"/>
            <w:vAlign w:val="top"/>
          </w:tcPr>
          <w:p>
            <w:pPr>
              <w:ind w:left="426" w:hanging="142"/>
              <w:rPr>
                <w:rFonts w:ascii="Century Gothic" w:hAnsi="Century Gothic"/>
                <w:sz w:val="20"/>
                <w:szCs w:val="20"/>
                <w:lang w:val="es-MX"/>
              </w:rPr>
            </w:pPr>
            <w:r>
              <w:rPr>
                <w:rFonts w:ascii="Century Gothic" w:hAnsi="Century Gothic"/>
                <w:sz w:val="20"/>
                <w:szCs w:val="20"/>
                <w:lang w:val="es-MX"/>
              </w:rPr>
              <w:t xml:space="preserve">8. </w:t>
            </w:r>
            <w:r>
              <w:rPr>
                <w:rFonts w:ascii="Century Gothic" w:hAnsi="Century Gothic"/>
                <w:sz w:val="20"/>
                <w:szCs w:val="20"/>
              </w:rPr>
              <w:t>…</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85" w:hRule="atLeast"/>
        </w:trPr>
        <w:tc>
          <w:tcPr>
            <w:tcW w:w="6591" w:type="dxa"/>
            <w:noWrap w:val="0"/>
            <w:vAlign w:val="top"/>
          </w:tcPr>
          <w:p>
            <w:pPr>
              <w:spacing w:line="276" w:lineRule="auto"/>
              <w:ind w:left="426" w:hanging="142"/>
              <w:rPr>
                <w:rFonts w:ascii="Century Gothic" w:hAnsi="Century Gothic"/>
                <w:sz w:val="20"/>
                <w:szCs w:val="20"/>
                <w:lang w:val="es-MX"/>
              </w:rPr>
            </w:pPr>
            <w:r>
              <w:rPr>
                <w:rFonts w:ascii="Century Gothic" w:hAnsi="Century Gothic"/>
                <w:sz w:val="20"/>
                <w:szCs w:val="20"/>
                <w:lang w:val="es-MX"/>
              </w:rPr>
              <w:t>9.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49" w:hRule="atLeast"/>
        </w:trPr>
        <w:tc>
          <w:tcPr>
            <w:tcW w:w="6591" w:type="dxa"/>
            <w:noWrap w:val="0"/>
            <w:vAlign w:val="top"/>
          </w:tcPr>
          <w:p>
            <w:pPr>
              <w:spacing w:line="276" w:lineRule="auto"/>
              <w:ind w:left="426" w:hanging="142"/>
              <w:rPr>
                <w:rFonts w:ascii="Century Gothic" w:hAnsi="Century Gothic"/>
                <w:sz w:val="20"/>
                <w:szCs w:val="20"/>
                <w:lang w:val="es-MX"/>
              </w:rPr>
            </w:pPr>
            <w:r>
              <w:rPr>
                <w:rFonts w:ascii="Century Gothic" w:hAnsi="Century Gothic"/>
                <w:sz w:val="20"/>
                <w:szCs w:val="20"/>
                <w:lang w:val="es-MX"/>
              </w:rPr>
              <w:t>10.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49" w:hRule="atLeast"/>
        </w:trPr>
        <w:tc>
          <w:tcPr>
            <w:tcW w:w="6591" w:type="dxa"/>
            <w:noWrap w:val="0"/>
            <w:vAlign w:val="top"/>
          </w:tcPr>
          <w:p>
            <w:pPr>
              <w:spacing w:line="276" w:lineRule="auto"/>
              <w:ind w:left="426" w:hanging="142"/>
              <w:rPr>
                <w:rFonts w:ascii="Century Gothic" w:hAnsi="Century Gothic"/>
                <w:sz w:val="20"/>
                <w:szCs w:val="20"/>
                <w:lang w:val="es-MX"/>
              </w:rPr>
            </w:pPr>
            <w:r>
              <w:rPr>
                <w:rFonts w:ascii="Century Gothic" w:hAnsi="Century Gothic"/>
                <w:sz w:val="20"/>
                <w:szCs w:val="20"/>
                <w:lang w:val="es-MX"/>
              </w:rPr>
              <w:t>11.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05" w:hRule="atLeast"/>
        </w:trPr>
        <w:tc>
          <w:tcPr>
            <w:tcW w:w="8978" w:type="dxa"/>
            <w:gridSpan w:val="3"/>
            <w:noWrap w:val="0"/>
            <w:vAlign w:val="center"/>
          </w:tcPr>
          <w:p>
            <w:pPr>
              <w:rPr>
                <w:rFonts w:ascii="Century Gothic" w:hAnsi="Century Gothic"/>
                <w:sz w:val="20"/>
                <w:szCs w:val="20"/>
              </w:rPr>
            </w:pPr>
            <w:r>
              <w:rPr>
                <w:rFonts w:ascii="Century Gothic" w:hAnsi="Century Gothic"/>
                <w:sz w:val="20"/>
                <w:szCs w:val="20"/>
              </w:rPr>
              <w:t>II.-…</w:t>
            </w:r>
          </w:p>
        </w:tc>
      </w:tr>
      <w:tr>
        <w:tblPrEx>
          <w:tblCellMar>
            <w:top w:w="0" w:type="dxa"/>
            <w:left w:w="70" w:type="dxa"/>
            <w:bottom w:w="0" w:type="dxa"/>
            <w:right w:w="70" w:type="dxa"/>
          </w:tblCellMar>
        </w:tblPrEx>
        <w:trPr>
          <w:wBefore w:w="0" w:type="dxa"/>
          <w:wAfter w:w="0" w:type="dxa"/>
          <w:cantSplit/>
          <w:trHeight w:val="276" w:hRule="atLeast"/>
        </w:trPr>
        <w:tc>
          <w:tcPr>
            <w:tcW w:w="6591" w:type="dxa"/>
            <w:noWrap w:val="0"/>
            <w:vAlign w:val="center"/>
          </w:tcPr>
          <w:p>
            <w:pPr>
              <w:ind w:firstLine="142"/>
              <w:rPr>
                <w:rFonts w:ascii="Century Gothic" w:hAnsi="Century Gothic"/>
                <w:sz w:val="20"/>
                <w:szCs w:val="20"/>
              </w:rPr>
            </w:pPr>
            <w:r>
              <w:rPr>
                <w:rFonts w:ascii="Century Gothic" w:hAnsi="Century Gothic"/>
                <w:sz w:val="20"/>
                <w:szCs w:val="20"/>
              </w:rPr>
              <w:t>a)…</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29" w:hRule="atLeast"/>
        </w:trPr>
        <w:tc>
          <w:tcPr>
            <w:tcW w:w="6591" w:type="dxa"/>
            <w:noWrap w:val="0"/>
            <w:vAlign w:val="center"/>
          </w:tcPr>
          <w:p>
            <w:pPr>
              <w:ind w:firstLine="142"/>
              <w:rPr>
                <w:rFonts w:ascii="Century Gothic" w:hAnsi="Century Gothic"/>
                <w:sz w:val="20"/>
                <w:szCs w:val="20"/>
              </w:rPr>
            </w:pPr>
            <w:r>
              <w:rPr>
                <w:rFonts w:ascii="Century Gothic" w:hAnsi="Century Gothic"/>
                <w:sz w:val="20"/>
                <w:szCs w:val="20"/>
              </w:rPr>
              <w:t>b)…</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99" w:hRule="atLeast"/>
        </w:trPr>
        <w:tc>
          <w:tcPr>
            <w:tcW w:w="8978" w:type="dxa"/>
            <w:gridSpan w:val="3"/>
            <w:noWrap w:val="0"/>
            <w:vAlign w:val="center"/>
          </w:tcPr>
          <w:p>
            <w:pPr>
              <w:ind w:left="284" w:hanging="142"/>
              <w:rPr>
                <w:rFonts w:ascii="Century Gothic" w:hAnsi="Century Gothic"/>
                <w:sz w:val="20"/>
                <w:szCs w:val="20"/>
              </w:rPr>
            </w:pPr>
            <w:r>
              <w:rPr>
                <w:rFonts w:ascii="Century Gothic" w:hAnsi="Century Gothic"/>
                <w:sz w:val="20"/>
                <w:szCs w:val="20"/>
              </w:rPr>
              <w:t>c)…</w:t>
            </w:r>
          </w:p>
        </w:tc>
      </w:tr>
      <w:tr>
        <w:tblPrEx>
          <w:tblCellMar>
            <w:top w:w="0" w:type="dxa"/>
            <w:left w:w="70" w:type="dxa"/>
            <w:bottom w:w="0" w:type="dxa"/>
            <w:right w:w="70" w:type="dxa"/>
          </w:tblCellMar>
        </w:tblPrEx>
        <w:trPr>
          <w:wBefore w:w="0" w:type="dxa"/>
          <w:wAfter w:w="0" w:type="dxa"/>
          <w:cantSplit/>
          <w:trHeight w:val="324"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rPr>
              <w:t>1.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95"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rPr>
              <w:t>2.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62"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rPr>
              <w:t>3.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12" w:hRule="atLeast"/>
        </w:trPr>
        <w:tc>
          <w:tcPr>
            <w:tcW w:w="6591" w:type="dxa"/>
            <w:noWrap w:val="0"/>
            <w:vAlign w:val="center"/>
          </w:tcPr>
          <w:p>
            <w:pPr>
              <w:ind w:left="426" w:hanging="142"/>
              <w:jc w:val="left"/>
              <w:rPr>
                <w:rFonts w:ascii="Century Gothic" w:hAnsi="Century Gothic"/>
                <w:sz w:val="20"/>
                <w:szCs w:val="20"/>
              </w:rPr>
            </w:pPr>
            <w:r>
              <w:rPr>
                <w:rFonts w:ascii="Century Gothic" w:hAnsi="Century Gothic"/>
                <w:sz w:val="20"/>
                <w:szCs w:val="20"/>
              </w:rPr>
              <w:t>4.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77" w:hRule="atLeast"/>
        </w:trPr>
        <w:tc>
          <w:tcPr>
            <w:tcW w:w="8978" w:type="dxa"/>
            <w:gridSpan w:val="3"/>
            <w:noWrap w:val="0"/>
            <w:vAlign w:val="center"/>
          </w:tcPr>
          <w:p>
            <w:pPr>
              <w:ind w:firstLine="142"/>
              <w:rPr>
                <w:rFonts w:ascii="Century Gothic" w:hAnsi="Century Gothic"/>
                <w:sz w:val="20"/>
                <w:szCs w:val="20"/>
              </w:rPr>
            </w:pPr>
            <w:r>
              <w:rPr>
                <w:rFonts w:ascii="Century Gothic" w:hAnsi="Century Gothic"/>
                <w:sz w:val="20"/>
                <w:szCs w:val="20"/>
              </w:rPr>
              <w:t>d)…</w:t>
            </w:r>
          </w:p>
        </w:tc>
      </w:tr>
      <w:tr>
        <w:tblPrEx>
          <w:tblCellMar>
            <w:top w:w="0" w:type="dxa"/>
            <w:left w:w="70" w:type="dxa"/>
            <w:bottom w:w="0" w:type="dxa"/>
            <w:right w:w="70" w:type="dxa"/>
          </w:tblCellMar>
        </w:tblPrEx>
        <w:trPr>
          <w:wBefore w:w="0" w:type="dxa"/>
          <w:wAfter w:w="0" w:type="dxa"/>
          <w:cantSplit/>
          <w:trHeight w:val="397"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1.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25"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2.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95"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3.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21"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4.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92" w:hRule="atLeast"/>
        </w:trPr>
        <w:tc>
          <w:tcPr>
            <w:tcW w:w="8978" w:type="dxa"/>
            <w:gridSpan w:val="3"/>
            <w:noWrap w:val="0"/>
            <w:vAlign w:val="center"/>
          </w:tcPr>
          <w:p>
            <w:pPr>
              <w:ind w:firstLine="142"/>
              <w:jc w:val="left"/>
              <w:rPr>
                <w:rFonts w:ascii="Century Gothic" w:hAnsi="Century Gothic"/>
                <w:sz w:val="20"/>
                <w:szCs w:val="20"/>
              </w:rPr>
            </w:pPr>
            <w:r>
              <w:rPr>
                <w:rFonts w:ascii="Century Gothic" w:hAnsi="Century Gothic"/>
                <w:sz w:val="20"/>
                <w:szCs w:val="20"/>
              </w:rPr>
              <w:t>e)…</w:t>
            </w:r>
          </w:p>
        </w:tc>
      </w:tr>
      <w:tr>
        <w:tblPrEx>
          <w:tblCellMar>
            <w:top w:w="0" w:type="dxa"/>
            <w:left w:w="70" w:type="dxa"/>
            <w:bottom w:w="0" w:type="dxa"/>
            <w:right w:w="70" w:type="dxa"/>
          </w:tblCellMar>
        </w:tblPrEx>
        <w:trPr>
          <w:wBefore w:w="0" w:type="dxa"/>
          <w:wAfter w:w="0" w:type="dxa"/>
          <w:cantSplit/>
          <w:trHeight w:val="200"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1.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11"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2.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8"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3.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34"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4.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8" w:hRule="atLeast"/>
        </w:trPr>
        <w:tc>
          <w:tcPr>
            <w:tcW w:w="6591" w:type="dxa"/>
            <w:noWrap w:val="0"/>
            <w:vAlign w:val="center"/>
          </w:tcPr>
          <w:p>
            <w:pPr>
              <w:ind w:firstLine="142"/>
              <w:jc w:val="left"/>
              <w:rPr>
                <w:rFonts w:ascii="Century Gothic" w:hAnsi="Century Gothic"/>
                <w:sz w:val="20"/>
                <w:szCs w:val="20"/>
              </w:rPr>
            </w:pPr>
            <w:r>
              <w:rPr>
                <w:rFonts w:ascii="Century Gothic" w:hAnsi="Century Gothic"/>
                <w:sz w:val="20"/>
                <w:szCs w:val="20"/>
              </w:rPr>
              <w:t>f)…</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ind w:left="214"/>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19" w:hRule="atLeast"/>
        </w:trPr>
        <w:tc>
          <w:tcPr>
            <w:tcW w:w="8978" w:type="dxa"/>
            <w:gridSpan w:val="3"/>
            <w:noWrap w:val="0"/>
            <w:vAlign w:val="center"/>
          </w:tcPr>
          <w:p>
            <w:pPr>
              <w:ind w:firstLine="142"/>
              <w:rPr>
                <w:rFonts w:ascii="Century Gothic" w:hAnsi="Century Gothic"/>
                <w:sz w:val="20"/>
                <w:szCs w:val="20"/>
              </w:rPr>
            </w:pPr>
            <w:r>
              <w:rPr>
                <w:rFonts w:ascii="Century Gothic" w:hAnsi="Century Gothic"/>
                <w:sz w:val="20"/>
                <w:szCs w:val="20"/>
              </w:rPr>
              <w:t>g)…</w:t>
            </w:r>
          </w:p>
        </w:tc>
      </w:tr>
      <w:tr>
        <w:tblPrEx>
          <w:tblCellMar>
            <w:top w:w="0" w:type="dxa"/>
            <w:left w:w="70" w:type="dxa"/>
            <w:bottom w:w="0" w:type="dxa"/>
            <w:right w:w="70" w:type="dxa"/>
          </w:tblCellMar>
        </w:tblPrEx>
        <w:trPr>
          <w:wBefore w:w="0" w:type="dxa"/>
          <w:wAfter w:w="0" w:type="dxa"/>
          <w:cantSplit/>
          <w:trHeight w:val="119" w:hRule="atLeast"/>
        </w:trPr>
        <w:tc>
          <w:tcPr>
            <w:tcW w:w="6591" w:type="dxa"/>
            <w:noWrap w:val="0"/>
            <w:vAlign w:val="center"/>
          </w:tcPr>
          <w:p>
            <w:pPr>
              <w:ind w:left="142"/>
              <w:rPr>
                <w:rFonts w:ascii="Century Gothic" w:hAnsi="Century Gothic"/>
                <w:sz w:val="20"/>
                <w:szCs w:val="20"/>
              </w:rPr>
            </w:pPr>
            <w:r>
              <w:rPr>
                <w:rFonts w:ascii="Century Gothic" w:hAnsi="Century Gothic"/>
                <w:sz w:val="20"/>
                <w:szCs w:val="20"/>
              </w:rPr>
              <w:t>h)…</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13" w:hRule="atLeast"/>
        </w:trPr>
        <w:tc>
          <w:tcPr>
            <w:tcW w:w="6591" w:type="dxa"/>
            <w:noWrap w:val="0"/>
            <w:vAlign w:val="center"/>
          </w:tcPr>
          <w:p>
            <w:pPr>
              <w:ind w:firstLine="142"/>
              <w:jc w:val="left"/>
              <w:rPr>
                <w:rFonts w:ascii="Century Gothic" w:hAnsi="Century Gothic"/>
                <w:sz w:val="20"/>
                <w:szCs w:val="20"/>
              </w:rPr>
            </w:pPr>
            <w:r>
              <w:rPr>
                <w:rFonts w:ascii="Century Gothic" w:hAnsi="Century Gothic"/>
                <w:sz w:val="20"/>
                <w:szCs w:val="20"/>
              </w:rPr>
              <w:t>i)…</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81" w:hRule="atLeast"/>
        </w:trPr>
        <w:tc>
          <w:tcPr>
            <w:tcW w:w="6591" w:type="dxa"/>
            <w:noWrap w:val="0"/>
            <w:vAlign w:val="center"/>
          </w:tcPr>
          <w:p>
            <w:pPr>
              <w:ind w:firstLine="142"/>
              <w:jc w:val="left"/>
              <w:rPr>
                <w:rFonts w:ascii="Century Gothic" w:hAnsi="Century Gothic"/>
                <w:sz w:val="20"/>
                <w:szCs w:val="20"/>
              </w:rPr>
            </w:pPr>
            <w:r>
              <w:rPr>
                <w:rFonts w:ascii="Century Gothic" w:hAnsi="Century Gothic"/>
                <w:sz w:val="20"/>
                <w:szCs w:val="20"/>
              </w:rPr>
              <w:t>j)…</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93" w:hRule="atLeast"/>
        </w:trPr>
        <w:tc>
          <w:tcPr>
            <w:tcW w:w="6591" w:type="dxa"/>
            <w:noWrap w:val="0"/>
            <w:vAlign w:val="center"/>
          </w:tcPr>
          <w:p>
            <w:pPr>
              <w:ind w:firstLine="142"/>
              <w:jc w:val="left"/>
              <w:rPr>
                <w:rFonts w:ascii="Century Gothic" w:hAnsi="Century Gothic"/>
                <w:sz w:val="20"/>
                <w:szCs w:val="20"/>
              </w:rPr>
            </w:pPr>
            <w:r>
              <w:rPr>
                <w:rFonts w:ascii="Century Gothic" w:hAnsi="Century Gothic"/>
                <w:sz w:val="20"/>
                <w:szCs w:val="20"/>
              </w:rPr>
              <w:t>k)…</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01" w:hRule="atLeast"/>
        </w:trPr>
        <w:tc>
          <w:tcPr>
            <w:tcW w:w="8978" w:type="dxa"/>
            <w:gridSpan w:val="3"/>
            <w:noWrap w:val="0"/>
            <w:vAlign w:val="center"/>
          </w:tcPr>
          <w:p>
            <w:pPr>
              <w:ind w:firstLine="142"/>
              <w:rPr>
                <w:rFonts w:ascii="Century Gothic" w:hAnsi="Century Gothic"/>
                <w:sz w:val="20"/>
                <w:szCs w:val="20"/>
              </w:rPr>
            </w:pPr>
            <w:r>
              <w:rPr>
                <w:rFonts w:ascii="Century Gothic" w:hAnsi="Century Gothic"/>
                <w:sz w:val="20"/>
                <w:szCs w:val="20"/>
              </w:rPr>
              <w:t>l)…</w:t>
            </w:r>
          </w:p>
        </w:tc>
      </w:tr>
      <w:tr>
        <w:tblPrEx>
          <w:tblCellMar>
            <w:top w:w="0" w:type="dxa"/>
            <w:left w:w="70" w:type="dxa"/>
            <w:bottom w:w="0" w:type="dxa"/>
            <w:right w:w="70" w:type="dxa"/>
          </w:tblCellMar>
        </w:tblPrEx>
        <w:trPr>
          <w:wBefore w:w="0" w:type="dxa"/>
          <w:wAfter w:w="0" w:type="dxa"/>
          <w:cantSplit/>
          <w:trHeight w:val="147"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1.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01"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2.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85"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3.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97" w:hRule="atLeast"/>
        </w:trPr>
        <w:tc>
          <w:tcPr>
            <w:tcW w:w="6591" w:type="dxa"/>
            <w:noWrap w:val="0"/>
            <w:vAlign w:val="center"/>
          </w:tcPr>
          <w:p>
            <w:pPr>
              <w:spacing w:after="0"/>
              <w:ind w:left="426" w:hanging="142"/>
              <w:jc w:val="left"/>
              <w:rPr>
                <w:rFonts w:ascii="Century Gothic" w:hAnsi="Century Gothic"/>
                <w:sz w:val="20"/>
                <w:szCs w:val="20"/>
              </w:rPr>
            </w:pPr>
            <w:r>
              <w:rPr>
                <w:rFonts w:ascii="Century Gothic" w:hAnsi="Century Gothic"/>
                <w:sz w:val="20"/>
                <w:szCs w:val="20"/>
              </w:rPr>
              <w:t>4. …</w:t>
            </w:r>
          </w:p>
        </w:tc>
        <w:tc>
          <w:tcPr>
            <w:tcW w:w="1134"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1253" w:type="dxa"/>
            <w:noWrap w:val="0"/>
            <w:vAlign w:val="center"/>
          </w:tcPr>
          <w:p>
            <w:pPr>
              <w:jc w:val="center"/>
              <w:rPr>
                <w:rFonts w:ascii="Century Gothic" w:hAnsi="Century Gothic"/>
                <w:sz w:val="20"/>
                <w:szCs w:val="20"/>
              </w:rPr>
            </w:pPr>
            <w:r>
              <w:rPr>
                <w:rFonts w:ascii="Century Gothic" w:hAnsi="Century Gothic"/>
                <w:sz w:val="20"/>
                <w:szCs w:val="20"/>
              </w:rPr>
              <w:t>…</w:t>
            </w:r>
          </w:p>
        </w:tc>
      </w:tr>
    </w:tbl>
    <w:p>
      <w:pPr>
        <w:spacing w:line="276" w:lineRule="auto"/>
        <w:rPr>
          <w:rFonts w:ascii="Century Gothic" w:hAnsi="Century Gothic"/>
          <w:sz w:val="20"/>
          <w:szCs w:val="20"/>
        </w:rPr>
      </w:pPr>
      <w:r>
        <w:rPr>
          <w:rFonts w:ascii="Century Gothic" w:hAnsi="Century Gothic"/>
          <w:sz w:val="20"/>
          <w:szCs w:val="20"/>
        </w:rPr>
        <w:t>…</w:t>
      </w:r>
    </w:p>
    <w:p>
      <w:pPr>
        <w:spacing w:line="276" w:lineRule="auto"/>
        <w:rPr>
          <w:rFonts w:ascii="Century Gothic" w:hAnsi="Century Gothic"/>
          <w:sz w:val="20"/>
          <w:szCs w:val="20"/>
        </w:rPr>
      </w:pPr>
      <w:r>
        <w:rPr>
          <w:rFonts w:ascii="Century Gothic" w:hAnsi="Century Gothic"/>
          <w:sz w:val="20"/>
          <w:szCs w:val="20"/>
        </w:rPr>
        <w:t>…</w:t>
      </w:r>
    </w:p>
    <w:tbl>
      <w:tblPr>
        <w:tblStyle w:val="7"/>
        <w:tblpPr w:leftFromText="141" w:rightFromText="141" w:vertAnchor="text" w:horzAnchor="margin" w:tblpY="206"/>
        <w:tblW w:w="9001" w:type="dxa"/>
        <w:tblInd w:w="0" w:type="dxa"/>
        <w:tblLayout w:type="fixed"/>
        <w:tblCellMar>
          <w:top w:w="0" w:type="dxa"/>
          <w:left w:w="70" w:type="dxa"/>
          <w:bottom w:w="0" w:type="dxa"/>
          <w:right w:w="70" w:type="dxa"/>
        </w:tblCellMar>
      </w:tblPr>
      <w:tblGrid>
        <w:gridCol w:w="7158"/>
        <w:gridCol w:w="850"/>
        <w:gridCol w:w="993"/>
      </w:tblGrid>
      <w:tr>
        <w:tblPrEx>
          <w:tblCellMar>
            <w:top w:w="0" w:type="dxa"/>
            <w:left w:w="70" w:type="dxa"/>
            <w:bottom w:w="0" w:type="dxa"/>
            <w:right w:w="70" w:type="dxa"/>
          </w:tblCellMar>
        </w:tblPrEx>
        <w:trPr>
          <w:wBefore w:w="0" w:type="dxa"/>
          <w:wAfter w:w="0" w:type="dxa"/>
          <w:cantSplit/>
          <w:trHeight w:val="80" w:hRule="atLeast"/>
        </w:trPr>
        <w:tc>
          <w:tcPr>
            <w:tcW w:w="7158" w:type="dxa"/>
            <w:noWrap w:val="0"/>
            <w:vAlign w:val="center"/>
          </w:tcPr>
          <w:p>
            <w:pPr>
              <w:tabs>
                <w:tab w:val="left" w:pos="285"/>
              </w:tabs>
              <w:spacing w:after="0"/>
              <w:jc w:val="left"/>
              <w:rPr>
                <w:rFonts w:ascii="Century Gothic" w:hAnsi="Century Gothic"/>
                <w:sz w:val="20"/>
                <w:szCs w:val="20"/>
              </w:rPr>
            </w:pPr>
            <w:r>
              <w:rPr>
                <w:rFonts w:ascii="Century Gothic" w:hAnsi="Century Gothic"/>
                <w:sz w:val="20"/>
                <w:szCs w:val="20"/>
              </w:rPr>
              <w:t>III.-…</w:t>
            </w:r>
          </w:p>
        </w:tc>
        <w:tc>
          <w:tcPr>
            <w:tcW w:w="850"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99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70" w:hRule="atLeast"/>
        </w:trPr>
        <w:tc>
          <w:tcPr>
            <w:tcW w:w="9001" w:type="dxa"/>
            <w:gridSpan w:val="3"/>
            <w:noWrap w:val="0"/>
            <w:vAlign w:val="center"/>
          </w:tcPr>
          <w:p>
            <w:pPr>
              <w:jc w:val="left"/>
              <w:rPr>
                <w:rFonts w:ascii="Century Gothic" w:hAnsi="Century Gothic"/>
                <w:sz w:val="20"/>
                <w:szCs w:val="20"/>
                <w:lang/>
              </w:rPr>
            </w:pPr>
            <w:r>
              <w:rPr>
                <w:rFonts w:ascii="Century Gothic" w:hAnsi="Century Gothic"/>
                <w:sz w:val="20"/>
                <w:szCs w:val="20"/>
                <w:lang/>
              </w:rPr>
              <w:t>IV.-…</w:t>
            </w:r>
          </w:p>
        </w:tc>
      </w:tr>
      <w:tr>
        <w:tblPrEx>
          <w:tblCellMar>
            <w:top w:w="0" w:type="dxa"/>
            <w:left w:w="70" w:type="dxa"/>
            <w:bottom w:w="0" w:type="dxa"/>
            <w:right w:w="70" w:type="dxa"/>
          </w:tblCellMar>
        </w:tblPrEx>
        <w:trPr>
          <w:wBefore w:w="0" w:type="dxa"/>
          <w:wAfter w:w="0" w:type="dxa"/>
          <w:cantSplit/>
          <w:trHeight w:val="261" w:hRule="atLeast"/>
        </w:trPr>
        <w:tc>
          <w:tcPr>
            <w:tcW w:w="9001" w:type="dxa"/>
            <w:gridSpan w:val="3"/>
            <w:noWrap w:val="0"/>
            <w:vAlign w:val="center"/>
          </w:tcPr>
          <w:p>
            <w:pPr>
              <w:jc w:val="left"/>
              <w:rPr>
                <w:rFonts w:ascii="Century Gothic" w:hAnsi="Century Gothic"/>
                <w:sz w:val="20"/>
                <w:szCs w:val="20"/>
              </w:rPr>
            </w:pPr>
            <w:r>
              <w:rPr>
                <w:rFonts w:ascii="Century Gothic" w:hAnsi="Century Gothic"/>
                <w:sz w:val="20"/>
                <w:szCs w:val="20"/>
              </w:rPr>
              <w:t xml:space="preserve">1. </w:t>
            </w:r>
            <w:r>
              <w:rPr>
                <w:rFonts w:ascii="Century Gothic" w:hAnsi="Century Gothic"/>
                <w:sz w:val="20"/>
                <w:szCs w:val="20"/>
                <w:lang/>
              </w:rPr>
              <w:t>…</w:t>
            </w:r>
          </w:p>
        </w:tc>
      </w:tr>
      <w:tr>
        <w:tblPrEx>
          <w:tblCellMar>
            <w:top w:w="0" w:type="dxa"/>
            <w:left w:w="70" w:type="dxa"/>
            <w:bottom w:w="0" w:type="dxa"/>
            <w:right w:w="70" w:type="dxa"/>
          </w:tblCellMar>
        </w:tblPrEx>
        <w:trPr>
          <w:wBefore w:w="0" w:type="dxa"/>
          <w:wAfter w:w="0" w:type="dxa"/>
          <w:cantSplit/>
          <w:trHeight w:val="240" w:hRule="atLeast"/>
        </w:trPr>
        <w:tc>
          <w:tcPr>
            <w:tcW w:w="9001" w:type="dxa"/>
            <w:gridSpan w:val="3"/>
            <w:noWrap w:val="0"/>
            <w:vAlign w:val="center"/>
          </w:tcPr>
          <w:p>
            <w:pPr>
              <w:ind w:firstLine="142"/>
              <w:jc w:val="left"/>
              <w:rPr>
                <w:rFonts w:ascii="Century Gothic" w:hAnsi="Century Gothic"/>
                <w:sz w:val="20"/>
                <w:szCs w:val="20"/>
              </w:rPr>
            </w:pPr>
            <w:r>
              <w:rPr>
                <w:rFonts w:ascii="Century Gothic" w:hAnsi="Century Gothic"/>
                <w:sz w:val="20"/>
                <w:szCs w:val="20"/>
              </w:rPr>
              <w:t>a)</w:t>
            </w:r>
            <w:r>
              <w:rPr>
                <w:rFonts w:ascii="Century Gothic" w:hAnsi="Century Gothic"/>
                <w:sz w:val="20"/>
                <w:szCs w:val="20"/>
                <w:lang/>
              </w:rPr>
              <w:t>…</w:t>
            </w:r>
          </w:p>
        </w:tc>
      </w:tr>
      <w:tr>
        <w:tblPrEx>
          <w:tblCellMar>
            <w:top w:w="0" w:type="dxa"/>
            <w:left w:w="70" w:type="dxa"/>
            <w:bottom w:w="0" w:type="dxa"/>
            <w:right w:w="70" w:type="dxa"/>
          </w:tblCellMar>
        </w:tblPrEx>
        <w:trPr>
          <w:wBefore w:w="0" w:type="dxa"/>
          <w:wAfter w:w="0" w:type="dxa"/>
          <w:cantSplit/>
          <w:trHeight w:val="104"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lang/>
              </w:rPr>
              <w:t>…</w:t>
            </w:r>
          </w:p>
        </w:tc>
        <w:tc>
          <w:tcPr>
            <w:tcW w:w="850"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99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8"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lang/>
              </w:rPr>
              <w:t>…</w:t>
            </w:r>
          </w:p>
        </w:tc>
        <w:tc>
          <w:tcPr>
            <w:tcW w:w="850"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99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1"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3)…</w:t>
            </w:r>
          </w:p>
        </w:tc>
        <w:tc>
          <w:tcPr>
            <w:tcW w:w="850"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99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78"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4)…</w:t>
            </w:r>
          </w:p>
        </w:tc>
        <w:tc>
          <w:tcPr>
            <w:tcW w:w="850"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99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70" w:hRule="atLeast"/>
        </w:trPr>
        <w:tc>
          <w:tcPr>
            <w:tcW w:w="9001" w:type="dxa"/>
            <w:gridSpan w:val="3"/>
            <w:noWrap w:val="0"/>
            <w:vAlign w:val="center"/>
          </w:tcPr>
          <w:p>
            <w:pPr>
              <w:ind w:firstLine="142"/>
              <w:rPr>
                <w:rFonts w:ascii="Century Gothic" w:hAnsi="Century Gothic"/>
                <w:sz w:val="20"/>
                <w:szCs w:val="20"/>
              </w:rPr>
            </w:pPr>
            <w:r>
              <w:rPr>
                <w:rFonts w:ascii="Century Gothic" w:hAnsi="Century Gothic"/>
                <w:sz w:val="20"/>
                <w:szCs w:val="20"/>
              </w:rPr>
              <w:t>b)…</w:t>
            </w:r>
          </w:p>
        </w:tc>
      </w:tr>
      <w:tr>
        <w:tblPrEx>
          <w:tblCellMar>
            <w:top w:w="0" w:type="dxa"/>
            <w:left w:w="70" w:type="dxa"/>
            <w:bottom w:w="0" w:type="dxa"/>
            <w:right w:w="70" w:type="dxa"/>
          </w:tblCellMar>
        </w:tblPrEx>
        <w:trPr>
          <w:wBefore w:w="0" w:type="dxa"/>
          <w:wAfter w:w="0" w:type="dxa"/>
          <w:cantSplit/>
          <w:trHeight w:val="362"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1)…</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53"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2)…</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60"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3)…</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96"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4)…</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30" w:hRule="atLeast"/>
        </w:trPr>
        <w:tc>
          <w:tcPr>
            <w:tcW w:w="9001" w:type="dxa"/>
            <w:gridSpan w:val="3"/>
            <w:noWrap w:val="0"/>
            <w:vAlign w:val="center"/>
          </w:tcPr>
          <w:p>
            <w:pPr>
              <w:ind w:firstLine="142"/>
              <w:rPr>
                <w:rFonts w:ascii="Century Gothic" w:hAnsi="Century Gothic"/>
                <w:sz w:val="20"/>
                <w:szCs w:val="20"/>
              </w:rPr>
            </w:pPr>
            <w:r>
              <w:rPr>
                <w:rFonts w:ascii="Century Gothic" w:hAnsi="Century Gothic"/>
                <w:sz w:val="20"/>
                <w:szCs w:val="20"/>
              </w:rPr>
              <w:t>c)…</w:t>
            </w:r>
          </w:p>
        </w:tc>
      </w:tr>
      <w:tr>
        <w:tblPrEx>
          <w:tblCellMar>
            <w:top w:w="0" w:type="dxa"/>
            <w:left w:w="70" w:type="dxa"/>
            <w:bottom w:w="0" w:type="dxa"/>
            <w:right w:w="70" w:type="dxa"/>
          </w:tblCellMar>
        </w:tblPrEx>
        <w:trPr>
          <w:wBefore w:w="0" w:type="dxa"/>
          <w:wAfter w:w="0" w:type="dxa"/>
          <w:cantSplit/>
          <w:trHeight w:val="276"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1)…</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76" w:hRule="atLeast"/>
        </w:trPr>
        <w:tc>
          <w:tcPr>
            <w:tcW w:w="7158" w:type="dxa"/>
            <w:noWrap w:val="0"/>
            <w:vAlign w:val="center"/>
          </w:tcPr>
          <w:p>
            <w:pPr>
              <w:ind w:left="567" w:hanging="283"/>
              <w:jc w:val="left"/>
              <w:rPr>
                <w:rFonts w:ascii="Century Gothic" w:hAnsi="Century Gothic"/>
                <w:sz w:val="20"/>
                <w:szCs w:val="20"/>
              </w:rPr>
            </w:pPr>
            <w:r>
              <w:rPr>
                <w:rFonts w:ascii="Century Gothic" w:hAnsi="Century Gothic"/>
                <w:sz w:val="20"/>
                <w:szCs w:val="20"/>
              </w:rPr>
              <w:t>2)…</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26" w:hRule="atLeast"/>
        </w:trPr>
        <w:tc>
          <w:tcPr>
            <w:tcW w:w="7158" w:type="dxa"/>
            <w:noWrap w:val="0"/>
            <w:vAlign w:val="center"/>
          </w:tcPr>
          <w:p>
            <w:pPr>
              <w:ind w:left="567" w:hanging="283"/>
              <w:jc w:val="left"/>
              <w:rPr>
                <w:rFonts w:ascii="Century Gothic" w:hAnsi="Century Gothic"/>
                <w:sz w:val="20"/>
                <w:szCs w:val="20"/>
              </w:rPr>
            </w:pPr>
            <w:r>
              <w:rPr>
                <w:rFonts w:ascii="Century Gothic" w:hAnsi="Century Gothic"/>
                <w:sz w:val="20"/>
                <w:szCs w:val="20"/>
              </w:rPr>
              <w:t>3)…</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19"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4)…</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52" w:hRule="atLeast"/>
        </w:trPr>
        <w:tc>
          <w:tcPr>
            <w:tcW w:w="9001" w:type="dxa"/>
            <w:gridSpan w:val="3"/>
            <w:noWrap w:val="0"/>
            <w:vAlign w:val="center"/>
          </w:tcPr>
          <w:p>
            <w:pPr>
              <w:ind w:firstLine="142"/>
              <w:jc w:val="left"/>
              <w:rPr>
                <w:rFonts w:ascii="Century Gothic" w:hAnsi="Century Gothic"/>
                <w:sz w:val="20"/>
                <w:szCs w:val="20"/>
              </w:rPr>
            </w:pPr>
            <w:r>
              <w:rPr>
                <w:rFonts w:ascii="Century Gothic" w:hAnsi="Century Gothic"/>
                <w:sz w:val="20"/>
                <w:szCs w:val="20"/>
              </w:rPr>
              <w:t>d)…</w:t>
            </w:r>
          </w:p>
        </w:tc>
      </w:tr>
      <w:tr>
        <w:tblPrEx>
          <w:tblCellMar>
            <w:top w:w="0" w:type="dxa"/>
            <w:left w:w="70" w:type="dxa"/>
            <w:bottom w:w="0" w:type="dxa"/>
            <w:right w:w="70" w:type="dxa"/>
          </w:tblCellMar>
        </w:tblPrEx>
        <w:trPr>
          <w:wBefore w:w="0" w:type="dxa"/>
          <w:wAfter w:w="0" w:type="dxa"/>
          <w:cantSplit/>
          <w:trHeight w:val="385"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1)…</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5"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2)…</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27"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3)…</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7158" w:type="dxa"/>
            <w:noWrap w:val="0"/>
            <w:vAlign w:val="center"/>
          </w:tcPr>
          <w:p>
            <w:pPr>
              <w:ind w:left="426" w:hanging="142"/>
              <w:jc w:val="left"/>
              <w:rPr>
                <w:rFonts w:ascii="Century Gothic" w:hAnsi="Century Gothic"/>
                <w:sz w:val="20"/>
                <w:szCs w:val="20"/>
              </w:rPr>
            </w:pPr>
            <w:r>
              <w:rPr>
                <w:rFonts w:ascii="Century Gothic" w:hAnsi="Century Gothic"/>
                <w:sz w:val="20"/>
                <w:szCs w:val="20"/>
              </w:rPr>
              <w:t>4)…</w:t>
            </w:r>
          </w:p>
        </w:tc>
        <w:tc>
          <w:tcPr>
            <w:tcW w:w="850" w:type="dxa"/>
            <w:noWrap w:val="0"/>
            <w:vAlign w:val="top"/>
          </w:tcPr>
          <w:p>
            <w:pPr>
              <w:jc w:val="center"/>
              <w:rPr>
                <w:rFonts w:ascii="Century Gothic" w:hAnsi="Century Gothic"/>
                <w:sz w:val="20"/>
                <w:szCs w:val="20"/>
              </w:rPr>
            </w:pPr>
            <w:r>
              <w:rPr>
                <w:rFonts w:ascii="Century Gothic" w:hAnsi="Century Gothic"/>
                <w:sz w:val="20"/>
                <w:szCs w:val="20"/>
              </w:rPr>
              <w:t>…</w:t>
            </w:r>
          </w:p>
        </w:tc>
        <w:tc>
          <w:tcPr>
            <w:tcW w:w="993" w:type="dxa"/>
            <w:noWrap w:val="0"/>
            <w:vAlign w:val="top"/>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7158" w:type="dxa"/>
            <w:noWrap w:val="0"/>
            <w:vAlign w:val="center"/>
          </w:tcPr>
          <w:p>
            <w:pPr>
              <w:rPr>
                <w:rFonts w:ascii="Century Gothic" w:hAnsi="Century Gothic"/>
                <w:sz w:val="20"/>
                <w:szCs w:val="20"/>
              </w:rPr>
            </w:pPr>
            <w:r>
              <w:rPr>
                <w:rFonts w:ascii="Century Gothic" w:hAnsi="Century Gothic"/>
                <w:sz w:val="20"/>
                <w:szCs w:val="20"/>
              </w:rPr>
              <w:t>2. …</w:t>
            </w:r>
          </w:p>
        </w:tc>
        <w:tc>
          <w:tcPr>
            <w:tcW w:w="850"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99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7158" w:type="dxa"/>
            <w:noWrap w:val="0"/>
            <w:vAlign w:val="center"/>
          </w:tcPr>
          <w:p>
            <w:pPr>
              <w:rPr>
                <w:rFonts w:ascii="Century Gothic" w:hAnsi="Century Gothic"/>
                <w:sz w:val="20"/>
                <w:szCs w:val="20"/>
              </w:rPr>
            </w:pPr>
            <w:r>
              <w:rPr>
                <w:rFonts w:ascii="Century Gothic" w:hAnsi="Century Gothic"/>
                <w:sz w:val="20"/>
                <w:szCs w:val="20"/>
              </w:rPr>
              <w:t>3. …</w:t>
            </w:r>
          </w:p>
        </w:tc>
        <w:tc>
          <w:tcPr>
            <w:tcW w:w="850"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99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7158" w:type="dxa"/>
            <w:noWrap w:val="0"/>
            <w:vAlign w:val="center"/>
          </w:tcPr>
          <w:p>
            <w:pPr>
              <w:rPr>
                <w:rFonts w:ascii="Century Gothic" w:hAnsi="Century Gothic"/>
                <w:sz w:val="20"/>
                <w:szCs w:val="20"/>
              </w:rPr>
            </w:pPr>
            <w:r>
              <w:rPr>
                <w:rFonts w:ascii="Century Gothic" w:hAnsi="Century Gothic"/>
                <w:sz w:val="20"/>
                <w:szCs w:val="20"/>
              </w:rPr>
              <w:t>4. …</w:t>
            </w:r>
          </w:p>
        </w:tc>
        <w:tc>
          <w:tcPr>
            <w:tcW w:w="850"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99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7158" w:type="dxa"/>
            <w:noWrap w:val="0"/>
            <w:vAlign w:val="center"/>
          </w:tcPr>
          <w:p>
            <w:pPr>
              <w:rPr>
                <w:rFonts w:ascii="Century Gothic" w:hAnsi="Century Gothic"/>
                <w:sz w:val="20"/>
                <w:szCs w:val="20"/>
              </w:rPr>
            </w:pPr>
            <w:r>
              <w:rPr>
                <w:rFonts w:ascii="Century Gothic" w:hAnsi="Century Gothic"/>
                <w:sz w:val="20"/>
                <w:szCs w:val="20"/>
              </w:rPr>
              <w:t>5. …</w:t>
            </w:r>
          </w:p>
        </w:tc>
        <w:tc>
          <w:tcPr>
            <w:tcW w:w="850"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99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39" w:hRule="atLeast"/>
        </w:trPr>
        <w:tc>
          <w:tcPr>
            <w:tcW w:w="7158" w:type="dxa"/>
            <w:noWrap w:val="0"/>
            <w:vAlign w:val="center"/>
          </w:tcPr>
          <w:p>
            <w:pPr>
              <w:rPr>
                <w:rFonts w:ascii="Century Gothic" w:hAnsi="Century Gothic"/>
                <w:sz w:val="20"/>
                <w:szCs w:val="20"/>
              </w:rPr>
            </w:pPr>
            <w:r>
              <w:rPr>
                <w:rFonts w:ascii="Century Gothic" w:hAnsi="Century Gothic"/>
                <w:sz w:val="20"/>
                <w:szCs w:val="20"/>
              </w:rPr>
              <w:t>6. …</w:t>
            </w:r>
          </w:p>
        </w:tc>
        <w:tc>
          <w:tcPr>
            <w:tcW w:w="850" w:type="dxa"/>
            <w:noWrap w:val="0"/>
            <w:vAlign w:val="center"/>
          </w:tcPr>
          <w:p>
            <w:pPr>
              <w:jc w:val="center"/>
              <w:rPr>
                <w:rFonts w:ascii="Century Gothic" w:hAnsi="Century Gothic"/>
                <w:sz w:val="20"/>
                <w:szCs w:val="20"/>
              </w:rPr>
            </w:pPr>
            <w:r>
              <w:rPr>
                <w:rFonts w:ascii="Century Gothic" w:hAnsi="Century Gothic"/>
                <w:sz w:val="20"/>
                <w:szCs w:val="20"/>
              </w:rPr>
              <w:t>…</w:t>
            </w:r>
          </w:p>
        </w:tc>
        <w:tc>
          <w:tcPr>
            <w:tcW w:w="993" w:type="dxa"/>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93" w:hRule="atLeast"/>
        </w:trPr>
        <w:tc>
          <w:tcPr>
            <w:tcW w:w="7158" w:type="dxa"/>
            <w:noWrap w:val="0"/>
            <w:vAlign w:val="center"/>
          </w:tcPr>
          <w:p>
            <w:pPr>
              <w:rPr>
                <w:rFonts w:ascii="Century Gothic" w:hAnsi="Century Gothic"/>
                <w:sz w:val="20"/>
                <w:szCs w:val="20"/>
              </w:rPr>
            </w:pPr>
            <w:r>
              <w:rPr>
                <w:rFonts w:ascii="Century Gothic" w:hAnsi="Century Gothic"/>
                <w:sz w:val="20"/>
                <w:szCs w:val="20"/>
              </w:rPr>
              <w:t xml:space="preserve">7. </w:t>
            </w:r>
            <w:r>
              <w:rPr>
                <w:rFonts w:ascii="Barlow Light" w:hAnsi="Barlow Light"/>
              </w:rPr>
              <w:t xml:space="preserve"> </w:t>
            </w:r>
            <w:r>
              <w:rPr>
                <w:rFonts w:ascii="Century Gothic" w:hAnsi="Century Gothic"/>
                <w:sz w:val="20"/>
                <w:szCs w:val="20"/>
              </w:rPr>
              <w:t>…</w:t>
            </w:r>
          </w:p>
        </w:tc>
        <w:tc>
          <w:tcPr>
            <w:tcW w:w="850" w:type="dxa"/>
            <w:noWrap w:val="0"/>
            <w:vAlign w:val="center"/>
          </w:tcPr>
          <w:p>
            <w:pPr>
              <w:jc w:val="center"/>
              <w:rPr>
                <w:rFonts w:ascii="Century Gothic" w:hAnsi="Century Gothic"/>
                <w:sz w:val="20"/>
                <w:szCs w:val="20"/>
              </w:rPr>
            </w:pPr>
            <w:r>
              <w:rPr>
                <w:rFonts w:ascii="Century Gothic" w:hAnsi="Century Gothic"/>
                <w:sz w:val="20"/>
                <w:szCs w:val="20"/>
              </w:rPr>
              <w:t>2,500</w:t>
            </w:r>
          </w:p>
        </w:tc>
        <w:tc>
          <w:tcPr>
            <w:tcW w:w="993" w:type="dxa"/>
            <w:noWrap w:val="0"/>
            <w:vAlign w:val="center"/>
          </w:tcPr>
          <w:p>
            <w:pPr>
              <w:jc w:val="center"/>
              <w:rPr>
                <w:rFonts w:ascii="Century Gothic" w:hAnsi="Century Gothic"/>
                <w:sz w:val="20"/>
                <w:szCs w:val="20"/>
              </w:rPr>
            </w:pPr>
            <w:r>
              <w:rPr>
                <w:rFonts w:ascii="Century Gothic" w:hAnsi="Century Gothic"/>
                <w:sz w:val="20"/>
                <w:szCs w:val="20"/>
              </w:rPr>
              <w:t>…</w:t>
            </w:r>
          </w:p>
        </w:tc>
      </w:tr>
    </w:tbl>
    <w:p>
      <w:pPr>
        <w:spacing w:line="276" w:lineRule="auto"/>
        <w:rPr>
          <w:rFonts w:ascii="Century Gothic" w:hAnsi="Century Gothic"/>
          <w:sz w:val="20"/>
          <w:szCs w:val="20"/>
        </w:rPr>
      </w:pPr>
      <w:r>
        <w:rPr>
          <w:rFonts w:ascii="Century Gothic" w:hAnsi="Century Gothic"/>
          <w:sz w:val="20"/>
          <w:szCs w:val="20"/>
        </w:rPr>
        <w:t>…</w:t>
      </w:r>
    </w:p>
    <w:p>
      <w:pPr>
        <w:spacing w:line="276" w:lineRule="auto"/>
        <w:rPr>
          <w:rFonts w:ascii="Century Gothic" w:hAnsi="Century Gothic"/>
          <w:sz w:val="20"/>
          <w:szCs w:val="20"/>
        </w:rPr>
      </w:pPr>
      <w:r>
        <w:rPr>
          <w:rFonts w:ascii="Century Gothic" w:hAnsi="Century Gothic"/>
          <w:sz w:val="20"/>
          <w:szCs w:val="20"/>
        </w:rPr>
        <w:t>…</w:t>
      </w:r>
    </w:p>
    <w:p>
      <w:pPr>
        <w:spacing w:line="276" w:lineRule="auto"/>
        <w:rPr>
          <w:rFonts w:ascii="Century Gothic" w:hAnsi="Century Gothic"/>
          <w:sz w:val="20"/>
          <w:szCs w:val="20"/>
        </w:rPr>
      </w:pPr>
      <w:r>
        <w:rPr>
          <w:rFonts w:ascii="Century Gothic" w:hAnsi="Century Gothic"/>
          <w:sz w:val="20"/>
          <w:szCs w:val="20"/>
        </w:rPr>
        <w:t>…</w:t>
      </w:r>
    </w:p>
    <w:tbl>
      <w:tblPr>
        <w:tblStyle w:val="7"/>
        <w:tblpPr w:leftFromText="141" w:rightFromText="141" w:vertAnchor="text" w:horzAnchor="margin" w:tblpY="206"/>
        <w:tblW w:w="9001" w:type="dxa"/>
        <w:tblInd w:w="0" w:type="dxa"/>
        <w:tblLayout w:type="fixed"/>
        <w:tblCellMar>
          <w:top w:w="0" w:type="dxa"/>
          <w:left w:w="70" w:type="dxa"/>
          <w:bottom w:w="0" w:type="dxa"/>
          <w:right w:w="70" w:type="dxa"/>
        </w:tblCellMar>
      </w:tblPr>
      <w:tblGrid>
        <w:gridCol w:w="7158"/>
        <w:gridCol w:w="567"/>
        <w:gridCol w:w="1276"/>
      </w:tblGrid>
      <w:tr>
        <w:tblPrEx>
          <w:tblCellMar>
            <w:top w:w="0" w:type="dxa"/>
            <w:left w:w="70" w:type="dxa"/>
            <w:bottom w:w="0" w:type="dxa"/>
            <w:right w:w="70" w:type="dxa"/>
          </w:tblCellMar>
        </w:tblPrEx>
        <w:trPr>
          <w:wBefore w:w="0" w:type="dxa"/>
          <w:wAfter w:w="0" w:type="dxa"/>
          <w:cantSplit/>
          <w:trHeight w:val="131" w:hRule="atLeast"/>
        </w:trPr>
        <w:tc>
          <w:tcPr>
            <w:tcW w:w="5000" w:type="pct"/>
            <w:gridSpan w:val="3"/>
            <w:noWrap w:val="0"/>
            <w:vAlign w:val="center"/>
          </w:tcPr>
          <w:p>
            <w:pPr>
              <w:jc w:val="left"/>
              <w:rPr>
                <w:rFonts w:ascii="Century Gothic" w:hAnsi="Century Gothic"/>
                <w:sz w:val="20"/>
                <w:szCs w:val="20"/>
              </w:rPr>
            </w:pPr>
            <w:r>
              <w:rPr>
                <w:rFonts w:ascii="Century Gothic" w:hAnsi="Century Gothic"/>
                <w:sz w:val="20"/>
                <w:szCs w:val="20"/>
              </w:rPr>
              <w:t>V.-…</w:t>
            </w:r>
          </w:p>
        </w:tc>
      </w:tr>
      <w:tr>
        <w:tblPrEx>
          <w:tblCellMar>
            <w:top w:w="0" w:type="dxa"/>
            <w:left w:w="70" w:type="dxa"/>
            <w:bottom w:w="0" w:type="dxa"/>
            <w:right w:w="70" w:type="dxa"/>
          </w:tblCellMar>
        </w:tblPrEx>
        <w:trPr>
          <w:wBefore w:w="0" w:type="dxa"/>
          <w:wAfter w:w="0" w:type="dxa"/>
          <w:cantSplit/>
          <w:trHeight w:val="278" w:hRule="atLeast"/>
        </w:trPr>
        <w:tc>
          <w:tcPr>
            <w:tcW w:w="3976" w:type="pct"/>
            <w:noWrap w:val="0"/>
            <w:vAlign w:val="center"/>
          </w:tcPr>
          <w:p>
            <w:pPr>
              <w:ind w:firstLine="142"/>
              <w:rPr>
                <w:rFonts w:ascii="Century Gothic" w:hAnsi="Century Gothic"/>
                <w:sz w:val="20"/>
                <w:szCs w:val="20"/>
              </w:rPr>
            </w:pPr>
            <w:r>
              <w:rPr>
                <w:rFonts w:ascii="Century Gothic" w:hAnsi="Century Gothic"/>
                <w:sz w:val="20"/>
                <w:szCs w:val="20"/>
              </w:rPr>
              <w:t>a)…</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70" w:hRule="atLeast"/>
        </w:trPr>
        <w:tc>
          <w:tcPr>
            <w:tcW w:w="3976" w:type="pct"/>
            <w:noWrap w:val="0"/>
            <w:vAlign w:val="center"/>
          </w:tcPr>
          <w:p>
            <w:pPr>
              <w:ind w:firstLine="142"/>
              <w:rPr>
                <w:rFonts w:ascii="Century Gothic" w:hAnsi="Century Gothic"/>
                <w:bCs/>
                <w:sz w:val="20"/>
                <w:szCs w:val="20"/>
              </w:rPr>
            </w:pPr>
            <w:r>
              <w:rPr>
                <w:rFonts w:ascii="Century Gothic" w:hAnsi="Century Gothic"/>
                <w:bCs/>
                <w:sz w:val="20"/>
                <w:szCs w:val="20"/>
              </w:rPr>
              <w:t>b)</w:t>
            </w:r>
            <w:r>
              <w:rPr>
                <w:rFonts w:ascii="Century Gothic" w:hAnsi="Century Gothic"/>
                <w:sz w:val="20"/>
                <w:szCs w:val="20"/>
              </w:rPr>
              <w:t>…</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3" w:hRule="atLeast"/>
        </w:trPr>
        <w:tc>
          <w:tcPr>
            <w:tcW w:w="3976" w:type="pct"/>
            <w:noWrap w:val="0"/>
            <w:vAlign w:val="center"/>
          </w:tcPr>
          <w:p>
            <w:pPr>
              <w:ind w:firstLine="142"/>
              <w:jc w:val="left"/>
              <w:rPr>
                <w:rFonts w:ascii="Century Gothic" w:hAnsi="Century Gothic"/>
                <w:sz w:val="20"/>
                <w:szCs w:val="20"/>
              </w:rPr>
            </w:pPr>
            <w:r>
              <w:rPr>
                <w:rFonts w:ascii="Century Gothic" w:hAnsi="Century Gothic"/>
                <w:sz w:val="20"/>
                <w:szCs w:val="20"/>
              </w:rPr>
              <w:t>c)…</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9" w:hRule="atLeast"/>
        </w:trPr>
        <w:tc>
          <w:tcPr>
            <w:tcW w:w="3976" w:type="pct"/>
            <w:noWrap w:val="0"/>
            <w:vAlign w:val="center"/>
          </w:tcPr>
          <w:p>
            <w:pPr>
              <w:ind w:firstLine="142"/>
              <w:jc w:val="left"/>
              <w:rPr>
                <w:rFonts w:ascii="Century Gothic" w:hAnsi="Century Gothic"/>
                <w:sz w:val="20"/>
                <w:szCs w:val="20"/>
              </w:rPr>
            </w:pPr>
            <w:r>
              <w:rPr>
                <w:rFonts w:ascii="Century Gothic" w:hAnsi="Century Gothic"/>
                <w:sz w:val="20"/>
                <w:szCs w:val="20"/>
              </w:rPr>
              <w:t>d)…</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18" w:hRule="atLeast"/>
        </w:trPr>
        <w:tc>
          <w:tcPr>
            <w:tcW w:w="3976" w:type="pct"/>
            <w:noWrap w:val="0"/>
            <w:vAlign w:val="center"/>
          </w:tcPr>
          <w:p>
            <w:pPr>
              <w:ind w:firstLine="142"/>
              <w:jc w:val="left"/>
              <w:rPr>
                <w:rFonts w:ascii="Century Gothic" w:hAnsi="Century Gothic"/>
                <w:sz w:val="20"/>
                <w:szCs w:val="20"/>
              </w:rPr>
            </w:pPr>
            <w:r>
              <w:rPr>
                <w:rFonts w:ascii="Century Gothic" w:hAnsi="Century Gothic"/>
                <w:sz w:val="20"/>
                <w:szCs w:val="20"/>
              </w:rPr>
              <w:t>e)…</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53" w:hRule="atLeast"/>
        </w:trPr>
        <w:tc>
          <w:tcPr>
            <w:tcW w:w="3976" w:type="pct"/>
            <w:noWrap w:val="0"/>
            <w:vAlign w:val="center"/>
          </w:tcPr>
          <w:p>
            <w:pPr>
              <w:ind w:firstLine="142"/>
              <w:jc w:val="left"/>
              <w:rPr>
                <w:rFonts w:ascii="Century Gothic" w:hAnsi="Century Gothic"/>
                <w:sz w:val="20"/>
                <w:szCs w:val="20"/>
              </w:rPr>
            </w:pPr>
            <w:r>
              <w:rPr>
                <w:rFonts w:ascii="Century Gothic" w:hAnsi="Century Gothic"/>
                <w:sz w:val="20"/>
                <w:szCs w:val="20"/>
              </w:rPr>
              <w:t>f)…</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1" w:hRule="atLeast"/>
        </w:trPr>
        <w:tc>
          <w:tcPr>
            <w:tcW w:w="3976" w:type="pct"/>
            <w:noWrap w:val="0"/>
            <w:vAlign w:val="center"/>
          </w:tcPr>
          <w:p>
            <w:pPr>
              <w:ind w:firstLine="142"/>
              <w:jc w:val="left"/>
              <w:rPr>
                <w:rFonts w:ascii="Century Gothic" w:hAnsi="Century Gothic"/>
                <w:sz w:val="20"/>
                <w:szCs w:val="20"/>
              </w:rPr>
            </w:pPr>
            <w:r>
              <w:rPr>
                <w:rFonts w:ascii="Century Gothic" w:hAnsi="Century Gothic"/>
                <w:sz w:val="20"/>
                <w:szCs w:val="20"/>
              </w:rPr>
              <w:t>g)…</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1" w:hRule="atLeast"/>
        </w:trPr>
        <w:tc>
          <w:tcPr>
            <w:tcW w:w="3976" w:type="pct"/>
            <w:noWrap w:val="0"/>
            <w:vAlign w:val="center"/>
          </w:tcPr>
          <w:p>
            <w:pPr>
              <w:ind w:left="142"/>
              <w:rPr>
                <w:rFonts w:ascii="Century Gothic" w:hAnsi="Century Gothic"/>
                <w:sz w:val="20"/>
                <w:szCs w:val="20"/>
              </w:rPr>
            </w:pPr>
            <w:r>
              <w:rPr>
                <w:rFonts w:ascii="Century Gothic" w:hAnsi="Century Gothic"/>
                <w:sz w:val="20"/>
                <w:szCs w:val="20"/>
              </w:rPr>
              <w:t>h)…</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7" w:hRule="atLeast"/>
        </w:trPr>
        <w:tc>
          <w:tcPr>
            <w:tcW w:w="5000" w:type="pct"/>
            <w:gridSpan w:val="3"/>
            <w:noWrap w:val="0"/>
            <w:vAlign w:val="center"/>
          </w:tcPr>
          <w:p>
            <w:pPr>
              <w:rPr>
                <w:rFonts w:ascii="Century Gothic" w:hAnsi="Century Gothic"/>
                <w:sz w:val="20"/>
                <w:szCs w:val="20"/>
              </w:rPr>
            </w:pPr>
            <w:r>
              <w:rPr>
                <w:rFonts w:ascii="Century Gothic" w:hAnsi="Century Gothic"/>
                <w:sz w:val="20"/>
                <w:szCs w:val="20"/>
              </w:rPr>
              <w:t>VI.-…</w:t>
            </w:r>
          </w:p>
        </w:tc>
      </w:tr>
      <w:tr>
        <w:tblPrEx>
          <w:tblCellMar>
            <w:top w:w="0" w:type="dxa"/>
            <w:left w:w="70" w:type="dxa"/>
            <w:bottom w:w="0" w:type="dxa"/>
            <w:right w:w="70" w:type="dxa"/>
          </w:tblCellMar>
        </w:tblPrEx>
        <w:trPr>
          <w:wBefore w:w="0" w:type="dxa"/>
          <w:wAfter w:w="0" w:type="dxa"/>
          <w:cantSplit/>
          <w:trHeight w:val="370" w:hRule="atLeast"/>
        </w:trPr>
        <w:tc>
          <w:tcPr>
            <w:tcW w:w="5000" w:type="pct"/>
            <w:gridSpan w:val="3"/>
            <w:noWrap w:val="0"/>
            <w:vAlign w:val="center"/>
          </w:tcPr>
          <w:p>
            <w:pPr>
              <w:rPr>
                <w:rFonts w:ascii="Century Gothic" w:hAnsi="Century Gothic"/>
                <w:sz w:val="20"/>
                <w:szCs w:val="20"/>
              </w:rPr>
            </w:pPr>
            <w:r>
              <w:rPr>
                <w:rFonts w:ascii="Century Gothic" w:hAnsi="Century Gothic"/>
                <w:sz w:val="20"/>
                <w:szCs w:val="20"/>
              </w:rPr>
              <w:t>1. …</w:t>
            </w:r>
          </w:p>
        </w:tc>
      </w:tr>
      <w:tr>
        <w:tblPrEx>
          <w:tblCellMar>
            <w:top w:w="0" w:type="dxa"/>
            <w:left w:w="70" w:type="dxa"/>
            <w:bottom w:w="0" w:type="dxa"/>
            <w:right w:w="70" w:type="dxa"/>
          </w:tblCellMar>
        </w:tblPrEx>
        <w:trPr>
          <w:wBefore w:w="0" w:type="dxa"/>
          <w:wAfter w:w="0" w:type="dxa"/>
          <w:cantSplit/>
          <w:trHeight w:val="362" w:hRule="atLeast"/>
        </w:trPr>
        <w:tc>
          <w:tcPr>
            <w:tcW w:w="3976" w:type="pct"/>
            <w:noWrap w:val="0"/>
            <w:vAlign w:val="center"/>
          </w:tcPr>
          <w:p>
            <w:pPr>
              <w:ind w:left="284" w:hanging="142"/>
              <w:jc w:val="left"/>
              <w:rPr>
                <w:rFonts w:ascii="Century Gothic" w:hAnsi="Century Gothic"/>
                <w:sz w:val="20"/>
                <w:szCs w:val="20"/>
              </w:rPr>
            </w:pPr>
            <w:r>
              <w:rPr>
                <w:rFonts w:ascii="Century Gothic" w:hAnsi="Century Gothic"/>
                <w:sz w:val="20"/>
                <w:szCs w:val="20"/>
              </w:rPr>
              <w:t>a)…</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8" w:hRule="atLeast"/>
        </w:trPr>
        <w:tc>
          <w:tcPr>
            <w:tcW w:w="3976" w:type="pct"/>
            <w:noWrap w:val="0"/>
            <w:vAlign w:val="center"/>
          </w:tcPr>
          <w:p>
            <w:pPr>
              <w:ind w:left="284" w:hanging="142"/>
              <w:jc w:val="left"/>
              <w:rPr>
                <w:rFonts w:ascii="Century Gothic" w:hAnsi="Century Gothic"/>
                <w:sz w:val="20"/>
                <w:szCs w:val="20"/>
              </w:rPr>
            </w:pPr>
            <w:r>
              <w:rPr>
                <w:rFonts w:ascii="Century Gothic" w:hAnsi="Century Gothic"/>
                <w:sz w:val="20"/>
                <w:szCs w:val="20"/>
              </w:rPr>
              <w:t>b)…</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76" w:hRule="atLeast"/>
        </w:trPr>
        <w:tc>
          <w:tcPr>
            <w:tcW w:w="3976" w:type="pct"/>
            <w:noWrap w:val="0"/>
            <w:vAlign w:val="center"/>
          </w:tcPr>
          <w:p>
            <w:pPr>
              <w:ind w:left="284" w:hanging="142"/>
              <w:jc w:val="left"/>
              <w:rPr>
                <w:rFonts w:ascii="Century Gothic" w:hAnsi="Century Gothic"/>
                <w:sz w:val="20"/>
                <w:szCs w:val="20"/>
              </w:rPr>
            </w:pPr>
            <w:r>
              <w:rPr>
                <w:rFonts w:ascii="Century Gothic" w:hAnsi="Century Gothic"/>
                <w:sz w:val="20"/>
                <w:szCs w:val="20"/>
              </w:rPr>
              <w:t>c)…</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8" w:hRule="atLeast"/>
        </w:trPr>
        <w:tc>
          <w:tcPr>
            <w:tcW w:w="3976" w:type="pct"/>
            <w:noWrap w:val="0"/>
            <w:vAlign w:val="center"/>
          </w:tcPr>
          <w:p>
            <w:pPr>
              <w:ind w:left="284" w:hanging="142"/>
              <w:jc w:val="left"/>
              <w:rPr>
                <w:rFonts w:ascii="Century Gothic" w:hAnsi="Century Gothic"/>
                <w:sz w:val="20"/>
                <w:szCs w:val="20"/>
              </w:rPr>
            </w:pPr>
            <w:r>
              <w:rPr>
                <w:rFonts w:ascii="Century Gothic" w:hAnsi="Century Gothic"/>
                <w:sz w:val="20"/>
                <w:szCs w:val="20"/>
              </w:rPr>
              <w:t>d)…</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02" w:hRule="atLeast"/>
        </w:trPr>
        <w:tc>
          <w:tcPr>
            <w:tcW w:w="3976" w:type="pct"/>
            <w:noWrap w:val="0"/>
            <w:vAlign w:val="center"/>
          </w:tcPr>
          <w:p>
            <w:pPr>
              <w:rPr>
                <w:rFonts w:ascii="Century Gothic" w:hAnsi="Century Gothic"/>
                <w:sz w:val="20"/>
                <w:szCs w:val="20"/>
              </w:rPr>
            </w:pPr>
            <w:r>
              <w:rPr>
                <w:rFonts w:ascii="Century Gothic" w:hAnsi="Century Gothic"/>
                <w:sz w:val="20"/>
                <w:szCs w:val="20"/>
              </w:rPr>
              <w:t>2. …</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10" w:hRule="atLeast"/>
        </w:trPr>
        <w:tc>
          <w:tcPr>
            <w:tcW w:w="3976" w:type="pct"/>
            <w:noWrap w:val="0"/>
            <w:vAlign w:val="center"/>
          </w:tcPr>
          <w:p>
            <w:pPr>
              <w:jc w:val="left"/>
              <w:rPr>
                <w:rFonts w:ascii="Century Gothic" w:hAnsi="Century Gothic"/>
                <w:sz w:val="20"/>
                <w:szCs w:val="20"/>
              </w:rPr>
            </w:pPr>
            <w:r>
              <w:rPr>
                <w:rFonts w:ascii="Century Gothic" w:hAnsi="Century Gothic"/>
                <w:sz w:val="20"/>
                <w:szCs w:val="20"/>
              </w:rPr>
              <w:t>…</w:t>
            </w:r>
          </w:p>
        </w:tc>
        <w:tc>
          <w:tcPr>
            <w:tcW w:w="315" w:type="pct"/>
            <w:noWrap w:val="0"/>
            <w:vAlign w:val="center"/>
          </w:tcPr>
          <w:p>
            <w:pPr>
              <w:jc w:val="center"/>
              <w:rPr>
                <w:rFonts w:ascii="Century Gothic" w:hAnsi="Century Gothic"/>
                <w:sz w:val="20"/>
                <w:szCs w:val="20"/>
              </w:rPr>
            </w:pPr>
          </w:p>
        </w:tc>
        <w:tc>
          <w:tcPr>
            <w:tcW w:w="709" w:type="pct"/>
            <w:noWrap w:val="0"/>
            <w:vAlign w:val="center"/>
          </w:tcPr>
          <w:p>
            <w:pPr>
              <w:jc w:val="center"/>
              <w:rPr>
                <w:rFonts w:ascii="Century Gothic" w:hAnsi="Century Gothic"/>
                <w:sz w:val="20"/>
                <w:szCs w:val="20"/>
              </w:rPr>
            </w:pPr>
          </w:p>
        </w:tc>
      </w:tr>
      <w:tr>
        <w:tblPrEx>
          <w:tblCellMar>
            <w:top w:w="0" w:type="dxa"/>
            <w:left w:w="70" w:type="dxa"/>
            <w:bottom w:w="0" w:type="dxa"/>
            <w:right w:w="70" w:type="dxa"/>
          </w:tblCellMar>
        </w:tblPrEx>
        <w:trPr>
          <w:wBefore w:w="0" w:type="dxa"/>
          <w:wAfter w:w="0" w:type="dxa"/>
          <w:cantSplit/>
          <w:trHeight w:val="110" w:hRule="atLeast"/>
        </w:trPr>
        <w:tc>
          <w:tcPr>
            <w:tcW w:w="3976" w:type="pct"/>
            <w:noWrap w:val="0"/>
            <w:vAlign w:val="center"/>
          </w:tcPr>
          <w:p>
            <w:pPr>
              <w:jc w:val="left"/>
              <w:rPr>
                <w:rFonts w:ascii="Century Gothic" w:hAnsi="Century Gothic"/>
                <w:sz w:val="20"/>
                <w:szCs w:val="20"/>
              </w:rPr>
            </w:pPr>
            <w:r>
              <w:rPr>
                <w:rFonts w:ascii="Century Gothic" w:hAnsi="Century Gothic"/>
                <w:sz w:val="20"/>
                <w:szCs w:val="20"/>
              </w:rPr>
              <w:t>VII.-…</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43" w:hRule="atLeast"/>
        </w:trPr>
        <w:tc>
          <w:tcPr>
            <w:tcW w:w="5000" w:type="pct"/>
            <w:gridSpan w:val="3"/>
            <w:noWrap w:val="0"/>
            <w:vAlign w:val="center"/>
          </w:tcPr>
          <w:p>
            <w:pPr>
              <w:rPr>
                <w:rFonts w:ascii="Century Gothic" w:hAnsi="Century Gothic"/>
                <w:sz w:val="20"/>
                <w:szCs w:val="20"/>
              </w:rPr>
            </w:pPr>
            <w:r>
              <w:rPr>
                <w:rFonts w:ascii="Century Gothic" w:hAnsi="Century Gothic"/>
                <w:sz w:val="20"/>
                <w:szCs w:val="20"/>
              </w:rPr>
              <w:t>VIII.-…</w:t>
            </w:r>
          </w:p>
        </w:tc>
      </w:tr>
      <w:tr>
        <w:tblPrEx>
          <w:tblCellMar>
            <w:top w:w="0" w:type="dxa"/>
            <w:left w:w="70" w:type="dxa"/>
            <w:bottom w:w="0" w:type="dxa"/>
            <w:right w:w="70" w:type="dxa"/>
          </w:tblCellMar>
        </w:tblPrEx>
        <w:trPr>
          <w:wBefore w:w="0" w:type="dxa"/>
          <w:wAfter w:w="0" w:type="dxa"/>
          <w:cantSplit/>
          <w:trHeight w:val="255" w:hRule="atLeast"/>
        </w:trPr>
        <w:tc>
          <w:tcPr>
            <w:tcW w:w="5000" w:type="pct"/>
            <w:gridSpan w:val="3"/>
            <w:noWrap w:val="0"/>
            <w:vAlign w:val="center"/>
          </w:tcPr>
          <w:p>
            <w:pPr>
              <w:ind w:left="284" w:hanging="142"/>
              <w:jc w:val="left"/>
              <w:rPr>
                <w:rFonts w:ascii="Century Gothic" w:hAnsi="Century Gothic"/>
                <w:sz w:val="20"/>
                <w:szCs w:val="20"/>
              </w:rPr>
            </w:pPr>
            <w:r>
              <w:rPr>
                <w:rFonts w:ascii="Century Gothic" w:hAnsi="Century Gothic"/>
                <w:sz w:val="20"/>
                <w:szCs w:val="20"/>
              </w:rPr>
              <w:t>1.Zona 1. Consolidación Urbana</w:t>
            </w:r>
          </w:p>
        </w:tc>
      </w:tr>
      <w:tr>
        <w:tblPrEx>
          <w:tblCellMar>
            <w:top w:w="0" w:type="dxa"/>
            <w:left w:w="70" w:type="dxa"/>
            <w:bottom w:w="0" w:type="dxa"/>
            <w:right w:w="70" w:type="dxa"/>
          </w:tblCellMar>
        </w:tblPrEx>
        <w:trPr>
          <w:wBefore w:w="0" w:type="dxa"/>
          <w:wAfter w:w="0" w:type="dxa"/>
          <w:cantSplit/>
          <w:trHeight w:val="255" w:hRule="atLeast"/>
        </w:trPr>
        <w:tc>
          <w:tcPr>
            <w:tcW w:w="3976" w:type="pct"/>
            <w:noWrap w:val="0"/>
            <w:vAlign w:val="center"/>
          </w:tcPr>
          <w:p>
            <w:pPr>
              <w:ind w:firstLine="284"/>
              <w:rPr>
                <w:rFonts w:ascii="Century Gothic" w:hAnsi="Century Gothic"/>
                <w:sz w:val="20"/>
                <w:szCs w:val="20"/>
              </w:rPr>
            </w:pPr>
            <w:r>
              <w:rPr>
                <w:rFonts w:ascii="Century Gothic" w:hAnsi="Century Gothic"/>
                <w:sz w:val="20"/>
                <w:szCs w:val="20"/>
              </w:rPr>
              <w:t>a) Por 2 unidades de propiedad exclusiva, se pagará</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3.75</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255"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b) De 3 hasta 40 unidades de propiedad exclusiva:</w:t>
            </w:r>
          </w:p>
        </w:tc>
        <w:tc>
          <w:tcPr>
            <w:tcW w:w="315" w:type="pct"/>
            <w:noWrap w:val="0"/>
            <w:vAlign w:val="top"/>
          </w:tcPr>
          <w:p>
            <w:pPr>
              <w:jc w:val="center"/>
              <w:rPr>
                <w:rFonts w:ascii="Century Gothic" w:hAnsi="Century Gothic"/>
                <w:sz w:val="20"/>
                <w:szCs w:val="20"/>
              </w:rPr>
            </w:pPr>
          </w:p>
        </w:tc>
        <w:tc>
          <w:tcPr>
            <w:tcW w:w="709" w:type="pct"/>
            <w:noWrap w:val="0"/>
            <w:vAlign w:val="top"/>
          </w:tcPr>
          <w:p>
            <w:pPr>
              <w:jc w:val="center"/>
              <w:rPr>
                <w:rFonts w:ascii="Century Gothic" w:hAnsi="Century Gothic"/>
              </w:rPr>
            </w:pPr>
          </w:p>
        </w:tc>
      </w:tr>
      <w:tr>
        <w:tblPrEx>
          <w:tblCellMar>
            <w:top w:w="0" w:type="dxa"/>
            <w:left w:w="70" w:type="dxa"/>
            <w:bottom w:w="0" w:type="dxa"/>
            <w:right w:w="70" w:type="dxa"/>
          </w:tblCellMar>
        </w:tblPrEx>
        <w:trPr>
          <w:wBefore w:w="0" w:type="dxa"/>
          <w:wAfter w:w="0" w:type="dxa"/>
          <w:cantSplit/>
          <w:trHeight w:val="255" w:hRule="atLeast"/>
        </w:trPr>
        <w:tc>
          <w:tcPr>
            <w:tcW w:w="3976" w:type="pct"/>
            <w:noWrap w:val="0"/>
            <w:vAlign w:val="top"/>
          </w:tcPr>
          <w:p>
            <w:pPr>
              <w:numPr>
                <w:ilvl w:val="0"/>
                <w:numId w:val="1"/>
              </w:numPr>
              <w:rPr>
                <w:rFonts w:ascii="Century Gothic" w:hAnsi="Century Gothic"/>
                <w:sz w:val="20"/>
                <w:szCs w:val="20"/>
              </w:rPr>
            </w:pPr>
            <w:r>
              <w:rPr>
                <w:rFonts w:ascii="Century Gothic" w:hAnsi="Century Gothic"/>
                <w:sz w:val="20"/>
                <w:szCs w:val="20"/>
              </w:rPr>
              <w:t>Por las primeras 2 unidades de propiedad exclusiva,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3.75</w:t>
            </w:r>
          </w:p>
        </w:tc>
        <w:tc>
          <w:tcPr>
            <w:tcW w:w="709" w:type="pct"/>
            <w:vMerge w:val="restart"/>
            <w:noWrap w:val="0"/>
            <w:vAlign w:val="top"/>
          </w:tcPr>
          <w:p>
            <w:pPr>
              <w:jc w:val="center"/>
              <w:rPr>
                <w:rFonts w:ascii="Century Gothic" w:hAnsi="Century Gothic"/>
                <w:sz w:val="20"/>
                <w:szCs w:val="20"/>
              </w:rPr>
            </w:pPr>
          </w:p>
          <w:p>
            <w:pPr>
              <w:jc w:val="center"/>
              <w:rPr>
                <w:rFonts w:ascii="Century Gothic" w:hAnsi="Century Gothic"/>
                <w:sz w:val="20"/>
                <w:szCs w:val="20"/>
              </w:rP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255" w:hRule="atLeast"/>
        </w:trPr>
        <w:tc>
          <w:tcPr>
            <w:tcW w:w="3976" w:type="pct"/>
            <w:noWrap w:val="0"/>
            <w:vAlign w:val="top"/>
          </w:tcPr>
          <w:p>
            <w:pPr>
              <w:numPr>
                <w:ilvl w:val="0"/>
                <w:numId w:val="1"/>
              </w:numPr>
              <w:rPr>
                <w:rFonts w:ascii="Century Gothic" w:hAnsi="Century Gothic"/>
                <w:sz w:val="20"/>
                <w:szCs w:val="20"/>
              </w:rPr>
            </w:pPr>
            <w:r>
              <w:rPr>
                <w:rFonts w:ascii="Century Gothic" w:hAnsi="Century Gothic"/>
                <w:sz w:val="20"/>
                <w:szCs w:val="20"/>
              </w:rPr>
              <w:t>Por cada unidad de propiedad exclusiva adicional, hasta 40 unidades, se pagará por cada una</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1</w:t>
            </w:r>
          </w:p>
        </w:tc>
        <w:tc>
          <w:tcPr>
            <w:tcW w:w="709" w:type="pct"/>
            <w:vMerge w:val="continue"/>
            <w:noWrap w:val="0"/>
            <w:vAlign w:val="top"/>
          </w:tcPr>
          <w:p>
            <w:pPr>
              <w:jc w:val="center"/>
              <w:rPr>
                <w:rFonts w:ascii="Century Gothic" w:hAnsi="Century Gothic"/>
                <w:sz w:val="20"/>
                <w:szCs w:val="20"/>
              </w:rPr>
            </w:pPr>
          </w:p>
        </w:tc>
      </w:tr>
      <w:tr>
        <w:tblPrEx>
          <w:tblCellMar>
            <w:top w:w="0" w:type="dxa"/>
            <w:left w:w="70" w:type="dxa"/>
            <w:bottom w:w="0" w:type="dxa"/>
            <w:right w:w="70" w:type="dxa"/>
          </w:tblCellMar>
        </w:tblPrEx>
        <w:trPr>
          <w:wBefore w:w="0" w:type="dxa"/>
          <w:wAfter w:w="0" w:type="dxa"/>
          <w:cantSplit/>
          <w:trHeight w:val="255"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c) De 41 hasta 100 unidades de propiedad exclusiva,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50</w:t>
            </w:r>
          </w:p>
        </w:tc>
        <w:tc>
          <w:tcPr>
            <w:tcW w:w="709" w:type="pct"/>
            <w:noWrap w:val="0"/>
            <w:vAlign w:val="top"/>
          </w:tcPr>
          <w:p>
            <w:pPr>
              <w:jc w:val="center"/>
              <w:rPr>
                <w:rFonts w:ascii="Century Gothic" w:hAnsi="Century Gothic"/>
              </w:rP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255"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d) De 101 unidades de propiedad exclusiva en adelante,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65</w:t>
            </w:r>
          </w:p>
        </w:tc>
        <w:tc>
          <w:tcPr>
            <w:tcW w:w="709" w:type="pct"/>
            <w:noWrap w:val="0"/>
            <w:vAlign w:val="top"/>
          </w:tcPr>
          <w:p>
            <w:pPr>
              <w:jc w:val="center"/>
              <w:rPr>
                <w:rFonts w:ascii="Century Gothic" w:hAnsi="Century Gothic"/>
              </w:rP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423" w:hRule="atLeast"/>
        </w:trPr>
        <w:tc>
          <w:tcPr>
            <w:tcW w:w="5000" w:type="pct"/>
            <w:gridSpan w:val="3"/>
            <w:noWrap w:val="0"/>
            <w:vAlign w:val="center"/>
          </w:tcPr>
          <w:p>
            <w:pPr>
              <w:ind w:left="284" w:hanging="142"/>
              <w:jc w:val="left"/>
              <w:rPr>
                <w:rFonts w:ascii="Century Gothic" w:hAnsi="Century Gothic"/>
                <w:sz w:val="20"/>
                <w:szCs w:val="20"/>
              </w:rPr>
            </w:pPr>
            <w:r>
              <w:rPr>
                <w:rFonts w:ascii="Century Gothic" w:hAnsi="Century Gothic"/>
                <w:sz w:val="20"/>
                <w:szCs w:val="20"/>
              </w:rPr>
              <w:t>2. Zona 2. Crecimiento Urbano</w:t>
            </w:r>
          </w:p>
        </w:tc>
      </w:tr>
      <w:tr>
        <w:tblPrEx>
          <w:tblCellMar>
            <w:top w:w="0" w:type="dxa"/>
            <w:left w:w="70" w:type="dxa"/>
            <w:bottom w:w="0" w:type="dxa"/>
            <w:right w:w="70" w:type="dxa"/>
          </w:tblCellMar>
        </w:tblPrEx>
        <w:trPr>
          <w:wBefore w:w="0" w:type="dxa"/>
          <w:wAfter w:w="0" w:type="dxa"/>
          <w:cantSplit/>
          <w:trHeight w:val="423"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a) Por 2 unidades de propiedad exclusiva,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10</w:t>
            </w:r>
          </w:p>
        </w:tc>
        <w:tc>
          <w:tcPr>
            <w:tcW w:w="709" w:type="pct"/>
            <w:noWrap w:val="0"/>
            <w:vAlign w:val="top"/>
          </w:tcPr>
          <w:p>
            <w:pPr>
              <w:jc w:val="cente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423"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b) De 3 hasta 40 unidades de propiedad exclusiva:</w:t>
            </w:r>
          </w:p>
        </w:tc>
        <w:tc>
          <w:tcPr>
            <w:tcW w:w="315" w:type="pct"/>
            <w:noWrap w:val="0"/>
            <w:vAlign w:val="top"/>
          </w:tcPr>
          <w:p>
            <w:pPr>
              <w:jc w:val="center"/>
              <w:rPr>
                <w:rFonts w:ascii="Century Gothic" w:hAnsi="Century Gothic"/>
                <w:sz w:val="20"/>
                <w:szCs w:val="20"/>
              </w:rPr>
            </w:pPr>
          </w:p>
        </w:tc>
        <w:tc>
          <w:tcPr>
            <w:tcW w:w="709" w:type="pct"/>
            <w:noWrap w:val="0"/>
            <w:vAlign w:val="top"/>
          </w:tcPr>
          <w:p>
            <w:pPr>
              <w:jc w:val="center"/>
            </w:pPr>
          </w:p>
        </w:tc>
      </w:tr>
      <w:tr>
        <w:tblPrEx>
          <w:tblCellMar>
            <w:top w:w="0" w:type="dxa"/>
            <w:left w:w="70" w:type="dxa"/>
            <w:bottom w:w="0" w:type="dxa"/>
            <w:right w:w="70" w:type="dxa"/>
          </w:tblCellMar>
        </w:tblPrEx>
        <w:trPr>
          <w:wBefore w:w="0" w:type="dxa"/>
          <w:wAfter w:w="0" w:type="dxa"/>
          <w:cantSplit/>
          <w:trHeight w:val="423" w:hRule="atLeast"/>
        </w:trPr>
        <w:tc>
          <w:tcPr>
            <w:tcW w:w="3976" w:type="pct"/>
            <w:noWrap w:val="0"/>
            <w:vAlign w:val="top"/>
          </w:tcPr>
          <w:p>
            <w:pPr>
              <w:ind w:left="1276" w:hanging="425"/>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Pr>
                <w:rFonts w:ascii="Century Gothic" w:hAnsi="Century Gothic"/>
                <w:sz w:val="20"/>
                <w:szCs w:val="20"/>
              </w:rPr>
              <w:t>Por las primeras 2 unidades de propiedad exclusiva,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10</w:t>
            </w:r>
          </w:p>
        </w:tc>
        <w:tc>
          <w:tcPr>
            <w:tcW w:w="709" w:type="pct"/>
            <w:vMerge w:val="restart"/>
            <w:noWrap w:val="0"/>
            <w:vAlign w:val="top"/>
          </w:tcPr>
          <w:p>
            <w:pPr>
              <w:jc w:val="center"/>
              <w:rPr>
                <w:rFonts w:ascii="Century Gothic" w:hAnsi="Century Gothic"/>
                <w:sz w:val="20"/>
                <w:szCs w:val="20"/>
              </w:rPr>
            </w:pPr>
          </w:p>
          <w:p>
            <w:pPr>
              <w:jc w:val="center"/>
              <w:rPr>
                <w:rFonts w:ascii="Century Gothic" w:hAnsi="Century Gothic"/>
                <w:sz w:val="20"/>
                <w:szCs w:val="20"/>
              </w:rP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423" w:hRule="atLeast"/>
        </w:trPr>
        <w:tc>
          <w:tcPr>
            <w:tcW w:w="3976" w:type="pct"/>
            <w:noWrap w:val="0"/>
            <w:vAlign w:val="top"/>
          </w:tcPr>
          <w:p>
            <w:pPr>
              <w:tabs>
                <w:tab w:val="left" w:pos="1276"/>
              </w:tabs>
              <w:ind w:left="1276" w:hanging="425"/>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Pr>
                <w:rFonts w:ascii="Century Gothic" w:hAnsi="Century Gothic"/>
                <w:sz w:val="20"/>
                <w:szCs w:val="20"/>
              </w:rPr>
              <w:t>Por cada unidad de propiedad exclusiva adicional, hasta 40 unidades, se pagará por cada una</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1</w:t>
            </w:r>
          </w:p>
        </w:tc>
        <w:tc>
          <w:tcPr>
            <w:tcW w:w="709" w:type="pct"/>
            <w:vMerge w:val="continue"/>
            <w:noWrap w:val="0"/>
            <w:vAlign w:val="top"/>
          </w:tcPr>
          <w:p>
            <w:pPr>
              <w:jc w:val="center"/>
              <w:rPr>
                <w:rFonts w:ascii="Century Gothic" w:hAnsi="Century Gothic"/>
                <w:sz w:val="20"/>
                <w:szCs w:val="20"/>
              </w:rPr>
            </w:pPr>
          </w:p>
        </w:tc>
      </w:tr>
      <w:tr>
        <w:tblPrEx>
          <w:tblCellMar>
            <w:top w:w="0" w:type="dxa"/>
            <w:left w:w="70" w:type="dxa"/>
            <w:bottom w:w="0" w:type="dxa"/>
            <w:right w:w="70" w:type="dxa"/>
          </w:tblCellMar>
        </w:tblPrEx>
        <w:trPr>
          <w:wBefore w:w="0" w:type="dxa"/>
          <w:wAfter w:w="0" w:type="dxa"/>
          <w:cantSplit/>
          <w:trHeight w:val="423"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c) De 41 hasta 100 unidades de propiedad exclusiva,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65</w:t>
            </w:r>
          </w:p>
        </w:tc>
        <w:tc>
          <w:tcPr>
            <w:tcW w:w="709" w:type="pct"/>
            <w:noWrap w:val="0"/>
            <w:vAlign w:val="top"/>
          </w:tcPr>
          <w:p>
            <w:pPr>
              <w:jc w:val="cente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423"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d) De 101 unidades de propiedad exclusiva en adelante,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85</w:t>
            </w:r>
          </w:p>
        </w:tc>
        <w:tc>
          <w:tcPr>
            <w:tcW w:w="709" w:type="pct"/>
            <w:noWrap w:val="0"/>
            <w:vAlign w:val="top"/>
          </w:tcPr>
          <w:p>
            <w:pPr>
              <w:jc w:val="cente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151" w:hRule="atLeast"/>
        </w:trPr>
        <w:tc>
          <w:tcPr>
            <w:tcW w:w="5000" w:type="pct"/>
            <w:gridSpan w:val="3"/>
            <w:noWrap w:val="0"/>
            <w:vAlign w:val="center"/>
          </w:tcPr>
          <w:p>
            <w:pPr>
              <w:ind w:left="284" w:hanging="142"/>
              <w:jc w:val="left"/>
              <w:rPr>
                <w:rFonts w:ascii="Century Gothic" w:hAnsi="Century Gothic"/>
                <w:sz w:val="20"/>
                <w:szCs w:val="20"/>
              </w:rPr>
            </w:pPr>
            <w:r>
              <w:rPr>
                <w:rFonts w:ascii="Century Gothic" w:hAnsi="Century Gothic"/>
                <w:sz w:val="20"/>
                <w:szCs w:val="20"/>
              </w:rPr>
              <w:t>3. Zona 3. Regeneración y Desarrollo Sustentable</w:t>
            </w:r>
          </w:p>
        </w:tc>
      </w:tr>
      <w:tr>
        <w:tblPrEx>
          <w:tblCellMar>
            <w:top w:w="0" w:type="dxa"/>
            <w:left w:w="70" w:type="dxa"/>
            <w:bottom w:w="0" w:type="dxa"/>
            <w:right w:w="70" w:type="dxa"/>
          </w:tblCellMar>
        </w:tblPrEx>
        <w:trPr>
          <w:wBefore w:w="0" w:type="dxa"/>
          <w:wAfter w:w="0" w:type="dxa"/>
          <w:cantSplit/>
          <w:trHeight w:val="151"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a) Por 2 unidades de propiedad exclusiva,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25</w:t>
            </w:r>
          </w:p>
        </w:tc>
        <w:tc>
          <w:tcPr>
            <w:tcW w:w="709" w:type="pct"/>
            <w:noWrap w:val="0"/>
            <w:vAlign w:val="top"/>
          </w:tcPr>
          <w:p>
            <w:pPr>
              <w:jc w:val="cente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151"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b) De 3 hasta 40 unidades de propiedad exclusiva:</w:t>
            </w:r>
          </w:p>
        </w:tc>
        <w:tc>
          <w:tcPr>
            <w:tcW w:w="315" w:type="pct"/>
            <w:noWrap w:val="0"/>
            <w:vAlign w:val="top"/>
          </w:tcPr>
          <w:p>
            <w:pPr>
              <w:jc w:val="center"/>
              <w:rPr>
                <w:rFonts w:ascii="Century Gothic" w:hAnsi="Century Gothic"/>
                <w:sz w:val="20"/>
                <w:szCs w:val="20"/>
              </w:rPr>
            </w:pPr>
          </w:p>
        </w:tc>
        <w:tc>
          <w:tcPr>
            <w:tcW w:w="709" w:type="pct"/>
            <w:noWrap w:val="0"/>
            <w:vAlign w:val="top"/>
          </w:tcPr>
          <w:p>
            <w:pPr>
              <w:jc w:val="center"/>
            </w:pPr>
          </w:p>
        </w:tc>
      </w:tr>
      <w:tr>
        <w:tblPrEx>
          <w:tblCellMar>
            <w:top w:w="0" w:type="dxa"/>
            <w:left w:w="70" w:type="dxa"/>
            <w:bottom w:w="0" w:type="dxa"/>
            <w:right w:w="70" w:type="dxa"/>
          </w:tblCellMar>
        </w:tblPrEx>
        <w:trPr>
          <w:wBefore w:w="0" w:type="dxa"/>
          <w:wAfter w:w="0" w:type="dxa"/>
          <w:cantSplit/>
          <w:trHeight w:val="151" w:hRule="atLeast"/>
        </w:trPr>
        <w:tc>
          <w:tcPr>
            <w:tcW w:w="3976" w:type="pct"/>
            <w:noWrap w:val="0"/>
            <w:vAlign w:val="top"/>
          </w:tcPr>
          <w:p>
            <w:pPr>
              <w:ind w:left="1276" w:hanging="425"/>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Pr>
                <w:rFonts w:ascii="Century Gothic" w:hAnsi="Century Gothic"/>
                <w:sz w:val="20"/>
                <w:szCs w:val="20"/>
              </w:rPr>
              <w:t>Por las primeras 2 unidades de propiedad exclusiva,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25</w:t>
            </w:r>
          </w:p>
        </w:tc>
        <w:tc>
          <w:tcPr>
            <w:tcW w:w="709" w:type="pct"/>
            <w:vMerge w:val="restart"/>
            <w:noWrap w:val="0"/>
            <w:vAlign w:val="top"/>
          </w:tcPr>
          <w:p>
            <w:pPr>
              <w:jc w:val="center"/>
              <w:rPr>
                <w:rFonts w:ascii="Century Gothic" w:hAnsi="Century Gothic"/>
                <w:sz w:val="20"/>
                <w:szCs w:val="20"/>
              </w:rPr>
            </w:pPr>
          </w:p>
          <w:p>
            <w:pPr>
              <w:jc w:val="cente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151" w:hRule="atLeast"/>
        </w:trPr>
        <w:tc>
          <w:tcPr>
            <w:tcW w:w="3976" w:type="pct"/>
            <w:noWrap w:val="0"/>
            <w:vAlign w:val="top"/>
          </w:tcPr>
          <w:p>
            <w:pPr>
              <w:tabs>
                <w:tab w:val="left" w:pos="1276"/>
              </w:tabs>
              <w:ind w:left="1276" w:hanging="425"/>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Pr>
                <w:rFonts w:ascii="Century Gothic" w:hAnsi="Century Gothic"/>
                <w:sz w:val="20"/>
                <w:szCs w:val="20"/>
              </w:rPr>
              <w:t>Por cada unidad de propiedad exclusiva adicional, hasta 40 unidades, se pagará por cada una</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1</w:t>
            </w:r>
          </w:p>
        </w:tc>
        <w:tc>
          <w:tcPr>
            <w:tcW w:w="709" w:type="pct"/>
            <w:vMerge w:val="continue"/>
            <w:noWrap w:val="0"/>
            <w:vAlign w:val="top"/>
          </w:tcPr>
          <w:p>
            <w:pPr>
              <w:jc w:val="center"/>
              <w:rPr>
                <w:rFonts w:ascii="Century Gothic" w:hAnsi="Century Gothic"/>
                <w:sz w:val="20"/>
                <w:szCs w:val="20"/>
              </w:rPr>
            </w:pPr>
          </w:p>
        </w:tc>
      </w:tr>
      <w:tr>
        <w:tblPrEx>
          <w:tblCellMar>
            <w:top w:w="0" w:type="dxa"/>
            <w:left w:w="70" w:type="dxa"/>
            <w:bottom w:w="0" w:type="dxa"/>
            <w:right w:w="70" w:type="dxa"/>
          </w:tblCellMar>
        </w:tblPrEx>
        <w:trPr>
          <w:wBefore w:w="0" w:type="dxa"/>
          <w:wAfter w:w="0" w:type="dxa"/>
          <w:cantSplit/>
          <w:trHeight w:val="151"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c) De 41 hasta 100 unidades de propiedad exclusiva,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85</w:t>
            </w:r>
          </w:p>
        </w:tc>
        <w:tc>
          <w:tcPr>
            <w:tcW w:w="709" w:type="pct"/>
            <w:noWrap w:val="0"/>
            <w:vAlign w:val="top"/>
          </w:tcPr>
          <w:p>
            <w:pPr>
              <w:jc w:val="cente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151"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d) De 101 unidades de propiedad exclusiva en adelante,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100</w:t>
            </w:r>
          </w:p>
        </w:tc>
        <w:tc>
          <w:tcPr>
            <w:tcW w:w="709" w:type="pct"/>
            <w:noWrap w:val="0"/>
            <w:vAlign w:val="top"/>
          </w:tcPr>
          <w:p>
            <w:pPr>
              <w:jc w:val="cente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319" w:hRule="atLeast"/>
        </w:trPr>
        <w:tc>
          <w:tcPr>
            <w:tcW w:w="5000" w:type="pct"/>
            <w:gridSpan w:val="3"/>
            <w:noWrap w:val="0"/>
            <w:vAlign w:val="center"/>
          </w:tcPr>
          <w:p>
            <w:pPr>
              <w:ind w:left="284" w:hanging="142"/>
              <w:jc w:val="left"/>
              <w:rPr>
                <w:rFonts w:ascii="Century Gothic" w:hAnsi="Century Gothic"/>
                <w:sz w:val="20"/>
                <w:szCs w:val="20"/>
              </w:rPr>
            </w:pPr>
            <w:r>
              <w:rPr>
                <w:rFonts w:ascii="Century Gothic" w:hAnsi="Century Gothic"/>
                <w:sz w:val="20"/>
                <w:szCs w:val="20"/>
              </w:rPr>
              <w:t>4. Zona 4. Conservación de los Recursos Naturales</w:t>
            </w:r>
          </w:p>
        </w:tc>
      </w:tr>
      <w:tr>
        <w:tblPrEx>
          <w:tblCellMar>
            <w:top w:w="0" w:type="dxa"/>
            <w:left w:w="70" w:type="dxa"/>
            <w:bottom w:w="0" w:type="dxa"/>
            <w:right w:w="70" w:type="dxa"/>
          </w:tblCellMar>
        </w:tblPrEx>
        <w:trPr>
          <w:wBefore w:w="0" w:type="dxa"/>
          <w:wAfter w:w="0" w:type="dxa"/>
          <w:cantSplit/>
          <w:trHeight w:val="319"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a) Por 2 unidades de propiedad exclusiva,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50</w:t>
            </w:r>
          </w:p>
        </w:tc>
        <w:tc>
          <w:tcPr>
            <w:tcW w:w="709" w:type="pct"/>
            <w:noWrap w:val="0"/>
            <w:vAlign w:val="top"/>
          </w:tcPr>
          <w:p>
            <w:pPr>
              <w:jc w:val="cente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319"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b) De 3 hasta 40 unidades de propiedad exclusiva:</w:t>
            </w:r>
          </w:p>
        </w:tc>
        <w:tc>
          <w:tcPr>
            <w:tcW w:w="315" w:type="pct"/>
            <w:noWrap w:val="0"/>
            <w:vAlign w:val="top"/>
          </w:tcPr>
          <w:p>
            <w:pPr>
              <w:jc w:val="center"/>
              <w:rPr>
                <w:rFonts w:ascii="Century Gothic" w:hAnsi="Century Gothic"/>
                <w:sz w:val="20"/>
                <w:szCs w:val="20"/>
              </w:rPr>
            </w:pPr>
          </w:p>
        </w:tc>
        <w:tc>
          <w:tcPr>
            <w:tcW w:w="709" w:type="pct"/>
            <w:noWrap w:val="0"/>
            <w:vAlign w:val="top"/>
          </w:tcPr>
          <w:p>
            <w:pPr>
              <w:jc w:val="center"/>
            </w:pPr>
          </w:p>
        </w:tc>
      </w:tr>
      <w:tr>
        <w:tblPrEx>
          <w:tblCellMar>
            <w:top w:w="0" w:type="dxa"/>
            <w:left w:w="70" w:type="dxa"/>
            <w:bottom w:w="0" w:type="dxa"/>
            <w:right w:w="70" w:type="dxa"/>
          </w:tblCellMar>
        </w:tblPrEx>
        <w:trPr>
          <w:wBefore w:w="0" w:type="dxa"/>
          <w:wAfter w:w="0" w:type="dxa"/>
          <w:cantSplit/>
          <w:trHeight w:val="319" w:hRule="atLeast"/>
        </w:trPr>
        <w:tc>
          <w:tcPr>
            <w:tcW w:w="3976" w:type="pct"/>
            <w:noWrap w:val="0"/>
            <w:vAlign w:val="top"/>
          </w:tcPr>
          <w:p>
            <w:pPr>
              <w:ind w:left="1276" w:hanging="425"/>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Pr>
                <w:rFonts w:ascii="Century Gothic" w:hAnsi="Century Gothic"/>
                <w:sz w:val="20"/>
                <w:szCs w:val="20"/>
              </w:rPr>
              <w:t>Por las primeras 2 unidades de propiedad exclusiva,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50</w:t>
            </w:r>
          </w:p>
        </w:tc>
        <w:tc>
          <w:tcPr>
            <w:tcW w:w="709" w:type="pct"/>
            <w:vMerge w:val="restart"/>
            <w:noWrap w:val="0"/>
            <w:vAlign w:val="top"/>
          </w:tcPr>
          <w:p>
            <w:pPr>
              <w:jc w:val="center"/>
              <w:rPr>
                <w:rFonts w:ascii="Century Gothic" w:hAnsi="Century Gothic"/>
                <w:sz w:val="20"/>
                <w:szCs w:val="20"/>
              </w:rPr>
            </w:pPr>
          </w:p>
          <w:p>
            <w:pPr>
              <w:jc w:val="center"/>
              <w:rPr>
                <w:rFonts w:ascii="Century Gothic" w:hAnsi="Century Gothic"/>
                <w:sz w:val="20"/>
                <w:szCs w:val="20"/>
              </w:rP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319" w:hRule="atLeast"/>
        </w:trPr>
        <w:tc>
          <w:tcPr>
            <w:tcW w:w="3976" w:type="pct"/>
            <w:noWrap w:val="0"/>
            <w:vAlign w:val="top"/>
          </w:tcPr>
          <w:p>
            <w:pPr>
              <w:tabs>
                <w:tab w:val="left" w:pos="1276"/>
              </w:tabs>
              <w:ind w:left="1276" w:hanging="425"/>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Pr>
                <w:rFonts w:ascii="Century Gothic" w:hAnsi="Century Gothic"/>
                <w:sz w:val="20"/>
                <w:szCs w:val="20"/>
              </w:rPr>
              <w:t>Por cada unidad de propiedad exclusiva adicional, hasta 40 unidades, se pagará por cada una</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1</w:t>
            </w:r>
          </w:p>
        </w:tc>
        <w:tc>
          <w:tcPr>
            <w:tcW w:w="709" w:type="pct"/>
            <w:vMerge w:val="continue"/>
            <w:noWrap w:val="0"/>
            <w:vAlign w:val="top"/>
          </w:tcPr>
          <w:p>
            <w:pPr>
              <w:jc w:val="center"/>
              <w:rPr>
                <w:rFonts w:ascii="Century Gothic" w:hAnsi="Century Gothic"/>
                <w:sz w:val="20"/>
                <w:szCs w:val="20"/>
              </w:rPr>
            </w:pPr>
          </w:p>
        </w:tc>
      </w:tr>
      <w:tr>
        <w:tblPrEx>
          <w:tblCellMar>
            <w:top w:w="0" w:type="dxa"/>
            <w:left w:w="70" w:type="dxa"/>
            <w:bottom w:w="0" w:type="dxa"/>
            <w:right w:w="70" w:type="dxa"/>
          </w:tblCellMar>
        </w:tblPrEx>
        <w:trPr>
          <w:wBefore w:w="0" w:type="dxa"/>
          <w:wAfter w:w="0" w:type="dxa"/>
          <w:cantSplit/>
          <w:trHeight w:val="319"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c) De 41 hasta 100 unidades de propiedad exclusiva,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110</w:t>
            </w:r>
          </w:p>
        </w:tc>
        <w:tc>
          <w:tcPr>
            <w:tcW w:w="709" w:type="pct"/>
            <w:noWrap w:val="0"/>
            <w:vAlign w:val="top"/>
          </w:tcPr>
          <w:p>
            <w:pPr>
              <w:jc w:val="cente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319" w:hRule="atLeast"/>
        </w:trPr>
        <w:tc>
          <w:tcPr>
            <w:tcW w:w="3976" w:type="pct"/>
            <w:noWrap w:val="0"/>
            <w:vAlign w:val="top"/>
          </w:tcPr>
          <w:p>
            <w:pPr>
              <w:ind w:firstLine="284"/>
              <w:rPr>
                <w:rFonts w:ascii="Century Gothic" w:hAnsi="Century Gothic"/>
                <w:sz w:val="20"/>
                <w:szCs w:val="20"/>
              </w:rPr>
            </w:pPr>
            <w:r>
              <w:rPr>
                <w:rFonts w:ascii="Century Gothic" w:hAnsi="Century Gothic"/>
                <w:sz w:val="20"/>
                <w:szCs w:val="20"/>
              </w:rPr>
              <w:t>d) De 101 unidades de propiedad exclusiva en adelante, se pagará</w:t>
            </w:r>
          </w:p>
        </w:tc>
        <w:tc>
          <w:tcPr>
            <w:tcW w:w="315" w:type="pct"/>
            <w:noWrap w:val="0"/>
            <w:vAlign w:val="top"/>
          </w:tcPr>
          <w:p>
            <w:pPr>
              <w:jc w:val="center"/>
              <w:rPr>
                <w:rFonts w:ascii="Century Gothic" w:hAnsi="Century Gothic"/>
                <w:sz w:val="20"/>
                <w:szCs w:val="20"/>
              </w:rPr>
            </w:pPr>
            <w:r>
              <w:rPr>
                <w:rFonts w:ascii="Century Gothic" w:hAnsi="Century Gothic"/>
                <w:sz w:val="20"/>
                <w:szCs w:val="20"/>
              </w:rPr>
              <w:t>150</w:t>
            </w:r>
          </w:p>
        </w:tc>
        <w:tc>
          <w:tcPr>
            <w:tcW w:w="709" w:type="pct"/>
            <w:noWrap w:val="0"/>
            <w:vAlign w:val="top"/>
          </w:tcPr>
          <w:p>
            <w:pPr>
              <w:jc w:val="center"/>
            </w:pPr>
            <w:r>
              <w:rPr>
                <w:rFonts w:ascii="Century Gothic" w:hAnsi="Century Gothic"/>
                <w:sz w:val="20"/>
                <w:szCs w:val="20"/>
              </w:rPr>
              <w:t>Constancia</w:t>
            </w:r>
          </w:p>
        </w:tc>
      </w:tr>
      <w:tr>
        <w:tblPrEx>
          <w:tblCellMar>
            <w:top w:w="0" w:type="dxa"/>
            <w:left w:w="70" w:type="dxa"/>
            <w:bottom w:w="0" w:type="dxa"/>
            <w:right w:w="70" w:type="dxa"/>
          </w:tblCellMar>
        </w:tblPrEx>
        <w:trPr>
          <w:wBefore w:w="0" w:type="dxa"/>
          <w:wAfter w:w="0" w:type="dxa"/>
          <w:cantSplit/>
          <w:trHeight w:val="217" w:hRule="atLeast"/>
        </w:trPr>
        <w:tc>
          <w:tcPr>
            <w:tcW w:w="5000" w:type="pct"/>
            <w:gridSpan w:val="3"/>
            <w:noWrap w:val="0"/>
            <w:vAlign w:val="center"/>
          </w:tcPr>
          <w:p>
            <w:pP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17" w:hRule="atLeast"/>
        </w:trPr>
        <w:tc>
          <w:tcPr>
            <w:tcW w:w="5000" w:type="pct"/>
            <w:gridSpan w:val="3"/>
            <w:noWrap w:val="0"/>
            <w:vAlign w:val="center"/>
          </w:tcPr>
          <w:p>
            <w:pPr>
              <w:rPr>
                <w:rFonts w:ascii="Century Gothic" w:hAnsi="Century Gothic"/>
                <w:sz w:val="20"/>
                <w:szCs w:val="20"/>
              </w:rPr>
            </w:pPr>
            <w:r>
              <w:rPr>
                <w:rFonts w:ascii="Century Gothic" w:hAnsi="Century Gothic"/>
                <w:sz w:val="20"/>
                <w:szCs w:val="20"/>
              </w:rPr>
              <w:t>IX.-…</w:t>
            </w:r>
          </w:p>
        </w:tc>
      </w:tr>
      <w:tr>
        <w:tblPrEx>
          <w:tblCellMar>
            <w:top w:w="0" w:type="dxa"/>
            <w:left w:w="70" w:type="dxa"/>
            <w:bottom w:w="0" w:type="dxa"/>
            <w:right w:w="70" w:type="dxa"/>
          </w:tblCellMar>
        </w:tblPrEx>
        <w:trPr>
          <w:wBefore w:w="0" w:type="dxa"/>
          <w:wAfter w:w="0" w:type="dxa"/>
          <w:cantSplit/>
          <w:trHeight w:val="493" w:hRule="atLeast"/>
        </w:trPr>
        <w:tc>
          <w:tcPr>
            <w:tcW w:w="3976" w:type="pct"/>
            <w:noWrap w:val="0"/>
            <w:vAlign w:val="center"/>
          </w:tcPr>
          <w:p>
            <w:pPr>
              <w:ind w:firstLine="142"/>
              <w:rPr>
                <w:rFonts w:ascii="Century Gothic" w:hAnsi="Century Gothic"/>
                <w:sz w:val="20"/>
                <w:szCs w:val="20"/>
              </w:rPr>
            </w:pPr>
            <w:r>
              <w:rPr>
                <w:rFonts w:ascii="Century Gothic" w:hAnsi="Century Gothic"/>
                <w:sz w:val="20"/>
                <w:szCs w:val="20"/>
              </w:rPr>
              <w:t>a)…</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3976" w:type="pct"/>
            <w:noWrap w:val="0"/>
            <w:vAlign w:val="center"/>
          </w:tcPr>
          <w:p>
            <w:pPr>
              <w:ind w:firstLine="142"/>
              <w:rPr>
                <w:rFonts w:ascii="Century Gothic" w:hAnsi="Century Gothic"/>
                <w:sz w:val="20"/>
                <w:szCs w:val="20"/>
              </w:rPr>
            </w:pPr>
            <w:r>
              <w:rPr>
                <w:rFonts w:ascii="Century Gothic" w:hAnsi="Century Gothic"/>
                <w:sz w:val="20"/>
                <w:szCs w:val="20"/>
              </w:rPr>
              <w:t>b)…</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c)…</w:t>
            </w:r>
          </w:p>
        </w:tc>
      </w:tr>
      <w:tr>
        <w:tblPrEx>
          <w:tblCellMar>
            <w:top w:w="0" w:type="dxa"/>
            <w:left w:w="70" w:type="dxa"/>
            <w:bottom w:w="0" w:type="dxa"/>
            <w:right w:w="70" w:type="dxa"/>
          </w:tblCellMar>
        </w:tblPrEx>
        <w:trPr>
          <w:wBefore w:w="0" w:type="dxa"/>
          <w:wAfter w:w="0" w:type="dxa"/>
          <w:cantSplit/>
          <w:trHeight w:val="70" w:hRule="atLeast"/>
        </w:trPr>
        <w:tc>
          <w:tcPr>
            <w:tcW w:w="3976" w:type="pct"/>
            <w:noWrap w:val="0"/>
            <w:vAlign w:val="top"/>
          </w:tcPr>
          <w:p>
            <w:pPr>
              <w:spacing w:after="0"/>
              <w:ind w:left="284"/>
              <w:jc w:val="left"/>
              <w:rPr>
                <w:rFonts w:ascii="Century Gothic" w:hAnsi="Century Gothic"/>
                <w:sz w:val="20"/>
                <w:szCs w:val="20"/>
              </w:rPr>
            </w:pPr>
            <w:r>
              <w:rPr>
                <w:rFonts w:ascii="Century Gothic" w:hAnsi="Century Gothic"/>
                <w:sz w:val="20"/>
                <w:szCs w:val="20"/>
              </w:rPr>
              <w:t>1)…</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21" w:hRule="atLeast"/>
        </w:trPr>
        <w:tc>
          <w:tcPr>
            <w:tcW w:w="3976" w:type="pct"/>
            <w:noWrap w:val="0"/>
            <w:vAlign w:val="top"/>
          </w:tcPr>
          <w:p>
            <w:pPr>
              <w:spacing w:after="0"/>
              <w:ind w:left="284"/>
              <w:jc w:val="left"/>
              <w:rPr>
                <w:rFonts w:ascii="Century Gothic" w:hAnsi="Century Gothic"/>
                <w:sz w:val="20"/>
                <w:szCs w:val="20"/>
              </w:rPr>
            </w:pPr>
            <w:r>
              <w:rPr>
                <w:rFonts w:ascii="Century Gothic" w:hAnsi="Century Gothic"/>
                <w:sz w:val="20"/>
                <w:szCs w:val="20"/>
              </w:rPr>
              <w:t>2)…</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14" w:hRule="atLeast"/>
        </w:trPr>
        <w:tc>
          <w:tcPr>
            <w:tcW w:w="3976" w:type="pct"/>
            <w:noWrap w:val="0"/>
            <w:vAlign w:val="top"/>
          </w:tcPr>
          <w:p>
            <w:pPr>
              <w:spacing w:after="0"/>
              <w:ind w:left="284"/>
              <w:jc w:val="left"/>
              <w:rPr>
                <w:rFonts w:ascii="Century Gothic" w:hAnsi="Century Gothic"/>
                <w:sz w:val="20"/>
                <w:szCs w:val="20"/>
              </w:rPr>
            </w:pPr>
            <w:r>
              <w:rPr>
                <w:rFonts w:ascii="Century Gothic" w:hAnsi="Century Gothic"/>
                <w:sz w:val="20"/>
                <w:szCs w:val="20"/>
              </w:rPr>
              <w:t>3)…</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89" w:hRule="atLeast"/>
        </w:trPr>
        <w:tc>
          <w:tcPr>
            <w:tcW w:w="3976" w:type="pct"/>
            <w:noWrap w:val="0"/>
            <w:vAlign w:val="top"/>
          </w:tcPr>
          <w:p>
            <w:pPr>
              <w:spacing w:after="0"/>
              <w:ind w:left="284"/>
              <w:jc w:val="left"/>
              <w:rPr>
                <w:rFonts w:ascii="Century Gothic" w:hAnsi="Century Gothic"/>
                <w:sz w:val="20"/>
                <w:szCs w:val="20"/>
              </w:rPr>
            </w:pPr>
            <w:r>
              <w:rPr>
                <w:rFonts w:ascii="Century Gothic" w:hAnsi="Century Gothic"/>
                <w:sz w:val="20"/>
                <w:szCs w:val="20"/>
              </w:rPr>
              <w:t>4)…</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25" w:hRule="atLeast"/>
        </w:trPr>
        <w:tc>
          <w:tcPr>
            <w:tcW w:w="397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d)…</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30" w:hRule="atLeast"/>
        </w:trPr>
        <w:tc>
          <w:tcPr>
            <w:tcW w:w="397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e)…</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5" w:hRule="atLeast"/>
        </w:trPr>
        <w:tc>
          <w:tcPr>
            <w:tcW w:w="397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f)…</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07" w:hRule="atLeast"/>
        </w:trPr>
        <w:tc>
          <w:tcPr>
            <w:tcW w:w="397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g)…</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3" w:hRule="atLeast"/>
        </w:trPr>
        <w:tc>
          <w:tcPr>
            <w:tcW w:w="397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h)…</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05" w:hRule="atLeast"/>
        </w:trPr>
        <w:tc>
          <w:tcPr>
            <w:tcW w:w="397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i)…</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90" w:hRule="atLeast"/>
        </w:trPr>
        <w:tc>
          <w:tcPr>
            <w:tcW w:w="397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j)…</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77" w:hRule="atLeast"/>
        </w:trPr>
        <w:tc>
          <w:tcPr>
            <w:tcW w:w="397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k)…</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1"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l)…</w:t>
            </w:r>
          </w:p>
        </w:tc>
      </w:tr>
      <w:tr>
        <w:tblPrEx>
          <w:tblCellMar>
            <w:top w:w="0" w:type="dxa"/>
            <w:left w:w="70" w:type="dxa"/>
            <w:bottom w:w="0" w:type="dxa"/>
            <w:right w:w="70" w:type="dxa"/>
          </w:tblCellMar>
        </w:tblPrEx>
        <w:trPr>
          <w:wBefore w:w="0" w:type="dxa"/>
          <w:wAfter w:w="0" w:type="dxa"/>
          <w:cantSplit/>
          <w:trHeight w:val="417" w:hRule="atLeast"/>
        </w:trPr>
        <w:tc>
          <w:tcPr>
            <w:tcW w:w="3976" w:type="pct"/>
            <w:noWrap w:val="0"/>
            <w:vAlign w:val="center"/>
          </w:tcPr>
          <w:p>
            <w:pPr>
              <w:ind w:firstLine="284"/>
              <w:rPr>
                <w:rFonts w:ascii="Century Gothic" w:hAnsi="Century Gothic"/>
                <w:sz w:val="20"/>
                <w:szCs w:val="20"/>
              </w:rPr>
            </w:pPr>
            <w:r>
              <w:rPr>
                <w:rFonts w:ascii="Century Gothic" w:hAnsi="Century Gothic"/>
                <w:sz w:val="20"/>
                <w:szCs w:val="20"/>
              </w:rPr>
              <w:t>1)…</w:t>
            </w:r>
          </w:p>
        </w:tc>
        <w:tc>
          <w:tcPr>
            <w:tcW w:w="1024" w:type="pct"/>
            <w:gridSpan w:val="2"/>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8" w:hRule="atLeast"/>
        </w:trPr>
        <w:tc>
          <w:tcPr>
            <w:tcW w:w="3976" w:type="pct"/>
            <w:noWrap w:val="0"/>
            <w:vAlign w:val="center"/>
          </w:tcPr>
          <w:p>
            <w:pPr>
              <w:ind w:firstLine="284"/>
              <w:rPr>
                <w:rFonts w:ascii="Century Gothic" w:hAnsi="Century Gothic"/>
                <w:sz w:val="20"/>
                <w:szCs w:val="20"/>
              </w:rPr>
            </w:pPr>
            <w:r>
              <w:rPr>
                <w:rFonts w:ascii="Century Gothic" w:hAnsi="Century Gothic"/>
                <w:sz w:val="20"/>
                <w:szCs w:val="20"/>
              </w:rPr>
              <w:t>2)…</w:t>
            </w:r>
          </w:p>
        </w:tc>
        <w:tc>
          <w:tcPr>
            <w:tcW w:w="1024" w:type="pct"/>
            <w:gridSpan w:val="2"/>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8" w:hRule="atLeast"/>
        </w:trPr>
        <w:tc>
          <w:tcPr>
            <w:tcW w:w="3976" w:type="pct"/>
            <w:noWrap w:val="0"/>
            <w:vAlign w:val="center"/>
          </w:tcPr>
          <w:p>
            <w:pPr>
              <w:spacing w:after="0"/>
              <w:ind w:firstLine="142"/>
              <w:jc w:val="left"/>
              <w:rPr>
                <w:rFonts w:ascii="Century Gothic" w:hAnsi="Century Gothic"/>
                <w:sz w:val="20"/>
                <w:szCs w:val="20"/>
              </w:rPr>
            </w:pPr>
            <w:r>
              <w:rPr>
                <w:rFonts w:ascii="Century Gothic" w:hAnsi="Century Gothic"/>
                <w:sz w:val="20"/>
                <w:szCs w:val="20"/>
                <w:lang w:val="es-MX"/>
              </w:rPr>
              <w:t>m)…</w:t>
            </w:r>
          </w:p>
        </w:tc>
        <w:tc>
          <w:tcPr>
            <w:tcW w:w="315"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709" w:type="pct"/>
            <w:noWrap w:val="0"/>
            <w:vAlign w:val="center"/>
          </w:tcPr>
          <w:p>
            <w:pPr>
              <w:jc w:val="center"/>
              <w:rPr>
                <w:rFonts w:ascii="Century Gothic" w:hAnsi="Century Gothic"/>
                <w:sz w:val="20"/>
                <w:szCs w:val="20"/>
              </w:rPr>
            </w:pPr>
            <w:r>
              <w:rPr>
                <w:rFonts w:ascii="Century Gothic" w:hAnsi="Century Gothic"/>
                <w:sz w:val="20"/>
                <w:szCs w:val="20"/>
              </w:rPr>
              <w:t>…</w:t>
            </w:r>
          </w:p>
        </w:tc>
      </w:tr>
    </w:tbl>
    <w:p>
      <w:pPr>
        <w:spacing w:line="276" w:lineRule="auto"/>
        <w:rPr>
          <w:rFonts w:ascii="Century Gothic" w:hAnsi="Century Gothic"/>
          <w:b/>
          <w:sz w:val="20"/>
          <w:szCs w:val="20"/>
        </w:rPr>
      </w:pPr>
    </w:p>
    <w:p>
      <w:pPr>
        <w:spacing w:line="276" w:lineRule="auto"/>
        <w:rPr>
          <w:rFonts w:ascii="Century Gothic" w:hAnsi="Century Gothic"/>
          <w:sz w:val="20"/>
          <w:szCs w:val="20"/>
        </w:rPr>
      </w:pPr>
      <w:r>
        <w:rPr>
          <w:rFonts w:ascii="Century Gothic" w:hAnsi="Century Gothic"/>
          <w:sz w:val="20"/>
          <w:szCs w:val="20"/>
        </w:rPr>
        <w:t>…</w:t>
      </w:r>
    </w:p>
    <w:p>
      <w:pPr>
        <w:spacing w:line="276" w:lineRule="auto"/>
        <w:rPr>
          <w:rFonts w:ascii="Century Gothic" w:hAnsi="Century Gothic"/>
          <w:sz w:val="20"/>
          <w:szCs w:val="20"/>
        </w:rPr>
      </w:pPr>
      <w:r>
        <w:rPr>
          <w:rFonts w:ascii="Century Gothic" w:hAnsi="Century Gothic"/>
          <w:sz w:val="20"/>
          <w:szCs w:val="20"/>
        </w:rPr>
        <w:t>…</w:t>
      </w:r>
    </w:p>
    <w:tbl>
      <w:tblPr>
        <w:tblStyle w:val="7"/>
        <w:tblpPr w:leftFromText="141" w:rightFromText="141" w:vertAnchor="text" w:horzAnchor="margin" w:tblpY="206"/>
        <w:tblW w:w="9426" w:type="dxa"/>
        <w:tblInd w:w="0" w:type="dxa"/>
        <w:tblLayout w:type="fixed"/>
        <w:tblCellMar>
          <w:top w:w="0" w:type="dxa"/>
          <w:left w:w="70" w:type="dxa"/>
          <w:bottom w:w="0" w:type="dxa"/>
          <w:right w:w="70" w:type="dxa"/>
        </w:tblCellMar>
      </w:tblPr>
      <w:tblGrid>
        <w:gridCol w:w="6874"/>
        <w:gridCol w:w="567"/>
        <w:gridCol w:w="1985"/>
      </w:tblGrid>
      <w:tr>
        <w:tblPrEx>
          <w:tblCellMar>
            <w:top w:w="0" w:type="dxa"/>
            <w:left w:w="70" w:type="dxa"/>
            <w:bottom w:w="0" w:type="dxa"/>
            <w:right w:w="70" w:type="dxa"/>
          </w:tblCellMar>
        </w:tblPrEx>
        <w:trPr>
          <w:wBefore w:w="0" w:type="dxa"/>
          <w:wAfter w:w="0" w:type="dxa"/>
          <w:cantSplit/>
          <w:trHeight w:val="278" w:hRule="atLeast"/>
        </w:trPr>
        <w:tc>
          <w:tcPr>
            <w:tcW w:w="5000" w:type="pct"/>
            <w:gridSpan w:val="3"/>
            <w:noWrap w:val="0"/>
            <w:vAlign w:val="center"/>
          </w:tcPr>
          <w:p>
            <w:pPr>
              <w:jc w:val="left"/>
              <w:rPr>
                <w:rFonts w:ascii="Century Gothic" w:hAnsi="Century Gothic"/>
                <w:sz w:val="20"/>
                <w:szCs w:val="20"/>
              </w:rPr>
            </w:pPr>
            <w:r>
              <w:rPr>
                <w:rFonts w:ascii="Century Gothic" w:hAnsi="Century Gothic"/>
                <w:sz w:val="20"/>
                <w:szCs w:val="20"/>
              </w:rPr>
              <w:t>X.-…</w:t>
            </w:r>
          </w:p>
        </w:tc>
      </w:tr>
      <w:tr>
        <w:tblPrEx>
          <w:tblCellMar>
            <w:top w:w="0" w:type="dxa"/>
            <w:left w:w="70" w:type="dxa"/>
            <w:bottom w:w="0" w:type="dxa"/>
            <w:right w:w="70" w:type="dxa"/>
          </w:tblCellMar>
        </w:tblPrEx>
        <w:trPr>
          <w:wBefore w:w="0" w:type="dxa"/>
          <w:wAfter w:w="0" w:type="dxa"/>
          <w:cantSplit/>
          <w:trHeight w:val="270"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a)…</w:t>
            </w:r>
          </w:p>
        </w:tc>
      </w:tr>
      <w:tr>
        <w:tblPrEx>
          <w:tblCellMar>
            <w:top w:w="0" w:type="dxa"/>
            <w:left w:w="70" w:type="dxa"/>
            <w:bottom w:w="0" w:type="dxa"/>
            <w:right w:w="70" w:type="dxa"/>
          </w:tblCellMar>
        </w:tblPrEx>
        <w:trPr>
          <w:wBefore w:w="0" w:type="dxa"/>
          <w:wAfter w:w="0" w:type="dxa"/>
          <w:cantSplit/>
          <w:trHeight w:val="107" w:hRule="atLeast"/>
        </w:trPr>
        <w:tc>
          <w:tcPr>
            <w:tcW w:w="3646" w:type="pct"/>
            <w:noWrap w:val="0"/>
            <w:vAlign w:val="center"/>
          </w:tcPr>
          <w:p>
            <w:pPr>
              <w:ind w:firstLine="284"/>
              <w:jc w:val="left"/>
              <w:rPr>
                <w:rFonts w:ascii="Century Gothic" w:hAnsi="Century Gothic"/>
                <w:sz w:val="20"/>
                <w:szCs w:val="20"/>
              </w:rPr>
            </w:pPr>
            <w:r>
              <w:rPr>
                <w:rFonts w:ascii="Century Gothic" w:hAnsi="Century Gothic"/>
                <w:sz w:val="20"/>
                <w:szCs w:val="20"/>
              </w:rPr>
              <w:t>1)…</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13" w:hRule="atLeast"/>
        </w:trPr>
        <w:tc>
          <w:tcPr>
            <w:tcW w:w="3646" w:type="pct"/>
            <w:noWrap w:val="0"/>
            <w:vAlign w:val="center"/>
          </w:tcPr>
          <w:p>
            <w:pPr>
              <w:ind w:firstLine="284"/>
              <w:jc w:val="left"/>
              <w:rPr>
                <w:rFonts w:ascii="Century Gothic" w:hAnsi="Century Gothic"/>
                <w:sz w:val="20"/>
                <w:szCs w:val="20"/>
              </w:rPr>
            </w:pPr>
            <w:r>
              <w:rPr>
                <w:rFonts w:ascii="Century Gothic" w:hAnsi="Century Gothic"/>
                <w:sz w:val="20"/>
                <w:szCs w:val="20"/>
              </w:rPr>
              <w:t>2)…</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47" w:hRule="atLeast"/>
        </w:trPr>
        <w:tc>
          <w:tcPr>
            <w:tcW w:w="3646" w:type="pct"/>
            <w:noWrap w:val="0"/>
            <w:vAlign w:val="center"/>
          </w:tcPr>
          <w:p>
            <w:pPr>
              <w:ind w:firstLine="142"/>
              <w:jc w:val="left"/>
              <w:rPr>
                <w:rFonts w:ascii="Century Gothic" w:hAnsi="Century Gothic"/>
                <w:sz w:val="20"/>
                <w:szCs w:val="20"/>
              </w:rPr>
            </w:pPr>
            <w:r>
              <w:rPr>
                <w:rFonts w:ascii="Century Gothic" w:hAnsi="Century Gothic"/>
                <w:sz w:val="20"/>
                <w:szCs w:val="20"/>
              </w:rPr>
              <w:t>b)…</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96"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c)…</w:t>
            </w:r>
          </w:p>
        </w:tc>
      </w:tr>
      <w:tr>
        <w:tblPrEx>
          <w:tblCellMar>
            <w:top w:w="0" w:type="dxa"/>
            <w:left w:w="70" w:type="dxa"/>
            <w:bottom w:w="0" w:type="dxa"/>
            <w:right w:w="70" w:type="dxa"/>
          </w:tblCellMar>
        </w:tblPrEx>
        <w:trPr>
          <w:wBefore w:w="0" w:type="dxa"/>
          <w:wAfter w:w="0" w:type="dxa"/>
          <w:cantSplit/>
          <w:trHeight w:val="231" w:hRule="atLeast"/>
        </w:trPr>
        <w:tc>
          <w:tcPr>
            <w:tcW w:w="3646" w:type="pct"/>
            <w:noWrap w:val="0"/>
            <w:vAlign w:val="center"/>
          </w:tcPr>
          <w:p>
            <w:pPr>
              <w:ind w:firstLine="284"/>
              <w:rPr>
                <w:rFonts w:ascii="Century Gothic" w:hAnsi="Century Gothic"/>
                <w:sz w:val="20"/>
                <w:szCs w:val="20"/>
              </w:rPr>
            </w:pPr>
            <w:r>
              <w:rPr>
                <w:rFonts w:ascii="Century Gothic" w:hAnsi="Century Gothic"/>
                <w:sz w:val="20"/>
                <w:szCs w:val="20"/>
              </w:rPr>
              <w:t>1)…</w:t>
            </w:r>
          </w:p>
        </w:tc>
        <w:tc>
          <w:tcPr>
            <w:tcW w:w="1354" w:type="pct"/>
            <w:gridSpan w:val="2"/>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7" w:hRule="atLeast"/>
        </w:trPr>
        <w:tc>
          <w:tcPr>
            <w:tcW w:w="3646" w:type="pct"/>
            <w:noWrap w:val="0"/>
            <w:vAlign w:val="center"/>
          </w:tcPr>
          <w:p>
            <w:pPr>
              <w:ind w:firstLine="284"/>
              <w:rPr>
                <w:rFonts w:ascii="Century Gothic" w:hAnsi="Century Gothic"/>
                <w:sz w:val="20"/>
                <w:szCs w:val="20"/>
              </w:rPr>
            </w:pPr>
            <w:r>
              <w:rPr>
                <w:rFonts w:ascii="Century Gothic" w:hAnsi="Century Gothic"/>
                <w:sz w:val="20"/>
                <w:szCs w:val="20"/>
              </w:rPr>
              <w:t>2)…</w:t>
            </w:r>
          </w:p>
        </w:tc>
        <w:tc>
          <w:tcPr>
            <w:tcW w:w="1354" w:type="pct"/>
            <w:gridSpan w:val="2"/>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d)…</w:t>
            </w:r>
          </w:p>
        </w:tc>
      </w:tr>
      <w:tr>
        <w:tblPrEx>
          <w:tblCellMar>
            <w:top w:w="0" w:type="dxa"/>
            <w:left w:w="70" w:type="dxa"/>
            <w:bottom w:w="0" w:type="dxa"/>
            <w:right w:w="70" w:type="dxa"/>
          </w:tblCellMar>
        </w:tblPrEx>
        <w:trPr>
          <w:wBefore w:w="0" w:type="dxa"/>
          <w:wAfter w:w="0" w:type="dxa"/>
          <w:cantSplit/>
          <w:trHeight w:val="361" w:hRule="atLeast"/>
        </w:trPr>
        <w:tc>
          <w:tcPr>
            <w:tcW w:w="3646" w:type="pct"/>
            <w:noWrap w:val="0"/>
            <w:vAlign w:val="center"/>
          </w:tcPr>
          <w:p>
            <w:pPr>
              <w:ind w:firstLine="284"/>
              <w:rPr>
                <w:rFonts w:ascii="Century Gothic" w:hAnsi="Century Gothic"/>
                <w:sz w:val="20"/>
                <w:szCs w:val="20"/>
              </w:rPr>
            </w:pPr>
            <w:r>
              <w:rPr>
                <w:rFonts w:ascii="Century Gothic" w:hAnsi="Century Gothic"/>
                <w:sz w:val="20"/>
                <w:szCs w:val="20"/>
              </w:rPr>
              <w:t>1)…</w:t>
            </w:r>
          </w:p>
        </w:tc>
        <w:tc>
          <w:tcPr>
            <w:tcW w:w="1354" w:type="pct"/>
            <w:gridSpan w:val="2"/>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67" w:hRule="atLeast"/>
        </w:trPr>
        <w:tc>
          <w:tcPr>
            <w:tcW w:w="3646" w:type="pct"/>
            <w:noWrap w:val="0"/>
            <w:vAlign w:val="center"/>
          </w:tcPr>
          <w:p>
            <w:pPr>
              <w:ind w:firstLine="284"/>
              <w:rPr>
                <w:rFonts w:ascii="Century Gothic" w:hAnsi="Century Gothic"/>
                <w:sz w:val="20"/>
                <w:szCs w:val="20"/>
              </w:rPr>
            </w:pPr>
            <w:r>
              <w:rPr>
                <w:rFonts w:ascii="Century Gothic" w:hAnsi="Century Gothic"/>
                <w:sz w:val="20"/>
                <w:szCs w:val="20"/>
              </w:rPr>
              <w:t>2)…</w:t>
            </w:r>
          </w:p>
        </w:tc>
        <w:tc>
          <w:tcPr>
            <w:tcW w:w="1354" w:type="pct"/>
            <w:gridSpan w:val="2"/>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60" w:hRule="atLeast"/>
        </w:trPr>
        <w:tc>
          <w:tcPr>
            <w:tcW w:w="5000" w:type="pct"/>
            <w:gridSpan w:val="3"/>
            <w:noWrap w:val="0"/>
            <w:vAlign w:val="center"/>
          </w:tcPr>
          <w:p>
            <w:pPr>
              <w:jc w:val="left"/>
              <w:rPr>
                <w:rFonts w:ascii="Century Gothic" w:hAnsi="Century Gothic"/>
                <w:sz w:val="20"/>
                <w:szCs w:val="20"/>
              </w:rPr>
            </w:pPr>
            <w:r>
              <w:rPr>
                <w:rFonts w:ascii="Century Gothic" w:hAnsi="Century Gothic"/>
                <w:sz w:val="20"/>
                <w:szCs w:val="20"/>
              </w:rPr>
              <w:t>XI.-…</w:t>
            </w:r>
          </w:p>
        </w:tc>
      </w:tr>
      <w:tr>
        <w:tblPrEx>
          <w:tblCellMar>
            <w:top w:w="0" w:type="dxa"/>
            <w:left w:w="70" w:type="dxa"/>
            <w:bottom w:w="0" w:type="dxa"/>
            <w:right w:w="70" w:type="dxa"/>
          </w:tblCellMar>
        </w:tblPrEx>
        <w:trPr>
          <w:wBefore w:w="0" w:type="dxa"/>
          <w:wAfter w:w="0" w:type="dxa"/>
          <w:cantSplit/>
          <w:trHeight w:val="338" w:hRule="atLeast"/>
        </w:trPr>
        <w:tc>
          <w:tcPr>
            <w:tcW w:w="364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a)…</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87" w:hRule="atLeast"/>
        </w:trPr>
        <w:tc>
          <w:tcPr>
            <w:tcW w:w="364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b)…</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93" w:hRule="atLeast"/>
        </w:trPr>
        <w:tc>
          <w:tcPr>
            <w:tcW w:w="3646" w:type="pct"/>
            <w:noWrap w:val="0"/>
            <w:vAlign w:val="center"/>
          </w:tcPr>
          <w:p>
            <w:pPr>
              <w:ind w:firstLine="142"/>
              <w:rPr>
                <w:rFonts w:ascii="Century Gothic" w:hAnsi="Century Gothic"/>
                <w:sz w:val="20"/>
                <w:szCs w:val="20"/>
              </w:rPr>
            </w:pPr>
            <w:r>
              <w:rPr>
                <w:rFonts w:ascii="Century Gothic" w:hAnsi="Century Gothic"/>
                <w:sz w:val="20"/>
                <w:szCs w:val="20"/>
              </w:rPr>
              <w:t>c)…</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86" w:hRule="atLeast"/>
        </w:trPr>
        <w:tc>
          <w:tcPr>
            <w:tcW w:w="3646" w:type="pct"/>
            <w:noWrap w:val="0"/>
            <w:vAlign w:val="center"/>
          </w:tcPr>
          <w:p>
            <w:pPr>
              <w:ind w:firstLine="142"/>
              <w:jc w:val="left"/>
              <w:rPr>
                <w:rFonts w:ascii="Century Gothic" w:hAnsi="Century Gothic"/>
                <w:sz w:val="20"/>
                <w:szCs w:val="20"/>
              </w:rPr>
            </w:pPr>
            <w:r>
              <w:rPr>
                <w:rFonts w:ascii="Century Gothic" w:hAnsi="Century Gothic"/>
                <w:sz w:val="20"/>
                <w:szCs w:val="20"/>
              </w:rPr>
              <w:t>d)…</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78" w:hRule="atLeast"/>
        </w:trPr>
        <w:tc>
          <w:tcPr>
            <w:tcW w:w="3646" w:type="pct"/>
            <w:noWrap w:val="0"/>
            <w:vAlign w:val="center"/>
          </w:tcPr>
          <w:p>
            <w:pPr>
              <w:ind w:firstLine="142"/>
              <w:rPr>
                <w:rFonts w:ascii="Century Gothic" w:hAnsi="Century Gothic"/>
                <w:sz w:val="20"/>
                <w:szCs w:val="20"/>
              </w:rPr>
            </w:pPr>
            <w:r>
              <w:rPr>
                <w:rFonts w:ascii="Century Gothic" w:hAnsi="Century Gothic"/>
                <w:sz w:val="20"/>
                <w:szCs w:val="20"/>
              </w:rPr>
              <w:t>e)…</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25" w:hRule="atLeast"/>
        </w:trPr>
        <w:tc>
          <w:tcPr>
            <w:tcW w:w="3646" w:type="pct"/>
            <w:noWrap w:val="0"/>
            <w:vAlign w:val="center"/>
          </w:tcPr>
          <w:p>
            <w:pPr>
              <w:ind w:firstLine="142"/>
              <w:jc w:val="left"/>
              <w:rPr>
                <w:rFonts w:ascii="Century Gothic" w:hAnsi="Century Gothic"/>
                <w:sz w:val="20"/>
                <w:szCs w:val="20"/>
              </w:rPr>
            </w:pPr>
            <w:r>
              <w:rPr>
                <w:rFonts w:ascii="Century Gothic" w:hAnsi="Century Gothic"/>
                <w:sz w:val="20"/>
                <w:szCs w:val="20"/>
              </w:rPr>
              <w:t>f)…</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17" w:hRule="atLeast"/>
        </w:trPr>
        <w:tc>
          <w:tcPr>
            <w:tcW w:w="3646" w:type="pct"/>
            <w:noWrap w:val="0"/>
            <w:vAlign w:val="center"/>
          </w:tcPr>
          <w:p>
            <w:pPr>
              <w:ind w:firstLine="142"/>
              <w:jc w:val="left"/>
              <w:rPr>
                <w:rFonts w:ascii="Century Gothic" w:hAnsi="Century Gothic"/>
                <w:sz w:val="20"/>
                <w:szCs w:val="20"/>
              </w:rPr>
            </w:pPr>
            <w:r>
              <w:rPr>
                <w:rFonts w:ascii="Century Gothic" w:hAnsi="Century Gothic"/>
                <w:sz w:val="20"/>
                <w:szCs w:val="20"/>
              </w:rPr>
              <w:t>g)…</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68" w:hRule="atLeast"/>
        </w:trPr>
        <w:tc>
          <w:tcPr>
            <w:tcW w:w="3646" w:type="pct"/>
            <w:noWrap w:val="0"/>
            <w:vAlign w:val="center"/>
          </w:tcPr>
          <w:p>
            <w:pPr>
              <w:spacing w:after="0"/>
              <w:jc w:val="left"/>
              <w:rPr>
                <w:rFonts w:ascii="Century Gothic" w:hAnsi="Century Gothic"/>
                <w:sz w:val="20"/>
                <w:szCs w:val="20"/>
              </w:rPr>
            </w:pPr>
            <w:r>
              <w:rPr>
                <w:rFonts w:ascii="Century Gothic" w:hAnsi="Century Gothic"/>
                <w:sz w:val="20"/>
                <w:szCs w:val="20"/>
              </w:rPr>
              <w:t>XII.-…</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44" w:hRule="atLeast"/>
        </w:trPr>
        <w:tc>
          <w:tcPr>
            <w:tcW w:w="3646" w:type="pct"/>
            <w:noWrap w:val="0"/>
            <w:vAlign w:val="center"/>
          </w:tcPr>
          <w:p>
            <w:pPr>
              <w:spacing w:after="0"/>
              <w:jc w:val="left"/>
              <w:rPr>
                <w:rFonts w:ascii="Century Gothic" w:hAnsi="Century Gothic"/>
                <w:sz w:val="20"/>
                <w:szCs w:val="20"/>
              </w:rPr>
            </w:pPr>
            <w:r>
              <w:rPr>
                <w:rFonts w:ascii="Century Gothic" w:hAnsi="Century Gothic"/>
                <w:sz w:val="20"/>
                <w:szCs w:val="20"/>
              </w:rPr>
              <w:t>XIII.-…</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5" w:hRule="atLeast"/>
        </w:trPr>
        <w:tc>
          <w:tcPr>
            <w:tcW w:w="5000" w:type="pct"/>
            <w:gridSpan w:val="3"/>
            <w:noWrap w:val="0"/>
            <w:vAlign w:val="center"/>
          </w:tcPr>
          <w:p>
            <w:pPr>
              <w:rPr>
                <w:rFonts w:ascii="Century Gothic" w:hAnsi="Century Gothic"/>
                <w:sz w:val="20"/>
                <w:szCs w:val="20"/>
              </w:rPr>
            </w:pPr>
            <w:r>
              <w:rPr>
                <w:rFonts w:ascii="Century Gothic" w:hAnsi="Century Gothic"/>
                <w:sz w:val="20"/>
                <w:szCs w:val="20"/>
              </w:rPr>
              <w:t>XIV.-…</w:t>
            </w:r>
          </w:p>
        </w:tc>
      </w:tr>
      <w:tr>
        <w:tblPrEx>
          <w:tblCellMar>
            <w:top w:w="0" w:type="dxa"/>
            <w:left w:w="70" w:type="dxa"/>
            <w:bottom w:w="0" w:type="dxa"/>
            <w:right w:w="70" w:type="dxa"/>
          </w:tblCellMar>
        </w:tblPrEx>
        <w:trPr>
          <w:wBefore w:w="0" w:type="dxa"/>
          <w:wAfter w:w="0" w:type="dxa"/>
          <w:cantSplit/>
          <w:trHeight w:val="399" w:hRule="atLeast"/>
        </w:trPr>
        <w:tc>
          <w:tcPr>
            <w:tcW w:w="364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a)…</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3"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b)…</w:t>
            </w:r>
          </w:p>
        </w:tc>
      </w:tr>
      <w:tr>
        <w:tblPrEx>
          <w:tblCellMar>
            <w:top w:w="0" w:type="dxa"/>
            <w:left w:w="70" w:type="dxa"/>
            <w:bottom w:w="0" w:type="dxa"/>
            <w:right w:w="70" w:type="dxa"/>
          </w:tblCellMar>
        </w:tblPrEx>
        <w:trPr>
          <w:wBefore w:w="0" w:type="dxa"/>
          <w:wAfter w:w="0" w:type="dxa"/>
          <w:cantSplit/>
          <w:trHeight w:val="256"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1.-…</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34"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2.-…</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8"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3.-…</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19"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4.-…</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94" w:hRule="atLeast"/>
        </w:trPr>
        <w:tc>
          <w:tcPr>
            <w:tcW w:w="3646" w:type="pct"/>
            <w:noWrap w:val="0"/>
            <w:vAlign w:val="top"/>
          </w:tcPr>
          <w:p>
            <w:pPr>
              <w:spacing w:after="0"/>
              <w:jc w:val="left"/>
              <w:rPr>
                <w:rFonts w:ascii="Century Gothic" w:hAnsi="Century Gothic"/>
                <w:sz w:val="20"/>
                <w:szCs w:val="20"/>
              </w:rPr>
            </w:pPr>
            <w:r>
              <w:rPr>
                <w:rFonts w:ascii="Century Gothic" w:hAnsi="Century Gothic"/>
                <w:sz w:val="20"/>
                <w:szCs w:val="20"/>
              </w:rPr>
              <w:t>XV.-…</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43" w:hRule="atLeast"/>
        </w:trPr>
        <w:tc>
          <w:tcPr>
            <w:tcW w:w="3646" w:type="pct"/>
            <w:noWrap w:val="0"/>
            <w:vAlign w:val="center"/>
          </w:tcPr>
          <w:p>
            <w:pPr>
              <w:spacing w:after="0"/>
              <w:jc w:val="left"/>
              <w:rPr>
                <w:rFonts w:ascii="Century Gothic" w:hAnsi="Century Gothic"/>
                <w:sz w:val="20"/>
                <w:szCs w:val="20"/>
              </w:rPr>
            </w:pPr>
            <w:r>
              <w:rPr>
                <w:rFonts w:ascii="Century Gothic" w:hAnsi="Century Gothic"/>
                <w:sz w:val="20"/>
                <w:szCs w:val="20"/>
              </w:rPr>
              <w:t>XVI.-…</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5" w:hRule="atLeast"/>
        </w:trPr>
        <w:tc>
          <w:tcPr>
            <w:tcW w:w="5000" w:type="pct"/>
            <w:gridSpan w:val="3"/>
            <w:noWrap w:val="0"/>
            <w:vAlign w:val="center"/>
          </w:tcPr>
          <w:p>
            <w:pPr>
              <w:rPr>
                <w:rFonts w:ascii="Century Gothic" w:hAnsi="Century Gothic"/>
                <w:sz w:val="20"/>
                <w:szCs w:val="20"/>
              </w:rPr>
            </w:pPr>
            <w:r>
              <w:rPr>
                <w:rFonts w:ascii="Century Gothic" w:hAnsi="Century Gothic"/>
                <w:sz w:val="20"/>
                <w:szCs w:val="20"/>
              </w:rPr>
              <w:t>XVII.-…</w:t>
            </w:r>
          </w:p>
        </w:tc>
      </w:tr>
      <w:tr>
        <w:tblPrEx>
          <w:tblCellMar>
            <w:top w:w="0" w:type="dxa"/>
            <w:left w:w="70" w:type="dxa"/>
            <w:bottom w:w="0" w:type="dxa"/>
            <w:right w:w="70" w:type="dxa"/>
          </w:tblCellMar>
        </w:tblPrEx>
        <w:trPr>
          <w:wBefore w:w="0" w:type="dxa"/>
          <w:wAfter w:w="0" w:type="dxa"/>
          <w:cantSplit/>
          <w:trHeight w:val="227"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a)…</w:t>
            </w:r>
          </w:p>
        </w:tc>
      </w:tr>
      <w:tr>
        <w:tblPrEx>
          <w:tblCellMar>
            <w:top w:w="0" w:type="dxa"/>
            <w:left w:w="70" w:type="dxa"/>
            <w:bottom w:w="0" w:type="dxa"/>
            <w:right w:w="70" w:type="dxa"/>
          </w:tblCellMar>
        </w:tblPrEx>
        <w:trPr>
          <w:wBefore w:w="0" w:type="dxa"/>
          <w:wAfter w:w="0" w:type="dxa"/>
          <w:cantSplit/>
          <w:trHeight w:val="233"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1)…</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67"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2)…</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59"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3)…</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51"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4)…</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3"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b)…</w:t>
            </w:r>
          </w:p>
        </w:tc>
      </w:tr>
      <w:tr>
        <w:tblPrEx>
          <w:tblCellMar>
            <w:top w:w="0" w:type="dxa"/>
            <w:left w:w="70" w:type="dxa"/>
            <w:bottom w:w="0" w:type="dxa"/>
            <w:right w:w="70" w:type="dxa"/>
          </w:tblCellMar>
        </w:tblPrEx>
        <w:trPr>
          <w:wBefore w:w="0" w:type="dxa"/>
          <w:wAfter w:w="0" w:type="dxa"/>
          <w:cantSplit/>
          <w:trHeight w:val="349"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1)…</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85"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2)…</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33"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3)…</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24"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4)…</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75" w:hRule="atLeast"/>
        </w:trPr>
        <w:tc>
          <w:tcPr>
            <w:tcW w:w="5000" w:type="pct"/>
            <w:gridSpan w:val="3"/>
            <w:noWrap w:val="0"/>
            <w:vAlign w:val="center"/>
          </w:tcPr>
          <w:p>
            <w:pPr>
              <w:rPr>
                <w:rFonts w:ascii="Century Gothic" w:hAnsi="Century Gothic"/>
                <w:sz w:val="20"/>
                <w:szCs w:val="20"/>
              </w:rPr>
            </w:pPr>
            <w:r>
              <w:rPr>
                <w:rFonts w:ascii="Century Gothic" w:hAnsi="Century Gothic"/>
                <w:sz w:val="20"/>
                <w:szCs w:val="20"/>
              </w:rPr>
              <w:t>XVIII.-…</w:t>
            </w:r>
          </w:p>
        </w:tc>
      </w:tr>
      <w:tr>
        <w:tblPrEx>
          <w:tblCellMar>
            <w:top w:w="0" w:type="dxa"/>
            <w:left w:w="70" w:type="dxa"/>
            <w:bottom w:w="0" w:type="dxa"/>
            <w:right w:w="70" w:type="dxa"/>
          </w:tblCellMar>
        </w:tblPrEx>
        <w:trPr>
          <w:wBefore w:w="0" w:type="dxa"/>
          <w:wAfter w:w="0" w:type="dxa"/>
          <w:cantSplit/>
          <w:trHeight w:val="309" w:hRule="atLeast"/>
        </w:trPr>
        <w:tc>
          <w:tcPr>
            <w:tcW w:w="364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1)…</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15" w:hRule="atLeast"/>
        </w:trPr>
        <w:tc>
          <w:tcPr>
            <w:tcW w:w="3646" w:type="pct"/>
            <w:noWrap w:val="0"/>
            <w:vAlign w:val="top"/>
          </w:tcPr>
          <w:p>
            <w:pPr>
              <w:spacing w:after="0"/>
              <w:ind w:firstLine="142"/>
              <w:jc w:val="left"/>
              <w:rPr>
                <w:rFonts w:ascii="Century Gothic" w:hAnsi="Century Gothic"/>
                <w:sz w:val="20"/>
                <w:szCs w:val="20"/>
              </w:rPr>
            </w:pPr>
            <w:r>
              <w:rPr>
                <w:rFonts w:ascii="Century Gothic" w:hAnsi="Century Gothic"/>
                <w:sz w:val="20"/>
                <w:szCs w:val="20"/>
              </w:rPr>
              <w:t>2)…</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5000" w:type="pct"/>
            <w:gridSpan w:val="3"/>
            <w:noWrap w:val="0"/>
            <w:vAlign w:val="center"/>
          </w:tcPr>
          <w:p>
            <w:pPr>
              <w:rPr>
                <w:rFonts w:ascii="Century Gothic" w:hAnsi="Century Gothic"/>
                <w:sz w:val="20"/>
                <w:szCs w:val="20"/>
              </w:rPr>
            </w:pPr>
            <w:r>
              <w:rPr>
                <w:rFonts w:ascii="Century Gothic" w:hAnsi="Century Gothic"/>
                <w:sz w:val="20"/>
                <w:szCs w:val="20"/>
              </w:rPr>
              <w:t>XIX.-…</w:t>
            </w:r>
          </w:p>
        </w:tc>
      </w:tr>
      <w:tr>
        <w:tblPrEx>
          <w:tblCellMar>
            <w:top w:w="0" w:type="dxa"/>
            <w:left w:w="70" w:type="dxa"/>
            <w:bottom w:w="0" w:type="dxa"/>
            <w:right w:w="70" w:type="dxa"/>
          </w:tblCellMar>
        </w:tblPrEx>
        <w:trPr>
          <w:wBefore w:w="0" w:type="dxa"/>
          <w:wAfter w:w="0" w:type="dxa"/>
          <w:cantSplit/>
          <w:trHeight w:val="299"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1. …</w:t>
            </w:r>
          </w:p>
        </w:tc>
      </w:tr>
      <w:tr>
        <w:tblPrEx>
          <w:tblCellMar>
            <w:top w:w="0" w:type="dxa"/>
            <w:left w:w="70" w:type="dxa"/>
            <w:bottom w:w="0" w:type="dxa"/>
            <w:right w:w="70" w:type="dxa"/>
          </w:tblCellMar>
        </w:tblPrEx>
        <w:trPr>
          <w:wBefore w:w="0" w:type="dxa"/>
          <w:wAfter w:w="0" w:type="dxa"/>
          <w:cantSplit/>
          <w:trHeight w:val="305"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a)…</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55"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b)…</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76"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c)…</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7"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d)…</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5"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e)…</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5"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f)…</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16"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2. …</w:t>
            </w:r>
          </w:p>
        </w:tc>
      </w:tr>
      <w:tr>
        <w:tblPrEx>
          <w:tblCellMar>
            <w:top w:w="0" w:type="dxa"/>
            <w:left w:w="70" w:type="dxa"/>
            <w:bottom w:w="0" w:type="dxa"/>
            <w:right w:w="70" w:type="dxa"/>
          </w:tblCellMar>
        </w:tblPrEx>
        <w:trPr>
          <w:wBefore w:w="0" w:type="dxa"/>
          <w:wAfter w:w="0" w:type="dxa"/>
          <w:cantSplit/>
          <w:trHeight w:val="121"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a)…</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8"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b)…</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34"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c)…</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26"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d)…</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19"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e)…</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f)…</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3. …</w:t>
            </w:r>
          </w:p>
        </w:tc>
      </w:tr>
      <w:tr>
        <w:tblPrEx>
          <w:tblCellMar>
            <w:top w:w="0" w:type="dxa"/>
            <w:left w:w="70" w:type="dxa"/>
            <w:bottom w:w="0" w:type="dxa"/>
            <w:right w:w="70" w:type="dxa"/>
          </w:tblCellMar>
        </w:tblPrEx>
        <w:trPr>
          <w:wBefore w:w="0" w:type="dxa"/>
          <w:wAfter w:w="0" w:type="dxa"/>
          <w:cantSplit/>
          <w:trHeight w:val="377"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a)…</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69"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b)…</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3"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c)…</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67"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d)…</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17"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e)…</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10"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f)…</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56"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4. …</w:t>
            </w:r>
          </w:p>
        </w:tc>
      </w:tr>
      <w:tr>
        <w:tblPrEx>
          <w:tblCellMar>
            <w:top w:w="0" w:type="dxa"/>
            <w:left w:w="70" w:type="dxa"/>
            <w:bottom w:w="0" w:type="dxa"/>
            <w:right w:w="70" w:type="dxa"/>
          </w:tblCellMar>
        </w:tblPrEx>
        <w:trPr>
          <w:wBefore w:w="0" w:type="dxa"/>
          <w:wAfter w:w="0" w:type="dxa"/>
          <w:cantSplit/>
          <w:trHeight w:val="349"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a)…</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69"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b)…</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35"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c)…</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82"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d)…</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75"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e)…</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09" w:hRule="atLeast"/>
        </w:trPr>
        <w:tc>
          <w:tcPr>
            <w:tcW w:w="3646" w:type="pct"/>
            <w:noWrap w:val="0"/>
            <w:vAlign w:val="top"/>
          </w:tcPr>
          <w:p>
            <w:pPr>
              <w:spacing w:after="0"/>
              <w:ind w:left="426" w:hanging="142"/>
              <w:jc w:val="left"/>
              <w:rPr>
                <w:rFonts w:ascii="Century Gothic" w:hAnsi="Century Gothic"/>
                <w:sz w:val="20"/>
                <w:szCs w:val="20"/>
              </w:rPr>
            </w:pPr>
            <w:r>
              <w:rPr>
                <w:rFonts w:ascii="Century Gothic" w:hAnsi="Century Gothic"/>
                <w:sz w:val="20"/>
                <w:szCs w:val="20"/>
              </w:rPr>
              <w:t>f)…</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59" w:hRule="atLeast"/>
        </w:trPr>
        <w:tc>
          <w:tcPr>
            <w:tcW w:w="5000" w:type="pct"/>
            <w:gridSpan w:val="3"/>
            <w:noWrap w:val="0"/>
            <w:vAlign w:val="center"/>
          </w:tcPr>
          <w:p>
            <w:pPr>
              <w:rPr>
                <w:rFonts w:ascii="Century Gothic" w:hAnsi="Century Gothic"/>
                <w:sz w:val="20"/>
                <w:szCs w:val="20"/>
              </w:rPr>
            </w:pPr>
            <w:r>
              <w:rPr>
                <w:rFonts w:ascii="Century Gothic" w:hAnsi="Century Gothic"/>
                <w:sz w:val="20"/>
                <w:szCs w:val="20"/>
              </w:rPr>
              <w:t>XX.-…</w:t>
            </w:r>
          </w:p>
        </w:tc>
      </w:tr>
      <w:tr>
        <w:tblPrEx>
          <w:tblCellMar>
            <w:top w:w="0" w:type="dxa"/>
            <w:left w:w="70" w:type="dxa"/>
            <w:bottom w:w="0" w:type="dxa"/>
            <w:right w:w="70" w:type="dxa"/>
          </w:tblCellMar>
        </w:tblPrEx>
        <w:trPr>
          <w:wBefore w:w="0" w:type="dxa"/>
          <w:wAfter w:w="0" w:type="dxa"/>
          <w:cantSplit/>
          <w:trHeight w:val="70"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1. …</w:t>
            </w:r>
          </w:p>
        </w:tc>
      </w:tr>
      <w:tr>
        <w:tblPrEx>
          <w:tblCellMar>
            <w:top w:w="0" w:type="dxa"/>
            <w:left w:w="70" w:type="dxa"/>
            <w:bottom w:w="0" w:type="dxa"/>
            <w:right w:w="70" w:type="dxa"/>
          </w:tblCellMar>
        </w:tblPrEx>
        <w:trPr>
          <w:wBefore w:w="0" w:type="dxa"/>
          <w:wAfter w:w="0" w:type="dxa"/>
          <w:cantSplit/>
          <w:trHeight w:val="386"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a)…</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70"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b)…</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3"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c)…</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3"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d)…</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42"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e)…</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89"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f)…</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9" w:hRule="atLeast"/>
        </w:trPr>
        <w:tc>
          <w:tcPr>
            <w:tcW w:w="5000" w:type="pct"/>
            <w:gridSpan w:val="3"/>
            <w:noWrap w:val="0"/>
            <w:vAlign w:val="center"/>
          </w:tcPr>
          <w:p>
            <w:pPr>
              <w:ind w:firstLine="142"/>
              <w:rPr>
                <w:rFonts w:ascii="Century Gothic" w:hAnsi="Century Gothic"/>
                <w:sz w:val="20"/>
                <w:szCs w:val="20"/>
              </w:rPr>
            </w:pPr>
            <w:r>
              <w:rPr>
                <w:rFonts w:ascii="Century Gothic" w:hAnsi="Century Gothic"/>
                <w:sz w:val="20"/>
                <w:szCs w:val="20"/>
              </w:rPr>
              <w:t>2. …</w:t>
            </w:r>
          </w:p>
        </w:tc>
      </w:tr>
      <w:tr>
        <w:tblPrEx>
          <w:tblCellMar>
            <w:top w:w="0" w:type="dxa"/>
            <w:left w:w="70" w:type="dxa"/>
            <w:bottom w:w="0" w:type="dxa"/>
            <w:right w:w="70" w:type="dxa"/>
          </w:tblCellMar>
        </w:tblPrEx>
        <w:trPr>
          <w:wBefore w:w="0" w:type="dxa"/>
          <w:wAfter w:w="0" w:type="dxa"/>
          <w:cantSplit/>
          <w:trHeight w:val="373"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a)…</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50"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b)…</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8"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c)…</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10"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d)…</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02"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e)…</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93" w:hRule="atLeast"/>
        </w:trPr>
        <w:tc>
          <w:tcPr>
            <w:tcW w:w="3646" w:type="pct"/>
            <w:noWrap w:val="0"/>
            <w:vAlign w:val="top"/>
          </w:tcPr>
          <w:p>
            <w:pPr>
              <w:spacing w:after="0"/>
              <w:ind w:left="284"/>
              <w:jc w:val="left"/>
              <w:rPr>
                <w:rFonts w:ascii="Century Gothic" w:hAnsi="Century Gothic"/>
                <w:sz w:val="20"/>
                <w:szCs w:val="20"/>
              </w:rPr>
            </w:pPr>
            <w:r>
              <w:rPr>
                <w:rFonts w:ascii="Century Gothic" w:hAnsi="Century Gothic"/>
                <w:sz w:val="20"/>
                <w:szCs w:val="20"/>
              </w:rPr>
              <w:t>f)…</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85" w:hRule="atLeast"/>
        </w:trPr>
        <w:tc>
          <w:tcPr>
            <w:tcW w:w="5000" w:type="pct"/>
            <w:gridSpan w:val="3"/>
            <w:noWrap w:val="0"/>
            <w:vAlign w:val="center"/>
          </w:tcPr>
          <w:p>
            <w:pPr>
              <w:ind w:firstLine="142"/>
              <w:rPr>
                <w:rFonts w:ascii="Century Gothic" w:hAnsi="Century Gothic" w:cs="Calibri"/>
                <w:sz w:val="20"/>
                <w:szCs w:val="20"/>
              </w:rPr>
            </w:pPr>
            <w:r>
              <w:rPr>
                <w:rFonts w:ascii="Century Gothic" w:hAnsi="Century Gothic"/>
                <w:sz w:val="20"/>
                <w:szCs w:val="20"/>
              </w:rPr>
              <w:t>3. …</w:t>
            </w:r>
          </w:p>
        </w:tc>
      </w:tr>
      <w:tr>
        <w:tblPrEx>
          <w:tblCellMar>
            <w:top w:w="0" w:type="dxa"/>
            <w:left w:w="70" w:type="dxa"/>
            <w:bottom w:w="0" w:type="dxa"/>
            <w:right w:w="70" w:type="dxa"/>
          </w:tblCellMar>
        </w:tblPrEx>
        <w:trPr>
          <w:wBefore w:w="0" w:type="dxa"/>
          <w:wAfter w:w="0" w:type="dxa"/>
          <w:cantSplit/>
          <w:trHeight w:val="235"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a)…</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86"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b)…</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33"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c)…</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83"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d)…</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59"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e)…</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51" w:hRule="atLeast"/>
        </w:trPr>
        <w:tc>
          <w:tcPr>
            <w:tcW w:w="3646" w:type="pct"/>
            <w:noWrap w:val="0"/>
            <w:vAlign w:val="top"/>
          </w:tcPr>
          <w:p>
            <w:pPr>
              <w:spacing w:after="0"/>
              <w:ind w:firstLine="284"/>
              <w:jc w:val="left"/>
              <w:rPr>
                <w:rFonts w:ascii="Century Gothic" w:hAnsi="Century Gothic"/>
                <w:sz w:val="20"/>
                <w:szCs w:val="20"/>
              </w:rPr>
            </w:pPr>
            <w:r>
              <w:rPr>
                <w:rFonts w:ascii="Century Gothic" w:hAnsi="Century Gothic"/>
                <w:sz w:val="20"/>
                <w:szCs w:val="20"/>
              </w:rPr>
              <w:t>f)…</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357" w:hRule="atLeast"/>
        </w:trPr>
        <w:tc>
          <w:tcPr>
            <w:tcW w:w="5000" w:type="pct"/>
            <w:gridSpan w:val="3"/>
            <w:noWrap w:val="0"/>
            <w:vAlign w:val="center"/>
          </w:tcPr>
          <w:p>
            <w:pPr>
              <w:rPr>
                <w:rFonts w:ascii="Century Gothic" w:hAnsi="Century Gothic" w:cs="Calibri"/>
                <w:sz w:val="20"/>
                <w:szCs w:val="20"/>
              </w:rPr>
            </w:pPr>
            <w:r>
              <w:rPr>
                <w:rFonts w:ascii="Century Gothic" w:hAnsi="Century Gothic"/>
                <w:sz w:val="20"/>
                <w:szCs w:val="20"/>
              </w:rPr>
              <w:t>4. …</w:t>
            </w:r>
          </w:p>
        </w:tc>
      </w:tr>
      <w:tr>
        <w:tblPrEx>
          <w:tblCellMar>
            <w:top w:w="0" w:type="dxa"/>
            <w:left w:w="70" w:type="dxa"/>
            <w:bottom w:w="0" w:type="dxa"/>
            <w:right w:w="70" w:type="dxa"/>
          </w:tblCellMar>
        </w:tblPrEx>
        <w:trPr>
          <w:wBefore w:w="0" w:type="dxa"/>
          <w:wAfter w:w="0" w:type="dxa"/>
          <w:cantSplit/>
          <w:trHeight w:val="349"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a)…</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469"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b)…</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135"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c)…</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83"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d)…</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75"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e)…</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7" w:hRule="atLeast"/>
        </w:trPr>
        <w:tc>
          <w:tcPr>
            <w:tcW w:w="3646" w:type="pct"/>
            <w:noWrap w:val="0"/>
            <w:vAlign w:val="top"/>
          </w:tcPr>
          <w:p>
            <w:pPr>
              <w:spacing w:after="0"/>
              <w:ind w:left="567" w:hanging="283"/>
              <w:jc w:val="left"/>
              <w:rPr>
                <w:rFonts w:ascii="Century Gothic" w:hAnsi="Century Gothic"/>
                <w:sz w:val="20"/>
                <w:szCs w:val="20"/>
              </w:rPr>
            </w:pPr>
            <w:r>
              <w:rPr>
                <w:rFonts w:ascii="Century Gothic" w:hAnsi="Century Gothic"/>
                <w:sz w:val="20"/>
                <w:szCs w:val="20"/>
              </w:rPr>
              <w:t>f)…</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59" w:hRule="atLeast"/>
        </w:trPr>
        <w:tc>
          <w:tcPr>
            <w:tcW w:w="3646" w:type="pct"/>
            <w:noWrap w:val="0"/>
            <w:vAlign w:val="center"/>
          </w:tcPr>
          <w:p>
            <w:pPr>
              <w:jc w:val="left"/>
              <w:rPr>
                <w:rFonts w:ascii="Century Gothic" w:hAnsi="Century Gothic"/>
                <w:sz w:val="20"/>
                <w:szCs w:val="20"/>
              </w:rPr>
            </w:pPr>
            <w:r>
              <w:rPr>
                <w:rFonts w:ascii="Century Gothic" w:hAnsi="Century Gothic"/>
                <w:sz w:val="20"/>
                <w:szCs w:val="20"/>
              </w:rPr>
              <w:t>XXI.- …</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6" w:hRule="atLeast"/>
        </w:trPr>
        <w:tc>
          <w:tcPr>
            <w:tcW w:w="3646" w:type="pct"/>
            <w:noWrap w:val="0"/>
            <w:vAlign w:val="center"/>
          </w:tcPr>
          <w:p>
            <w:pPr>
              <w:jc w:val="left"/>
              <w:rPr>
                <w:rFonts w:ascii="Century Gothic" w:hAnsi="Century Gothic"/>
                <w:sz w:val="20"/>
                <w:szCs w:val="20"/>
              </w:rPr>
            </w:pPr>
            <w:r>
              <w:rPr>
                <w:rFonts w:ascii="Century Gothic" w:hAnsi="Century Gothic"/>
                <w:sz w:val="20"/>
                <w:szCs w:val="20"/>
              </w:rPr>
              <w:t>XXII.- …</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r>
        <w:tblPrEx>
          <w:tblCellMar>
            <w:top w:w="0" w:type="dxa"/>
            <w:left w:w="70" w:type="dxa"/>
            <w:bottom w:w="0" w:type="dxa"/>
            <w:right w:w="70" w:type="dxa"/>
          </w:tblCellMar>
        </w:tblPrEx>
        <w:trPr>
          <w:wBefore w:w="0" w:type="dxa"/>
          <w:wAfter w:w="0" w:type="dxa"/>
          <w:cantSplit/>
          <w:trHeight w:val="266" w:hRule="atLeast"/>
        </w:trPr>
        <w:tc>
          <w:tcPr>
            <w:tcW w:w="3646" w:type="pct"/>
            <w:noWrap w:val="0"/>
            <w:vAlign w:val="center"/>
          </w:tcPr>
          <w:p>
            <w:pPr>
              <w:jc w:val="left"/>
              <w:rPr>
                <w:rFonts w:ascii="Century Gothic" w:hAnsi="Century Gothic"/>
                <w:sz w:val="20"/>
                <w:szCs w:val="20"/>
              </w:rPr>
            </w:pPr>
            <w:r>
              <w:rPr>
                <w:rFonts w:ascii="Century Gothic" w:hAnsi="Century Gothic"/>
                <w:sz w:val="20"/>
                <w:szCs w:val="20"/>
                <w:lang w:val="es-MX"/>
              </w:rPr>
              <w:t>XXIII.- …</w:t>
            </w:r>
          </w:p>
        </w:tc>
        <w:tc>
          <w:tcPr>
            <w:tcW w:w="301" w:type="pct"/>
            <w:noWrap w:val="0"/>
            <w:vAlign w:val="center"/>
          </w:tcPr>
          <w:p>
            <w:pPr>
              <w:jc w:val="center"/>
              <w:rPr>
                <w:rFonts w:ascii="Century Gothic" w:hAnsi="Century Gothic"/>
                <w:sz w:val="20"/>
                <w:szCs w:val="20"/>
              </w:rPr>
            </w:pPr>
            <w:r>
              <w:rPr>
                <w:rFonts w:ascii="Century Gothic" w:hAnsi="Century Gothic"/>
                <w:sz w:val="20"/>
                <w:szCs w:val="20"/>
              </w:rPr>
              <w:t>…</w:t>
            </w:r>
          </w:p>
        </w:tc>
        <w:tc>
          <w:tcPr>
            <w:tcW w:w="1053" w:type="pct"/>
            <w:noWrap w:val="0"/>
            <w:vAlign w:val="center"/>
          </w:tcPr>
          <w:p>
            <w:pPr>
              <w:jc w:val="center"/>
              <w:rPr>
                <w:rFonts w:ascii="Century Gothic" w:hAnsi="Century Gothic"/>
                <w:sz w:val="20"/>
                <w:szCs w:val="20"/>
              </w:rPr>
            </w:pPr>
            <w:r>
              <w:rPr>
                <w:rFonts w:ascii="Century Gothic" w:hAnsi="Century Gothic"/>
                <w:sz w:val="20"/>
                <w:szCs w:val="20"/>
              </w:rPr>
              <w:t>…</w:t>
            </w:r>
          </w:p>
        </w:tc>
      </w:tr>
    </w:tbl>
    <w:p>
      <w:pPr>
        <w:spacing w:line="276" w:lineRule="auto"/>
        <w:rPr>
          <w:rFonts w:ascii="Century Gothic" w:hAnsi="Century Gothic"/>
          <w:sz w:val="20"/>
          <w:szCs w:val="20"/>
          <w:lang w:val="es-MX"/>
        </w:rPr>
      </w:pPr>
      <w:r>
        <w:rPr>
          <w:rFonts w:ascii="Century Gothic" w:hAnsi="Century Gothic"/>
          <w:sz w:val="20"/>
          <w:szCs w:val="20"/>
        </w:rPr>
        <w:t>…</w:t>
      </w:r>
    </w:p>
    <w:p>
      <w:pPr>
        <w:spacing w:line="276" w:lineRule="auto"/>
        <w:rPr>
          <w:rFonts w:ascii="Century Gothic" w:hAnsi="Century Gothic"/>
          <w:sz w:val="20"/>
          <w:szCs w:val="20"/>
        </w:rPr>
      </w:pPr>
      <w:r>
        <w:rPr>
          <w:rFonts w:ascii="Century Gothic" w:hAnsi="Century Gothic"/>
          <w:sz w:val="20"/>
          <w:szCs w:val="20"/>
        </w:rPr>
        <w:t>…</w:t>
      </w:r>
    </w:p>
    <w:p>
      <w:pPr>
        <w:tabs>
          <w:tab w:val="left" w:pos="1838"/>
        </w:tabs>
        <w:spacing w:after="120"/>
        <w:jc w:val="center"/>
        <w:rPr>
          <w:rFonts w:ascii="Century Gothic" w:hAnsi="Century Gothic"/>
          <w:b/>
          <w:bCs/>
          <w:sz w:val="20"/>
          <w:szCs w:val="20"/>
        </w:rPr>
      </w:pPr>
      <w:r>
        <w:rPr>
          <w:rFonts w:ascii="Century Gothic" w:hAnsi="Century Gothic"/>
          <w:b/>
          <w:bCs/>
          <w:sz w:val="20"/>
          <w:szCs w:val="20"/>
        </w:rPr>
        <w:t>Sección Sexta</w:t>
      </w:r>
    </w:p>
    <w:p>
      <w:pPr>
        <w:tabs>
          <w:tab w:val="left" w:pos="1838"/>
        </w:tabs>
        <w:spacing w:after="120"/>
        <w:jc w:val="center"/>
        <w:rPr>
          <w:rFonts w:ascii="Century Gothic" w:hAnsi="Century Gothic"/>
          <w:b/>
          <w:bCs/>
          <w:sz w:val="20"/>
          <w:szCs w:val="20"/>
        </w:rPr>
      </w:pPr>
      <w:r>
        <w:rPr>
          <w:rFonts w:ascii="Century Gothic" w:hAnsi="Century Gothic"/>
          <w:b/>
          <w:bCs/>
          <w:sz w:val="20"/>
          <w:szCs w:val="20"/>
        </w:rPr>
        <w:t>De los derechos por los servicios que presta la Dirección de Catastro del Municipio</w:t>
      </w:r>
    </w:p>
    <w:p>
      <w:pPr>
        <w:spacing w:line="276" w:lineRule="auto"/>
        <w:rPr>
          <w:rFonts w:ascii="Century Gothic" w:hAnsi="Century Gothic"/>
          <w:sz w:val="20"/>
          <w:szCs w:val="20"/>
        </w:rPr>
      </w:pPr>
      <w:r>
        <w:rPr>
          <w:rFonts w:ascii="Century Gothic" w:hAnsi="Century Gothic"/>
          <w:b/>
          <w:sz w:val="20"/>
          <w:szCs w:val="20"/>
        </w:rPr>
        <w:t>ARTÍCULO 89.-</w:t>
      </w:r>
      <w:r>
        <w:rPr>
          <w:rFonts w:ascii="Century Gothic" w:hAnsi="Century Gothic"/>
          <w:bCs/>
          <w:sz w:val="20"/>
          <w:szCs w:val="20"/>
        </w:rPr>
        <w:t>…</w:t>
      </w:r>
    </w:p>
    <w:tbl>
      <w:tblPr>
        <w:tblStyle w:val="7"/>
        <w:tblW w:w="9118" w:type="dxa"/>
        <w:jc w:val="center"/>
        <w:tblLayout w:type="fixed"/>
        <w:tblCellMar>
          <w:top w:w="0" w:type="dxa"/>
          <w:left w:w="108" w:type="dxa"/>
          <w:bottom w:w="0" w:type="dxa"/>
          <w:right w:w="108" w:type="dxa"/>
        </w:tblCellMar>
      </w:tblPr>
      <w:tblGrid>
        <w:gridCol w:w="7794"/>
        <w:gridCol w:w="1324"/>
      </w:tblGrid>
      <w:tr>
        <w:tblPrEx>
          <w:tblCellMar>
            <w:top w:w="0" w:type="dxa"/>
            <w:left w:w="108" w:type="dxa"/>
            <w:bottom w:w="0" w:type="dxa"/>
            <w:right w:w="108" w:type="dxa"/>
          </w:tblCellMar>
        </w:tblPrEx>
        <w:trPr>
          <w:wBefore w:w="0" w:type="auto"/>
          <w:jc w:val="center"/>
        </w:trPr>
        <w:tc>
          <w:tcPr>
            <w:tcW w:w="7794" w:type="dxa"/>
            <w:noWrap w:val="0"/>
            <w:vAlign w:val="top"/>
          </w:tcPr>
          <w:p>
            <w:pPr>
              <w:spacing w:after="120" w:line="276" w:lineRule="auto"/>
              <w:rPr>
                <w:rFonts w:ascii="Century Gothic" w:hAnsi="Century Gothic"/>
                <w:sz w:val="20"/>
                <w:szCs w:val="20"/>
              </w:rPr>
            </w:pPr>
            <w:r>
              <w:rPr>
                <w:rFonts w:ascii="Century Gothic" w:hAnsi="Century Gothic"/>
                <w:sz w:val="20"/>
                <w:szCs w:val="20"/>
              </w:rPr>
              <w:t>I.-…</w:t>
            </w:r>
          </w:p>
        </w:tc>
        <w:tc>
          <w:tcPr>
            <w:tcW w:w="1324" w:type="dxa"/>
            <w:noWrap w:val="0"/>
            <w:vAlign w:val="top"/>
          </w:tcPr>
          <w:p>
            <w:pPr>
              <w:spacing w:after="120" w:line="276" w:lineRule="auto"/>
              <w:jc w:val="center"/>
              <w:rPr>
                <w:rFonts w:ascii="Century Gothic" w:hAnsi="Century Gothic"/>
                <w:sz w:val="20"/>
                <w:szCs w:val="20"/>
              </w:rPr>
            </w:pPr>
          </w:p>
        </w:tc>
      </w:tr>
      <w:tr>
        <w:tblPrEx>
          <w:tblCellMar>
            <w:top w:w="0" w:type="dxa"/>
            <w:left w:w="108" w:type="dxa"/>
            <w:bottom w:w="0" w:type="dxa"/>
            <w:right w:w="108" w:type="dxa"/>
          </w:tblCellMar>
        </w:tblPrEx>
        <w:trPr>
          <w:wBefore w:w="0" w:type="auto"/>
          <w:trHeight w:val="580" w:hRule="atLeast"/>
          <w:jc w:val="center"/>
        </w:trPr>
        <w:tc>
          <w:tcPr>
            <w:tcW w:w="7794" w:type="dxa"/>
            <w:noWrap w:val="0"/>
            <w:vAlign w:val="center"/>
          </w:tcPr>
          <w:p>
            <w:pPr>
              <w:spacing w:after="120" w:line="276" w:lineRule="auto"/>
              <w:ind w:left="426" w:hanging="284"/>
              <w:rPr>
                <w:rFonts w:ascii="Century Gothic" w:hAnsi="Century Gothic"/>
                <w:sz w:val="20"/>
                <w:szCs w:val="20"/>
              </w:rPr>
            </w:pPr>
            <w:r>
              <w:rPr>
                <w:rFonts w:ascii="Century Gothic" w:hAnsi="Century Gothic"/>
                <w:sz w:val="20"/>
                <w:szCs w:val="20"/>
              </w:rPr>
              <w:t>a).-…</w:t>
            </w:r>
          </w:p>
        </w:tc>
        <w:tc>
          <w:tcPr>
            <w:tcW w:w="1324" w:type="dxa"/>
            <w:noWrap w:val="0"/>
            <w:vAlign w:val="center"/>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noWrap w:val="0"/>
            <w:vAlign w:val="top"/>
          </w:tcPr>
          <w:p>
            <w:pPr>
              <w:spacing w:after="120" w:line="276" w:lineRule="auto"/>
              <w:ind w:firstLine="142"/>
              <w:rPr>
                <w:rFonts w:ascii="Century Gothic" w:hAnsi="Century Gothic"/>
                <w:sz w:val="20"/>
                <w:szCs w:val="20"/>
              </w:rPr>
            </w:pPr>
            <w:r>
              <w:rPr>
                <w:rFonts w:ascii="Century Gothic" w:hAnsi="Century Gothic"/>
                <w:sz w:val="20"/>
                <w:szCs w:val="20"/>
              </w:rPr>
              <w:t>b).-…</w:t>
            </w:r>
          </w:p>
        </w:tc>
        <w:tc>
          <w:tcPr>
            <w:tcW w:w="1324" w:type="dxa"/>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noWrap w:val="0"/>
            <w:vAlign w:val="top"/>
          </w:tcPr>
          <w:p>
            <w:pPr>
              <w:tabs>
                <w:tab w:val="left" w:pos="7906"/>
              </w:tabs>
              <w:spacing w:after="120" w:line="276" w:lineRule="auto"/>
              <w:ind w:firstLine="142"/>
              <w:rPr>
                <w:rFonts w:ascii="Century Gothic" w:hAnsi="Century Gothic"/>
                <w:sz w:val="20"/>
                <w:szCs w:val="20"/>
              </w:rPr>
            </w:pPr>
            <w:r>
              <w:rPr>
                <w:rFonts w:ascii="Century Gothic" w:hAnsi="Century Gothic"/>
                <w:sz w:val="20"/>
                <w:szCs w:val="20"/>
              </w:rPr>
              <w:t>c).-…</w:t>
            </w:r>
          </w:p>
        </w:tc>
        <w:tc>
          <w:tcPr>
            <w:tcW w:w="1324" w:type="dxa"/>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350" w:hRule="atLeast"/>
          <w:jc w:val="center"/>
        </w:trPr>
        <w:tc>
          <w:tcPr>
            <w:tcW w:w="7794" w:type="dxa"/>
            <w:noWrap w:val="0"/>
            <w:vAlign w:val="top"/>
          </w:tcPr>
          <w:p>
            <w:pPr>
              <w:spacing w:after="120" w:line="276" w:lineRule="auto"/>
              <w:ind w:firstLine="142"/>
              <w:rPr>
                <w:rFonts w:ascii="Century Gothic" w:hAnsi="Century Gothic"/>
                <w:sz w:val="20"/>
                <w:szCs w:val="20"/>
              </w:rPr>
            </w:pPr>
            <w:r>
              <w:rPr>
                <w:rFonts w:ascii="Century Gothic" w:hAnsi="Century Gothic"/>
                <w:sz w:val="20"/>
                <w:szCs w:val="20"/>
              </w:rPr>
              <w:t>d).-…</w:t>
            </w:r>
          </w:p>
        </w:tc>
        <w:tc>
          <w:tcPr>
            <w:tcW w:w="1324" w:type="dxa"/>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9118" w:type="dxa"/>
            <w:gridSpan w:val="2"/>
            <w:tcBorders>
              <w:left w:val="nil"/>
              <w:bottom w:val="nil"/>
              <w:right w:val="nil"/>
            </w:tcBorders>
            <w:noWrap w:val="0"/>
            <w:vAlign w:val="top"/>
          </w:tcPr>
          <w:p>
            <w:pPr>
              <w:tabs>
                <w:tab w:val="right" w:leader="hyphen" w:pos="9214"/>
              </w:tabs>
              <w:spacing w:after="120" w:line="276" w:lineRule="auto"/>
              <w:rPr>
                <w:rFonts w:ascii="Century Gothic" w:hAnsi="Century Gothic"/>
                <w:sz w:val="20"/>
                <w:szCs w:val="20"/>
              </w:rPr>
            </w:pPr>
            <w:r>
              <w:rPr>
                <w:rFonts w:ascii="Century Gothic" w:hAnsi="Century Gothic"/>
                <w:sz w:val="20"/>
                <w:szCs w:val="20"/>
              </w:rPr>
              <w:t>II.- …</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left" w:pos="7961"/>
                <w:tab w:val="right" w:leader="hyphen" w:pos="9214"/>
              </w:tabs>
              <w:spacing w:after="120" w:line="276" w:lineRule="auto"/>
              <w:ind w:left="426" w:hanging="284"/>
              <w:rPr>
                <w:rFonts w:ascii="Century Gothic" w:hAnsi="Century Gothic"/>
                <w:sz w:val="20"/>
                <w:szCs w:val="20"/>
              </w:rPr>
            </w:pPr>
            <w:r>
              <w:rPr>
                <w:rFonts w:ascii="Century Gothic" w:hAnsi="Century Gothic"/>
                <w:sz w:val="20"/>
                <w:szCs w:val="20"/>
              </w:rPr>
              <w:t>a).-…</w:t>
            </w:r>
          </w:p>
        </w:tc>
        <w:tc>
          <w:tcPr>
            <w:tcW w:w="1324" w:type="dxa"/>
            <w:tcBorders>
              <w:top w:val="nil"/>
              <w:left w:val="nil"/>
              <w:bottom w:val="nil"/>
              <w:right w:val="nil"/>
            </w:tcBorders>
            <w:noWrap w:val="0"/>
            <w:vAlign w:val="center"/>
          </w:tcPr>
          <w:p>
            <w:pPr>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142"/>
              <w:rPr>
                <w:rFonts w:ascii="Century Gothic" w:hAnsi="Century Gothic"/>
                <w:sz w:val="20"/>
                <w:szCs w:val="20"/>
              </w:rPr>
            </w:pPr>
            <w:r>
              <w:rPr>
                <w:rFonts w:ascii="Century Gothic" w:hAnsi="Century Gothic"/>
                <w:sz w:val="20"/>
                <w:szCs w:val="20"/>
              </w:rPr>
              <w:t>b).-…</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142"/>
              <w:rPr>
                <w:rFonts w:ascii="Century Gothic" w:hAnsi="Century Gothic"/>
                <w:sz w:val="20"/>
                <w:szCs w:val="20"/>
              </w:rPr>
            </w:pPr>
            <w:r>
              <w:rPr>
                <w:rFonts w:ascii="Century Gothic" w:hAnsi="Century Gothic"/>
                <w:sz w:val="20"/>
                <w:szCs w:val="20"/>
              </w:rPr>
              <w:t>c).-…</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142"/>
              <w:rPr>
                <w:rFonts w:ascii="Century Gothic" w:hAnsi="Century Gothic"/>
                <w:sz w:val="20"/>
                <w:szCs w:val="20"/>
              </w:rPr>
            </w:pPr>
            <w:r>
              <w:rPr>
                <w:rFonts w:ascii="Century Gothic" w:hAnsi="Century Gothic"/>
                <w:sz w:val="20"/>
                <w:szCs w:val="20"/>
              </w:rPr>
              <w:t>d).-…</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545" w:hRule="atLeast"/>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142"/>
              <w:rPr>
                <w:rFonts w:ascii="Century Gothic" w:hAnsi="Century Gothic"/>
                <w:sz w:val="20"/>
                <w:szCs w:val="20"/>
              </w:rPr>
            </w:pPr>
            <w:r>
              <w:rPr>
                <w:rFonts w:ascii="Century Gothic" w:hAnsi="Century Gothic"/>
                <w:sz w:val="20"/>
                <w:szCs w:val="20"/>
              </w:rPr>
              <w:t>e).-…</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9118" w:type="dxa"/>
            <w:gridSpan w:val="2"/>
            <w:tcBorders>
              <w:top w:val="nil"/>
              <w:left w:val="nil"/>
              <w:bottom w:val="nil"/>
              <w:right w:val="nil"/>
            </w:tcBorders>
            <w:noWrap w:val="0"/>
            <w:vAlign w:val="top"/>
          </w:tcPr>
          <w:p>
            <w:pPr>
              <w:tabs>
                <w:tab w:val="right" w:leader="hyphen" w:pos="9214"/>
              </w:tabs>
              <w:spacing w:after="120" w:line="276" w:lineRule="auto"/>
              <w:rPr>
                <w:rFonts w:ascii="Century Gothic" w:hAnsi="Century Gothic"/>
                <w:sz w:val="20"/>
                <w:szCs w:val="20"/>
              </w:rPr>
            </w:pPr>
            <w:r>
              <w:rPr>
                <w:rFonts w:ascii="Century Gothic" w:hAnsi="Century Gothic"/>
                <w:sz w:val="20"/>
                <w:szCs w:val="20"/>
              </w:rPr>
              <w:t>III.-…</w:t>
            </w:r>
          </w:p>
        </w:tc>
      </w:tr>
      <w:tr>
        <w:tblPrEx>
          <w:tblCellMar>
            <w:top w:w="0" w:type="dxa"/>
            <w:left w:w="108" w:type="dxa"/>
            <w:bottom w:w="0" w:type="dxa"/>
            <w:right w:w="108" w:type="dxa"/>
          </w:tblCellMar>
        </w:tblPrEx>
        <w:trPr>
          <w:wBefore w:w="0" w:type="auto"/>
          <w:jc w:val="center"/>
        </w:trPr>
        <w:tc>
          <w:tcPr>
            <w:tcW w:w="9118" w:type="dxa"/>
            <w:gridSpan w:val="2"/>
            <w:tcBorders>
              <w:top w:val="nil"/>
              <w:left w:val="nil"/>
              <w:bottom w:val="nil"/>
              <w:right w:val="nil"/>
            </w:tcBorders>
            <w:noWrap w:val="0"/>
            <w:vAlign w:val="top"/>
          </w:tcPr>
          <w:p>
            <w:pPr>
              <w:tabs>
                <w:tab w:val="right" w:leader="hyphen" w:pos="9214"/>
              </w:tabs>
              <w:spacing w:after="120" w:line="276" w:lineRule="auto"/>
              <w:ind w:firstLine="172"/>
              <w:rPr>
                <w:rFonts w:ascii="Century Gothic" w:hAnsi="Century Gothic"/>
                <w:sz w:val="20"/>
                <w:szCs w:val="20"/>
              </w:rPr>
            </w:pPr>
            <w:r>
              <w:rPr>
                <w:rFonts w:ascii="Century Gothic" w:hAnsi="Century Gothic"/>
                <w:sz w:val="20"/>
                <w:szCs w:val="20"/>
              </w:rPr>
              <w:t>a).-…</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center"/>
          </w:tcPr>
          <w:p>
            <w:pPr>
              <w:spacing w:after="0" w:line="276" w:lineRule="auto"/>
              <w:ind w:left="284"/>
              <w:jc w:val="left"/>
              <w:rPr>
                <w:rFonts w:ascii="Century Gothic" w:hAnsi="Century Gothic"/>
                <w:sz w:val="20"/>
                <w:szCs w:val="20"/>
              </w:rPr>
            </w:pPr>
            <w:r>
              <w:rPr>
                <w:rFonts w:ascii="Century Gothic" w:hAnsi="Century Gothic"/>
                <w:sz w:val="20"/>
                <w:szCs w:val="20"/>
              </w:rPr>
              <w:t>1.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center"/>
          </w:tcPr>
          <w:p>
            <w:pPr>
              <w:spacing w:after="0" w:line="276" w:lineRule="auto"/>
              <w:ind w:left="284"/>
              <w:jc w:val="left"/>
              <w:rPr>
                <w:rFonts w:ascii="Century Gothic" w:hAnsi="Century Gothic"/>
                <w:sz w:val="20"/>
                <w:szCs w:val="20"/>
              </w:rPr>
            </w:pPr>
            <w:r>
              <w:rPr>
                <w:rFonts w:ascii="Century Gothic" w:hAnsi="Century Gothic"/>
                <w:sz w:val="20"/>
                <w:szCs w:val="20"/>
              </w:rPr>
              <w:t>2.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center"/>
          </w:tcPr>
          <w:p>
            <w:pPr>
              <w:spacing w:after="0" w:line="276" w:lineRule="auto"/>
              <w:ind w:left="284"/>
              <w:jc w:val="left"/>
              <w:rPr>
                <w:rFonts w:ascii="Century Gothic" w:hAnsi="Century Gothic"/>
                <w:sz w:val="20"/>
                <w:szCs w:val="20"/>
              </w:rPr>
            </w:pPr>
            <w:r>
              <w:rPr>
                <w:rFonts w:ascii="Century Gothic" w:hAnsi="Century Gothic"/>
                <w:sz w:val="20"/>
                <w:szCs w:val="20"/>
              </w:rPr>
              <w:t>3.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center"/>
          </w:tcPr>
          <w:p>
            <w:pPr>
              <w:spacing w:after="0" w:line="276" w:lineRule="auto"/>
              <w:ind w:left="284"/>
              <w:jc w:val="left"/>
              <w:rPr>
                <w:rFonts w:ascii="Century Gothic" w:hAnsi="Century Gothic"/>
                <w:sz w:val="20"/>
                <w:szCs w:val="20"/>
              </w:rPr>
            </w:pPr>
            <w:r>
              <w:rPr>
                <w:rFonts w:ascii="Century Gothic" w:hAnsi="Century Gothic"/>
                <w:sz w:val="20"/>
                <w:szCs w:val="20"/>
              </w:rPr>
              <w:t>4.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9118" w:type="dxa"/>
            <w:gridSpan w:val="2"/>
            <w:tcBorders>
              <w:top w:val="nil"/>
              <w:left w:val="nil"/>
              <w:bottom w:val="nil"/>
              <w:right w:val="nil"/>
            </w:tcBorders>
            <w:noWrap w:val="0"/>
            <w:vAlign w:val="center"/>
          </w:tcPr>
          <w:p>
            <w:pPr>
              <w:tabs>
                <w:tab w:val="right" w:leader="hyphen" w:pos="9214"/>
              </w:tabs>
              <w:spacing w:after="120" w:line="276" w:lineRule="auto"/>
              <w:jc w:val="left"/>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9118" w:type="dxa"/>
            <w:gridSpan w:val="2"/>
            <w:tcBorders>
              <w:top w:val="nil"/>
              <w:left w:val="nil"/>
              <w:bottom w:val="nil"/>
              <w:right w:val="nil"/>
            </w:tcBorders>
            <w:noWrap w:val="0"/>
            <w:vAlign w:val="center"/>
          </w:tcPr>
          <w:p>
            <w:pPr>
              <w:tabs>
                <w:tab w:val="left" w:pos="270"/>
                <w:tab w:val="right" w:leader="hyphen" w:pos="9214"/>
              </w:tabs>
              <w:spacing w:after="120" w:line="276" w:lineRule="auto"/>
              <w:jc w:val="left"/>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9118" w:type="dxa"/>
            <w:gridSpan w:val="2"/>
            <w:tcBorders>
              <w:top w:val="nil"/>
              <w:left w:val="nil"/>
              <w:bottom w:val="nil"/>
              <w:right w:val="nil"/>
            </w:tcBorders>
            <w:noWrap w:val="0"/>
            <w:vAlign w:val="top"/>
          </w:tcPr>
          <w:p>
            <w:pPr>
              <w:tabs>
                <w:tab w:val="right" w:leader="hyphen" w:pos="9214"/>
              </w:tabs>
              <w:spacing w:after="120" w:line="276" w:lineRule="auto"/>
              <w:ind w:firstLine="142"/>
              <w:rPr>
                <w:rFonts w:ascii="Century Gothic" w:hAnsi="Century Gothic"/>
                <w:sz w:val="20"/>
                <w:szCs w:val="20"/>
              </w:rPr>
            </w:pPr>
            <w:r>
              <w:rPr>
                <w:rFonts w:ascii="Century Gothic" w:hAnsi="Century Gothic"/>
                <w:sz w:val="20"/>
                <w:szCs w:val="20"/>
              </w:rPr>
              <w:t>b).-…</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1.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312" w:hRule="atLeast"/>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2.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3. …</w:t>
            </w:r>
          </w:p>
        </w:tc>
        <w:tc>
          <w:tcPr>
            <w:tcW w:w="1324" w:type="dxa"/>
            <w:tcBorders>
              <w:top w:val="nil"/>
              <w:left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4. …</w:t>
            </w:r>
          </w:p>
        </w:tc>
        <w:tc>
          <w:tcPr>
            <w:tcW w:w="1324" w:type="dxa"/>
            <w:noWrap w:val="0"/>
            <w:vAlign w:val="top"/>
          </w:tcPr>
          <w:p>
            <w:pPr>
              <w:tabs>
                <w:tab w:val="right" w:leader="hyphen" w:pos="9214"/>
              </w:tabs>
              <w:spacing w:after="120" w:line="276" w:lineRule="auto"/>
              <w:ind w:firstLine="19"/>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noWrap w:val="0"/>
            <w:vAlign w:val="top"/>
          </w:tcPr>
          <w:p>
            <w:pPr>
              <w:tabs>
                <w:tab w:val="right" w:leader="hyphen" w:pos="9214"/>
              </w:tabs>
              <w:spacing w:after="120" w:line="276" w:lineRule="auto"/>
              <w:ind w:firstLine="142"/>
              <w:rPr>
                <w:rFonts w:ascii="Century Gothic" w:hAnsi="Century Gothic"/>
                <w:sz w:val="20"/>
                <w:szCs w:val="20"/>
              </w:rPr>
            </w:pPr>
            <w:r>
              <w:rPr>
                <w:rFonts w:ascii="Century Gothic" w:hAnsi="Century Gothic"/>
                <w:sz w:val="20"/>
                <w:szCs w:val="20"/>
              </w:rPr>
              <w:t>c).- …</w:t>
            </w:r>
          </w:p>
        </w:tc>
        <w:tc>
          <w:tcPr>
            <w:tcW w:w="1324" w:type="dxa"/>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9118" w:type="dxa"/>
            <w:gridSpan w:val="2"/>
            <w:tcBorders>
              <w:left w:val="nil"/>
              <w:bottom w:val="nil"/>
              <w:right w:val="nil"/>
            </w:tcBorders>
            <w:noWrap w:val="0"/>
            <w:vAlign w:val="top"/>
          </w:tcPr>
          <w:p>
            <w:pPr>
              <w:tabs>
                <w:tab w:val="right" w:leader="hyphen" w:pos="9214"/>
              </w:tabs>
              <w:spacing w:after="120" w:line="276" w:lineRule="auto"/>
              <w:ind w:firstLine="142"/>
              <w:rPr>
                <w:rFonts w:ascii="Century Gothic" w:hAnsi="Century Gothic"/>
                <w:sz w:val="20"/>
                <w:szCs w:val="20"/>
              </w:rPr>
            </w:pPr>
            <w:r>
              <w:rPr>
                <w:rFonts w:ascii="Century Gothic" w:hAnsi="Century Gothic"/>
                <w:sz w:val="20"/>
                <w:szCs w:val="20"/>
              </w:rPr>
              <w:t>d).- …</w:t>
            </w:r>
          </w:p>
        </w:tc>
      </w:tr>
      <w:tr>
        <w:tblPrEx>
          <w:tblCellMar>
            <w:top w:w="0" w:type="dxa"/>
            <w:left w:w="108" w:type="dxa"/>
            <w:bottom w:w="0" w:type="dxa"/>
            <w:right w:w="108" w:type="dxa"/>
          </w:tblCellMar>
        </w:tblPrEx>
        <w:trPr>
          <w:wBefore w:w="0" w:type="auto"/>
          <w:trHeight w:val="391" w:hRule="atLeast"/>
          <w:jc w:val="center"/>
        </w:trPr>
        <w:tc>
          <w:tcPr>
            <w:tcW w:w="9118" w:type="dxa"/>
            <w:gridSpan w:val="2"/>
            <w:tcBorders>
              <w:top w:val="nil"/>
              <w:left w:val="nil"/>
              <w:bottom w:val="nil"/>
              <w:right w:val="nil"/>
            </w:tcBorders>
            <w:noWrap w:val="0"/>
            <w:vAlign w:val="center"/>
          </w:tcPr>
          <w:p>
            <w:pPr>
              <w:tabs>
                <w:tab w:val="right" w:leader="hyphen" w:pos="9214"/>
              </w:tabs>
              <w:spacing w:line="276" w:lineRule="auto"/>
              <w:ind w:left="314"/>
              <w:rPr>
                <w:rFonts w:ascii="Century Gothic" w:hAnsi="Century Gothic"/>
                <w:sz w:val="20"/>
                <w:szCs w:val="20"/>
              </w:rPr>
            </w:pPr>
            <w:r>
              <w:rPr>
                <w:rFonts w:ascii="Century Gothic" w:hAnsi="Century Gothic"/>
                <w:sz w:val="20"/>
                <w:szCs w:val="20"/>
              </w:rPr>
              <w:t>1. …</w:t>
            </w:r>
          </w:p>
        </w:tc>
      </w:tr>
      <w:tr>
        <w:tblPrEx>
          <w:tblCellMar>
            <w:top w:w="0" w:type="dxa"/>
            <w:left w:w="108" w:type="dxa"/>
            <w:bottom w:w="0" w:type="dxa"/>
            <w:right w:w="108" w:type="dxa"/>
          </w:tblCellMar>
        </w:tblPrEx>
        <w:trPr>
          <w:wBefore w:w="0" w:type="auto"/>
          <w:jc w:val="center"/>
        </w:trPr>
        <w:tc>
          <w:tcPr>
            <w:tcW w:w="9118" w:type="dxa"/>
            <w:gridSpan w:val="2"/>
            <w:tcBorders>
              <w:top w:val="nil"/>
              <w:left w:val="nil"/>
              <w:bottom w:val="nil"/>
              <w:right w:val="nil"/>
            </w:tcBorders>
            <w:noWrap w:val="0"/>
            <w:vAlign w:val="top"/>
          </w:tcPr>
          <w:p>
            <w:pPr>
              <w:tabs>
                <w:tab w:val="right" w:leader="hyphen" w:pos="9214"/>
              </w:tabs>
              <w:spacing w:line="276" w:lineRule="auto"/>
              <w:ind w:left="314"/>
              <w:rPr>
                <w:rFonts w:ascii="Century Gothic" w:hAnsi="Century Gothic"/>
                <w:sz w:val="20"/>
                <w:szCs w:val="20"/>
              </w:rPr>
            </w:pPr>
            <w:r>
              <w:rPr>
                <w:rFonts w:ascii="Century Gothic" w:hAnsi="Century Gothic"/>
                <w:sz w:val="20"/>
                <w:szCs w:val="20"/>
              </w:rPr>
              <w:t>2. …</w:t>
            </w:r>
          </w:p>
        </w:tc>
      </w:tr>
      <w:tr>
        <w:tblPrEx>
          <w:tblCellMar>
            <w:top w:w="0" w:type="dxa"/>
            <w:left w:w="108" w:type="dxa"/>
            <w:bottom w:w="0" w:type="dxa"/>
            <w:right w:w="108" w:type="dxa"/>
          </w:tblCellMar>
        </w:tblPrEx>
        <w:trPr>
          <w:wBefore w:w="0" w:type="auto"/>
          <w:trHeight w:val="427" w:hRule="atLeast"/>
          <w:jc w:val="center"/>
        </w:trPr>
        <w:tc>
          <w:tcPr>
            <w:tcW w:w="7794" w:type="dxa"/>
            <w:tcBorders>
              <w:top w:val="nil"/>
              <w:left w:val="nil"/>
              <w:bottom w:val="nil"/>
              <w:right w:val="nil"/>
            </w:tcBorders>
            <w:noWrap w:val="0"/>
            <w:vAlign w:val="top"/>
          </w:tcPr>
          <w:p>
            <w:pPr>
              <w:tabs>
                <w:tab w:val="left" w:pos="7961"/>
                <w:tab w:val="left" w:pos="8124"/>
              </w:tabs>
              <w:spacing w:after="120" w:line="276" w:lineRule="auto"/>
              <w:ind w:left="567" w:hanging="425"/>
              <w:rPr>
                <w:rFonts w:ascii="Century Gothic" w:hAnsi="Century Gothic"/>
                <w:sz w:val="20"/>
                <w:szCs w:val="20"/>
              </w:rPr>
            </w:pPr>
            <w:r>
              <w:rPr>
                <w:rFonts w:ascii="Century Gothic" w:hAnsi="Century Gothic"/>
                <w:sz w:val="20"/>
                <w:szCs w:val="20"/>
              </w:rPr>
              <w:t>e).- …</w:t>
            </w:r>
          </w:p>
        </w:tc>
        <w:tc>
          <w:tcPr>
            <w:tcW w:w="1324" w:type="dxa"/>
            <w:tcBorders>
              <w:top w:val="nil"/>
              <w:left w:val="nil"/>
              <w:bottom w:val="nil"/>
              <w:right w:val="nil"/>
            </w:tcBorders>
            <w:noWrap w:val="0"/>
            <w:vAlign w:val="bottom"/>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spacing w:after="120" w:line="276" w:lineRule="auto"/>
              <w:ind w:left="172"/>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bottom"/>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9118" w:type="dxa"/>
            <w:gridSpan w:val="2"/>
            <w:tcBorders>
              <w:top w:val="nil"/>
              <w:left w:val="nil"/>
              <w:right w:val="nil"/>
            </w:tcBorders>
            <w:noWrap w:val="0"/>
            <w:vAlign w:val="top"/>
          </w:tcPr>
          <w:p>
            <w:pPr>
              <w:tabs>
                <w:tab w:val="right" w:leader="hyphen" w:pos="9214"/>
              </w:tabs>
              <w:spacing w:line="276" w:lineRule="auto"/>
              <w:ind w:firstLine="142"/>
              <w:rPr>
                <w:rFonts w:ascii="Century Gothic" w:hAnsi="Century Gothic"/>
                <w:sz w:val="20"/>
                <w:szCs w:val="20"/>
              </w:rPr>
            </w:pPr>
            <w:r>
              <w:rPr>
                <w:rFonts w:ascii="Century Gothic" w:hAnsi="Century Gothic"/>
                <w:sz w:val="20"/>
                <w:szCs w:val="20"/>
              </w:rPr>
              <w:t>f).- …</w:t>
            </w:r>
          </w:p>
        </w:tc>
      </w:tr>
      <w:tr>
        <w:tblPrEx>
          <w:tblCellMar>
            <w:top w:w="0" w:type="dxa"/>
            <w:left w:w="108" w:type="dxa"/>
            <w:bottom w:w="0" w:type="dxa"/>
            <w:right w:w="108" w:type="dxa"/>
          </w:tblCellMar>
        </w:tblPrEx>
        <w:trPr>
          <w:wBefore w:w="0" w:type="auto"/>
          <w:jc w:val="center"/>
        </w:trPr>
        <w:tc>
          <w:tcPr>
            <w:tcW w:w="7794" w:type="dxa"/>
            <w:noWrap w:val="0"/>
            <w:vAlign w:val="top"/>
          </w:tcPr>
          <w:p>
            <w:pPr>
              <w:spacing w:after="120" w:line="276" w:lineRule="auto"/>
              <w:ind w:firstLine="314"/>
              <w:rPr>
                <w:rFonts w:ascii="Century Gothic" w:hAnsi="Century Gothic"/>
                <w:sz w:val="20"/>
                <w:szCs w:val="20"/>
              </w:rPr>
            </w:pPr>
            <w:r>
              <w:rPr>
                <w:rFonts w:ascii="Century Gothic" w:hAnsi="Century Gothic"/>
                <w:sz w:val="20"/>
                <w:szCs w:val="20"/>
              </w:rPr>
              <w:t>1. …</w:t>
            </w:r>
          </w:p>
        </w:tc>
        <w:tc>
          <w:tcPr>
            <w:tcW w:w="1324" w:type="dxa"/>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dxa"/>
          <w:trHeight w:val="266" w:hRule="atLeast"/>
          <w:jc w:val="center"/>
        </w:trPr>
        <w:tc>
          <w:tcPr>
            <w:tcW w:w="9118" w:type="dxa"/>
            <w:gridSpan w:val="2"/>
            <w:noWrap w:val="0"/>
            <w:vAlign w:val="top"/>
          </w:tcPr>
          <w:p>
            <w:pPr>
              <w:tabs>
                <w:tab w:val="right" w:leader="hyphen" w:pos="9214"/>
              </w:tabs>
              <w:spacing w:line="276" w:lineRule="auto"/>
              <w:ind w:firstLine="314"/>
              <w:jc w:val="left"/>
              <w:rPr>
                <w:rFonts w:ascii="Century Gothic" w:hAnsi="Century Gothic"/>
                <w:sz w:val="20"/>
                <w:szCs w:val="20"/>
              </w:rPr>
            </w:pPr>
            <w:r>
              <w:rPr>
                <w:rFonts w:ascii="Century Gothic" w:hAnsi="Century Gothic"/>
                <w:sz w:val="20"/>
                <w:szCs w:val="20"/>
              </w:rPr>
              <w:t>2. …</w:t>
            </w:r>
          </w:p>
        </w:tc>
      </w:tr>
      <w:tr>
        <w:tblPrEx>
          <w:tblCellMar>
            <w:top w:w="0" w:type="dxa"/>
            <w:left w:w="108" w:type="dxa"/>
            <w:bottom w:w="0" w:type="dxa"/>
            <w:right w:w="108" w:type="dxa"/>
          </w:tblCellMar>
        </w:tblPrEx>
        <w:trPr>
          <w:wBefore w:w="0" w:type="auto"/>
          <w:jc w:val="center"/>
        </w:trPr>
        <w:tc>
          <w:tcPr>
            <w:tcW w:w="7794" w:type="dxa"/>
            <w:tcBorders>
              <w:left w:val="nil"/>
              <w:bottom w:val="nil"/>
              <w:right w:val="nil"/>
            </w:tcBorders>
            <w:noWrap w:val="0"/>
            <w:vAlign w:val="top"/>
          </w:tcPr>
          <w:p>
            <w:pPr>
              <w:spacing w:after="120" w:line="276" w:lineRule="auto"/>
              <w:ind w:firstLine="456"/>
              <w:rPr>
                <w:rFonts w:ascii="Century Gothic" w:hAnsi="Century Gothic"/>
                <w:sz w:val="20"/>
                <w:szCs w:val="20"/>
              </w:rPr>
            </w:pPr>
            <w:r>
              <w:rPr>
                <w:rFonts w:ascii="Century Gothic" w:hAnsi="Century Gothic"/>
                <w:sz w:val="20"/>
                <w:szCs w:val="20"/>
              </w:rPr>
              <w:t>…</w:t>
            </w:r>
          </w:p>
        </w:tc>
        <w:tc>
          <w:tcPr>
            <w:tcW w:w="1324" w:type="dxa"/>
            <w:tcBorders>
              <w:left w:val="nil"/>
              <w:bottom w:val="nil"/>
              <w:right w:val="nil"/>
            </w:tcBorders>
            <w:noWrap w:val="0"/>
            <w:vAlign w:val="top"/>
          </w:tcPr>
          <w:p>
            <w:pPr>
              <w:tabs>
                <w:tab w:val="right" w:leader="hyphen" w:pos="9214"/>
              </w:tabs>
              <w:spacing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spacing w:after="120" w:line="276" w:lineRule="auto"/>
              <w:ind w:firstLine="456"/>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spacing w:after="120" w:line="276" w:lineRule="auto"/>
              <w:ind w:firstLine="456"/>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top"/>
          </w:tcPr>
          <w:p>
            <w:pPr>
              <w:tabs>
                <w:tab w:val="right" w:leader="hyphen" w:pos="9214"/>
              </w:tabs>
              <w:spacing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9118" w:type="dxa"/>
            <w:gridSpan w:val="2"/>
            <w:tcBorders>
              <w:top w:val="nil"/>
              <w:left w:val="nil"/>
              <w:bottom w:val="nil"/>
              <w:right w:val="nil"/>
            </w:tcBorders>
            <w:noWrap w:val="0"/>
            <w:vAlign w:val="top"/>
          </w:tcPr>
          <w:p>
            <w:pPr>
              <w:tabs>
                <w:tab w:val="right" w:leader="hyphen" w:pos="9214"/>
              </w:tabs>
              <w:spacing w:line="276" w:lineRule="auto"/>
              <w:ind w:firstLine="456"/>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spacing w:after="120" w:line="276" w:lineRule="auto"/>
              <w:ind w:firstLine="142"/>
              <w:rPr>
                <w:rFonts w:ascii="Century Gothic" w:hAnsi="Century Gothic"/>
                <w:sz w:val="20"/>
                <w:szCs w:val="20"/>
              </w:rPr>
            </w:pPr>
            <w:r>
              <w:rPr>
                <w:rFonts w:ascii="Century Gothic" w:hAnsi="Century Gothic"/>
                <w:sz w:val="20"/>
                <w:szCs w:val="20"/>
              </w:rPr>
              <w:t>g).-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spacing w:after="120" w:line="276" w:lineRule="auto"/>
              <w:ind w:firstLine="142"/>
              <w:rPr>
                <w:rFonts w:ascii="Century Gothic" w:hAnsi="Century Gothic"/>
                <w:sz w:val="20"/>
                <w:szCs w:val="20"/>
              </w:rPr>
            </w:pPr>
            <w:r>
              <w:rPr>
                <w:rFonts w:ascii="Century Gothic" w:hAnsi="Century Gothic"/>
                <w:sz w:val="20"/>
                <w:szCs w:val="20"/>
              </w:rPr>
              <w:t>h).-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spacing w:after="120" w:line="276" w:lineRule="auto"/>
              <w:ind w:firstLine="142"/>
              <w:rPr>
                <w:rFonts w:ascii="Century Gothic" w:hAnsi="Century Gothic"/>
                <w:sz w:val="20"/>
                <w:szCs w:val="20"/>
              </w:rPr>
            </w:pPr>
            <w:r>
              <w:rPr>
                <w:rFonts w:ascii="Century Gothic" w:hAnsi="Century Gothic"/>
                <w:sz w:val="20"/>
                <w:szCs w:val="20"/>
              </w:rPr>
              <w:t>i).-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369" w:hRule="atLeast"/>
          <w:jc w:val="center"/>
        </w:trPr>
        <w:tc>
          <w:tcPr>
            <w:tcW w:w="7794" w:type="dxa"/>
            <w:tcBorders>
              <w:top w:val="nil"/>
              <w:left w:val="nil"/>
              <w:bottom w:val="nil"/>
              <w:right w:val="nil"/>
            </w:tcBorders>
            <w:noWrap w:val="0"/>
            <w:vAlign w:val="top"/>
          </w:tcPr>
          <w:p>
            <w:pPr>
              <w:spacing w:after="120" w:line="276" w:lineRule="auto"/>
              <w:ind w:firstLine="142"/>
              <w:rPr>
                <w:rFonts w:ascii="Century Gothic" w:hAnsi="Century Gothic"/>
                <w:sz w:val="20"/>
                <w:szCs w:val="20"/>
              </w:rPr>
            </w:pPr>
            <w:r>
              <w:rPr>
                <w:rFonts w:ascii="Century Gothic" w:hAnsi="Century Gothic"/>
                <w:sz w:val="20"/>
                <w:szCs w:val="20"/>
              </w:rPr>
              <w:t>j).-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418" w:hRule="atLeast"/>
          <w:jc w:val="center"/>
        </w:trPr>
        <w:tc>
          <w:tcPr>
            <w:tcW w:w="7794" w:type="dxa"/>
            <w:tcBorders>
              <w:top w:val="nil"/>
              <w:left w:val="nil"/>
              <w:bottom w:val="nil"/>
              <w:right w:val="nil"/>
            </w:tcBorders>
            <w:noWrap w:val="0"/>
            <w:vAlign w:val="top"/>
          </w:tcPr>
          <w:p>
            <w:pPr>
              <w:spacing w:after="120" w:line="276" w:lineRule="auto"/>
              <w:ind w:firstLine="142"/>
              <w:rPr>
                <w:rFonts w:ascii="Century Gothic" w:hAnsi="Century Gothic"/>
                <w:sz w:val="20"/>
                <w:szCs w:val="20"/>
              </w:rPr>
            </w:pPr>
            <w:r>
              <w:rPr>
                <w:rFonts w:ascii="Century Gothic" w:hAnsi="Century Gothic"/>
                <w:sz w:val="20"/>
                <w:szCs w:val="20"/>
              </w:rPr>
              <w:t>k).-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418" w:hRule="atLeast"/>
          <w:jc w:val="center"/>
        </w:trPr>
        <w:tc>
          <w:tcPr>
            <w:tcW w:w="7794" w:type="dxa"/>
            <w:tcBorders>
              <w:top w:val="nil"/>
              <w:left w:val="nil"/>
              <w:bottom w:val="nil"/>
              <w:right w:val="nil"/>
            </w:tcBorders>
            <w:noWrap w:val="0"/>
            <w:vAlign w:val="top"/>
          </w:tcPr>
          <w:p>
            <w:pPr>
              <w:spacing w:after="120" w:line="276" w:lineRule="auto"/>
              <w:ind w:firstLine="142"/>
              <w:rPr>
                <w:rFonts w:ascii="Century Gothic" w:hAnsi="Century Gothic"/>
                <w:sz w:val="20"/>
                <w:szCs w:val="20"/>
              </w:rPr>
            </w:pPr>
            <w:r>
              <w:rPr>
                <w:rFonts w:ascii="Century Gothic" w:hAnsi="Century Gothic"/>
                <w:sz w:val="20"/>
                <w:szCs w:val="20"/>
              </w:rPr>
              <w:t>l).- Diligencia de perito empadronado</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1.0</w:t>
            </w:r>
          </w:p>
        </w:tc>
      </w:tr>
      <w:tr>
        <w:tblPrEx>
          <w:tblCellMar>
            <w:top w:w="0" w:type="dxa"/>
            <w:left w:w="108" w:type="dxa"/>
            <w:bottom w:w="0" w:type="dxa"/>
            <w:right w:w="108" w:type="dxa"/>
          </w:tblCellMar>
        </w:tblPrEx>
        <w:trPr>
          <w:wBefore w:w="0" w:type="auto"/>
          <w:trHeight w:val="282" w:hRule="atLeast"/>
          <w:jc w:val="center"/>
        </w:trPr>
        <w:tc>
          <w:tcPr>
            <w:tcW w:w="9118" w:type="dxa"/>
            <w:gridSpan w:val="2"/>
            <w:tcBorders>
              <w:top w:val="nil"/>
              <w:left w:val="nil"/>
              <w:bottom w:val="nil"/>
              <w:right w:val="nil"/>
            </w:tcBorders>
            <w:noWrap w:val="0"/>
            <w:vAlign w:val="top"/>
          </w:tcPr>
          <w:p>
            <w:pPr>
              <w:tabs>
                <w:tab w:val="right" w:leader="hyphen" w:pos="9214"/>
              </w:tabs>
              <w:spacing w:after="120" w:line="276" w:lineRule="auto"/>
              <w:jc w:val="left"/>
              <w:rPr>
                <w:rFonts w:ascii="Century Gothic" w:hAnsi="Century Gothic"/>
                <w:sz w:val="20"/>
                <w:szCs w:val="20"/>
              </w:rPr>
            </w:pPr>
            <w:r>
              <w:rPr>
                <w:rFonts w:ascii="Century Gothic" w:hAnsi="Century Gothic"/>
                <w:sz w:val="20"/>
                <w:szCs w:val="20"/>
              </w:rPr>
              <w:t>IV.- …</w:t>
            </w:r>
          </w:p>
        </w:tc>
      </w:tr>
      <w:tr>
        <w:tblPrEx>
          <w:tblCellMar>
            <w:top w:w="0" w:type="dxa"/>
            <w:left w:w="108" w:type="dxa"/>
            <w:bottom w:w="0" w:type="dxa"/>
            <w:right w:w="108" w:type="dxa"/>
          </w:tblCellMar>
        </w:tblPrEx>
        <w:trPr>
          <w:wBefore w:w="0" w:type="auto"/>
          <w:trHeight w:val="344" w:hRule="atLeast"/>
          <w:jc w:val="center"/>
        </w:trPr>
        <w:tc>
          <w:tcPr>
            <w:tcW w:w="7794" w:type="dxa"/>
            <w:tcBorders>
              <w:top w:val="nil"/>
              <w:left w:val="nil"/>
              <w:bottom w:val="nil"/>
              <w:right w:val="nil"/>
            </w:tcBorders>
            <w:noWrap w:val="0"/>
            <w:vAlign w:val="top"/>
          </w:tcPr>
          <w:p>
            <w:pPr>
              <w:spacing w:after="120" w:line="276" w:lineRule="auto"/>
              <w:ind w:firstLine="122"/>
              <w:rPr>
                <w:rFonts w:ascii="Century Gothic" w:hAnsi="Century Gothic"/>
                <w:sz w:val="20"/>
                <w:szCs w:val="20"/>
              </w:rPr>
            </w:pPr>
            <w:r>
              <w:rPr>
                <w:rFonts w:ascii="Century Gothic" w:hAnsi="Century Gothic"/>
                <w:sz w:val="20"/>
                <w:szCs w:val="20"/>
              </w:rPr>
              <w:t>a).-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420" w:hRule="atLeast"/>
          <w:jc w:val="center"/>
        </w:trPr>
        <w:tc>
          <w:tcPr>
            <w:tcW w:w="7794" w:type="dxa"/>
            <w:tcBorders>
              <w:top w:val="nil"/>
              <w:left w:val="nil"/>
              <w:bottom w:val="nil"/>
              <w:right w:val="nil"/>
            </w:tcBorders>
            <w:noWrap w:val="0"/>
            <w:vAlign w:val="top"/>
          </w:tcPr>
          <w:p>
            <w:pPr>
              <w:spacing w:after="120" w:line="276" w:lineRule="auto"/>
              <w:ind w:firstLine="122"/>
              <w:rPr>
                <w:rFonts w:ascii="Century Gothic" w:hAnsi="Century Gothic"/>
                <w:sz w:val="20"/>
                <w:szCs w:val="20"/>
              </w:rPr>
            </w:pPr>
            <w:r>
              <w:rPr>
                <w:rFonts w:ascii="Century Gothic" w:hAnsi="Century Gothic"/>
                <w:sz w:val="20"/>
                <w:szCs w:val="20"/>
              </w:rPr>
              <w:t>b).-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517" w:hRule="atLeast"/>
          <w:jc w:val="center"/>
        </w:trPr>
        <w:tc>
          <w:tcPr>
            <w:tcW w:w="7794" w:type="dxa"/>
            <w:tcBorders>
              <w:top w:val="nil"/>
              <w:left w:val="nil"/>
              <w:bottom w:val="nil"/>
              <w:right w:val="nil"/>
            </w:tcBorders>
            <w:noWrap w:val="0"/>
            <w:vAlign w:val="top"/>
          </w:tcPr>
          <w:p>
            <w:pPr>
              <w:spacing w:after="120" w:line="276" w:lineRule="auto"/>
              <w:rPr>
                <w:rFonts w:ascii="Century Gothic" w:hAnsi="Century Gothic"/>
                <w:sz w:val="20"/>
                <w:szCs w:val="20"/>
              </w:rPr>
            </w:pPr>
            <w:r>
              <w:rPr>
                <w:rFonts w:ascii="Century Gothic" w:hAnsi="Century Gothic"/>
                <w:sz w:val="20"/>
                <w:szCs w:val="20"/>
              </w:rPr>
              <w:t>V.-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281" w:hRule="atLeast"/>
          <w:jc w:val="center"/>
        </w:trPr>
        <w:tc>
          <w:tcPr>
            <w:tcW w:w="9118" w:type="dxa"/>
            <w:gridSpan w:val="2"/>
            <w:tcBorders>
              <w:top w:val="nil"/>
              <w:left w:val="nil"/>
              <w:bottom w:val="nil"/>
              <w:right w:val="nil"/>
            </w:tcBorders>
            <w:noWrap w:val="0"/>
            <w:vAlign w:val="top"/>
          </w:tcPr>
          <w:p>
            <w:pPr>
              <w:tabs>
                <w:tab w:val="right" w:leader="hyphen" w:pos="9214"/>
              </w:tabs>
              <w:spacing w:after="120" w:line="276" w:lineRule="auto"/>
              <w:rPr>
                <w:rFonts w:ascii="Century Gothic" w:hAnsi="Century Gothic"/>
                <w:sz w:val="20"/>
                <w:szCs w:val="20"/>
              </w:rPr>
            </w:pPr>
            <w:r>
              <w:rPr>
                <w:rFonts w:ascii="Century Gothic" w:hAnsi="Century Gothic"/>
                <w:sz w:val="20"/>
                <w:szCs w:val="20"/>
              </w:rPr>
              <w:t>VI.- …</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142"/>
              <w:rPr>
                <w:rFonts w:ascii="Century Gothic" w:hAnsi="Century Gothic"/>
                <w:sz w:val="20"/>
                <w:szCs w:val="20"/>
              </w:rPr>
            </w:pPr>
            <w:r>
              <w:rPr>
                <w:rFonts w:ascii="Century Gothic" w:hAnsi="Century Gothic"/>
                <w:sz w:val="20"/>
                <w:szCs w:val="20"/>
              </w:rPr>
              <w:t>a).-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142"/>
              <w:rPr>
                <w:rFonts w:ascii="Century Gothic" w:hAnsi="Century Gothic"/>
                <w:sz w:val="20"/>
                <w:szCs w:val="20"/>
              </w:rPr>
            </w:pPr>
            <w:r>
              <w:rPr>
                <w:rFonts w:ascii="Century Gothic" w:hAnsi="Century Gothic"/>
                <w:sz w:val="20"/>
                <w:szCs w:val="20"/>
              </w:rPr>
              <w:t>b).-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295" w:hRule="atLeast"/>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142"/>
              <w:rPr>
                <w:rFonts w:ascii="Century Gothic" w:hAnsi="Century Gothic"/>
                <w:sz w:val="20"/>
                <w:szCs w:val="20"/>
              </w:rPr>
            </w:pPr>
            <w:r>
              <w:rPr>
                <w:rFonts w:ascii="Century Gothic" w:hAnsi="Century Gothic"/>
                <w:sz w:val="20"/>
                <w:szCs w:val="20"/>
              </w:rPr>
              <w:t>c).-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spacing w:after="120" w:line="276" w:lineRule="auto"/>
              <w:rPr>
                <w:rFonts w:ascii="Century Gothic" w:hAnsi="Century Gothic"/>
                <w:sz w:val="20"/>
                <w:szCs w:val="20"/>
              </w:rPr>
            </w:pPr>
            <w:r>
              <w:rPr>
                <w:rFonts w:ascii="Century Gothic" w:hAnsi="Century Gothic"/>
                <w:sz w:val="20"/>
                <w:szCs w:val="20"/>
              </w:rPr>
              <w:t>VII.- …</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p>
        </w:tc>
      </w:tr>
      <w:tr>
        <w:tblPrEx>
          <w:tblCellMar>
            <w:top w:w="0" w:type="dxa"/>
            <w:left w:w="108" w:type="dxa"/>
            <w:bottom w:w="0" w:type="dxa"/>
            <w:right w:w="108" w:type="dxa"/>
          </w:tblCellMar>
        </w:tblPrEx>
        <w:trPr>
          <w:wBefore w:w="0" w:type="auto"/>
          <w:trHeight w:val="1048" w:hRule="atLeast"/>
          <w:jc w:val="center"/>
        </w:trPr>
        <w:tc>
          <w:tcPr>
            <w:tcW w:w="7794" w:type="dxa"/>
            <w:tcBorders>
              <w:top w:val="nil"/>
              <w:left w:val="nil"/>
              <w:bottom w:val="nil"/>
              <w:right w:val="nil"/>
            </w:tcBorders>
            <w:noWrap w:val="0"/>
            <w:vAlign w:val="top"/>
          </w:tcPr>
          <w:p>
            <w:pPr>
              <w:tabs>
                <w:tab w:val="left" w:pos="8015"/>
                <w:tab w:val="right" w:leader="hyphen" w:pos="9214"/>
              </w:tabs>
              <w:spacing w:after="120" w:line="276" w:lineRule="auto"/>
              <w:ind w:left="142"/>
              <w:rPr>
                <w:rFonts w:ascii="Century Gothic" w:hAnsi="Century Gothic"/>
                <w:sz w:val="20"/>
                <w:szCs w:val="20"/>
              </w:rPr>
            </w:pPr>
            <w:r>
              <w:rPr>
                <w:rFonts w:ascii="Century Gothic" w:hAnsi="Century Gothic"/>
                <w:sz w:val="20"/>
                <w:szCs w:val="20"/>
              </w:rPr>
              <w:t>a).- Para la factibilidad de división, cambio de nomenclatura, estado físico del predio, ubicación física, medidas físicas, colindancias de predios, altimetría o marcajes en predios comprendidos en las secciones de la 1 a la 30------------------------------------------------------------------------------------------------------------</w:t>
            </w:r>
          </w:p>
        </w:tc>
        <w:tc>
          <w:tcPr>
            <w:tcW w:w="1324" w:type="dxa"/>
            <w:tcBorders>
              <w:top w:val="nil"/>
              <w:left w:val="nil"/>
              <w:bottom w:val="nil"/>
              <w:right w:val="nil"/>
            </w:tcBorders>
            <w:noWrap w:val="0"/>
            <w:vAlign w:val="bottom"/>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922" w:hRule="atLeast"/>
          <w:jc w:val="center"/>
        </w:trPr>
        <w:tc>
          <w:tcPr>
            <w:tcW w:w="7794" w:type="dxa"/>
            <w:tcBorders>
              <w:top w:val="nil"/>
              <w:left w:val="nil"/>
              <w:bottom w:val="nil"/>
              <w:right w:val="nil"/>
            </w:tcBorders>
            <w:noWrap w:val="0"/>
            <w:vAlign w:val="top"/>
          </w:tcPr>
          <w:p>
            <w:pPr>
              <w:tabs>
                <w:tab w:val="left" w:pos="8001"/>
                <w:tab w:val="right" w:leader="hyphen" w:pos="9214"/>
              </w:tabs>
              <w:spacing w:after="120" w:line="276" w:lineRule="auto"/>
              <w:ind w:left="142"/>
              <w:rPr>
                <w:rFonts w:ascii="Century Gothic" w:hAnsi="Century Gothic"/>
                <w:sz w:val="20"/>
                <w:szCs w:val="20"/>
              </w:rPr>
            </w:pPr>
            <w:r>
              <w:rPr>
                <w:rFonts w:ascii="Century Gothic" w:hAnsi="Century Gothic"/>
                <w:sz w:val="20"/>
                <w:szCs w:val="20"/>
              </w:rPr>
              <w:t>b).- Para la factibilidad de división, cambio de nomenclatura, estado físico del predio, ubicación física, medidas físicas, colindancias de predios, altimetría, o marcajes en predios comprendidos en las secciones de la 31 a la 50---------------------------------------------------------------------------------------------------------</w:t>
            </w:r>
          </w:p>
        </w:tc>
        <w:tc>
          <w:tcPr>
            <w:tcW w:w="1324" w:type="dxa"/>
            <w:tcBorders>
              <w:top w:val="nil"/>
              <w:left w:val="nil"/>
              <w:bottom w:val="nil"/>
              <w:right w:val="nil"/>
            </w:tcBorders>
            <w:noWrap w:val="0"/>
            <w:vAlign w:val="bottom"/>
          </w:tcPr>
          <w:p>
            <w:pPr>
              <w:tabs>
                <w:tab w:val="right" w:leader="hyphen" w:pos="9214"/>
              </w:tabs>
              <w:spacing w:before="240"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649" w:hRule="atLeast"/>
          <w:jc w:val="center"/>
        </w:trPr>
        <w:tc>
          <w:tcPr>
            <w:tcW w:w="7794" w:type="dxa"/>
            <w:tcBorders>
              <w:top w:val="nil"/>
              <w:left w:val="nil"/>
              <w:bottom w:val="nil"/>
              <w:right w:val="nil"/>
            </w:tcBorders>
            <w:noWrap w:val="0"/>
            <w:vAlign w:val="center"/>
          </w:tcPr>
          <w:p>
            <w:pPr>
              <w:tabs>
                <w:tab w:val="left" w:pos="7919"/>
                <w:tab w:val="right" w:leader="hyphen" w:pos="9214"/>
              </w:tabs>
              <w:spacing w:after="120" w:line="276" w:lineRule="auto"/>
              <w:ind w:left="142"/>
              <w:rPr>
                <w:rFonts w:ascii="Century Gothic" w:hAnsi="Century Gothic"/>
                <w:sz w:val="20"/>
                <w:szCs w:val="20"/>
              </w:rPr>
            </w:pPr>
            <w:r>
              <w:rPr>
                <w:rFonts w:ascii="Century Gothic" w:hAnsi="Century Gothic"/>
                <w:sz w:val="20"/>
                <w:szCs w:val="20"/>
              </w:rPr>
              <w:t>c).- …</w:t>
            </w:r>
          </w:p>
        </w:tc>
        <w:tc>
          <w:tcPr>
            <w:tcW w:w="1324" w:type="dxa"/>
            <w:tcBorders>
              <w:top w:val="nil"/>
              <w:left w:val="nil"/>
              <w:bottom w:val="nil"/>
              <w:right w:val="nil"/>
            </w:tcBorders>
            <w:noWrap w:val="0"/>
            <w:vAlign w:val="center"/>
          </w:tcPr>
          <w:p>
            <w:pPr>
              <w:tabs>
                <w:tab w:val="right" w:leader="hyphen" w:pos="9214"/>
              </w:tabs>
              <w:spacing w:before="240"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9118" w:type="dxa"/>
            <w:gridSpan w:val="2"/>
            <w:tcBorders>
              <w:top w:val="nil"/>
              <w:left w:val="nil"/>
              <w:bottom w:val="nil"/>
              <w:right w:val="nil"/>
            </w:tcBorders>
            <w:noWrap w:val="0"/>
            <w:vAlign w:val="top"/>
          </w:tcPr>
          <w:p>
            <w:pPr>
              <w:tabs>
                <w:tab w:val="right" w:leader="hyphen" w:pos="9214"/>
              </w:tabs>
              <w:spacing w:after="120" w:line="276" w:lineRule="auto"/>
              <w:ind w:left="284" w:hanging="284"/>
              <w:rPr>
                <w:rFonts w:ascii="Century Gothic" w:hAnsi="Century Gothic"/>
                <w:sz w:val="20"/>
                <w:szCs w:val="20"/>
              </w:rPr>
            </w:pPr>
            <w:r>
              <w:rPr>
                <w:rFonts w:ascii="Century Gothic" w:hAnsi="Century Gothic"/>
                <w:sz w:val="20"/>
                <w:szCs w:val="20"/>
              </w:rPr>
              <w:t>VIII.- Por los trabajos de topografía que se requieran para la elaboración de planos o la diligencia de verificación, se causarán derechos de acuerdo a la superficie, metro lineal o punto posicionado geográfica o altimétricamente, conforme a lo siguiente:</w:t>
            </w:r>
          </w:p>
        </w:tc>
      </w:tr>
      <w:tr>
        <w:tblPrEx>
          <w:tblCellMar>
            <w:top w:w="0" w:type="dxa"/>
            <w:left w:w="108" w:type="dxa"/>
            <w:bottom w:w="0" w:type="dxa"/>
            <w:right w:w="108" w:type="dxa"/>
          </w:tblCellMar>
        </w:tblPrEx>
        <w:trPr>
          <w:wBefore w:w="0" w:type="auto"/>
          <w:jc w:val="center"/>
        </w:trPr>
        <w:tc>
          <w:tcPr>
            <w:tcW w:w="9118" w:type="dxa"/>
            <w:gridSpan w:val="2"/>
            <w:tcBorders>
              <w:top w:val="nil"/>
              <w:left w:val="nil"/>
              <w:bottom w:val="nil"/>
              <w:right w:val="nil"/>
            </w:tcBorders>
            <w:noWrap w:val="0"/>
            <w:vAlign w:val="top"/>
          </w:tcPr>
          <w:p>
            <w:pPr>
              <w:tabs>
                <w:tab w:val="right" w:leader="hyphen" w:pos="9214"/>
              </w:tabs>
              <w:spacing w:after="120" w:line="276" w:lineRule="auto"/>
              <w:ind w:firstLine="142"/>
              <w:rPr>
                <w:rFonts w:ascii="Century Gothic" w:hAnsi="Century Gothic"/>
                <w:sz w:val="20"/>
                <w:szCs w:val="20"/>
              </w:rPr>
            </w:pPr>
            <w:r>
              <w:rPr>
                <w:rFonts w:ascii="Century Gothic" w:hAnsi="Century Gothic"/>
                <w:sz w:val="20"/>
                <w:szCs w:val="20"/>
              </w:rPr>
              <w:t>a).- …</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top"/>
          </w:tcPr>
          <w:p>
            <w:pPr>
              <w:tabs>
                <w:tab w:val="left" w:pos="690"/>
                <w:tab w:val="left" w:pos="960"/>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bottom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top w:val="nil"/>
              <w:left w:val="nil"/>
              <w:bottom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7794" w:type="dxa"/>
            <w:tcBorders>
              <w:top w:val="nil"/>
              <w:left w:val="nil"/>
              <w:right w:val="nil"/>
            </w:tcBorders>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top w:val="nil"/>
              <w:left w:val="nil"/>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jc w:val="center"/>
        </w:trPr>
        <w:tc>
          <w:tcPr>
            <w:tcW w:w="9118" w:type="dxa"/>
            <w:gridSpan w:val="2"/>
            <w:noWrap w:val="0"/>
            <w:vAlign w:val="top"/>
          </w:tcPr>
          <w:p>
            <w:pPr>
              <w:tabs>
                <w:tab w:val="right" w:leader="hyphen" w:pos="9214"/>
              </w:tabs>
              <w:spacing w:after="120" w:line="276" w:lineRule="auto"/>
              <w:ind w:firstLine="172"/>
              <w:rPr>
                <w:rFonts w:ascii="Century Gothic" w:hAnsi="Century Gothic"/>
                <w:sz w:val="20"/>
                <w:szCs w:val="20"/>
              </w:rPr>
            </w:pPr>
            <w:r>
              <w:rPr>
                <w:rFonts w:ascii="Century Gothic" w:hAnsi="Century Gothic"/>
                <w:sz w:val="20"/>
                <w:szCs w:val="20"/>
              </w:rPr>
              <w:t>b).- …</w:t>
            </w:r>
          </w:p>
        </w:tc>
      </w:tr>
      <w:tr>
        <w:tblPrEx>
          <w:tblCellMar>
            <w:top w:w="0" w:type="dxa"/>
            <w:left w:w="108" w:type="dxa"/>
            <w:bottom w:w="0" w:type="dxa"/>
            <w:right w:w="108" w:type="dxa"/>
          </w:tblCellMar>
        </w:tblPrEx>
        <w:trPr>
          <w:wBefore w:w="0" w:type="auto"/>
          <w:trHeight w:val="159" w:hRule="atLeast"/>
          <w:jc w:val="center"/>
        </w:trPr>
        <w:tc>
          <w:tcPr>
            <w:tcW w:w="7794" w:type="dxa"/>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394" w:hRule="atLeast"/>
          <w:jc w:val="center"/>
        </w:trPr>
        <w:tc>
          <w:tcPr>
            <w:tcW w:w="7794" w:type="dxa"/>
            <w:noWrap w:val="0"/>
            <w:vAlign w:val="top"/>
          </w:tcPr>
          <w:p>
            <w:pPr>
              <w:tabs>
                <w:tab w:val="right" w:leader="hyphen" w:pos="9214"/>
              </w:tabs>
              <w:spacing w:after="120" w:line="276" w:lineRule="auto"/>
              <w:ind w:firstLine="284"/>
              <w:rPr>
                <w:rFonts w:ascii="Century Gothic" w:hAnsi="Century Gothic"/>
                <w:sz w:val="20"/>
                <w:szCs w:val="20"/>
              </w:rPr>
            </w:pPr>
            <w:r>
              <w:rPr>
                <w:rFonts w:ascii="Century Gothic" w:hAnsi="Century Gothic"/>
                <w:sz w:val="20"/>
                <w:szCs w:val="20"/>
              </w:rPr>
              <w:t>…</w:t>
            </w:r>
          </w:p>
        </w:tc>
        <w:tc>
          <w:tcPr>
            <w:tcW w:w="1324" w:type="dxa"/>
            <w:tcBorders>
              <w:right w:val="nil"/>
            </w:tcBorders>
            <w:noWrap w:val="0"/>
            <w:vAlign w:val="top"/>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296" w:hRule="atLeast"/>
          <w:jc w:val="center"/>
        </w:trPr>
        <w:tc>
          <w:tcPr>
            <w:tcW w:w="7794" w:type="dxa"/>
            <w:noWrap w:val="0"/>
            <w:vAlign w:val="top"/>
          </w:tcPr>
          <w:p>
            <w:pPr>
              <w:tabs>
                <w:tab w:val="right" w:leader="hyphen" w:pos="9214"/>
              </w:tabs>
              <w:spacing w:after="120" w:line="276" w:lineRule="auto"/>
              <w:ind w:firstLine="172"/>
              <w:rPr>
                <w:rFonts w:ascii="Century Gothic" w:hAnsi="Century Gothic"/>
                <w:sz w:val="20"/>
                <w:szCs w:val="20"/>
              </w:rPr>
            </w:pPr>
            <w:r>
              <w:rPr>
                <w:rFonts w:ascii="Century Gothic" w:hAnsi="Century Gothic"/>
                <w:sz w:val="20"/>
                <w:szCs w:val="20"/>
              </w:rPr>
              <w:t>c) …</w:t>
            </w:r>
          </w:p>
        </w:tc>
        <w:tc>
          <w:tcPr>
            <w:tcW w:w="1324" w:type="dxa"/>
            <w:tcBorders>
              <w:right w:val="nil"/>
            </w:tcBorders>
            <w:noWrap w:val="0"/>
            <w:vAlign w:val="top"/>
          </w:tcPr>
          <w:p>
            <w:pPr>
              <w:tabs>
                <w:tab w:val="left" w:pos="657"/>
                <w:tab w:val="right" w:leader="hyphen" w:pos="9214"/>
              </w:tabs>
              <w:spacing w:after="120"/>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277" w:hRule="atLeast"/>
          <w:jc w:val="center"/>
        </w:trPr>
        <w:tc>
          <w:tcPr>
            <w:tcW w:w="7794" w:type="dxa"/>
            <w:noWrap w:val="0"/>
            <w:vAlign w:val="center"/>
          </w:tcPr>
          <w:p>
            <w:pPr>
              <w:tabs>
                <w:tab w:val="right" w:leader="hyphen" w:pos="9214"/>
              </w:tabs>
              <w:spacing w:after="120" w:line="276" w:lineRule="auto"/>
              <w:ind w:firstLine="172"/>
              <w:rPr>
                <w:rFonts w:ascii="Century Gothic" w:hAnsi="Century Gothic"/>
                <w:sz w:val="20"/>
                <w:szCs w:val="20"/>
              </w:rPr>
            </w:pPr>
            <w:r>
              <w:rPr>
                <w:rFonts w:ascii="Century Gothic" w:hAnsi="Century Gothic"/>
                <w:sz w:val="20"/>
                <w:szCs w:val="20"/>
              </w:rPr>
              <w:t>d) …</w:t>
            </w:r>
          </w:p>
        </w:tc>
        <w:tc>
          <w:tcPr>
            <w:tcW w:w="1324" w:type="dxa"/>
            <w:noWrap w:val="0"/>
            <w:vAlign w:val="center"/>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425" w:hRule="atLeast"/>
          <w:jc w:val="center"/>
        </w:trPr>
        <w:tc>
          <w:tcPr>
            <w:tcW w:w="9118" w:type="dxa"/>
            <w:gridSpan w:val="2"/>
            <w:noWrap w:val="0"/>
            <w:vAlign w:val="center"/>
          </w:tcPr>
          <w:p>
            <w:pPr>
              <w:tabs>
                <w:tab w:val="right" w:leader="hyphen" w:pos="9214"/>
              </w:tabs>
              <w:spacing w:after="120" w:line="276" w:lineRule="auto"/>
              <w:ind w:firstLine="172"/>
              <w:rPr>
                <w:rFonts w:ascii="Century Gothic" w:hAnsi="Century Gothic"/>
                <w:sz w:val="20"/>
                <w:szCs w:val="20"/>
              </w:rPr>
            </w:pPr>
            <w:r>
              <w:rPr>
                <w:rFonts w:ascii="Century Gothic" w:hAnsi="Century Gothic"/>
                <w:sz w:val="20"/>
                <w:szCs w:val="20"/>
              </w:rPr>
              <w:t>e) …</w:t>
            </w:r>
          </w:p>
        </w:tc>
      </w:tr>
      <w:tr>
        <w:tblPrEx>
          <w:tblCellMar>
            <w:top w:w="0" w:type="dxa"/>
            <w:left w:w="108" w:type="dxa"/>
            <w:bottom w:w="0" w:type="dxa"/>
            <w:right w:w="108" w:type="dxa"/>
          </w:tblCellMar>
        </w:tblPrEx>
        <w:trPr>
          <w:wBefore w:w="0" w:type="auto"/>
          <w:trHeight w:val="425" w:hRule="atLeast"/>
          <w:jc w:val="center"/>
        </w:trPr>
        <w:tc>
          <w:tcPr>
            <w:tcW w:w="9118" w:type="dxa"/>
            <w:gridSpan w:val="2"/>
            <w:noWrap w:val="0"/>
            <w:vAlign w:val="center"/>
          </w:tcPr>
          <w:p>
            <w:pPr>
              <w:tabs>
                <w:tab w:val="right" w:leader="hyphen" w:pos="9214"/>
              </w:tabs>
              <w:spacing w:after="120" w:line="276" w:lineRule="auto"/>
              <w:ind w:firstLine="314"/>
              <w:rPr>
                <w:rFonts w:ascii="Century Gothic" w:hAnsi="Century Gothic"/>
                <w:sz w:val="20"/>
                <w:szCs w:val="20"/>
              </w:rPr>
            </w:pPr>
            <w:r>
              <w:rPr>
                <w:rFonts w:ascii="Century Gothic" w:hAnsi="Century Gothic"/>
                <w:sz w:val="20"/>
                <w:szCs w:val="20"/>
              </w:rPr>
              <w:t>1.- …</w:t>
            </w:r>
          </w:p>
        </w:tc>
      </w:tr>
      <w:tr>
        <w:tblPrEx>
          <w:tblCellMar>
            <w:top w:w="0" w:type="dxa"/>
            <w:left w:w="108" w:type="dxa"/>
            <w:bottom w:w="0" w:type="dxa"/>
            <w:right w:w="108" w:type="dxa"/>
          </w:tblCellMar>
        </w:tblPrEx>
        <w:trPr>
          <w:wBefore w:w="0" w:type="auto"/>
          <w:trHeight w:val="425" w:hRule="atLeast"/>
          <w:jc w:val="center"/>
        </w:trPr>
        <w:tc>
          <w:tcPr>
            <w:tcW w:w="7794" w:type="dxa"/>
            <w:noWrap w:val="0"/>
            <w:vAlign w:val="center"/>
          </w:tcPr>
          <w:p>
            <w:pPr>
              <w:spacing w:line="276" w:lineRule="auto"/>
              <w:ind w:firstLine="314"/>
              <w:rPr>
                <w:rFonts w:ascii="Century Gothic" w:hAnsi="Century Gothic"/>
                <w:sz w:val="20"/>
                <w:szCs w:val="20"/>
              </w:rPr>
            </w:pPr>
            <w:r>
              <w:rPr>
                <w:rFonts w:ascii="Century Gothic" w:hAnsi="Century Gothic"/>
                <w:sz w:val="20"/>
                <w:szCs w:val="20"/>
              </w:rPr>
              <w:t>2.- …</w:t>
            </w:r>
          </w:p>
        </w:tc>
        <w:tc>
          <w:tcPr>
            <w:tcW w:w="1324" w:type="dxa"/>
            <w:noWrap w:val="0"/>
            <w:vAlign w:val="center"/>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425" w:hRule="atLeast"/>
          <w:jc w:val="center"/>
        </w:trPr>
        <w:tc>
          <w:tcPr>
            <w:tcW w:w="7794" w:type="dxa"/>
            <w:noWrap w:val="0"/>
            <w:vAlign w:val="center"/>
          </w:tcPr>
          <w:p>
            <w:pPr>
              <w:spacing w:line="276" w:lineRule="auto"/>
              <w:ind w:left="172"/>
              <w:rPr>
                <w:rFonts w:ascii="Century Gothic" w:hAnsi="Century Gothic"/>
                <w:sz w:val="20"/>
                <w:szCs w:val="20"/>
              </w:rPr>
            </w:pPr>
            <w:r>
              <w:rPr>
                <w:rFonts w:ascii="Century Gothic" w:hAnsi="Century Gothic"/>
                <w:sz w:val="20"/>
                <w:szCs w:val="20"/>
              </w:rPr>
              <w:t>f) Por la medición y procesamiento de cada punto altimétrico en el terreno</w:t>
            </w:r>
          </w:p>
        </w:tc>
        <w:tc>
          <w:tcPr>
            <w:tcW w:w="1324" w:type="dxa"/>
            <w:noWrap w:val="0"/>
            <w:vAlign w:val="center"/>
          </w:tcPr>
          <w:p>
            <w:pPr>
              <w:tabs>
                <w:tab w:val="right" w:leader="hyphen" w:pos="9214"/>
              </w:tabs>
              <w:spacing w:after="120" w:line="276" w:lineRule="auto"/>
              <w:jc w:val="center"/>
              <w:rPr>
                <w:rFonts w:ascii="Century Gothic" w:hAnsi="Century Gothic"/>
                <w:sz w:val="20"/>
                <w:szCs w:val="20"/>
              </w:rPr>
            </w:pPr>
            <w:r>
              <w:rPr>
                <w:rFonts w:ascii="Century Gothic" w:hAnsi="Century Gothic"/>
                <w:sz w:val="20"/>
                <w:szCs w:val="20"/>
              </w:rPr>
              <w:t>1.0</w:t>
            </w:r>
          </w:p>
        </w:tc>
      </w:tr>
    </w:tbl>
    <w:p>
      <w:pPr>
        <w:spacing w:line="276" w:lineRule="auto"/>
        <w:rPr>
          <w:rFonts w:ascii="Century Gothic" w:hAnsi="Century Gothic"/>
          <w:sz w:val="20"/>
          <w:szCs w:val="20"/>
        </w:rPr>
      </w:pPr>
      <w:r>
        <w:rPr>
          <w:rFonts w:ascii="Century Gothic" w:hAnsi="Century Gothic"/>
          <w:sz w:val="20"/>
          <w:szCs w:val="20"/>
        </w:rPr>
        <w:t>Tratándose de trabajos de topografía para desarrollos inmobiliarios que se requieran para la diligencia de verificación de medidas físicas y/o para el proyecto de división del predio en que se constituirá el desarrollo inmobiliario, se podrá pagar una cuota equivalente al 40% de los derechos establecidos en el inciso a) de la presente fracción siempre que haya acreditado el proyecto del desarrollo inmobiliario exhibiendo la Licencia o Factibilidad de uso de suelo de Desarrollo Inmobiliario expedida por la Dirección de Desarrollo Urbano del Municipio de Mérida.</w:t>
      </w:r>
    </w:p>
    <w:p>
      <w:pPr>
        <w:spacing w:line="276" w:lineRule="auto"/>
        <w:rPr>
          <w:rFonts w:ascii="Century Gothic" w:hAnsi="Century Gothic"/>
          <w:sz w:val="20"/>
          <w:szCs w:val="20"/>
        </w:rPr>
      </w:pPr>
      <w:r>
        <w:rPr>
          <w:rFonts w:ascii="Century Gothic" w:hAnsi="Century Gothic"/>
          <w:sz w:val="20"/>
          <w:szCs w:val="20"/>
        </w:rPr>
        <w:t>Tratándose de trabajos de topografía elaborados por topógrafos empadronados a la Dirección de Catastro del Municipio de Mérida, y que se requieran para la diligencia de verificación de medidas físicas y/o para el proyecto de división del predio, se pagará una cuota equivalente al 50% de los derechos establecidos en el inciso a) de la presente fracción.</w:t>
      </w:r>
    </w:p>
    <w:p>
      <w:pPr>
        <w:spacing w:line="276" w:lineRule="auto"/>
        <w:rPr>
          <w:rFonts w:ascii="Century Gothic" w:hAnsi="Century Gothic"/>
          <w:sz w:val="20"/>
          <w:szCs w:val="20"/>
        </w:rPr>
      </w:pPr>
      <w:r>
        <w:rPr>
          <w:rFonts w:ascii="Century Gothic" w:hAnsi="Century Gothic"/>
          <w:sz w:val="20"/>
          <w:szCs w:val="20"/>
        </w:rPr>
        <w:t>Tratándose de trabajos de topografía elaborados por topógrafos empadronados a la Dirección de Catastro del Municipio de Mérida y que se requieran para la diligencia de verificación de altimetría, se pagará una cuota equivalente al 50% de los derechos establecidos en los incisos d) y f) de la presente fracción.</w:t>
      </w:r>
    </w:p>
    <w:tbl>
      <w:tblPr>
        <w:tblStyle w:val="7"/>
        <w:tblW w:w="0" w:type="auto"/>
        <w:tblInd w:w="0" w:type="dxa"/>
        <w:tblLayout w:type="autofit"/>
        <w:tblCellMar>
          <w:top w:w="0" w:type="dxa"/>
          <w:left w:w="108" w:type="dxa"/>
          <w:bottom w:w="0" w:type="dxa"/>
          <w:right w:w="108" w:type="dxa"/>
        </w:tblCellMar>
      </w:tblPr>
      <w:tblGrid>
        <w:gridCol w:w="7763"/>
        <w:gridCol w:w="1276"/>
      </w:tblGrid>
      <w:tr>
        <w:tblPrEx>
          <w:tblCellMar>
            <w:top w:w="0" w:type="dxa"/>
            <w:left w:w="108" w:type="dxa"/>
            <w:bottom w:w="0" w:type="dxa"/>
            <w:right w:w="108" w:type="dxa"/>
          </w:tblCellMar>
        </w:tblPrEx>
        <w:trPr>
          <w:wBefore w:w="0" w:type="dxa"/>
          <w:trHeight w:val="300" w:hRule="atLeast"/>
        </w:trPr>
        <w:tc>
          <w:tcPr>
            <w:tcW w:w="7763" w:type="dxa"/>
            <w:shd w:val="clear" w:color="auto" w:fill="auto"/>
            <w:noWrap w:val="0"/>
            <w:vAlign w:val="bottom"/>
          </w:tcPr>
          <w:p>
            <w:pPr>
              <w:spacing w:line="276" w:lineRule="auto"/>
              <w:rPr>
                <w:rFonts w:ascii="Century Gothic" w:hAnsi="Century Gothic"/>
                <w:sz w:val="20"/>
                <w:szCs w:val="20"/>
              </w:rPr>
            </w:pPr>
            <w:r>
              <w:rPr>
                <w:rFonts w:ascii="Century Gothic" w:hAnsi="Century Gothic"/>
                <w:sz w:val="20"/>
                <w:szCs w:val="20"/>
              </w:rPr>
              <w:t>IX.- …</w:t>
            </w:r>
          </w:p>
        </w:tc>
        <w:tc>
          <w:tcPr>
            <w:tcW w:w="1276" w:type="dxa"/>
            <w:shd w:val="clear" w:color="auto" w:fill="auto"/>
            <w:noWrap w:val="0"/>
            <w:vAlign w:val="bottom"/>
          </w:tcPr>
          <w:p>
            <w:pPr>
              <w:spacing w:line="276" w:lineRule="auto"/>
              <w:jc w:val="right"/>
              <w:rPr>
                <w:rFonts w:ascii="Century Gothic" w:hAnsi="Century Gothic"/>
                <w:sz w:val="20"/>
                <w:szCs w:val="20"/>
              </w:rPr>
            </w:pPr>
            <w:r>
              <w:rPr>
                <w:rFonts w:ascii="Century Gothic" w:hAnsi="Century Gothic"/>
                <w:sz w:val="20"/>
                <w:szCs w:val="20"/>
              </w:rPr>
              <w:t>…</w:t>
            </w:r>
          </w:p>
        </w:tc>
      </w:tr>
    </w:tbl>
    <w:p>
      <w:pPr>
        <w:spacing w:line="276" w:lineRule="auto"/>
        <w:rPr>
          <w:rFonts w:ascii="Century Gothic" w:hAnsi="Century Gothic"/>
          <w:sz w:val="20"/>
          <w:szCs w:val="20"/>
          <w:highlight w:val="cyan"/>
        </w:rPr>
      </w:pPr>
      <w:r>
        <w:rPr>
          <w:rFonts w:ascii="Century Gothic" w:hAnsi="Century Gothic"/>
          <w:b/>
          <w:sz w:val="20"/>
          <w:szCs w:val="20"/>
        </w:rPr>
        <w:t xml:space="preserve">ARTÍCULO 92.- </w:t>
      </w:r>
      <w:r>
        <w:rPr>
          <w:rFonts w:ascii="Century Gothic" w:hAnsi="Century Gothic"/>
          <w:sz w:val="20"/>
          <w:szCs w:val="20"/>
        </w:rPr>
        <w:t>Los deslindes o marcajes, las divisiones y las diligencias de verificación de altimetría causarán derechos de conformidad con lo establecido en la fracción VIII del artículo 89, con excepción de lo dispuesto en el artículo anterior.</w:t>
      </w:r>
    </w:p>
    <w:p>
      <w:pPr>
        <w:tabs>
          <w:tab w:val="left" w:pos="1838"/>
        </w:tabs>
        <w:spacing w:after="120"/>
        <w:jc w:val="center"/>
        <w:rPr>
          <w:rFonts w:ascii="Century Gothic" w:hAnsi="Century Gothic"/>
          <w:b/>
          <w:bCs/>
          <w:sz w:val="20"/>
          <w:szCs w:val="20"/>
        </w:rPr>
      </w:pPr>
      <w:r>
        <w:rPr>
          <w:rFonts w:ascii="Century Gothic" w:hAnsi="Century Gothic"/>
          <w:b/>
          <w:bCs/>
          <w:sz w:val="20"/>
          <w:szCs w:val="20"/>
        </w:rPr>
        <w:t>Sección Décima Cuarta</w:t>
      </w:r>
    </w:p>
    <w:p>
      <w:pPr>
        <w:tabs>
          <w:tab w:val="left" w:pos="1838"/>
        </w:tabs>
        <w:spacing w:after="120"/>
        <w:jc w:val="center"/>
        <w:rPr>
          <w:rFonts w:ascii="Century Gothic" w:hAnsi="Century Gothic"/>
          <w:b/>
          <w:bCs/>
          <w:sz w:val="20"/>
          <w:szCs w:val="20"/>
        </w:rPr>
      </w:pPr>
      <w:r>
        <w:rPr>
          <w:rFonts w:ascii="Century Gothic" w:hAnsi="Century Gothic"/>
          <w:b/>
          <w:bCs/>
          <w:sz w:val="20"/>
          <w:szCs w:val="20"/>
        </w:rPr>
        <w:t>Derechos por el uso de Estacionamientos y Baños Públicos, propiedad del Municipio</w:t>
      </w:r>
    </w:p>
    <w:p>
      <w:pPr>
        <w:spacing w:line="276" w:lineRule="auto"/>
        <w:rPr>
          <w:rFonts w:ascii="Century Gothic" w:hAnsi="Century Gothic"/>
          <w:sz w:val="20"/>
          <w:szCs w:val="20"/>
        </w:rPr>
      </w:pPr>
      <w:r>
        <w:rPr>
          <w:rFonts w:ascii="Century Gothic" w:hAnsi="Century Gothic"/>
          <w:b/>
          <w:sz w:val="20"/>
          <w:szCs w:val="20"/>
        </w:rPr>
        <w:t>ARTÍCULO 123.-</w:t>
      </w:r>
      <w:r>
        <w:rPr>
          <w:rFonts w:ascii="Century Gothic" w:hAnsi="Century Gothic"/>
          <w:sz w:val="20"/>
          <w:szCs w:val="20"/>
        </w:rPr>
        <w:t xml:space="preserve"> …</w:t>
      </w:r>
    </w:p>
    <w:tbl>
      <w:tblPr>
        <w:tblStyle w:val="7"/>
        <w:tblW w:w="8610" w:type="dxa"/>
        <w:tblInd w:w="0" w:type="dxa"/>
        <w:tblLayout w:type="fixed"/>
        <w:tblCellMar>
          <w:top w:w="0" w:type="dxa"/>
          <w:left w:w="108" w:type="dxa"/>
          <w:bottom w:w="0" w:type="dxa"/>
          <w:right w:w="108" w:type="dxa"/>
        </w:tblCellMar>
      </w:tblPr>
      <w:tblGrid>
        <w:gridCol w:w="5918"/>
        <w:gridCol w:w="2692"/>
      </w:tblGrid>
      <w:tr>
        <w:tblPrEx>
          <w:tblCellMar>
            <w:top w:w="0" w:type="dxa"/>
            <w:left w:w="108" w:type="dxa"/>
            <w:bottom w:w="0" w:type="dxa"/>
            <w:right w:w="108" w:type="dxa"/>
          </w:tblCellMar>
        </w:tblPrEx>
        <w:trPr>
          <w:wBefore w:w="0" w:type="auto"/>
          <w:trHeight w:val="449" w:hRule="atLeast"/>
        </w:trPr>
        <w:tc>
          <w:tcPr>
            <w:tcW w:w="5918" w:type="dxa"/>
            <w:noWrap w:val="0"/>
            <w:vAlign w:val="top"/>
          </w:tcPr>
          <w:p>
            <w:pPr>
              <w:spacing w:after="0" w:line="276" w:lineRule="auto"/>
              <w:jc w:val="left"/>
              <w:rPr>
                <w:rFonts w:ascii="Century Gothic" w:hAnsi="Century Gothic"/>
                <w:sz w:val="20"/>
                <w:szCs w:val="20"/>
              </w:rPr>
            </w:pPr>
            <w:r>
              <w:rPr>
                <w:rFonts w:ascii="Century Gothic" w:hAnsi="Century Gothic"/>
                <w:sz w:val="20"/>
                <w:szCs w:val="20"/>
              </w:rPr>
              <w:t>I.- …</w:t>
            </w:r>
          </w:p>
        </w:tc>
        <w:tc>
          <w:tcPr>
            <w:tcW w:w="2692" w:type="dxa"/>
            <w:noWrap w:val="0"/>
            <w:vAlign w:val="top"/>
          </w:tcPr>
          <w:p>
            <w:pPr>
              <w:spacing w:after="0" w:line="276" w:lineRule="auto"/>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297" w:hRule="atLeast"/>
        </w:trPr>
        <w:tc>
          <w:tcPr>
            <w:tcW w:w="5918" w:type="dxa"/>
            <w:noWrap w:val="0"/>
            <w:vAlign w:val="top"/>
          </w:tcPr>
          <w:p>
            <w:pPr>
              <w:spacing w:after="0" w:line="276" w:lineRule="auto"/>
              <w:jc w:val="left"/>
              <w:rPr>
                <w:rFonts w:ascii="Century Gothic" w:hAnsi="Century Gothic"/>
                <w:sz w:val="20"/>
                <w:szCs w:val="20"/>
              </w:rPr>
            </w:pPr>
            <w:r>
              <w:rPr>
                <w:rFonts w:ascii="Century Gothic" w:hAnsi="Century Gothic"/>
                <w:sz w:val="20"/>
                <w:szCs w:val="20"/>
              </w:rPr>
              <w:t>II.- …</w:t>
            </w:r>
          </w:p>
        </w:tc>
        <w:tc>
          <w:tcPr>
            <w:tcW w:w="2692" w:type="dxa"/>
            <w:noWrap w:val="0"/>
            <w:vAlign w:val="top"/>
          </w:tcPr>
          <w:p>
            <w:pPr>
              <w:spacing w:line="276" w:lineRule="auto"/>
              <w:rPr>
                <w:rFonts w:ascii="Century Gothic" w:hAnsi="Century Gothic"/>
                <w:sz w:val="20"/>
                <w:szCs w:val="20"/>
              </w:rPr>
            </w:pPr>
            <w:r>
              <w:rPr>
                <w:rFonts w:ascii="Century Gothic" w:hAnsi="Century Gothic"/>
                <w:sz w:val="20"/>
                <w:szCs w:val="20"/>
              </w:rPr>
              <w:t>…</w:t>
            </w:r>
          </w:p>
        </w:tc>
      </w:tr>
      <w:tr>
        <w:tblPrEx>
          <w:tblCellMar>
            <w:top w:w="0" w:type="dxa"/>
            <w:left w:w="108" w:type="dxa"/>
            <w:bottom w:w="0" w:type="dxa"/>
            <w:right w:w="108" w:type="dxa"/>
          </w:tblCellMar>
        </w:tblPrEx>
        <w:trPr>
          <w:wBefore w:w="0" w:type="auto"/>
          <w:trHeight w:val="210" w:hRule="atLeast"/>
        </w:trPr>
        <w:tc>
          <w:tcPr>
            <w:tcW w:w="5918" w:type="dxa"/>
            <w:noWrap w:val="0"/>
            <w:vAlign w:val="top"/>
          </w:tcPr>
          <w:p>
            <w:pPr>
              <w:spacing w:after="0" w:line="276" w:lineRule="auto"/>
              <w:jc w:val="left"/>
              <w:rPr>
                <w:rFonts w:ascii="Century Gothic" w:hAnsi="Century Gothic"/>
                <w:sz w:val="20"/>
                <w:szCs w:val="20"/>
              </w:rPr>
            </w:pPr>
            <w:r>
              <w:rPr>
                <w:rFonts w:ascii="Century Gothic" w:hAnsi="Century Gothic"/>
                <w:sz w:val="20"/>
                <w:szCs w:val="20"/>
              </w:rPr>
              <w:t>III.- …</w:t>
            </w:r>
          </w:p>
        </w:tc>
        <w:tc>
          <w:tcPr>
            <w:tcW w:w="2692" w:type="dxa"/>
            <w:noWrap w:val="0"/>
            <w:vAlign w:val="top"/>
          </w:tcPr>
          <w:p>
            <w:pPr>
              <w:spacing w:line="276" w:lineRule="auto"/>
              <w:rPr>
                <w:rFonts w:ascii="Century Gothic" w:hAnsi="Century Gothic"/>
                <w:sz w:val="20"/>
                <w:szCs w:val="20"/>
              </w:rPr>
            </w:pPr>
            <w:r>
              <w:rPr>
                <w:rFonts w:ascii="Century Gothic" w:hAnsi="Century Gothic"/>
                <w:sz w:val="20"/>
                <w:szCs w:val="20"/>
              </w:rPr>
              <w:t>…</w:t>
            </w:r>
          </w:p>
        </w:tc>
      </w:tr>
    </w:tbl>
    <w:p>
      <w:pPr>
        <w:spacing w:line="276" w:lineRule="auto"/>
        <w:rPr>
          <w:rFonts w:ascii="Century Gothic" w:hAnsi="Century Gothic"/>
          <w:sz w:val="20"/>
          <w:szCs w:val="20"/>
        </w:rPr>
      </w:pPr>
      <w:r>
        <w:rPr>
          <w:rFonts w:ascii="Century Gothic" w:hAnsi="Century Gothic"/>
          <w:sz w:val="20"/>
          <w:szCs w:val="20"/>
        </w:rPr>
        <w:t>…</w:t>
      </w:r>
    </w:p>
    <w:p>
      <w:pPr>
        <w:spacing w:line="276" w:lineRule="auto"/>
        <w:rPr>
          <w:rFonts w:ascii="Century Gothic" w:hAnsi="Century Gothic"/>
          <w:sz w:val="20"/>
          <w:szCs w:val="20"/>
        </w:rPr>
      </w:pPr>
      <w:r>
        <w:rPr>
          <w:rFonts w:ascii="Century Gothic" w:hAnsi="Century Gothic"/>
          <w:sz w:val="20"/>
          <w:szCs w:val="20"/>
        </w:rPr>
        <w:t>IV.- Por el extravío del ticket de entrada al estacionamiento se cobrará 2 U.M.A.</w:t>
      </w:r>
    </w:p>
    <w:p>
      <w:pPr>
        <w:spacing w:line="276" w:lineRule="auto"/>
        <w:rPr>
          <w:rFonts w:ascii="Century Gothic" w:hAnsi="Century Gothic"/>
          <w:sz w:val="20"/>
          <w:szCs w:val="20"/>
        </w:rPr>
      </w:pPr>
      <w:r>
        <w:rPr>
          <w:rFonts w:ascii="Century Gothic" w:hAnsi="Century Gothic"/>
          <w:sz w:val="20"/>
          <w:szCs w:val="20"/>
        </w:rPr>
        <w:t>V.- Por el extravío del recibo de salida del estacionamiento se cobrará 1 U.M.A.</w:t>
      </w:r>
    </w:p>
    <w:p>
      <w:pPr>
        <w:spacing w:line="276" w:lineRule="auto"/>
        <w:rPr>
          <w:rFonts w:ascii="Century Gothic" w:hAnsi="Century Gothic"/>
          <w:sz w:val="20"/>
          <w:szCs w:val="20"/>
        </w:rPr>
      </w:pPr>
    </w:p>
    <w:p>
      <w:pPr>
        <w:spacing w:line="276" w:lineRule="auto"/>
        <w:jc w:val="center"/>
        <w:rPr>
          <w:rFonts w:ascii="Century Gothic" w:hAnsi="Century Gothic"/>
          <w:b/>
          <w:sz w:val="20"/>
          <w:szCs w:val="20"/>
          <w:lang w:val="en-US"/>
        </w:rPr>
      </w:pPr>
      <w:r>
        <w:rPr>
          <w:rFonts w:ascii="Century Gothic" w:hAnsi="Century Gothic"/>
          <w:b/>
          <w:sz w:val="20"/>
          <w:szCs w:val="20"/>
          <w:lang w:val="en-US"/>
        </w:rPr>
        <w:t>T R A N S I T O R I O S</w:t>
      </w:r>
    </w:p>
    <w:p>
      <w:pPr>
        <w:spacing w:line="276" w:lineRule="auto"/>
        <w:rPr>
          <w:rFonts w:ascii="Century Gothic" w:hAnsi="Century Gothic"/>
          <w:sz w:val="20"/>
          <w:szCs w:val="20"/>
        </w:rPr>
      </w:pPr>
      <w:r>
        <w:rPr>
          <w:rFonts w:ascii="Century Gothic" w:hAnsi="Century Gothic"/>
          <w:b/>
          <w:sz w:val="20"/>
          <w:szCs w:val="20"/>
        </w:rPr>
        <w:t>ARTÍCULO PRIMERO.-</w:t>
      </w:r>
      <w:r>
        <w:rPr>
          <w:rFonts w:ascii="Century Gothic" w:hAnsi="Century Gothic"/>
          <w:sz w:val="20"/>
          <w:szCs w:val="20"/>
        </w:rPr>
        <w:t xml:space="preserve"> Este Decreto entrará en vigor el uno de enero del año dos mil veintiuno, previa su publicación en el Diario Oficial del Gobierno del Estado de Yucatán.</w:t>
      </w:r>
    </w:p>
    <w:p>
      <w:pPr>
        <w:spacing w:line="276" w:lineRule="auto"/>
        <w:rPr>
          <w:rFonts w:ascii="Century Gothic" w:hAnsi="Century Gothic"/>
          <w:sz w:val="20"/>
          <w:szCs w:val="20"/>
          <w:highlight w:val="cyan"/>
        </w:rPr>
      </w:pPr>
      <w:r>
        <w:rPr>
          <w:rFonts w:ascii="Century Gothic" w:hAnsi="Century Gothic"/>
          <w:b/>
          <w:sz w:val="20"/>
          <w:szCs w:val="20"/>
        </w:rPr>
        <w:t>ARTÍCULO SEGUNDO.-</w:t>
      </w:r>
      <w:r>
        <w:rPr>
          <w:rFonts w:ascii="Century Gothic" w:hAnsi="Century Gothic"/>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pPr>
        <w:spacing w:line="276" w:lineRule="auto"/>
        <w:rPr>
          <w:rFonts w:ascii="Century Gothic" w:hAnsi="Century Gothic"/>
          <w:sz w:val="20"/>
          <w:szCs w:val="20"/>
        </w:rPr>
      </w:pPr>
      <w:r>
        <w:rPr>
          <w:rFonts w:ascii="Century Gothic" w:hAnsi="Century Gothic"/>
          <w:b/>
          <w:sz w:val="20"/>
          <w:szCs w:val="20"/>
        </w:rPr>
        <w:t>ARTÍCULO TERCERO.-</w:t>
      </w:r>
      <w:r>
        <w:rPr>
          <w:rFonts w:ascii="Century Gothic" w:hAnsi="Century Gothic"/>
          <w:sz w:val="20"/>
          <w:szCs w:val="20"/>
        </w:rPr>
        <w:t xml:space="preserve"> En caso de que durante el ejercicio fiscal 2021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decrementadas, en la misma proporción que las tarifas autorizadas lo sean para dichos concesionarios.</w:t>
      </w:r>
    </w:p>
    <w:p>
      <w:pPr>
        <w:spacing w:line="276" w:lineRule="auto"/>
        <w:rPr>
          <w:rFonts w:ascii="Century Gothic" w:hAnsi="Century Gothic"/>
          <w:sz w:val="20"/>
          <w:szCs w:val="20"/>
          <w:highlight w:val="cyan"/>
        </w:rPr>
      </w:pPr>
      <w:r>
        <w:rPr>
          <w:rFonts w:ascii="Century Gothic" w:hAnsi="Century Gothic"/>
          <w:b/>
          <w:sz w:val="20"/>
          <w:szCs w:val="20"/>
        </w:rPr>
        <w:t>ARTÍCULO CUARTO.-</w:t>
      </w:r>
      <w:r>
        <w:rPr>
          <w:rFonts w:ascii="Century Gothic" w:hAnsi="Century Gothic"/>
          <w:sz w:val="20"/>
          <w:szCs w:val="20"/>
        </w:rPr>
        <w:t xml:space="preserve"> Para el ejercicio fiscal 2021, en vez de aplicar lo dispuesto en el segundo párrafo del artículo 48, las bonificaciones se otorgarán de conformidad con lo establecido en el Programa de Apoyo que al efecto expida el Cabildo del H. Ayuntamiento de Mérida.</w:t>
      </w:r>
    </w:p>
    <w:p>
      <w:pPr>
        <w:spacing w:line="276" w:lineRule="auto"/>
        <w:rPr>
          <w:rFonts w:ascii="Century Gothic" w:hAnsi="Century Gothic"/>
          <w:sz w:val="20"/>
          <w:szCs w:val="20"/>
        </w:rPr>
      </w:pPr>
      <w:r>
        <w:rPr>
          <w:rFonts w:ascii="Century Gothic" w:hAnsi="Century Gothic"/>
          <w:b/>
          <w:sz w:val="20"/>
          <w:szCs w:val="20"/>
        </w:rPr>
        <w:t>ARTÍCULO QUINTO.-</w:t>
      </w:r>
      <w:r>
        <w:rPr>
          <w:rFonts w:ascii="Century Gothic" w:hAnsi="Century Gothic"/>
          <w:sz w:val="20"/>
          <w:szCs w:val="20"/>
        </w:rPr>
        <w:t xml:space="preserve"> Se otorga un estímulo fiscal en materia de impuesto predial, consistente en el acreditamiento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2021, siempre y cuando los trabajos fueren iniciados y concluidos durante el año 2021, de conformidad con lo siguiente:</w:t>
      </w:r>
    </w:p>
    <w:p>
      <w:pPr>
        <w:spacing w:line="276" w:lineRule="auto"/>
        <w:rPr>
          <w:rFonts w:ascii="Century Gothic" w:hAnsi="Century Gothic"/>
          <w:sz w:val="20"/>
          <w:szCs w:val="20"/>
        </w:rPr>
      </w:pPr>
      <w:r>
        <w:rPr>
          <w:rFonts w:ascii="Century Gothic" w:hAnsi="Century Gothic"/>
          <w:sz w:val="20"/>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pPr>
        <w:spacing w:line="276" w:lineRule="auto"/>
        <w:rPr>
          <w:rFonts w:ascii="Century Gothic" w:hAnsi="Century Gothic"/>
          <w:sz w:val="20"/>
          <w:szCs w:val="20"/>
        </w:rPr>
      </w:pPr>
      <w:r>
        <w:rPr>
          <w:rFonts w:ascii="Century Gothic" w:hAnsi="Century Gothic"/>
          <w:sz w:val="20"/>
          <w:szCs w:val="20"/>
        </w:rPr>
        <w:t>II.- Por un importe hasta del 50% del monto de la inversión en trabajos de integración al contexto en inmuebles distintos a los catalogados o declarados como monumentos históricos o artísticos en el Decreto Presidencial de referencia.</w:t>
      </w:r>
    </w:p>
    <w:p>
      <w:pPr>
        <w:spacing w:line="276" w:lineRule="auto"/>
        <w:rPr>
          <w:rFonts w:ascii="Century Gothic" w:hAnsi="Century Gothic"/>
          <w:sz w:val="20"/>
          <w:szCs w:val="20"/>
        </w:rPr>
      </w:pPr>
      <w:r>
        <w:rPr>
          <w:rFonts w:ascii="Century Gothic" w:hAnsi="Century Gothic"/>
          <w:sz w:val="20"/>
          <w:szCs w:val="20"/>
        </w:rPr>
        <w:t>Para efectos de este artículo se entenderá por acreditamiento, el restar del impuesto predial que corresponda hasta el mes de diciembre de 2021, el importe de la inversión que se determine en la constancia de aplicación del estímulo.</w:t>
      </w:r>
    </w:p>
    <w:p>
      <w:pPr>
        <w:spacing w:line="276" w:lineRule="auto"/>
        <w:rPr>
          <w:rFonts w:ascii="Century Gothic" w:hAnsi="Century Gothic"/>
          <w:sz w:val="20"/>
          <w:szCs w:val="20"/>
        </w:rPr>
      </w:pPr>
      <w:r>
        <w:rPr>
          <w:rFonts w:ascii="Century Gothic" w:hAnsi="Century Gothic"/>
          <w:sz w:val="20"/>
          <w:szCs w:val="20"/>
        </w:rPr>
        <w:t>Asimismo, para efectos de este artículo, los tipos de trabajos que se podrán realizar serán los siguientes:</w:t>
      </w:r>
    </w:p>
    <w:p>
      <w:pPr>
        <w:spacing w:line="276" w:lineRule="auto"/>
        <w:rPr>
          <w:rFonts w:ascii="Century Gothic" w:hAnsi="Century Gothic"/>
          <w:sz w:val="20"/>
          <w:szCs w:val="20"/>
        </w:rPr>
      </w:pPr>
      <w:r>
        <w:rPr>
          <w:rFonts w:ascii="Century Gothic" w:hAnsi="Century Gothic"/>
          <w:sz w:val="20"/>
          <w:szCs w:val="20"/>
        </w:rPr>
        <w:t>I.- Rescate: Aquellos trabajos que se realizan para la recuperación de elementos que hubieren sido mutilados o alterados;</w:t>
      </w:r>
    </w:p>
    <w:p>
      <w:pPr>
        <w:spacing w:line="276" w:lineRule="auto"/>
        <w:rPr>
          <w:rFonts w:ascii="Century Gothic" w:hAnsi="Century Gothic"/>
          <w:sz w:val="20"/>
          <w:szCs w:val="20"/>
        </w:rPr>
      </w:pPr>
      <w:r>
        <w:rPr>
          <w:rFonts w:ascii="Century Gothic" w:hAnsi="Century Gothic"/>
          <w:sz w:val="20"/>
          <w:szCs w:val="20"/>
        </w:rPr>
        <w:t>II.- Consolidación: Aquellos trabajos que se realizan para devolver la estabilidad a partir de lo existente;</w:t>
      </w:r>
    </w:p>
    <w:p>
      <w:pPr>
        <w:spacing w:line="276" w:lineRule="auto"/>
        <w:rPr>
          <w:rFonts w:ascii="Century Gothic" w:hAnsi="Century Gothic"/>
          <w:sz w:val="20"/>
          <w:szCs w:val="20"/>
        </w:rPr>
      </w:pPr>
      <w:r>
        <w:rPr>
          <w:rFonts w:ascii="Century Gothic" w:hAnsi="Century Gothic"/>
          <w:sz w:val="20"/>
          <w:szCs w:val="20"/>
        </w:rPr>
        <w:t xml:space="preserve">III.- Restauración: Aquellos trabajos que se realizan para reincorporar algún elemento original, o con características similares a la original; </w:t>
      </w:r>
    </w:p>
    <w:p>
      <w:pPr>
        <w:spacing w:line="276" w:lineRule="auto"/>
        <w:rPr>
          <w:rFonts w:ascii="Century Gothic" w:hAnsi="Century Gothic"/>
          <w:sz w:val="20"/>
          <w:szCs w:val="20"/>
        </w:rPr>
      </w:pPr>
      <w:r>
        <w:rPr>
          <w:rFonts w:ascii="Century Gothic" w:hAnsi="Century Gothic"/>
          <w:sz w:val="20"/>
          <w:szCs w:val="20"/>
        </w:rPr>
        <w:t>IV.- Integración al contexto: Aquellos trabajos que permiten incorporar al predio en cuestión con las características de su entorno; y</w:t>
      </w:r>
    </w:p>
    <w:p>
      <w:pPr>
        <w:spacing w:line="276" w:lineRule="auto"/>
        <w:rPr>
          <w:rFonts w:ascii="Century Gothic" w:hAnsi="Century Gothic"/>
          <w:sz w:val="20"/>
          <w:szCs w:val="20"/>
        </w:rPr>
      </w:pPr>
      <w:r>
        <w:rPr>
          <w:rFonts w:ascii="Century Gothic" w:hAnsi="Century Gothic"/>
          <w:sz w:val="20"/>
          <w:szCs w:val="20"/>
        </w:rPr>
        <w:t>V.- Rehabilitación integral: Conjunto de trabajos, en interior y exterior, respetuosos de las características originales de inmueble que conlleve a su habitabilidad, y en consecuencia al uso inmediato.</w:t>
      </w:r>
    </w:p>
    <w:p>
      <w:pPr>
        <w:spacing w:line="276" w:lineRule="auto"/>
        <w:rPr>
          <w:rFonts w:ascii="Century Gothic" w:hAnsi="Century Gothic"/>
          <w:sz w:val="20"/>
          <w:szCs w:val="20"/>
        </w:rPr>
      </w:pPr>
      <w:r>
        <w:rPr>
          <w:rFonts w:ascii="Century Gothic" w:hAnsi="Century Gothic"/>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pPr>
        <w:spacing w:line="276" w:lineRule="auto"/>
        <w:rPr>
          <w:rFonts w:ascii="Century Gothic" w:hAnsi="Century Gothic"/>
          <w:sz w:val="20"/>
          <w:szCs w:val="20"/>
        </w:rPr>
      </w:pPr>
      <w:r>
        <w:rPr>
          <w:rFonts w:ascii="Century Gothic" w:hAnsi="Century Gothic"/>
          <w:sz w:val="20"/>
          <w:szCs w:val="20"/>
        </w:rPr>
        <w:t>Dicha solicitud deberá contener cuando menos la información que indique el importe de la inversión, fecha de inicio y conclusión, así como el tipo de trabajo que se realizará.</w:t>
      </w:r>
    </w:p>
    <w:p>
      <w:pPr>
        <w:spacing w:line="276" w:lineRule="auto"/>
        <w:rPr>
          <w:rFonts w:ascii="Century Gothic" w:hAnsi="Century Gothic"/>
          <w:sz w:val="20"/>
          <w:szCs w:val="20"/>
        </w:rPr>
      </w:pPr>
      <w:r>
        <w:rPr>
          <w:rFonts w:ascii="Century Gothic" w:hAnsi="Century Gothic"/>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pPr>
        <w:spacing w:line="276" w:lineRule="auto"/>
        <w:rPr>
          <w:rFonts w:ascii="Century Gothic" w:hAnsi="Century Gothic"/>
          <w:sz w:val="20"/>
          <w:szCs w:val="20"/>
        </w:rPr>
      </w:pPr>
      <w:r>
        <w:rPr>
          <w:rFonts w:ascii="Century Gothic" w:hAnsi="Century Gothic"/>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pPr>
        <w:spacing w:line="276" w:lineRule="auto"/>
        <w:rPr>
          <w:rFonts w:ascii="Century Gothic" w:hAnsi="Century Gothic"/>
          <w:sz w:val="20"/>
          <w:szCs w:val="20"/>
        </w:rPr>
      </w:pPr>
      <w:r>
        <w:rPr>
          <w:rFonts w:ascii="Century Gothic" w:hAnsi="Century Gothic"/>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pPr>
        <w:spacing w:line="276" w:lineRule="auto"/>
        <w:rPr>
          <w:rFonts w:ascii="Century Gothic" w:hAnsi="Century Gothic"/>
          <w:sz w:val="20"/>
          <w:szCs w:val="20"/>
        </w:rPr>
      </w:pPr>
      <w:r>
        <w:rPr>
          <w:rFonts w:ascii="Century Gothic" w:hAnsi="Century Gothic"/>
          <w:sz w:val="20"/>
          <w:szCs w:val="20"/>
        </w:rPr>
        <w:t>Para la aplicación de dicho estímulo la Dirección de Finanzas y Tesorería Municipal dictará un acuerdo de conformidad con lo siguiente:</w:t>
      </w:r>
    </w:p>
    <w:p>
      <w:pPr>
        <w:spacing w:line="276" w:lineRule="auto"/>
        <w:rPr>
          <w:rFonts w:ascii="Century Gothic" w:hAnsi="Century Gothic"/>
          <w:sz w:val="20"/>
          <w:szCs w:val="20"/>
        </w:rPr>
      </w:pPr>
      <w:r>
        <w:rPr>
          <w:rFonts w:ascii="Century Gothic" w:hAnsi="Century Gothic"/>
          <w:sz w:val="20"/>
          <w:szCs w:val="20"/>
        </w:rPr>
        <w:t>1. Determinará el importe del impuesto que se cause hasta por el mes de diciembre de 2021.</w:t>
      </w:r>
    </w:p>
    <w:p>
      <w:pPr>
        <w:spacing w:line="276" w:lineRule="auto"/>
        <w:rPr>
          <w:rFonts w:ascii="Century Gothic" w:hAnsi="Century Gothic"/>
          <w:sz w:val="20"/>
          <w:szCs w:val="20"/>
        </w:rPr>
      </w:pPr>
      <w:r>
        <w:rPr>
          <w:rFonts w:ascii="Century Gothic" w:hAnsi="Century Gothic"/>
          <w:sz w:val="20"/>
          <w:szCs w:val="20"/>
        </w:rPr>
        <w:t>2. Procederá a realizar el acreditamiento de conformidad con lo establecido en este artículo.</w:t>
      </w:r>
    </w:p>
    <w:p>
      <w:pPr>
        <w:spacing w:line="276" w:lineRule="auto"/>
        <w:rPr>
          <w:rFonts w:ascii="Century Gothic" w:hAnsi="Century Gothic"/>
          <w:sz w:val="20"/>
          <w:szCs w:val="20"/>
        </w:rPr>
      </w:pPr>
      <w:r>
        <w:rPr>
          <w:rFonts w:ascii="Century Gothic" w:hAnsi="Century Gothic"/>
          <w:sz w:val="20"/>
          <w:szCs w:val="20"/>
        </w:rPr>
        <w:t>3. Si al realizar el acreditamiento, resultase que el importe del impuesto determinado es menor que el importe de la inversión señalada en la constancia de aplicación del estímulo, se considerará pagado en su totalidad el impuesto correspondiente al período determinado en el punto 1.</w:t>
      </w:r>
    </w:p>
    <w:p>
      <w:pPr>
        <w:spacing w:line="276" w:lineRule="auto"/>
        <w:rPr>
          <w:rFonts w:ascii="Century Gothic" w:hAnsi="Century Gothic"/>
          <w:sz w:val="20"/>
          <w:szCs w:val="20"/>
        </w:rPr>
      </w:pPr>
      <w:r>
        <w:rPr>
          <w:rFonts w:ascii="Century Gothic" w:hAnsi="Century Gothic"/>
          <w:sz w:val="20"/>
          <w:szCs w:val="20"/>
        </w:rPr>
        <w:t>4. Si al realizar el acreditamiento, resultase que el importe del impuesto determinado es mayor que el importe de la inversión determinada en la constancia de aplicación del estímulo, la diferencia deberá ser pagada al momento de aplicar el estímulo.</w:t>
      </w:r>
    </w:p>
    <w:p>
      <w:pPr>
        <w:spacing w:line="276" w:lineRule="auto"/>
        <w:rPr>
          <w:rFonts w:ascii="Century Gothic" w:hAnsi="Century Gothic"/>
          <w:sz w:val="20"/>
          <w:szCs w:val="20"/>
        </w:rPr>
      </w:pPr>
      <w:r>
        <w:rPr>
          <w:rFonts w:ascii="Century Gothic" w:hAnsi="Century Gothic"/>
          <w:sz w:val="20"/>
          <w:szCs w:val="20"/>
        </w:rPr>
        <w:t>En caso de que el impuesto predial se cause sobre la base de la contraprestación, el contribuyente deberá determinar el impuesto que se cause hasta el mes de diciembre de 2021, y realizar, en una sola declaración, el acreditamiento que señala este artículo. En este caso, le será aplicable lo dispuesto en los puntos 3 y 4 del párrafo anterior.</w:t>
      </w:r>
    </w:p>
    <w:p>
      <w:pPr>
        <w:spacing w:line="276" w:lineRule="auto"/>
        <w:rPr>
          <w:rFonts w:ascii="Century Gothic" w:hAnsi="Century Gothic"/>
          <w:sz w:val="20"/>
          <w:szCs w:val="20"/>
        </w:rPr>
      </w:pPr>
      <w:r>
        <w:rPr>
          <w:rFonts w:ascii="Century Gothic" w:hAnsi="Century Gothic"/>
          <w:sz w:val="20"/>
          <w:szCs w:val="20"/>
        </w:rPr>
        <w:t>En caso de que en los períodos comprendidos hasta el mes de diciembre de 2021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pPr>
        <w:spacing w:line="276" w:lineRule="auto"/>
        <w:rPr>
          <w:rFonts w:ascii="Century Gothic" w:hAnsi="Century Gothic"/>
          <w:sz w:val="20"/>
          <w:szCs w:val="20"/>
        </w:rPr>
      </w:pPr>
      <w:r>
        <w:rPr>
          <w:rFonts w:ascii="Century Gothic" w:hAnsi="Century Gothic"/>
          <w:sz w:val="20"/>
          <w:szCs w:val="20"/>
        </w:rPr>
        <w:t>La suma de los acreditamientos aplicados no podrá ser mayor al importe de la inversión que se determinó en la constancia de aplicación del estímulo.</w:t>
      </w:r>
    </w:p>
    <w:p>
      <w:pPr>
        <w:spacing w:line="276" w:lineRule="auto"/>
        <w:rPr>
          <w:rFonts w:ascii="Century Gothic" w:hAnsi="Century Gothic"/>
          <w:sz w:val="20"/>
          <w:szCs w:val="20"/>
        </w:rPr>
      </w:pPr>
      <w:r>
        <w:rPr>
          <w:rFonts w:ascii="Century Gothic" w:hAnsi="Century Gothic"/>
          <w:sz w:val="20"/>
          <w:szCs w:val="20"/>
        </w:rPr>
        <w:t>El acreditamiento del importe de la inversión deberá realizarse contra el principal así como por los accesorios del mismo.</w:t>
      </w:r>
    </w:p>
    <w:p>
      <w:pPr>
        <w:spacing w:line="276" w:lineRule="auto"/>
        <w:rPr>
          <w:rFonts w:ascii="Century Gothic" w:hAnsi="Century Gothic"/>
          <w:sz w:val="20"/>
          <w:szCs w:val="20"/>
        </w:rPr>
      </w:pPr>
      <w:r>
        <w:rPr>
          <w:rFonts w:ascii="Century Gothic" w:hAnsi="Century Gothic"/>
          <w:sz w:val="20"/>
          <w:szCs w:val="20"/>
        </w:rPr>
        <w:t>La aplicación del estímulo a que se refiere este artículo no libera al contribuyente del cumplimiento de las demás obligaciones relacionadas con el impuesto predial.</w:t>
      </w:r>
    </w:p>
    <w:p>
      <w:pPr>
        <w:spacing w:line="276" w:lineRule="auto"/>
        <w:rPr>
          <w:rFonts w:ascii="Century Gothic" w:hAnsi="Century Gothic"/>
          <w:sz w:val="20"/>
          <w:szCs w:val="20"/>
        </w:rPr>
      </w:pPr>
      <w:r>
        <w:rPr>
          <w:rFonts w:ascii="Century Gothic" w:hAnsi="Century Gothic"/>
          <w:sz w:val="20"/>
          <w:szCs w:val="20"/>
        </w:rPr>
        <w:t>En ningún caso la aplicación del estímulo a que se refiere este artículo, dará lugar a devolución de cantidad alguna.</w:t>
      </w:r>
    </w:p>
    <w:p>
      <w:pPr>
        <w:spacing w:line="276" w:lineRule="auto"/>
        <w:rPr>
          <w:rFonts w:ascii="Century Gothic" w:hAnsi="Century Gothic"/>
          <w:sz w:val="20"/>
          <w:szCs w:val="20"/>
        </w:rPr>
      </w:pPr>
      <w:r>
        <w:rPr>
          <w:rFonts w:ascii="Century Gothic" w:hAnsi="Century Gothic"/>
          <w:b/>
          <w:sz w:val="20"/>
          <w:szCs w:val="20"/>
        </w:rPr>
        <w:t>ARTÍCULO SEXTO.-</w:t>
      </w:r>
      <w:r>
        <w:rPr>
          <w:rFonts w:ascii="Century Gothic" w:hAnsi="Century Gothic"/>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2021, siempre y cuando el pago de dicho impuesto se realice durante dicho ejercicio.</w:t>
      </w:r>
    </w:p>
    <w:p>
      <w:pPr>
        <w:spacing w:line="276" w:lineRule="auto"/>
        <w:rPr>
          <w:rFonts w:ascii="Century Gothic" w:hAnsi="Century Gothic"/>
          <w:sz w:val="20"/>
          <w:szCs w:val="20"/>
        </w:rPr>
      </w:pPr>
      <w:r>
        <w:rPr>
          <w:rFonts w:ascii="Century Gothic" w:hAnsi="Century Gothic"/>
          <w:sz w:val="20"/>
          <w:szCs w:val="20"/>
        </w:rPr>
        <w:t>Para poder acceder al estímulo el contribuyente deberá acreditar que el inmueble es su casa habitación y exhibir la siguiente documentación:</w:t>
      </w:r>
    </w:p>
    <w:p>
      <w:pPr>
        <w:spacing w:line="276" w:lineRule="auto"/>
        <w:rPr>
          <w:rFonts w:ascii="Century Gothic" w:hAnsi="Century Gothic"/>
          <w:sz w:val="20"/>
          <w:szCs w:val="20"/>
        </w:rPr>
      </w:pPr>
      <w:r>
        <w:rPr>
          <w:rFonts w:ascii="Century Gothic" w:hAnsi="Century Gothic"/>
          <w:sz w:val="20"/>
          <w:szCs w:val="20"/>
        </w:rPr>
        <w:t>1.- El certificado o dictamen expedido por el Instituto Nacional de Antropología e Historia en el que se señale que el inmueble está declarado o catalogado como monumento histórico o artístico.</w:t>
      </w:r>
    </w:p>
    <w:p>
      <w:pPr>
        <w:spacing w:line="276" w:lineRule="auto"/>
        <w:rPr>
          <w:rFonts w:ascii="Century Gothic" w:hAnsi="Century Gothic"/>
          <w:sz w:val="20"/>
          <w:szCs w:val="20"/>
        </w:rPr>
      </w:pPr>
      <w:r>
        <w:rPr>
          <w:rFonts w:ascii="Century Gothic" w:hAnsi="Century Gothic"/>
          <w:sz w:val="20"/>
          <w:szCs w:val="20"/>
        </w:rPr>
        <w:t>2.- Se encuentre pagado en su totalidad el impuesto predial, causado hasta por el mes de diciembre de 2020.</w:t>
      </w:r>
    </w:p>
    <w:p>
      <w:pPr>
        <w:spacing w:line="276" w:lineRule="auto"/>
        <w:rPr>
          <w:rFonts w:ascii="Century Gothic" w:hAnsi="Century Gothic"/>
          <w:sz w:val="20"/>
          <w:szCs w:val="20"/>
        </w:rPr>
      </w:pPr>
      <w:r>
        <w:rPr>
          <w:rFonts w:ascii="Century Gothic" w:hAnsi="Century Gothic"/>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pPr>
        <w:spacing w:line="276" w:lineRule="auto"/>
        <w:rPr>
          <w:rFonts w:ascii="Century Gothic" w:hAnsi="Century Gothic"/>
          <w:sz w:val="20"/>
          <w:szCs w:val="20"/>
        </w:rPr>
      </w:pPr>
      <w:r>
        <w:rPr>
          <w:rFonts w:ascii="Century Gothic" w:hAnsi="Century Gothic"/>
          <w:sz w:val="20"/>
          <w:szCs w:val="20"/>
        </w:rPr>
        <w:t>1. La credencial de elector, expedida por el Instituto Nacional Electoral (INE).</w:t>
      </w:r>
    </w:p>
    <w:p>
      <w:pPr>
        <w:spacing w:line="276" w:lineRule="auto"/>
        <w:rPr>
          <w:rFonts w:ascii="Century Gothic" w:hAnsi="Century Gothic"/>
          <w:sz w:val="20"/>
          <w:szCs w:val="20"/>
        </w:rPr>
      </w:pPr>
      <w:r>
        <w:rPr>
          <w:rFonts w:ascii="Century Gothic" w:hAnsi="Century Gothic"/>
          <w:sz w:val="20"/>
          <w:szCs w:val="20"/>
        </w:rPr>
        <w:t>2. Los comprobantes de los pagos efectuados por la prestación de energía eléctrica o de telefonía fija.</w:t>
      </w:r>
    </w:p>
    <w:p>
      <w:pPr>
        <w:spacing w:line="276" w:lineRule="auto"/>
        <w:rPr>
          <w:rFonts w:ascii="Century Gothic" w:hAnsi="Century Gothic"/>
          <w:sz w:val="20"/>
          <w:szCs w:val="20"/>
        </w:rPr>
      </w:pPr>
      <w:r>
        <w:rPr>
          <w:rFonts w:ascii="Century Gothic" w:hAnsi="Century Gothic"/>
          <w:sz w:val="20"/>
          <w:szCs w:val="20"/>
        </w:rPr>
        <w:t>La documentación a que se refieren las fracciones anteriores, deberá estar a nombre del propietario del inmueble objeto del estímulo.</w:t>
      </w:r>
    </w:p>
    <w:p>
      <w:pPr>
        <w:spacing w:line="276" w:lineRule="auto"/>
        <w:rPr>
          <w:rFonts w:ascii="Century Gothic" w:hAnsi="Century Gothic"/>
          <w:sz w:val="20"/>
          <w:szCs w:val="20"/>
        </w:rPr>
      </w:pPr>
      <w:r>
        <w:rPr>
          <w:rFonts w:ascii="Century Gothic" w:hAnsi="Century Gothic"/>
          <w:sz w:val="20"/>
          <w:szCs w:val="20"/>
        </w:rPr>
        <w:t>La aplicación del estímulo a que se refiere este artículo no libera al contribuyente del cumplimiento de las demás obligaciones relacionadas con el impuesto predial.</w:t>
      </w:r>
    </w:p>
    <w:p>
      <w:pPr>
        <w:spacing w:line="276" w:lineRule="auto"/>
        <w:rPr>
          <w:rFonts w:ascii="Century Gothic" w:hAnsi="Century Gothic"/>
          <w:sz w:val="20"/>
          <w:szCs w:val="20"/>
        </w:rPr>
      </w:pPr>
      <w:r>
        <w:rPr>
          <w:rFonts w:ascii="Century Gothic" w:hAnsi="Century Gothic"/>
          <w:sz w:val="20"/>
          <w:szCs w:val="20"/>
        </w:rPr>
        <w:t>En ningún caso la aplicación del estímulo a que se refiere este artículo, dará lugar a devolución de cantidad alguna.</w:t>
      </w:r>
    </w:p>
    <w:p>
      <w:pPr>
        <w:spacing w:line="276" w:lineRule="auto"/>
        <w:rPr>
          <w:rFonts w:ascii="Century Gothic" w:hAnsi="Century Gothic"/>
          <w:sz w:val="20"/>
          <w:szCs w:val="20"/>
        </w:rPr>
      </w:pPr>
      <w:r>
        <w:rPr>
          <w:rFonts w:ascii="Century Gothic" w:hAnsi="Century Gothic"/>
          <w:b/>
          <w:sz w:val="20"/>
          <w:szCs w:val="20"/>
        </w:rPr>
        <w:t>ARTÍCULO SÉPTIMO.-</w:t>
      </w:r>
      <w:r>
        <w:rPr>
          <w:rFonts w:ascii="Century Gothic" w:hAnsi="Century Gothic"/>
          <w:sz w:val="20"/>
          <w:szCs w:val="20"/>
        </w:rPr>
        <w:t xml:space="preserve"> Si durante el ejercicio fiscal 2021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pPr>
        <w:spacing w:line="276" w:lineRule="auto"/>
        <w:rPr>
          <w:rFonts w:ascii="Century Gothic" w:hAnsi="Century Gothic"/>
          <w:sz w:val="20"/>
          <w:szCs w:val="20"/>
        </w:rPr>
      </w:pPr>
      <w:r>
        <w:rPr>
          <w:rFonts w:ascii="Century Gothic" w:hAnsi="Century Gothic"/>
          <w:b/>
          <w:sz w:val="20"/>
          <w:szCs w:val="20"/>
        </w:rPr>
        <w:t>ARTÍCULO OCTAVO.-</w:t>
      </w:r>
      <w:r>
        <w:rPr>
          <w:rFonts w:ascii="Century Gothic" w:hAnsi="Century Gothic"/>
          <w:sz w:val="20"/>
          <w:szCs w:val="20"/>
        </w:rPr>
        <w:t xml:space="preserve"> Se derogan todas las disposiciones legales que eximan a los particulares del pago de las contribuciones previstas en esta Ley con excepción de las que dispone la misma que otorguen beneficios fiscales.</w:t>
      </w:r>
    </w:p>
    <w:p>
      <w:pPr>
        <w:spacing w:line="276" w:lineRule="auto"/>
        <w:rPr>
          <w:rFonts w:ascii="Century Gothic" w:hAnsi="Century Gothic"/>
          <w:bCs/>
          <w:sz w:val="20"/>
          <w:szCs w:val="20"/>
        </w:rPr>
      </w:pPr>
      <w:bookmarkStart w:id="5" w:name="_Hlk56963132"/>
      <w:bookmarkStart w:id="6" w:name="_Hlk56961805"/>
      <w:r>
        <w:rPr>
          <w:rFonts w:ascii="Century Gothic" w:hAnsi="Century Gothic"/>
          <w:b/>
          <w:sz w:val="20"/>
          <w:szCs w:val="20"/>
        </w:rPr>
        <w:t xml:space="preserve">ARTÍCULO NOVENO.- </w:t>
      </w:r>
      <w:r>
        <w:rPr>
          <w:rFonts w:ascii="Century Gothic" w:hAnsi="Century Gothic"/>
          <w:bCs/>
          <w:sz w:val="20"/>
          <w:szCs w:val="20"/>
        </w:rPr>
        <w:t>En el ejercicio fiscal 2021 el importe anual a pagar por los contribuyentes del impuesto predial base valor catastral, no podrá exceder de la cantidad a cargo que les haya correspondido durante el ejercicio fiscal 2020, efectuando este comparativo solamente sobre el impuesto principal, sin tomar en consideración, bonificaciones, exenciones, reducciones, estímulos o accesorios legales.</w:t>
      </w:r>
    </w:p>
    <w:bookmarkEnd w:id="5"/>
    <w:p>
      <w:pPr>
        <w:spacing w:line="276" w:lineRule="auto"/>
        <w:rPr>
          <w:rFonts w:ascii="Century Gothic" w:hAnsi="Century Gothic"/>
          <w:sz w:val="20"/>
          <w:szCs w:val="20"/>
        </w:rPr>
      </w:pPr>
      <w:r>
        <w:rPr>
          <w:rFonts w:ascii="Century Gothic" w:hAnsi="Century Gothic"/>
          <w:sz w:val="20"/>
          <w:szCs w:val="20"/>
        </w:rPr>
        <w:t>A partir del ejercicio fiscal 2022 el importe anual a pagar por los contribuyentes del impuesto predial base valor catastral, no podrá exceder de un 4% del que les haya correspondido durante el ejercicio fiscal inmediato anterior para los predios cuyo valor catastral sea menor o igual a $500,000.00 y para los predios cuyo valor catastral sea superior a $500,000.00 el impuesto predial base valor catastral no podrá exceder de un 10% del que les haya correspondido durante el ejercicio fiscal inmediato anterior. Este comparativo se efectuará solamente sobre el impuesto principal, sin tomar en consideración, bonificaciones, exenciones, reducciones, estímulos o accesorios legales.</w:t>
      </w:r>
    </w:p>
    <w:p>
      <w:pPr>
        <w:spacing w:line="276" w:lineRule="auto"/>
        <w:rPr>
          <w:rFonts w:ascii="Century Gothic" w:hAnsi="Century Gothic"/>
          <w:bCs/>
          <w:sz w:val="20"/>
          <w:szCs w:val="20"/>
        </w:rPr>
      </w:pPr>
      <w:r>
        <w:rPr>
          <w:rFonts w:ascii="Century Gothic" w:hAnsi="Century Gothic"/>
          <w:bCs/>
          <w:sz w:val="20"/>
          <w:szCs w:val="20"/>
        </w:rPr>
        <w:t>Se exceptúan de lo dispuesto en los dos párrafos que anteceden:</w:t>
      </w:r>
    </w:p>
    <w:p>
      <w:pPr>
        <w:numPr>
          <w:ilvl w:val="0"/>
          <w:numId w:val="2"/>
        </w:numPr>
        <w:spacing w:line="276" w:lineRule="auto"/>
        <w:rPr>
          <w:rFonts w:ascii="Century Gothic" w:hAnsi="Century Gothic"/>
          <w:sz w:val="20"/>
          <w:szCs w:val="20"/>
        </w:rPr>
      </w:pPr>
      <w:r>
        <w:rPr>
          <w:rFonts w:ascii="Century Gothic" w:hAnsi="Century Gothic"/>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 en cuyo caso aplicará el cálculo establecido en el artículo 47 de esta Ley.</w:t>
      </w:r>
    </w:p>
    <w:p>
      <w:pPr>
        <w:numPr>
          <w:ilvl w:val="0"/>
          <w:numId w:val="2"/>
        </w:numPr>
        <w:spacing w:line="276" w:lineRule="auto"/>
        <w:rPr>
          <w:rFonts w:ascii="Century Gothic" w:hAnsi="Century Gothic"/>
          <w:sz w:val="20"/>
          <w:szCs w:val="20"/>
        </w:rPr>
      </w:pPr>
      <w:r>
        <w:rPr>
          <w:rFonts w:ascii="Century Gothic" w:hAnsi="Century Gothic"/>
          <w:sz w:val="20"/>
          <w:szCs w:val="20"/>
        </w:rPr>
        <w:t>Los predios que fueron objeto de traslación de dominio a partir del ejercicio inmediato anterior, en cuyo caso aplicará el cálculo establecido en el artículo 47 de esta Ley.</w:t>
      </w:r>
    </w:p>
    <w:bookmarkEnd w:id="6"/>
    <w:p>
      <w:pPr>
        <w:spacing w:line="276" w:lineRule="auto"/>
        <w:rPr>
          <w:rFonts w:ascii="Century Gothic" w:hAnsi="Century Gothic"/>
          <w:sz w:val="20"/>
          <w:szCs w:val="20"/>
        </w:rPr>
      </w:pPr>
      <w:r>
        <w:rPr>
          <w:rFonts w:ascii="Century Gothic" w:hAnsi="Century Gothic"/>
          <w:b/>
          <w:sz w:val="20"/>
          <w:szCs w:val="20"/>
        </w:rPr>
        <w:t xml:space="preserve">ARTÍCULO DÉCIMO.- </w:t>
      </w:r>
      <w:r>
        <w:rPr>
          <w:rFonts w:ascii="Century Gothic" w:hAnsi="Century Gothic"/>
          <w:sz w:val="20"/>
          <w:szCs w:val="20"/>
        </w:rPr>
        <w:t>Para los derechos por los servicios que presta la Dirección de Desarrollo Urbano durante el ejercicio fiscal 2021,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pPr>
        <w:spacing w:line="276" w:lineRule="auto"/>
        <w:rPr>
          <w:rFonts w:ascii="Century Gothic" w:hAnsi="Century Gothic"/>
          <w:sz w:val="20"/>
          <w:szCs w:val="20"/>
        </w:rPr>
      </w:pPr>
      <w:r>
        <w:rPr>
          <w:rFonts w:ascii="Century Gothic" w:hAnsi="Century Gothic"/>
          <w:sz w:val="20"/>
          <w:szCs w:val="20"/>
        </w:rPr>
        <w:t>Dado en la ciudad de Mérida, Yucatán a los veinticuatro días del mes de noviembre del año dos mil veinte.</w:t>
      </w:r>
    </w:p>
    <w:p>
      <w:pPr>
        <w:spacing w:line="276" w:lineRule="auto"/>
        <w:rPr>
          <w:rFonts w:ascii="Century Gothic" w:hAnsi="Century Gothic"/>
          <w:sz w:val="20"/>
          <w:szCs w:val="20"/>
        </w:rPr>
      </w:pPr>
    </w:p>
    <w:p>
      <w:pPr>
        <w:jc w:val="center"/>
        <w:rPr>
          <w:rFonts w:ascii="Century Gothic" w:hAnsi="Century Gothic"/>
          <w:b/>
          <w:spacing w:val="40"/>
          <w:sz w:val="20"/>
          <w:szCs w:val="20"/>
          <w:lang w:val="pt-BR"/>
        </w:rPr>
      </w:pPr>
      <w:r>
        <w:rPr>
          <w:rFonts w:ascii="Century Gothic" w:hAnsi="Century Gothic"/>
          <w:b/>
          <w:spacing w:val="40"/>
          <w:sz w:val="20"/>
          <w:szCs w:val="20"/>
          <w:lang w:val="pt-BR"/>
        </w:rPr>
        <w:t>ATENTAMENTE</w:t>
      </w:r>
    </w:p>
    <w:p>
      <w:pPr>
        <w:spacing w:after="0"/>
        <w:jc w:val="center"/>
        <w:rPr>
          <w:rFonts w:ascii="Century Gothic" w:hAnsi="Century Gothic"/>
          <w:b/>
          <w:sz w:val="20"/>
          <w:szCs w:val="20"/>
          <w:lang w:val="pt-BR"/>
        </w:rPr>
      </w:pPr>
    </w:p>
    <w:p>
      <w:pPr>
        <w:spacing w:after="0"/>
        <w:jc w:val="center"/>
        <w:rPr>
          <w:rFonts w:ascii="Century Gothic" w:hAnsi="Century Gothic"/>
          <w:b/>
          <w:sz w:val="20"/>
          <w:szCs w:val="20"/>
          <w:lang w:val="pt-BR"/>
        </w:rPr>
      </w:pPr>
    </w:p>
    <w:p>
      <w:pPr>
        <w:spacing w:after="0"/>
        <w:jc w:val="center"/>
        <w:rPr>
          <w:rFonts w:ascii="Century Gothic" w:hAnsi="Century Gothic"/>
          <w:b/>
          <w:sz w:val="20"/>
          <w:szCs w:val="20"/>
          <w:lang w:val="pt-BR"/>
        </w:rPr>
      </w:pPr>
    </w:p>
    <w:tbl>
      <w:tblPr>
        <w:tblStyle w:val="7"/>
        <w:tblW w:w="8907" w:type="dxa"/>
        <w:jc w:val="center"/>
        <w:tblLayout w:type="autofit"/>
        <w:tblCellMar>
          <w:top w:w="0" w:type="dxa"/>
          <w:left w:w="70" w:type="dxa"/>
          <w:bottom w:w="0" w:type="dxa"/>
          <w:right w:w="70" w:type="dxa"/>
        </w:tblCellMar>
      </w:tblPr>
      <w:tblGrid>
        <w:gridCol w:w="4568"/>
        <w:gridCol w:w="4339"/>
      </w:tblGrid>
      <w:tr>
        <w:tblPrEx>
          <w:tblCellMar>
            <w:top w:w="0" w:type="dxa"/>
            <w:left w:w="70" w:type="dxa"/>
            <w:bottom w:w="0" w:type="dxa"/>
            <w:right w:w="70" w:type="dxa"/>
          </w:tblCellMar>
        </w:tblPrEx>
        <w:trPr>
          <w:wBefore w:w="0" w:type="dxa"/>
          <w:wAfter w:w="0" w:type="dxa"/>
          <w:jc w:val="center"/>
        </w:trPr>
        <w:tc>
          <w:tcPr>
            <w:tcW w:w="4568" w:type="dxa"/>
            <w:noWrap w:val="0"/>
            <w:vAlign w:val="top"/>
          </w:tcPr>
          <w:p>
            <w:pPr>
              <w:spacing w:after="0"/>
              <w:jc w:val="center"/>
              <w:rPr>
                <w:rFonts w:ascii="Century Gothic" w:hAnsi="Century Gothic"/>
                <w:b/>
                <w:bCs/>
                <w:sz w:val="20"/>
                <w:szCs w:val="20"/>
              </w:rPr>
            </w:pPr>
            <w:r>
              <w:rPr>
                <w:rFonts w:ascii="Century Gothic" w:hAnsi="Century Gothic"/>
                <w:b/>
                <w:bCs/>
                <w:sz w:val="20"/>
                <w:szCs w:val="20"/>
              </w:rPr>
              <w:t>LIC. RENÁN ALBERTO BARRERA CONCHA</w:t>
            </w:r>
          </w:p>
          <w:p>
            <w:pPr>
              <w:spacing w:after="0"/>
              <w:jc w:val="center"/>
              <w:rPr>
                <w:rFonts w:ascii="Century Gothic" w:hAnsi="Century Gothic"/>
                <w:b/>
                <w:bCs/>
                <w:sz w:val="20"/>
                <w:szCs w:val="20"/>
              </w:rPr>
            </w:pPr>
            <w:r>
              <w:rPr>
                <w:rFonts w:ascii="Century Gothic" w:hAnsi="Century Gothic"/>
                <w:b/>
                <w:bCs/>
                <w:sz w:val="20"/>
                <w:szCs w:val="20"/>
              </w:rPr>
              <w:t>PRESIDENTE MUNICIPAL</w:t>
            </w:r>
          </w:p>
        </w:tc>
        <w:tc>
          <w:tcPr>
            <w:tcW w:w="0" w:type="auto"/>
            <w:noWrap w:val="0"/>
            <w:vAlign w:val="top"/>
          </w:tcPr>
          <w:p>
            <w:pPr>
              <w:spacing w:after="0"/>
              <w:jc w:val="center"/>
              <w:rPr>
                <w:rFonts w:ascii="Century Gothic" w:hAnsi="Century Gothic"/>
                <w:b/>
                <w:bCs/>
                <w:sz w:val="20"/>
                <w:szCs w:val="20"/>
              </w:rPr>
            </w:pPr>
            <w:r>
              <w:rPr>
                <w:rFonts w:ascii="Century Gothic" w:hAnsi="Century Gothic"/>
                <w:b/>
                <w:sz w:val="20"/>
                <w:szCs w:val="20"/>
              </w:rPr>
              <w:t>LIC. ALEJANDRO IVÁN RUZ CASTRO</w:t>
            </w:r>
          </w:p>
          <w:p>
            <w:pPr>
              <w:spacing w:after="0"/>
              <w:jc w:val="center"/>
              <w:rPr>
                <w:rFonts w:ascii="Century Gothic" w:hAnsi="Century Gothic"/>
                <w:b/>
                <w:bCs/>
                <w:sz w:val="20"/>
                <w:szCs w:val="20"/>
              </w:rPr>
            </w:pPr>
            <w:r>
              <w:rPr>
                <w:rFonts w:ascii="Century Gothic" w:hAnsi="Century Gothic"/>
                <w:b/>
                <w:bCs/>
                <w:sz w:val="20"/>
                <w:szCs w:val="20"/>
              </w:rPr>
              <w:t>SECRETARIO MUNICIPAL</w:t>
            </w:r>
          </w:p>
          <w:p>
            <w:pPr>
              <w:spacing w:after="0"/>
              <w:jc w:val="center"/>
              <w:rPr>
                <w:rFonts w:ascii="Century Gothic" w:hAnsi="Century Gothic"/>
                <w:b/>
                <w:bCs/>
                <w:sz w:val="20"/>
                <w:szCs w:val="20"/>
              </w:rPr>
            </w:pPr>
          </w:p>
        </w:tc>
      </w:tr>
    </w:tbl>
    <w:p>
      <w:pPr>
        <w:tabs>
          <w:tab w:val="left" w:pos="8789"/>
        </w:tabs>
        <w:rPr>
          <w:rFonts w:ascii="Century Gothic" w:hAnsi="Century Gothic"/>
          <w:sz w:val="20"/>
          <w:szCs w:val="20"/>
        </w:rPr>
      </w:pPr>
    </w:p>
    <w:sectPr>
      <w:headerReference r:id="rId3" w:type="default"/>
      <w:footerReference r:id="rId4" w:type="default"/>
      <w:pgSz w:w="12240" w:h="15840"/>
      <w:pgMar w:top="1417" w:right="1701" w:bottom="1276"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entury Schoolbook">
    <w:altName w:val="FreeSerif"/>
    <w:panose1 w:val="02040604050505020304"/>
    <w:charset w:val="00"/>
    <w:family w:val="roman"/>
    <w:pitch w:val="default"/>
    <w:sig w:usb0="00000287" w:usb1="00000000" w:usb2="00000000" w:usb3="00000000" w:csb0="0000009F" w:csb1="00000000"/>
  </w:font>
  <w:font w:name="Cambria">
    <w:altName w:val="Caladea"/>
    <w:panose1 w:val="02040503050406030204"/>
    <w:charset w:val="00"/>
    <w:family w:val="roman"/>
    <w:pitch w:val="default"/>
    <w:sig w:usb0="E00006FF" w:usb1="420024FF" w:usb2="02000000" w:usb3="00000000" w:csb0="0000019F" w:csb1="00000000"/>
  </w:font>
  <w:font w:name="Tahoma">
    <w:altName w:val="DejaVu Sans"/>
    <w:panose1 w:val="020B0604030504040204"/>
    <w:charset w:val="00"/>
    <w:family w:val="swiss"/>
    <w:pitch w:val="default"/>
    <w:sig w:usb0="E1002EFF" w:usb1="C000605B" w:usb2="00000029" w:usb3="00000000" w:csb0="000101FF" w:csb1="00000000"/>
  </w:font>
  <w:font w:name="Century Gothic">
    <w:altName w:val="FreeSans"/>
    <w:panose1 w:val="020B0502020202020204"/>
    <w:charset w:val="00"/>
    <w:family w:val="swiss"/>
    <w:pitch w:val="default"/>
    <w:sig w:usb0="00000287" w:usb1="00000000" w:usb2="00000000" w:usb3="00000000" w:csb0="0000009F" w:csb1="00000000"/>
  </w:font>
  <w:font w:name="Barlow Light">
    <w:altName w:val="Gubbi"/>
    <w:panose1 w:val="00000400000000000000"/>
    <w:charset w:val="00"/>
    <w:family w:val="auto"/>
    <w:pitch w:val="default"/>
    <w:sig w:usb0="00000007" w:usb1="00000000" w:usb2="00000000" w:usb3="00000000" w:csb0="00000093" w:csb1="00000000"/>
  </w:font>
  <w:font w:name="Trebuchet MS">
    <w:panose1 w:val="020B0603020202020204"/>
    <w:charset w:val="00"/>
    <w:family w:val="auto"/>
    <w:pitch w:val="default"/>
    <w:sig w:usb0="00000287" w:usb1="00000000" w:usb2="00000000" w:usb3="00000000" w:csb0="2000009F" w:csb1="00000000"/>
  </w:font>
  <w:font w:name="FreeSans">
    <w:panose1 w:val="020B0504020202020204"/>
    <w:charset w:val="00"/>
    <w:family w:val="auto"/>
    <w:pitch w:val="default"/>
    <w:sig w:usb0="E4839EFF" w:usb1="4600FDFF" w:usb2="000030A0" w:usb3="00000584" w:csb0="600001BF" w:csb1="DFF70000"/>
  </w:font>
  <w:font w:name="FreeSerif">
    <w:panose1 w:val="02020603050405020304"/>
    <w:charset w:val="00"/>
    <w:family w:val="auto"/>
    <w:pitch w:val="default"/>
    <w:sig w:usb0="E59FAFFF" w:usb1="C200FDFF" w:usb2="43501B29" w:usb3="04000043" w:csb0="600101FF" w:csb1="FFFF0000"/>
  </w:font>
  <w:font w:name="Gubbi">
    <w:panose1 w:val="00000400000000000000"/>
    <w:charset w:val="00"/>
    <w:family w:val="auto"/>
    <w:pitch w:val="default"/>
    <w:sig w:usb0="004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Century Gothic" w:hAnsi="Century Gothic"/>
        <w:b/>
        <w:i/>
        <w:sz w:val="14"/>
        <w:szCs w:val="14"/>
      </w:rPr>
    </w:pPr>
    <w:r>
      <w:rPr>
        <w:rFonts w:ascii="Century Gothic" w:hAnsi="Century Gothic"/>
        <w:b/>
        <w:i/>
        <w:sz w:val="14"/>
        <w:szCs w:val="14"/>
        <w:lang w:val="es-MX"/>
      </w:rPr>
      <w:t xml:space="preserve">Iniciativa de </w:t>
    </w:r>
    <w:r>
      <w:rPr>
        <w:rFonts w:ascii="Century Gothic" w:hAnsi="Century Gothic"/>
        <w:b/>
        <w:i/>
        <w:sz w:val="14"/>
        <w:szCs w:val="14"/>
      </w:rPr>
      <w:t>Reformas a la Ley de Hacienda del Municipio de Mérida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7801"/>
        <w:tab w:val="clear" w:pos="4252"/>
        <w:tab w:val="clear" w:pos="8504"/>
      </w:tabs>
    </w:pPr>
    <w:r>
      <w:rPr>
        <w:lang/>
      </w:rPr>
      <w:drawing>
        <wp:anchor distT="0" distB="0" distL="114300" distR="114300" simplePos="0" relativeHeight="251659264" behindDoc="0" locked="0" layoutInCell="1" allowOverlap="1">
          <wp:simplePos x="0" y="0"/>
          <wp:positionH relativeFrom="column">
            <wp:posOffset>2551430</wp:posOffset>
          </wp:positionH>
          <wp:positionV relativeFrom="paragraph">
            <wp:posOffset>-248285</wp:posOffset>
          </wp:positionV>
          <wp:extent cx="501650" cy="552450"/>
          <wp:effectExtent l="0" t="0" r="12700" b="0"/>
          <wp:wrapNone/>
          <wp:docPr id="2" name="Imagen 6" descr="escudo_mediano_sombra"/>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Imagen 6" descr="escudo_mediano_sombra"/>
                  <pic:cNvPicPr>
                    <a:picLocks noChangeAspect="true"/>
                  </pic:cNvPicPr>
                </pic:nvPicPr>
                <pic:blipFill>
                  <a:blip r:embed="rId1"/>
                  <a:stretch>
                    <a:fillRect/>
                  </a:stretch>
                </pic:blipFill>
                <pic:spPr>
                  <a:xfrm>
                    <a:off x="0" y="0"/>
                    <a:ext cx="501650" cy="552450"/>
                  </a:xfrm>
                  <a:prstGeom prst="rect">
                    <a:avLst/>
                  </a:prstGeom>
                  <a:noFill/>
                  <a:ln>
                    <a:noFill/>
                  </a:ln>
                </pic:spPr>
              </pic:pic>
            </a:graphicData>
          </a:graphic>
        </wp:anchor>
      </w:drawing>
    </w:r>
    <w:r>
      <w:rPr>
        <w:lang w:eastAsia="zh-TW"/>
      </w:rPr>
      <mc:AlternateContent>
        <mc:Choice Requires="wps">
          <w:drawing>
            <wp:anchor distT="0" distB="0" distL="114300" distR="114300" simplePos="0" relativeHeight="251658240" behindDoc="0" locked="0" layoutInCell="0" allowOverlap="1">
              <wp:simplePos x="0" y="0"/>
              <wp:positionH relativeFrom="page">
                <wp:posOffset>6908165</wp:posOffset>
              </wp:positionH>
              <wp:positionV relativeFrom="page">
                <wp:posOffset>4864100</wp:posOffset>
              </wp:positionV>
              <wp:extent cx="864235" cy="329565"/>
              <wp:effectExtent l="0" t="0" r="12065" b="13335"/>
              <wp:wrapNone/>
              <wp:docPr id="1" name="Rectángulo 2"/>
              <wp:cNvGraphicFramePr/>
              <a:graphic xmlns:a="http://schemas.openxmlformats.org/drawingml/2006/main">
                <a:graphicData uri="http://schemas.microsoft.com/office/word/2010/wordprocessingShape">
                  <wps:wsp>
                    <wps:cNvSpPr/>
                    <wps:spPr>
                      <a:xfrm>
                        <a:off x="0" y="0"/>
                        <a:ext cx="864235" cy="329565"/>
                      </a:xfrm>
                      <a:prstGeom prst="rect">
                        <a:avLst/>
                      </a:prstGeom>
                      <a:solidFill>
                        <a:srgbClr val="FFFFFF"/>
                      </a:solidFill>
                      <a:ln>
                        <a:noFill/>
                      </a:ln>
                    </wps:spPr>
                    <wps:txbx>
                      <w:txbxContent>
                        <w:p>
                          <w:pPr>
                            <w:pBdr>
                              <w:bottom w:val="single" w:color="auto" w:sz="4" w:space="1"/>
                            </w:pBd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PAGE   \* MERGEFORMAT </w:instrText>
                          </w:r>
                          <w:r>
                            <w:rPr>
                              <w:rFonts w:ascii="Century Gothic" w:hAnsi="Century Gothic"/>
                              <w:sz w:val="16"/>
                              <w:szCs w:val="16"/>
                            </w:rPr>
                            <w:fldChar w:fldCharType="separate"/>
                          </w:r>
                          <w:r>
                            <w:rPr>
                              <w:rFonts w:ascii="Century Gothic" w:hAnsi="Century Gothic"/>
                              <w:sz w:val="16"/>
                              <w:szCs w:val="16"/>
                              <w:lang/>
                            </w:rPr>
                            <w:t>36</w:t>
                          </w:r>
                          <w:r>
                            <w:rPr>
                              <w:rFonts w:ascii="Century Gothic" w:hAnsi="Century Gothic"/>
                              <w:sz w:val="16"/>
                              <w:szCs w:val="16"/>
                            </w:rPr>
                            <w:fldChar w:fldCharType="end"/>
                          </w:r>
                        </w:p>
                      </w:txbxContent>
                    </wps:txbx>
                    <wps:bodyPr wrap="square" upright="true"/>
                  </wps:wsp>
                </a:graphicData>
              </a:graphic>
              <wp14:sizeRelH relativeFrom="rightMargin">
                <wp14:pctWidth>80000</wp14:pctWidth>
              </wp14:sizeRelH>
              <wp14:sizeRelV relativeFrom="page">
                <wp14:pctHeight>0</wp14:pctHeight>
              </wp14:sizeRelV>
            </wp:anchor>
          </w:drawing>
        </mc:Choice>
        <mc:Fallback>
          <w:pict>
            <v:rect id="Rectángulo 2" o:spid="_x0000_s1026" o:spt="1" style="position:absolute;left:0pt;margin-left:543.95pt;margin-top:383pt;height:25.95pt;width:68.05pt;mso-position-horizontal-relative:page;mso-position-vertical-relative:page;z-index:251658240;mso-width-relative:right-margin-area;mso-height-relative:page;mso-width-percent:800;" fillcolor="#FFFFFF" filled="t" stroked="f" coordsize="21600,21600" o:allowincell="f" o:gfxdata="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78jzu2wAAAA0BAAAPAAAAAAAAAAEAIAAAADgAAABkcnMvZG93bnJldi54bWxQSwEC&#10;FAAUAAAACACHTuJAS+Vk7aIBAAAxAwAADgAAAAAAAAABACAAAABAAQAAZHJzL2Uyb0RvYy54bWxQ&#10;SwUGAAAAAAYABgBZAQAAVAUAAAAA&#10;">
              <v:fill on="t" focussize="0,0"/>
              <v:stroke on="f"/>
              <v:imagedata o:title=""/>
              <o:lock v:ext="edit" aspectratio="f"/>
              <v:textbox>
                <w:txbxContent>
                  <w:p>
                    <w:pPr>
                      <w:pBdr>
                        <w:bottom w:val="single" w:color="auto" w:sz="4" w:space="1"/>
                      </w:pBd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PAGE   \* MERGEFORMAT </w:instrText>
                    </w:r>
                    <w:r>
                      <w:rPr>
                        <w:rFonts w:ascii="Century Gothic" w:hAnsi="Century Gothic"/>
                        <w:sz w:val="16"/>
                        <w:szCs w:val="16"/>
                      </w:rPr>
                      <w:fldChar w:fldCharType="separate"/>
                    </w:r>
                    <w:r>
                      <w:rPr>
                        <w:rFonts w:ascii="Century Gothic" w:hAnsi="Century Gothic"/>
                        <w:sz w:val="16"/>
                        <w:szCs w:val="16"/>
                        <w:lang/>
                      </w:rPr>
                      <w:t>36</w:t>
                    </w:r>
                    <w:r>
                      <w:rPr>
                        <w:rFonts w:ascii="Century Gothic" w:hAnsi="Century Gothic"/>
                        <w:sz w:val="16"/>
                        <w:szCs w:val="16"/>
                      </w:rPr>
                      <w:fldChar w:fldCharType="end"/>
                    </w:r>
                  </w:p>
                </w:txbxContent>
              </v:textbox>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26DCD"/>
    <w:multiLevelType w:val="multilevel"/>
    <w:tmpl w:val="06C26DCD"/>
    <w:lvl w:ilvl="0" w:tentative="0">
      <w:start w:val="1"/>
      <w:numFmt w:val="decimal"/>
      <w:lvlText w:val="%1)"/>
      <w:lvlJc w:val="left"/>
      <w:pPr>
        <w:ind w:left="1199" w:hanging="360"/>
      </w:pPr>
      <w:rPr>
        <w:rFonts w:hint="default"/>
      </w:rPr>
    </w:lvl>
    <w:lvl w:ilvl="1" w:tentative="0">
      <w:start w:val="1"/>
      <w:numFmt w:val="lowerLetter"/>
      <w:lvlText w:val="%2."/>
      <w:lvlJc w:val="left"/>
      <w:pPr>
        <w:ind w:left="1919" w:hanging="360"/>
      </w:pPr>
    </w:lvl>
    <w:lvl w:ilvl="2" w:tentative="0">
      <w:start w:val="1"/>
      <w:numFmt w:val="lowerRoman"/>
      <w:lvlText w:val="%3."/>
      <w:lvlJc w:val="right"/>
      <w:pPr>
        <w:ind w:left="2639" w:hanging="180"/>
      </w:pPr>
    </w:lvl>
    <w:lvl w:ilvl="3" w:tentative="0">
      <w:start w:val="1"/>
      <w:numFmt w:val="decimal"/>
      <w:lvlText w:val="%4."/>
      <w:lvlJc w:val="left"/>
      <w:pPr>
        <w:ind w:left="3359" w:hanging="360"/>
      </w:pPr>
    </w:lvl>
    <w:lvl w:ilvl="4" w:tentative="0">
      <w:start w:val="1"/>
      <w:numFmt w:val="lowerLetter"/>
      <w:lvlText w:val="%5."/>
      <w:lvlJc w:val="left"/>
      <w:pPr>
        <w:ind w:left="4079" w:hanging="360"/>
      </w:pPr>
    </w:lvl>
    <w:lvl w:ilvl="5" w:tentative="0">
      <w:start w:val="1"/>
      <w:numFmt w:val="lowerRoman"/>
      <w:lvlText w:val="%6."/>
      <w:lvlJc w:val="right"/>
      <w:pPr>
        <w:ind w:left="4799" w:hanging="180"/>
      </w:pPr>
    </w:lvl>
    <w:lvl w:ilvl="6" w:tentative="0">
      <w:start w:val="1"/>
      <w:numFmt w:val="decimal"/>
      <w:lvlText w:val="%7."/>
      <w:lvlJc w:val="left"/>
      <w:pPr>
        <w:ind w:left="5519" w:hanging="360"/>
      </w:pPr>
    </w:lvl>
    <w:lvl w:ilvl="7" w:tentative="0">
      <w:start w:val="1"/>
      <w:numFmt w:val="lowerLetter"/>
      <w:lvlText w:val="%8."/>
      <w:lvlJc w:val="left"/>
      <w:pPr>
        <w:ind w:left="6239" w:hanging="360"/>
      </w:pPr>
    </w:lvl>
    <w:lvl w:ilvl="8" w:tentative="0">
      <w:start w:val="1"/>
      <w:numFmt w:val="lowerRoman"/>
      <w:lvlText w:val="%9."/>
      <w:lvlJc w:val="right"/>
      <w:pPr>
        <w:ind w:left="6959" w:hanging="180"/>
      </w:pPr>
    </w:lvl>
  </w:abstractNum>
  <w:abstractNum w:abstractNumId="1">
    <w:nsid w:val="5A554143"/>
    <w:multiLevelType w:val="multilevel"/>
    <w:tmpl w:val="5A554143"/>
    <w:lvl w:ilvl="0" w:tentative="0">
      <w:start w:val="1"/>
      <w:numFmt w:val="upperRoman"/>
      <w:lvlText w:val="%1."/>
      <w:lvlJc w:val="left"/>
      <w:pPr>
        <w:ind w:left="1429" w:hanging="72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09"/>
  <w:hyphenationZone w:val="425"/>
  <w:displayHorizontalDrawingGridEvery w:val="1"/>
  <w:displayVerticalDrawingGridEvery w:val="1"/>
  <w:characterSpacingControl w:val="doNotCompress"/>
  <w:hdrShapeDefaults>
    <o:shapelayout v:ext="edit">
      <o:idmap v:ext="edit" data="2"/>
    </o:shapelayout>
  </w:hdrShapeDefaults>
  <w:compa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89"/>
    <w:rsid w:val="000002DD"/>
    <w:rsid w:val="00001482"/>
    <w:rsid w:val="00001547"/>
    <w:rsid w:val="00004252"/>
    <w:rsid w:val="00005307"/>
    <w:rsid w:val="00005CBC"/>
    <w:rsid w:val="00005CC0"/>
    <w:rsid w:val="00011889"/>
    <w:rsid w:val="00011F0D"/>
    <w:rsid w:val="00012699"/>
    <w:rsid w:val="000127BB"/>
    <w:rsid w:val="000129E7"/>
    <w:rsid w:val="00013E5A"/>
    <w:rsid w:val="00014151"/>
    <w:rsid w:val="0001579F"/>
    <w:rsid w:val="0001619C"/>
    <w:rsid w:val="0001695D"/>
    <w:rsid w:val="00020923"/>
    <w:rsid w:val="000211F4"/>
    <w:rsid w:val="00022CF5"/>
    <w:rsid w:val="00022EF4"/>
    <w:rsid w:val="00024853"/>
    <w:rsid w:val="00024B66"/>
    <w:rsid w:val="000314D2"/>
    <w:rsid w:val="00032794"/>
    <w:rsid w:val="000334AF"/>
    <w:rsid w:val="00033A26"/>
    <w:rsid w:val="000343C4"/>
    <w:rsid w:val="000356C3"/>
    <w:rsid w:val="0004006D"/>
    <w:rsid w:val="00040E03"/>
    <w:rsid w:val="000418B2"/>
    <w:rsid w:val="00041C25"/>
    <w:rsid w:val="0004297D"/>
    <w:rsid w:val="00042B9C"/>
    <w:rsid w:val="000430C8"/>
    <w:rsid w:val="000434A5"/>
    <w:rsid w:val="00043797"/>
    <w:rsid w:val="00043DE9"/>
    <w:rsid w:val="0004437D"/>
    <w:rsid w:val="00044EAA"/>
    <w:rsid w:val="00045141"/>
    <w:rsid w:val="00047AA7"/>
    <w:rsid w:val="00050566"/>
    <w:rsid w:val="00052673"/>
    <w:rsid w:val="00054198"/>
    <w:rsid w:val="00054923"/>
    <w:rsid w:val="00055AEC"/>
    <w:rsid w:val="00055D85"/>
    <w:rsid w:val="00056775"/>
    <w:rsid w:val="0005722F"/>
    <w:rsid w:val="00057347"/>
    <w:rsid w:val="00057418"/>
    <w:rsid w:val="00057914"/>
    <w:rsid w:val="000606B7"/>
    <w:rsid w:val="000606F1"/>
    <w:rsid w:val="00060B83"/>
    <w:rsid w:val="00062707"/>
    <w:rsid w:val="00063E61"/>
    <w:rsid w:val="00064224"/>
    <w:rsid w:val="00064952"/>
    <w:rsid w:val="00064DA6"/>
    <w:rsid w:val="00065BC9"/>
    <w:rsid w:val="00066EF4"/>
    <w:rsid w:val="000670C8"/>
    <w:rsid w:val="00067EE4"/>
    <w:rsid w:val="00071154"/>
    <w:rsid w:val="0007196F"/>
    <w:rsid w:val="00073FB1"/>
    <w:rsid w:val="000750DD"/>
    <w:rsid w:val="0007597F"/>
    <w:rsid w:val="00076FC6"/>
    <w:rsid w:val="0007719D"/>
    <w:rsid w:val="000816BA"/>
    <w:rsid w:val="000828E4"/>
    <w:rsid w:val="00084218"/>
    <w:rsid w:val="00085BD1"/>
    <w:rsid w:val="0008664D"/>
    <w:rsid w:val="0008691A"/>
    <w:rsid w:val="0009115E"/>
    <w:rsid w:val="0009202B"/>
    <w:rsid w:val="00093608"/>
    <w:rsid w:val="00094290"/>
    <w:rsid w:val="000955B8"/>
    <w:rsid w:val="00097638"/>
    <w:rsid w:val="0009782D"/>
    <w:rsid w:val="00097ABC"/>
    <w:rsid w:val="000A0718"/>
    <w:rsid w:val="000A0BDA"/>
    <w:rsid w:val="000A0F26"/>
    <w:rsid w:val="000A2257"/>
    <w:rsid w:val="000A3216"/>
    <w:rsid w:val="000A4508"/>
    <w:rsid w:val="000A6930"/>
    <w:rsid w:val="000A72AB"/>
    <w:rsid w:val="000B196C"/>
    <w:rsid w:val="000B34D2"/>
    <w:rsid w:val="000B3941"/>
    <w:rsid w:val="000B4140"/>
    <w:rsid w:val="000B5187"/>
    <w:rsid w:val="000B56FB"/>
    <w:rsid w:val="000B654C"/>
    <w:rsid w:val="000B6655"/>
    <w:rsid w:val="000B6716"/>
    <w:rsid w:val="000C1886"/>
    <w:rsid w:val="000C47D5"/>
    <w:rsid w:val="000C4B54"/>
    <w:rsid w:val="000C4F53"/>
    <w:rsid w:val="000C53F0"/>
    <w:rsid w:val="000C55AF"/>
    <w:rsid w:val="000C6A2A"/>
    <w:rsid w:val="000D2513"/>
    <w:rsid w:val="000D296B"/>
    <w:rsid w:val="000D2A5B"/>
    <w:rsid w:val="000D2D93"/>
    <w:rsid w:val="000D3B2A"/>
    <w:rsid w:val="000D3DBB"/>
    <w:rsid w:val="000D43D8"/>
    <w:rsid w:val="000D4DC5"/>
    <w:rsid w:val="000D7AE9"/>
    <w:rsid w:val="000E0AB1"/>
    <w:rsid w:val="000E10D9"/>
    <w:rsid w:val="000E5764"/>
    <w:rsid w:val="000E62B3"/>
    <w:rsid w:val="000E63AB"/>
    <w:rsid w:val="000E6DE1"/>
    <w:rsid w:val="000E75ED"/>
    <w:rsid w:val="000F1DC4"/>
    <w:rsid w:val="000F232A"/>
    <w:rsid w:val="000F237F"/>
    <w:rsid w:val="000F25BB"/>
    <w:rsid w:val="000F44CC"/>
    <w:rsid w:val="000F494D"/>
    <w:rsid w:val="001010E9"/>
    <w:rsid w:val="00101232"/>
    <w:rsid w:val="001039F1"/>
    <w:rsid w:val="00104555"/>
    <w:rsid w:val="00105A11"/>
    <w:rsid w:val="0010692D"/>
    <w:rsid w:val="001078EE"/>
    <w:rsid w:val="00110653"/>
    <w:rsid w:val="001137EA"/>
    <w:rsid w:val="00114DDF"/>
    <w:rsid w:val="00114F02"/>
    <w:rsid w:val="001164E7"/>
    <w:rsid w:val="00120769"/>
    <w:rsid w:val="00120EF4"/>
    <w:rsid w:val="001222B7"/>
    <w:rsid w:val="00122FB3"/>
    <w:rsid w:val="001234F5"/>
    <w:rsid w:val="00123F8A"/>
    <w:rsid w:val="0012575C"/>
    <w:rsid w:val="00125F9D"/>
    <w:rsid w:val="00126767"/>
    <w:rsid w:val="001268F1"/>
    <w:rsid w:val="00127FF1"/>
    <w:rsid w:val="00130627"/>
    <w:rsid w:val="001327B0"/>
    <w:rsid w:val="00133A37"/>
    <w:rsid w:val="001357B8"/>
    <w:rsid w:val="0013601C"/>
    <w:rsid w:val="00136980"/>
    <w:rsid w:val="00137090"/>
    <w:rsid w:val="00137B7B"/>
    <w:rsid w:val="001407AF"/>
    <w:rsid w:val="001429F1"/>
    <w:rsid w:val="00143023"/>
    <w:rsid w:val="00144A11"/>
    <w:rsid w:val="001523E6"/>
    <w:rsid w:val="00155303"/>
    <w:rsid w:val="00155C26"/>
    <w:rsid w:val="001563F7"/>
    <w:rsid w:val="001575C7"/>
    <w:rsid w:val="00157E87"/>
    <w:rsid w:val="00160D95"/>
    <w:rsid w:val="001615FC"/>
    <w:rsid w:val="00162DF2"/>
    <w:rsid w:val="00163E90"/>
    <w:rsid w:val="00171977"/>
    <w:rsid w:val="0017242D"/>
    <w:rsid w:val="00172C6C"/>
    <w:rsid w:val="001741CB"/>
    <w:rsid w:val="001748BD"/>
    <w:rsid w:val="00174938"/>
    <w:rsid w:val="001771E8"/>
    <w:rsid w:val="0018101A"/>
    <w:rsid w:val="00181B97"/>
    <w:rsid w:val="001835C4"/>
    <w:rsid w:val="0018481C"/>
    <w:rsid w:val="00185B28"/>
    <w:rsid w:val="0018790C"/>
    <w:rsid w:val="001915B9"/>
    <w:rsid w:val="0019164A"/>
    <w:rsid w:val="0019179B"/>
    <w:rsid w:val="00191FF2"/>
    <w:rsid w:val="001942E4"/>
    <w:rsid w:val="00194BA7"/>
    <w:rsid w:val="00194DD3"/>
    <w:rsid w:val="0019557D"/>
    <w:rsid w:val="00195E75"/>
    <w:rsid w:val="001961D3"/>
    <w:rsid w:val="00196BA1"/>
    <w:rsid w:val="00197267"/>
    <w:rsid w:val="001A05CB"/>
    <w:rsid w:val="001A0989"/>
    <w:rsid w:val="001A237F"/>
    <w:rsid w:val="001A5305"/>
    <w:rsid w:val="001A7B65"/>
    <w:rsid w:val="001B1189"/>
    <w:rsid w:val="001B1571"/>
    <w:rsid w:val="001B188E"/>
    <w:rsid w:val="001B32B5"/>
    <w:rsid w:val="001B3E98"/>
    <w:rsid w:val="001B64F1"/>
    <w:rsid w:val="001B75AD"/>
    <w:rsid w:val="001C088A"/>
    <w:rsid w:val="001C1F83"/>
    <w:rsid w:val="001C3BEC"/>
    <w:rsid w:val="001C3CBC"/>
    <w:rsid w:val="001C4A5B"/>
    <w:rsid w:val="001C5D27"/>
    <w:rsid w:val="001C6F75"/>
    <w:rsid w:val="001D2113"/>
    <w:rsid w:val="001D211E"/>
    <w:rsid w:val="001D2568"/>
    <w:rsid w:val="001D2FA3"/>
    <w:rsid w:val="001D3494"/>
    <w:rsid w:val="001D3A08"/>
    <w:rsid w:val="001D4179"/>
    <w:rsid w:val="001D471E"/>
    <w:rsid w:val="001D5782"/>
    <w:rsid w:val="001E670C"/>
    <w:rsid w:val="001E7CB6"/>
    <w:rsid w:val="001F0456"/>
    <w:rsid w:val="001F17AB"/>
    <w:rsid w:val="001F5BEA"/>
    <w:rsid w:val="001F5C76"/>
    <w:rsid w:val="001F69F3"/>
    <w:rsid w:val="001F7047"/>
    <w:rsid w:val="001F7E21"/>
    <w:rsid w:val="00201B78"/>
    <w:rsid w:val="00202B89"/>
    <w:rsid w:val="0020385D"/>
    <w:rsid w:val="00203EBB"/>
    <w:rsid w:val="002057BC"/>
    <w:rsid w:val="0020687E"/>
    <w:rsid w:val="00207636"/>
    <w:rsid w:val="0021090D"/>
    <w:rsid w:val="002131A0"/>
    <w:rsid w:val="00213BFA"/>
    <w:rsid w:val="002141F8"/>
    <w:rsid w:val="002142B4"/>
    <w:rsid w:val="00214A8D"/>
    <w:rsid w:val="00215901"/>
    <w:rsid w:val="002162CD"/>
    <w:rsid w:val="00217558"/>
    <w:rsid w:val="00220AFF"/>
    <w:rsid w:val="0022257F"/>
    <w:rsid w:val="00223BB4"/>
    <w:rsid w:val="00225474"/>
    <w:rsid w:val="00225A47"/>
    <w:rsid w:val="002306E2"/>
    <w:rsid w:val="00230B7F"/>
    <w:rsid w:val="002318F8"/>
    <w:rsid w:val="002319AB"/>
    <w:rsid w:val="00233881"/>
    <w:rsid w:val="00234844"/>
    <w:rsid w:val="00236252"/>
    <w:rsid w:val="0023640E"/>
    <w:rsid w:val="00236DC4"/>
    <w:rsid w:val="00237D3C"/>
    <w:rsid w:val="00240912"/>
    <w:rsid w:val="00241E76"/>
    <w:rsid w:val="002435C7"/>
    <w:rsid w:val="00244AF9"/>
    <w:rsid w:val="002453C9"/>
    <w:rsid w:val="00245859"/>
    <w:rsid w:val="00250485"/>
    <w:rsid w:val="00252A38"/>
    <w:rsid w:val="0025328D"/>
    <w:rsid w:val="00253484"/>
    <w:rsid w:val="0025605E"/>
    <w:rsid w:val="0025798C"/>
    <w:rsid w:val="002611F8"/>
    <w:rsid w:val="0026338F"/>
    <w:rsid w:val="00266CC5"/>
    <w:rsid w:val="00271E97"/>
    <w:rsid w:val="002733AF"/>
    <w:rsid w:val="0027569E"/>
    <w:rsid w:val="00275C4A"/>
    <w:rsid w:val="002764A7"/>
    <w:rsid w:val="00276D3F"/>
    <w:rsid w:val="00277626"/>
    <w:rsid w:val="00280049"/>
    <w:rsid w:val="002810E9"/>
    <w:rsid w:val="00281854"/>
    <w:rsid w:val="002821C3"/>
    <w:rsid w:val="002838C3"/>
    <w:rsid w:val="0028415C"/>
    <w:rsid w:val="002854EC"/>
    <w:rsid w:val="00285544"/>
    <w:rsid w:val="0028622E"/>
    <w:rsid w:val="002872DF"/>
    <w:rsid w:val="002878E5"/>
    <w:rsid w:val="00287C66"/>
    <w:rsid w:val="002900A1"/>
    <w:rsid w:val="00290C20"/>
    <w:rsid w:val="0029198A"/>
    <w:rsid w:val="002941DE"/>
    <w:rsid w:val="002952E3"/>
    <w:rsid w:val="002959F7"/>
    <w:rsid w:val="0029736A"/>
    <w:rsid w:val="002974CB"/>
    <w:rsid w:val="002A153D"/>
    <w:rsid w:val="002A1F27"/>
    <w:rsid w:val="002A34BE"/>
    <w:rsid w:val="002A41B2"/>
    <w:rsid w:val="002A6A73"/>
    <w:rsid w:val="002B0816"/>
    <w:rsid w:val="002B1331"/>
    <w:rsid w:val="002B17DA"/>
    <w:rsid w:val="002B1A87"/>
    <w:rsid w:val="002B2CB5"/>
    <w:rsid w:val="002B3786"/>
    <w:rsid w:val="002B3BB9"/>
    <w:rsid w:val="002B4354"/>
    <w:rsid w:val="002B43FD"/>
    <w:rsid w:val="002B56A3"/>
    <w:rsid w:val="002B6AF9"/>
    <w:rsid w:val="002B6B52"/>
    <w:rsid w:val="002C0030"/>
    <w:rsid w:val="002C1471"/>
    <w:rsid w:val="002C32E2"/>
    <w:rsid w:val="002C33FD"/>
    <w:rsid w:val="002C624D"/>
    <w:rsid w:val="002C657D"/>
    <w:rsid w:val="002C7DAE"/>
    <w:rsid w:val="002D2724"/>
    <w:rsid w:val="002D2AB6"/>
    <w:rsid w:val="002D2C3C"/>
    <w:rsid w:val="002D3111"/>
    <w:rsid w:val="002D333C"/>
    <w:rsid w:val="002D5263"/>
    <w:rsid w:val="002D7FCB"/>
    <w:rsid w:val="002E1FA4"/>
    <w:rsid w:val="002E2398"/>
    <w:rsid w:val="002E23FD"/>
    <w:rsid w:val="002E58BA"/>
    <w:rsid w:val="002E6957"/>
    <w:rsid w:val="002E7304"/>
    <w:rsid w:val="002F3B97"/>
    <w:rsid w:val="002F50B7"/>
    <w:rsid w:val="002F69EB"/>
    <w:rsid w:val="002F6E2A"/>
    <w:rsid w:val="002F78CF"/>
    <w:rsid w:val="003029BE"/>
    <w:rsid w:val="00302F49"/>
    <w:rsid w:val="00303967"/>
    <w:rsid w:val="003041FA"/>
    <w:rsid w:val="00304474"/>
    <w:rsid w:val="00304A34"/>
    <w:rsid w:val="003127A6"/>
    <w:rsid w:val="003161EC"/>
    <w:rsid w:val="0031730B"/>
    <w:rsid w:val="00317556"/>
    <w:rsid w:val="00322FDF"/>
    <w:rsid w:val="00323076"/>
    <w:rsid w:val="00323E8A"/>
    <w:rsid w:val="003247F3"/>
    <w:rsid w:val="003266AD"/>
    <w:rsid w:val="00330BE8"/>
    <w:rsid w:val="00333B10"/>
    <w:rsid w:val="003343D8"/>
    <w:rsid w:val="00334B21"/>
    <w:rsid w:val="00335C0C"/>
    <w:rsid w:val="00335D1A"/>
    <w:rsid w:val="003367AD"/>
    <w:rsid w:val="00342679"/>
    <w:rsid w:val="00343EC3"/>
    <w:rsid w:val="0034447D"/>
    <w:rsid w:val="0034555C"/>
    <w:rsid w:val="0034560E"/>
    <w:rsid w:val="00345DFD"/>
    <w:rsid w:val="0034603A"/>
    <w:rsid w:val="00347BFC"/>
    <w:rsid w:val="003504E3"/>
    <w:rsid w:val="003506F8"/>
    <w:rsid w:val="003509A5"/>
    <w:rsid w:val="00350E0E"/>
    <w:rsid w:val="00353947"/>
    <w:rsid w:val="00354103"/>
    <w:rsid w:val="003560A9"/>
    <w:rsid w:val="003566C9"/>
    <w:rsid w:val="00357BAE"/>
    <w:rsid w:val="0036026B"/>
    <w:rsid w:val="00360477"/>
    <w:rsid w:val="0036400E"/>
    <w:rsid w:val="00364210"/>
    <w:rsid w:val="00364CB8"/>
    <w:rsid w:val="00364DA4"/>
    <w:rsid w:val="00366F89"/>
    <w:rsid w:val="00367057"/>
    <w:rsid w:val="003712BB"/>
    <w:rsid w:val="00371E69"/>
    <w:rsid w:val="003720A1"/>
    <w:rsid w:val="003722E9"/>
    <w:rsid w:val="00372976"/>
    <w:rsid w:val="003731C0"/>
    <w:rsid w:val="003763C4"/>
    <w:rsid w:val="00376B78"/>
    <w:rsid w:val="003807F8"/>
    <w:rsid w:val="003820CA"/>
    <w:rsid w:val="003826B0"/>
    <w:rsid w:val="003827CF"/>
    <w:rsid w:val="00382CBF"/>
    <w:rsid w:val="00383C96"/>
    <w:rsid w:val="00384015"/>
    <w:rsid w:val="00385394"/>
    <w:rsid w:val="003859EC"/>
    <w:rsid w:val="00386614"/>
    <w:rsid w:val="00386959"/>
    <w:rsid w:val="00391628"/>
    <w:rsid w:val="00392ACA"/>
    <w:rsid w:val="003933E1"/>
    <w:rsid w:val="0039652A"/>
    <w:rsid w:val="00397E61"/>
    <w:rsid w:val="003A123D"/>
    <w:rsid w:val="003A3E02"/>
    <w:rsid w:val="003A3E1E"/>
    <w:rsid w:val="003A4B27"/>
    <w:rsid w:val="003A5040"/>
    <w:rsid w:val="003A5DCB"/>
    <w:rsid w:val="003B0C2F"/>
    <w:rsid w:val="003B11C0"/>
    <w:rsid w:val="003B1A4D"/>
    <w:rsid w:val="003B3989"/>
    <w:rsid w:val="003B4758"/>
    <w:rsid w:val="003B5402"/>
    <w:rsid w:val="003B6DE2"/>
    <w:rsid w:val="003C0C7C"/>
    <w:rsid w:val="003C2B8D"/>
    <w:rsid w:val="003C3F4F"/>
    <w:rsid w:val="003C5A26"/>
    <w:rsid w:val="003C5EE7"/>
    <w:rsid w:val="003C6429"/>
    <w:rsid w:val="003C6D03"/>
    <w:rsid w:val="003C70A9"/>
    <w:rsid w:val="003D04BF"/>
    <w:rsid w:val="003D20AA"/>
    <w:rsid w:val="003D265B"/>
    <w:rsid w:val="003D5349"/>
    <w:rsid w:val="003E139B"/>
    <w:rsid w:val="003E1B6E"/>
    <w:rsid w:val="003E479B"/>
    <w:rsid w:val="003E48A2"/>
    <w:rsid w:val="003E5A00"/>
    <w:rsid w:val="003E61A8"/>
    <w:rsid w:val="003F1661"/>
    <w:rsid w:val="003F2801"/>
    <w:rsid w:val="003F317C"/>
    <w:rsid w:val="003F3B0A"/>
    <w:rsid w:val="003F5D4B"/>
    <w:rsid w:val="003F6EDE"/>
    <w:rsid w:val="003F7896"/>
    <w:rsid w:val="00400670"/>
    <w:rsid w:val="00400FE4"/>
    <w:rsid w:val="004015AB"/>
    <w:rsid w:val="00402C0E"/>
    <w:rsid w:val="004046E8"/>
    <w:rsid w:val="00405149"/>
    <w:rsid w:val="00405BA3"/>
    <w:rsid w:val="00407257"/>
    <w:rsid w:val="00407A0C"/>
    <w:rsid w:val="00407DB4"/>
    <w:rsid w:val="00407DD7"/>
    <w:rsid w:val="00410228"/>
    <w:rsid w:val="00412883"/>
    <w:rsid w:val="00412C10"/>
    <w:rsid w:val="00413434"/>
    <w:rsid w:val="0041415A"/>
    <w:rsid w:val="00414359"/>
    <w:rsid w:val="004155ED"/>
    <w:rsid w:val="00416232"/>
    <w:rsid w:val="00416F80"/>
    <w:rsid w:val="00422BEA"/>
    <w:rsid w:val="004241ED"/>
    <w:rsid w:val="0042582B"/>
    <w:rsid w:val="00426414"/>
    <w:rsid w:val="00427018"/>
    <w:rsid w:val="00427EDB"/>
    <w:rsid w:val="004303C1"/>
    <w:rsid w:val="004305A8"/>
    <w:rsid w:val="00430D6B"/>
    <w:rsid w:val="004311D1"/>
    <w:rsid w:val="00433379"/>
    <w:rsid w:val="0043396C"/>
    <w:rsid w:val="004349DF"/>
    <w:rsid w:val="00435159"/>
    <w:rsid w:val="00435D05"/>
    <w:rsid w:val="00436305"/>
    <w:rsid w:val="004370A6"/>
    <w:rsid w:val="004371A2"/>
    <w:rsid w:val="00437570"/>
    <w:rsid w:val="00437AF4"/>
    <w:rsid w:val="00440A82"/>
    <w:rsid w:val="0044187D"/>
    <w:rsid w:val="0044278B"/>
    <w:rsid w:val="0044337D"/>
    <w:rsid w:val="00443565"/>
    <w:rsid w:val="0044474A"/>
    <w:rsid w:val="00445050"/>
    <w:rsid w:val="0044631D"/>
    <w:rsid w:val="00447037"/>
    <w:rsid w:val="00450797"/>
    <w:rsid w:val="00450EE2"/>
    <w:rsid w:val="004519BB"/>
    <w:rsid w:val="004524A2"/>
    <w:rsid w:val="00454F89"/>
    <w:rsid w:val="0045532C"/>
    <w:rsid w:val="004571E8"/>
    <w:rsid w:val="00457332"/>
    <w:rsid w:val="004579BD"/>
    <w:rsid w:val="00460645"/>
    <w:rsid w:val="00463406"/>
    <w:rsid w:val="004635A0"/>
    <w:rsid w:val="004643F8"/>
    <w:rsid w:val="00465570"/>
    <w:rsid w:val="004656C7"/>
    <w:rsid w:val="004706DD"/>
    <w:rsid w:val="00470FAB"/>
    <w:rsid w:val="00471087"/>
    <w:rsid w:val="004722AE"/>
    <w:rsid w:val="0047280A"/>
    <w:rsid w:val="004766F8"/>
    <w:rsid w:val="004826C7"/>
    <w:rsid w:val="00482B63"/>
    <w:rsid w:val="0048303A"/>
    <w:rsid w:val="00491B1A"/>
    <w:rsid w:val="0049276A"/>
    <w:rsid w:val="00492FD9"/>
    <w:rsid w:val="004931E8"/>
    <w:rsid w:val="00494152"/>
    <w:rsid w:val="00496564"/>
    <w:rsid w:val="00497980"/>
    <w:rsid w:val="00497CA7"/>
    <w:rsid w:val="004A0224"/>
    <w:rsid w:val="004A0461"/>
    <w:rsid w:val="004A1AEF"/>
    <w:rsid w:val="004A2566"/>
    <w:rsid w:val="004A2957"/>
    <w:rsid w:val="004A2CA4"/>
    <w:rsid w:val="004A30B5"/>
    <w:rsid w:val="004A3303"/>
    <w:rsid w:val="004A38CD"/>
    <w:rsid w:val="004A4FD9"/>
    <w:rsid w:val="004A5192"/>
    <w:rsid w:val="004B15FC"/>
    <w:rsid w:val="004B2DD2"/>
    <w:rsid w:val="004B3322"/>
    <w:rsid w:val="004B6682"/>
    <w:rsid w:val="004B6E58"/>
    <w:rsid w:val="004C00F2"/>
    <w:rsid w:val="004C17C5"/>
    <w:rsid w:val="004C2B08"/>
    <w:rsid w:val="004C37AA"/>
    <w:rsid w:val="004C3B69"/>
    <w:rsid w:val="004C70A5"/>
    <w:rsid w:val="004C73EF"/>
    <w:rsid w:val="004D0A09"/>
    <w:rsid w:val="004D265B"/>
    <w:rsid w:val="004D2C77"/>
    <w:rsid w:val="004D4EFE"/>
    <w:rsid w:val="004E078E"/>
    <w:rsid w:val="004E30F4"/>
    <w:rsid w:val="004F01E3"/>
    <w:rsid w:val="004F1917"/>
    <w:rsid w:val="004F3C06"/>
    <w:rsid w:val="004F7DF8"/>
    <w:rsid w:val="004F7FAA"/>
    <w:rsid w:val="00500D26"/>
    <w:rsid w:val="00502A97"/>
    <w:rsid w:val="005031E3"/>
    <w:rsid w:val="0050368E"/>
    <w:rsid w:val="005060B3"/>
    <w:rsid w:val="00506BD3"/>
    <w:rsid w:val="005112DB"/>
    <w:rsid w:val="00512224"/>
    <w:rsid w:val="005122F3"/>
    <w:rsid w:val="00513614"/>
    <w:rsid w:val="00513853"/>
    <w:rsid w:val="00513CDD"/>
    <w:rsid w:val="0051442F"/>
    <w:rsid w:val="00517AED"/>
    <w:rsid w:val="0052049C"/>
    <w:rsid w:val="00521012"/>
    <w:rsid w:val="005226B0"/>
    <w:rsid w:val="005234B5"/>
    <w:rsid w:val="0052370C"/>
    <w:rsid w:val="00523AA2"/>
    <w:rsid w:val="005253B6"/>
    <w:rsid w:val="00532253"/>
    <w:rsid w:val="00532675"/>
    <w:rsid w:val="0053297B"/>
    <w:rsid w:val="00532C9C"/>
    <w:rsid w:val="00534563"/>
    <w:rsid w:val="00536B89"/>
    <w:rsid w:val="00536F99"/>
    <w:rsid w:val="00537ADA"/>
    <w:rsid w:val="00540F50"/>
    <w:rsid w:val="00541A5F"/>
    <w:rsid w:val="005454A7"/>
    <w:rsid w:val="00546085"/>
    <w:rsid w:val="005471F4"/>
    <w:rsid w:val="005476C4"/>
    <w:rsid w:val="00550F48"/>
    <w:rsid w:val="0055286D"/>
    <w:rsid w:val="00553766"/>
    <w:rsid w:val="005539C3"/>
    <w:rsid w:val="00553ECB"/>
    <w:rsid w:val="00554836"/>
    <w:rsid w:val="00560C4E"/>
    <w:rsid w:val="0056224C"/>
    <w:rsid w:val="00562740"/>
    <w:rsid w:val="00562963"/>
    <w:rsid w:val="00563979"/>
    <w:rsid w:val="005648AD"/>
    <w:rsid w:val="00567990"/>
    <w:rsid w:val="00567A7C"/>
    <w:rsid w:val="00571769"/>
    <w:rsid w:val="00571E8F"/>
    <w:rsid w:val="00572B93"/>
    <w:rsid w:val="00572DF6"/>
    <w:rsid w:val="00573ECD"/>
    <w:rsid w:val="00575DB6"/>
    <w:rsid w:val="00577E43"/>
    <w:rsid w:val="00582C9F"/>
    <w:rsid w:val="00584059"/>
    <w:rsid w:val="005843D5"/>
    <w:rsid w:val="00584558"/>
    <w:rsid w:val="005846B2"/>
    <w:rsid w:val="00585213"/>
    <w:rsid w:val="00585295"/>
    <w:rsid w:val="005866F8"/>
    <w:rsid w:val="00586B44"/>
    <w:rsid w:val="00590065"/>
    <w:rsid w:val="005900D6"/>
    <w:rsid w:val="00590303"/>
    <w:rsid w:val="00591FCC"/>
    <w:rsid w:val="005930B0"/>
    <w:rsid w:val="00596510"/>
    <w:rsid w:val="00596A93"/>
    <w:rsid w:val="005A163D"/>
    <w:rsid w:val="005A1922"/>
    <w:rsid w:val="005A2C9E"/>
    <w:rsid w:val="005A4D44"/>
    <w:rsid w:val="005A5CB8"/>
    <w:rsid w:val="005B02E7"/>
    <w:rsid w:val="005B2807"/>
    <w:rsid w:val="005B3025"/>
    <w:rsid w:val="005B398B"/>
    <w:rsid w:val="005B5D68"/>
    <w:rsid w:val="005C1E18"/>
    <w:rsid w:val="005C23E7"/>
    <w:rsid w:val="005C2F78"/>
    <w:rsid w:val="005C4451"/>
    <w:rsid w:val="005C47D2"/>
    <w:rsid w:val="005C4DF3"/>
    <w:rsid w:val="005C7C56"/>
    <w:rsid w:val="005D1F68"/>
    <w:rsid w:val="005D388B"/>
    <w:rsid w:val="005D3B44"/>
    <w:rsid w:val="005D50B1"/>
    <w:rsid w:val="005D5769"/>
    <w:rsid w:val="005E09FC"/>
    <w:rsid w:val="005E2E3E"/>
    <w:rsid w:val="005F0858"/>
    <w:rsid w:val="005F4067"/>
    <w:rsid w:val="005F4E32"/>
    <w:rsid w:val="005F5706"/>
    <w:rsid w:val="005F5C43"/>
    <w:rsid w:val="005F713A"/>
    <w:rsid w:val="00600ABD"/>
    <w:rsid w:val="00601083"/>
    <w:rsid w:val="006058B2"/>
    <w:rsid w:val="00605F52"/>
    <w:rsid w:val="0060797D"/>
    <w:rsid w:val="0061067A"/>
    <w:rsid w:val="00613D20"/>
    <w:rsid w:val="00615A2D"/>
    <w:rsid w:val="00616253"/>
    <w:rsid w:val="00617453"/>
    <w:rsid w:val="00621A4E"/>
    <w:rsid w:val="00621B10"/>
    <w:rsid w:val="00622224"/>
    <w:rsid w:val="00622330"/>
    <w:rsid w:val="00622B71"/>
    <w:rsid w:val="00623971"/>
    <w:rsid w:val="00627C7A"/>
    <w:rsid w:val="00631A72"/>
    <w:rsid w:val="00631B30"/>
    <w:rsid w:val="00631F9C"/>
    <w:rsid w:val="00635134"/>
    <w:rsid w:val="00637269"/>
    <w:rsid w:val="00637D46"/>
    <w:rsid w:val="00640457"/>
    <w:rsid w:val="00641389"/>
    <w:rsid w:val="006450E1"/>
    <w:rsid w:val="006475F6"/>
    <w:rsid w:val="00647F61"/>
    <w:rsid w:val="00651B96"/>
    <w:rsid w:val="00651E3B"/>
    <w:rsid w:val="00652289"/>
    <w:rsid w:val="00653049"/>
    <w:rsid w:val="00654DCB"/>
    <w:rsid w:val="00656B84"/>
    <w:rsid w:val="006574D2"/>
    <w:rsid w:val="006602A0"/>
    <w:rsid w:val="00660508"/>
    <w:rsid w:val="006607C4"/>
    <w:rsid w:val="00660EFA"/>
    <w:rsid w:val="00661A5B"/>
    <w:rsid w:val="00661D68"/>
    <w:rsid w:val="00663D24"/>
    <w:rsid w:val="00664688"/>
    <w:rsid w:val="00665DE0"/>
    <w:rsid w:val="006664CC"/>
    <w:rsid w:val="006672D4"/>
    <w:rsid w:val="00667A6C"/>
    <w:rsid w:val="0067022F"/>
    <w:rsid w:val="00672F35"/>
    <w:rsid w:val="00674250"/>
    <w:rsid w:val="00674812"/>
    <w:rsid w:val="006800E2"/>
    <w:rsid w:val="00680840"/>
    <w:rsid w:val="0068306A"/>
    <w:rsid w:val="0068353C"/>
    <w:rsid w:val="006854A5"/>
    <w:rsid w:val="00686B84"/>
    <w:rsid w:val="00687D9C"/>
    <w:rsid w:val="006900C5"/>
    <w:rsid w:val="0069165A"/>
    <w:rsid w:val="00693AFD"/>
    <w:rsid w:val="00694547"/>
    <w:rsid w:val="00695077"/>
    <w:rsid w:val="006952E2"/>
    <w:rsid w:val="006958A3"/>
    <w:rsid w:val="006961FB"/>
    <w:rsid w:val="006966D1"/>
    <w:rsid w:val="006A0577"/>
    <w:rsid w:val="006A1F09"/>
    <w:rsid w:val="006A2953"/>
    <w:rsid w:val="006A33FD"/>
    <w:rsid w:val="006A3698"/>
    <w:rsid w:val="006A404F"/>
    <w:rsid w:val="006A4B02"/>
    <w:rsid w:val="006A72CD"/>
    <w:rsid w:val="006B05B2"/>
    <w:rsid w:val="006B10DC"/>
    <w:rsid w:val="006B1E51"/>
    <w:rsid w:val="006B5107"/>
    <w:rsid w:val="006B709B"/>
    <w:rsid w:val="006B7A62"/>
    <w:rsid w:val="006C323B"/>
    <w:rsid w:val="006C33C7"/>
    <w:rsid w:val="006C3C21"/>
    <w:rsid w:val="006C4BCB"/>
    <w:rsid w:val="006C74C5"/>
    <w:rsid w:val="006D133B"/>
    <w:rsid w:val="006D20E4"/>
    <w:rsid w:val="006D4298"/>
    <w:rsid w:val="006D4818"/>
    <w:rsid w:val="006E14C6"/>
    <w:rsid w:val="006E2B43"/>
    <w:rsid w:val="006E412D"/>
    <w:rsid w:val="006E445A"/>
    <w:rsid w:val="006E550D"/>
    <w:rsid w:val="006E7073"/>
    <w:rsid w:val="006F0DB1"/>
    <w:rsid w:val="006F2E6A"/>
    <w:rsid w:val="006F31C3"/>
    <w:rsid w:val="006F435C"/>
    <w:rsid w:val="006F4F4A"/>
    <w:rsid w:val="00700668"/>
    <w:rsid w:val="0070083F"/>
    <w:rsid w:val="00701381"/>
    <w:rsid w:val="00701D7D"/>
    <w:rsid w:val="007020F5"/>
    <w:rsid w:val="00702E2E"/>
    <w:rsid w:val="00704FE2"/>
    <w:rsid w:val="00705212"/>
    <w:rsid w:val="0070560D"/>
    <w:rsid w:val="0070631B"/>
    <w:rsid w:val="00707F36"/>
    <w:rsid w:val="00710E19"/>
    <w:rsid w:val="007122CE"/>
    <w:rsid w:val="00712C73"/>
    <w:rsid w:val="00713918"/>
    <w:rsid w:val="00713B44"/>
    <w:rsid w:val="00714915"/>
    <w:rsid w:val="00714C1D"/>
    <w:rsid w:val="00720911"/>
    <w:rsid w:val="0072270C"/>
    <w:rsid w:val="00723E8A"/>
    <w:rsid w:val="00726214"/>
    <w:rsid w:val="00726F1E"/>
    <w:rsid w:val="00727214"/>
    <w:rsid w:val="00727F91"/>
    <w:rsid w:val="0073077C"/>
    <w:rsid w:val="0073098D"/>
    <w:rsid w:val="007309FC"/>
    <w:rsid w:val="0073108D"/>
    <w:rsid w:val="00735712"/>
    <w:rsid w:val="0073646E"/>
    <w:rsid w:val="007365A7"/>
    <w:rsid w:val="00736825"/>
    <w:rsid w:val="00736E29"/>
    <w:rsid w:val="007374BC"/>
    <w:rsid w:val="00737870"/>
    <w:rsid w:val="00740F3B"/>
    <w:rsid w:val="007433F4"/>
    <w:rsid w:val="00744CDE"/>
    <w:rsid w:val="00745B61"/>
    <w:rsid w:val="00747649"/>
    <w:rsid w:val="0075077F"/>
    <w:rsid w:val="00751280"/>
    <w:rsid w:val="007512F1"/>
    <w:rsid w:val="00751F11"/>
    <w:rsid w:val="0075556C"/>
    <w:rsid w:val="00755948"/>
    <w:rsid w:val="00756533"/>
    <w:rsid w:val="00756FD0"/>
    <w:rsid w:val="0076320B"/>
    <w:rsid w:val="007638D2"/>
    <w:rsid w:val="00764CB4"/>
    <w:rsid w:val="00767705"/>
    <w:rsid w:val="007700FE"/>
    <w:rsid w:val="00770545"/>
    <w:rsid w:val="00771C9D"/>
    <w:rsid w:val="00772D99"/>
    <w:rsid w:val="00773626"/>
    <w:rsid w:val="007761EA"/>
    <w:rsid w:val="00777CCB"/>
    <w:rsid w:val="0078016D"/>
    <w:rsid w:val="00782013"/>
    <w:rsid w:val="00782DAE"/>
    <w:rsid w:val="00785EA2"/>
    <w:rsid w:val="007879C7"/>
    <w:rsid w:val="0079139A"/>
    <w:rsid w:val="007922FB"/>
    <w:rsid w:val="007928A4"/>
    <w:rsid w:val="0079299C"/>
    <w:rsid w:val="007929CB"/>
    <w:rsid w:val="007947C3"/>
    <w:rsid w:val="007948C0"/>
    <w:rsid w:val="00794B39"/>
    <w:rsid w:val="007968F6"/>
    <w:rsid w:val="00796DDF"/>
    <w:rsid w:val="007975A1"/>
    <w:rsid w:val="007A18C8"/>
    <w:rsid w:val="007A300B"/>
    <w:rsid w:val="007A30D5"/>
    <w:rsid w:val="007A334C"/>
    <w:rsid w:val="007A6880"/>
    <w:rsid w:val="007B017C"/>
    <w:rsid w:val="007B141D"/>
    <w:rsid w:val="007B4326"/>
    <w:rsid w:val="007B56BB"/>
    <w:rsid w:val="007B602D"/>
    <w:rsid w:val="007B6ED6"/>
    <w:rsid w:val="007B6F1A"/>
    <w:rsid w:val="007C20F1"/>
    <w:rsid w:val="007C3810"/>
    <w:rsid w:val="007C390B"/>
    <w:rsid w:val="007C3C0F"/>
    <w:rsid w:val="007C45C9"/>
    <w:rsid w:val="007C4768"/>
    <w:rsid w:val="007C59EF"/>
    <w:rsid w:val="007C7FB5"/>
    <w:rsid w:val="007D139D"/>
    <w:rsid w:val="007D15B1"/>
    <w:rsid w:val="007D4757"/>
    <w:rsid w:val="007D48F1"/>
    <w:rsid w:val="007D5DC8"/>
    <w:rsid w:val="007D6DA4"/>
    <w:rsid w:val="007D6F9F"/>
    <w:rsid w:val="007D7CF5"/>
    <w:rsid w:val="007D7FB7"/>
    <w:rsid w:val="007D7FE9"/>
    <w:rsid w:val="007E00D6"/>
    <w:rsid w:val="007E212B"/>
    <w:rsid w:val="007E289D"/>
    <w:rsid w:val="007E4491"/>
    <w:rsid w:val="007E6725"/>
    <w:rsid w:val="007E6886"/>
    <w:rsid w:val="007F02F8"/>
    <w:rsid w:val="007F0682"/>
    <w:rsid w:val="007F0956"/>
    <w:rsid w:val="007F0AC8"/>
    <w:rsid w:val="007F2613"/>
    <w:rsid w:val="007F3B4C"/>
    <w:rsid w:val="007F4819"/>
    <w:rsid w:val="007F52B9"/>
    <w:rsid w:val="007F53BE"/>
    <w:rsid w:val="007F5BD7"/>
    <w:rsid w:val="00801A1C"/>
    <w:rsid w:val="00801EAF"/>
    <w:rsid w:val="00801FD4"/>
    <w:rsid w:val="00802363"/>
    <w:rsid w:val="0080589E"/>
    <w:rsid w:val="00806764"/>
    <w:rsid w:val="00810FBE"/>
    <w:rsid w:val="00811FBA"/>
    <w:rsid w:val="00812E5D"/>
    <w:rsid w:val="008147EE"/>
    <w:rsid w:val="00816A53"/>
    <w:rsid w:val="00820AAF"/>
    <w:rsid w:val="00824CFF"/>
    <w:rsid w:val="00825850"/>
    <w:rsid w:val="00833741"/>
    <w:rsid w:val="00834B2D"/>
    <w:rsid w:val="0083542E"/>
    <w:rsid w:val="00836285"/>
    <w:rsid w:val="008372BD"/>
    <w:rsid w:val="008401C0"/>
    <w:rsid w:val="008412EC"/>
    <w:rsid w:val="00842CDA"/>
    <w:rsid w:val="00843049"/>
    <w:rsid w:val="00844C4C"/>
    <w:rsid w:val="00845393"/>
    <w:rsid w:val="00845FEA"/>
    <w:rsid w:val="00847442"/>
    <w:rsid w:val="008476DF"/>
    <w:rsid w:val="00847F3F"/>
    <w:rsid w:val="008519D0"/>
    <w:rsid w:val="00853C2C"/>
    <w:rsid w:val="00854462"/>
    <w:rsid w:val="00854735"/>
    <w:rsid w:val="00854793"/>
    <w:rsid w:val="00855701"/>
    <w:rsid w:val="00855BAB"/>
    <w:rsid w:val="0085601E"/>
    <w:rsid w:val="00857014"/>
    <w:rsid w:val="00857280"/>
    <w:rsid w:val="008617CF"/>
    <w:rsid w:val="00861A4A"/>
    <w:rsid w:val="008643A3"/>
    <w:rsid w:val="00864E3C"/>
    <w:rsid w:val="00865763"/>
    <w:rsid w:val="008661E2"/>
    <w:rsid w:val="008703E4"/>
    <w:rsid w:val="00870F19"/>
    <w:rsid w:val="00872137"/>
    <w:rsid w:val="00872F76"/>
    <w:rsid w:val="00872FB8"/>
    <w:rsid w:val="008751FF"/>
    <w:rsid w:val="008752AA"/>
    <w:rsid w:val="00876B9C"/>
    <w:rsid w:val="008805AA"/>
    <w:rsid w:val="00881CC8"/>
    <w:rsid w:val="00884EA4"/>
    <w:rsid w:val="0088644C"/>
    <w:rsid w:val="00886C67"/>
    <w:rsid w:val="00887452"/>
    <w:rsid w:val="008945B8"/>
    <w:rsid w:val="00894F21"/>
    <w:rsid w:val="0089563D"/>
    <w:rsid w:val="00896AB7"/>
    <w:rsid w:val="0089739F"/>
    <w:rsid w:val="008977EA"/>
    <w:rsid w:val="008A066A"/>
    <w:rsid w:val="008A086B"/>
    <w:rsid w:val="008A1802"/>
    <w:rsid w:val="008A1BEF"/>
    <w:rsid w:val="008A2CBF"/>
    <w:rsid w:val="008A2FCE"/>
    <w:rsid w:val="008A3971"/>
    <w:rsid w:val="008A495C"/>
    <w:rsid w:val="008A535D"/>
    <w:rsid w:val="008A6AB0"/>
    <w:rsid w:val="008A7403"/>
    <w:rsid w:val="008A7B23"/>
    <w:rsid w:val="008B1B8E"/>
    <w:rsid w:val="008B643A"/>
    <w:rsid w:val="008B70D3"/>
    <w:rsid w:val="008C113D"/>
    <w:rsid w:val="008C15F4"/>
    <w:rsid w:val="008C1D17"/>
    <w:rsid w:val="008C25D2"/>
    <w:rsid w:val="008C307E"/>
    <w:rsid w:val="008C554C"/>
    <w:rsid w:val="008C5683"/>
    <w:rsid w:val="008C6BA9"/>
    <w:rsid w:val="008D0576"/>
    <w:rsid w:val="008D248D"/>
    <w:rsid w:val="008D2776"/>
    <w:rsid w:val="008D2CBF"/>
    <w:rsid w:val="008D4B79"/>
    <w:rsid w:val="008D4DB0"/>
    <w:rsid w:val="008D6C28"/>
    <w:rsid w:val="008D7BD1"/>
    <w:rsid w:val="008E3D66"/>
    <w:rsid w:val="008E4FD1"/>
    <w:rsid w:val="008E5A8A"/>
    <w:rsid w:val="008E6DDF"/>
    <w:rsid w:val="008F0C6B"/>
    <w:rsid w:val="008F13AA"/>
    <w:rsid w:val="008F13DD"/>
    <w:rsid w:val="008F1855"/>
    <w:rsid w:val="008F1B77"/>
    <w:rsid w:val="008F1D07"/>
    <w:rsid w:val="008F1E78"/>
    <w:rsid w:val="008F227F"/>
    <w:rsid w:val="008F2BF7"/>
    <w:rsid w:val="008F41C4"/>
    <w:rsid w:val="008F7540"/>
    <w:rsid w:val="008F7BE3"/>
    <w:rsid w:val="00900982"/>
    <w:rsid w:val="00900E7E"/>
    <w:rsid w:val="009017DB"/>
    <w:rsid w:val="00901B9A"/>
    <w:rsid w:val="00903677"/>
    <w:rsid w:val="00904A6F"/>
    <w:rsid w:val="00904E06"/>
    <w:rsid w:val="009069FD"/>
    <w:rsid w:val="00911E40"/>
    <w:rsid w:val="00912033"/>
    <w:rsid w:val="00912BB5"/>
    <w:rsid w:val="00912DB7"/>
    <w:rsid w:val="009149CF"/>
    <w:rsid w:val="00915323"/>
    <w:rsid w:val="00920E09"/>
    <w:rsid w:val="009233B0"/>
    <w:rsid w:val="00926009"/>
    <w:rsid w:val="00926845"/>
    <w:rsid w:val="00926D64"/>
    <w:rsid w:val="00927916"/>
    <w:rsid w:val="00930724"/>
    <w:rsid w:val="00930C65"/>
    <w:rsid w:val="009356B3"/>
    <w:rsid w:val="0094082D"/>
    <w:rsid w:val="009411E2"/>
    <w:rsid w:val="00942081"/>
    <w:rsid w:val="009420F1"/>
    <w:rsid w:val="00943BF1"/>
    <w:rsid w:val="00945396"/>
    <w:rsid w:val="009456C9"/>
    <w:rsid w:val="00946586"/>
    <w:rsid w:val="00950FC9"/>
    <w:rsid w:val="0095105B"/>
    <w:rsid w:val="009545EC"/>
    <w:rsid w:val="00954E38"/>
    <w:rsid w:val="0095515D"/>
    <w:rsid w:val="009561E2"/>
    <w:rsid w:val="00961C2A"/>
    <w:rsid w:val="00965267"/>
    <w:rsid w:val="0096643D"/>
    <w:rsid w:val="00970A49"/>
    <w:rsid w:val="00970E57"/>
    <w:rsid w:val="00971ACF"/>
    <w:rsid w:val="00972CCC"/>
    <w:rsid w:val="0097314B"/>
    <w:rsid w:val="00974FEA"/>
    <w:rsid w:val="00975AB7"/>
    <w:rsid w:val="0097780A"/>
    <w:rsid w:val="009779EB"/>
    <w:rsid w:val="00977A9C"/>
    <w:rsid w:val="009809DF"/>
    <w:rsid w:val="00980E68"/>
    <w:rsid w:val="00982238"/>
    <w:rsid w:val="0098319D"/>
    <w:rsid w:val="009835A4"/>
    <w:rsid w:val="009838E2"/>
    <w:rsid w:val="009839C8"/>
    <w:rsid w:val="009869D2"/>
    <w:rsid w:val="00986BBD"/>
    <w:rsid w:val="00991E4F"/>
    <w:rsid w:val="009956E8"/>
    <w:rsid w:val="00997DDA"/>
    <w:rsid w:val="009A0694"/>
    <w:rsid w:val="009A16EF"/>
    <w:rsid w:val="009A28E1"/>
    <w:rsid w:val="009A348D"/>
    <w:rsid w:val="009A3706"/>
    <w:rsid w:val="009A479C"/>
    <w:rsid w:val="009A6818"/>
    <w:rsid w:val="009A6FEE"/>
    <w:rsid w:val="009A7C45"/>
    <w:rsid w:val="009B0B69"/>
    <w:rsid w:val="009B13AC"/>
    <w:rsid w:val="009B187C"/>
    <w:rsid w:val="009B1DD4"/>
    <w:rsid w:val="009B2AA1"/>
    <w:rsid w:val="009B6905"/>
    <w:rsid w:val="009B79FA"/>
    <w:rsid w:val="009C03FA"/>
    <w:rsid w:val="009C236D"/>
    <w:rsid w:val="009C2ACD"/>
    <w:rsid w:val="009C3338"/>
    <w:rsid w:val="009C3A04"/>
    <w:rsid w:val="009C3DD9"/>
    <w:rsid w:val="009C5E29"/>
    <w:rsid w:val="009C7184"/>
    <w:rsid w:val="009D0B55"/>
    <w:rsid w:val="009D2828"/>
    <w:rsid w:val="009D2CFB"/>
    <w:rsid w:val="009D5D07"/>
    <w:rsid w:val="009D7A77"/>
    <w:rsid w:val="009D7A99"/>
    <w:rsid w:val="009E4047"/>
    <w:rsid w:val="009E672B"/>
    <w:rsid w:val="009F0F1E"/>
    <w:rsid w:val="009F2867"/>
    <w:rsid w:val="009F37E4"/>
    <w:rsid w:val="009F3CB5"/>
    <w:rsid w:val="009F4BDD"/>
    <w:rsid w:val="00A006E7"/>
    <w:rsid w:val="00A01A40"/>
    <w:rsid w:val="00A01E06"/>
    <w:rsid w:val="00A01EF0"/>
    <w:rsid w:val="00A02271"/>
    <w:rsid w:val="00A02C72"/>
    <w:rsid w:val="00A037BE"/>
    <w:rsid w:val="00A05913"/>
    <w:rsid w:val="00A0779B"/>
    <w:rsid w:val="00A118EA"/>
    <w:rsid w:val="00A1332E"/>
    <w:rsid w:val="00A1374B"/>
    <w:rsid w:val="00A13E20"/>
    <w:rsid w:val="00A13FCA"/>
    <w:rsid w:val="00A1523D"/>
    <w:rsid w:val="00A1687E"/>
    <w:rsid w:val="00A16BCC"/>
    <w:rsid w:val="00A20CDB"/>
    <w:rsid w:val="00A21692"/>
    <w:rsid w:val="00A21EE6"/>
    <w:rsid w:val="00A223AA"/>
    <w:rsid w:val="00A23DD0"/>
    <w:rsid w:val="00A25769"/>
    <w:rsid w:val="00A25CB5"/>
    <w:rsid w:val="00A26E1D"/>
    <w:rsid w:val="00A30875"/>
    <w:rsid w:val="00A30FE6"/>
    <w:rsid w:val="00A31043"/>
    <w:rsid w:val="00A31627"/>
    <w:rsid w:val="00A31C7F"/>
    <w:rsid w:val="00A323EC"/>
    <w:rsid w:val="00A333E3"/>
    <w:rsid w:val="00A335E7"/>
    <w:rsid w:val="00A33C13"/>
    <w:rsid w:val="00A344EB"/>
    <w:rsid w:val="00A3474F"/>
    <w:rsid w:val="00A36302"/>
    <w:rsid w:val="00A3652D"/>
    <w:rsid w:val="00A367A5"/>
    <w:rsid w:val="00A40300"/>
    <w:rsid w:val="00A44901"/>
    <w:rsid w:val="00A459BA"/>
    <w:rsid w:val="00A46BEF"/>
    <w:rsid w:val="00A46C56"/>
    <w:rsid w:val="00A5205E"/>
    <w:rsid w:val="00A52B9D"/>
    <w:rsid w:val="00A52CAC"/>
    <w:rsid w:val="00A53B6F"/>
    <w:rsid w:val="00A545DD"/>
    <w:rsid w:val="00A5683C"/>
    <w:rsid w:val="00A609CC"/>
    <w:rsid w:val="00A60F46"/>
    <w:rsid w:val="00A61ED8"/>
    <w:rsid w:val="00A63A0A"/>
    <w:rsid w:val="00A63EE2"/>
    <w:rsid w:val="00A640DE"/>
    <w:rsid w:val="00A64A85"/>
    <w:rsid w:val="00A655A1"/>
    <w:rsid w:val="00A66CC8"/>
    <w:rsid w:val="00A67341"/>
    <w:rsid w:val="00A679D4"/>
    <w:rsid w:val="00A72713"/>
    <w:rsid w:val="00A72FA7"/>
    <w:rsid w:val="00A74A2B"/>
    <w:rsid w:val="00A753A0"/>
    <w:rsid w:val="00A75D88"/>
    <w:rsid w:val="00A76B00"/>
    <w:rsid w:val="00A7735A"/>
    <w:rsid w:val="00A77914"/>
    <w:rsid w:val="00A77DD8"/>
    <w:rsid w:val="00A81177"/>
    <w:rsid w:val="00A81561"/>
    <w:rsid w:val="00A82584"/>
    <w:rsid w:val="00A86690"/>
    <w:rsid w:val="00A9010F"/>
    <w:rsid w:val="00A9072D"/>
    <w:rsid w:val="00A93ABC"/>
    <w:rsid w:val="00A950D7"/>
    <w:rsid w:val="00A952DD"/>
    <w:rsid w:val="00A95391"/>
    <w:rsid w:val="00AA2D6D"/>
    <w:rsid w:val="00AA49EC"/>
    <w:rsid w:val="00AA4B88"/>
    <w:rsid w:val="00AA71E7"/>
    <w:rsid w:val="00AB15C2"/>
    <w:rsid w:val="00AB1723"/>
    <w:rsid w:val="00AB3C89"/>
    <w:rsid w:val="00AB5096"/>
    <w:rsid w:val="00AB6CEB"/>
    <w:rsid w:val="00AB748D"/>
    <w:rsid w:val="00AC0CE2"/>
    <w:rsid w:val="00AC4F5A"/>
    <w:rsid w:val="00AC5C6E"/>
    <w:rsid w:val="00AC688F"/>
    <w:rsid w:val="00AC7945"/>
    <w:rsid w:val="00AD3E33"/>
    <w:rsid w:val="00AD4B98"/>
    <w:rsid w:val="00AD5075"/>
    <w:rsid w:val="00AD5627"/>
    <w:rsid w:val="00AD5F73"/>
    <w:rsid w:val="00AD7148"/>
    <w:rsid w:val="00AD7BE0"/>
    <w:rsid w:val="00AE0454"/>
    <w:rsid w:val="00AE1A44"/>
    <w:rsid w:val="00AE1B71"/>
    <w:rsid w:val="00AE307F"/>
    <w:rsid w:val="00AE35FD"/>
    <w:rsid w:val="00AE40FF"/>
    <w:rsid w:val="00AE4158"/>
    <w:rsid w:val="00AF05EA"/>
    <w:rsid w:val="00AF11CB"/>
    <w:rsid w:val="00AF11D9"/>
    <w:rsid w:val="00AF25F5"/>
    <w:rsid w:val="00AF64EE"/>
    <w:rsid w:val="00AF6CA4"/>
    <w:rsid w:val="00AF7A22"/>
    <w:rsid w:val="00B01B1D"/>
    <w:rsid w:val="00B0494E"/>
    <w:rsid w:val="00B058F9"/>
    <w:rsid w:val="00B0714E"/>
    <w:rsid w:val="00B11D8D"/>
    <w:rsid w:val="00B12F6E"/>
    <w:rsid w:val="00B13397"/>
    <w:rsid w:val="00B14E65"/>
    <w:rsid w:val="00B15885"/>
    <w:rsid w:val="00B16473"/>
    <w:rsid w:val="00B208D0"/>
    <w:rsid w:val="00B20D39"/>
    <w:rsid w:val="00B21646"/>
    <w:rsid w:val="00B21D3F"/>
    <w:rsid w:val="00B22202"/>
    <w:rsid w:val="00B22E20"/>
    <w:rsid w:val="00B265E1"/>
    <w:rsid w:val="00B306F7"/>
    <w:rsid w:val="00B320D1"/>
    <w:rsid w:val="00B3415D"/>
    <w:rsid w:val="00B35348"/>
    <w:rsid w:val="00B36F41"/>
    <w:rsid w:val="00B41B13"/>
    <w:rsid w:val="00B43672"/>
    <w:rsid w:val="00B50A90"/>
    <w:rsid w:val="00B510A2"/>
    <w:rsid w:val="00B52355"/>
    <w:rsid w:val="00B5263E"/>
    <w:rsid w:val="00B54684"/>
    <w:rsid w:val="00B57696"/>
    <w:rsid w:val="00B60F04"/>
    <w:rsid w:val="00B63948"/>
    <w:rsid w:val="00B66AE4"/>
    <w:rsid w:val="00B66F7E"/>
    <w:rsid w:val="00B67A9E"/>
    <w:rsid w:val="00B72A97"/>
    <w:rsid w:val="00B7313F"/>
    <w:rsid w:val="00B73CA6"/>
    <w:rsid w:val="00B73FB9"/>
    <w:rsid w:val="00B74E2D"/>
    <w:rsid w:val="00B75597"/>
    <w:rsid w:val="00B76FA3"/>
    <w:rsid w:val="00B8007E"/>
    <w:rsid w:val="00B821C9"/>
    <w:rsid w:val="00B83A8A"/>
    <w:rsid w:val="00B8702C"/>
    <w:rsid w:val="00B962CB"/>
    <w:rsid w:val="00B9793D"/>
    <w:rsid w:val="00BA186D"/>
    <w:rsid w:val="00BA1FC8"/>
    <w:rsid w:val="00BA23A0"/>
    <w:rsid w:val="00BA23B6"/>
    <w:rsid w:val="00BA50D2"/>
    <w:rsid w:val="00BA532E"/>
    <w:rsid w:val="00BA53BC"/>
    <w:rsid w:val="00BA5A7A"/>
    <w:rsid w:val="00BB06B2"/>
    <w:rsid w:val="00BB22F8"/>
    <w:rsid w:val="00BB2B81"/>
    <w:rsid w:val="00BB3063"/>
    <w:rsid w:val="00BB36E6"/>
    <w:rsid w:val="00BB4313"/>
    <w:rsid w:val="00BB4A55"/>
    <w:rsid w:val="00BB55F1"/>
    <w:rsid w:val="00BB58B5"/>
    <w:rsid w:val="00BB7096"/>
    <w:rsid w:val="00BC0779"/>
    <w:rsid w:val="00BC0FC9"/>
    <w:rsid w:val="00BC21DC"/>
    <w:rsid w:val="00BC2F42"/>
    <w:rsid w:val="00BC6EA8"/>
    <w:rsid w:val="00BC71A2"/>
    <w:rsid w:val="00BD08FA"/>
    <w:rsid w:val="00BD191A"/>
    <w:rsid w:val="00BD2B66"/>
    <w:rsid w:val="00BD2C2E"/>
    <w:rsid w:val="00BD3620"/>
    <w:rsid w:val="00BD5A0A"/>
    <w:rsid w:val="00BD64ED"/>
    <w:rsid w:val="00BD6687"/>
    <w:rsid w:val="00BD69F6"/>
    <w:rsid w:val="00BD6F34"/>
    <w:rsid w:val="00BD6F37"/>
    <w:rsid w:val="00BE0223"/>
    <w:rsid w:val="00BE3BCB"/>
    <w:rsid w:val="00BE3DEA"/>
    <w:rsid w:val="00BE5748"/>
    <w:rsid w:val="00BE7836"/>
    <w:rsid w:val="00BE7FC4"/>
    <w:rsid w:val="00BF0901"/>
    <w:rsid w:val="00BF09A3"/>
    <w:rsid w:val="00BF0C34"/>
    <w:rsid w:val="00BF45D6"/>
    <w:rsid w:val="00BF6882"/>
    <w:rsid w:val="00C00709"/>
    <w:rsid w:val="00C01B5B"/>
    <w:rsid w:val="00C03936"/>
    <w:rsid w:val="00C04B74"/>
    <w:rsid w:val="00C114F2"/>
    <w:rsid w:val="00C15ACC"/>
    <w:rsid w:val="00C16A95"/>
    <w:rsid w:val="00C2168E"/>
    <w:rsid w:val="00C25E73"/>
    <w:rsid w:val="00C262A7"/>
    <w:rsid w:val="00C26981"/>
    <w:rsid w:val="00C26BCD"/>
    <w:rsid w:val="00C26EEE"/>
    <w:rsid w:val="00C273BC"/>
    <w:rsid w:val="00C33A4F"/>
    <w:rsid w:val="00C37EA2"/>
    <w:rsid w:val="00C40C66"/>
    <w:rsid w:val="00C46D93"/>
    <w:rsid w:val="00C47449"/>
    <w:rsid w:val="00C5197C"/>
    <w:rsid w:val="00C53175"/>
    <w:rsid w:val="00C54F41"/>
    <w:rsid w:val="00C56B91"/>
    <w:rsid w:val="00C57198"/>
    <w:rsid w:val="00C60738"/>
    <w:rsid w:val="00C61241"/>
    <w:rsid w:val="00C63371"/>
    <w:rsid w:val="00C65E41"/>
    <w:rsid w:val="00C672CB"/>
    <w:rsid w:val="00C70B82"/>
    <w:rsid w:val="00C71CA5"/>
    <w:rsid w:val="00C71FE8"/>
    <w:rsid w:val="00C72338"/>
    <w:rsid w:val="00C760F8"/>
    <w:rsid w:val="00C76376"/>
    <w:rsid w:val="00C7755E"/>
    <w:rsid w:val="00C800FD"/>
    <w:rsid w:val="00C812C1"/>
    <w:rsid w:val="00C81D5A"/>
    <w:rsid w:val="00C82C49"/>
    <w:rsid w:val="00C84CAE"/>
    <w:rsid w:val="00C8550F"/>
    <w:rsid w:val="00C85C9A"/>
    <w:rsid w:val="00C860A9"/>
    <w:rsid w:val="00C867F8"/>
    <w:rsid w:val="00C87E5A"/>
    <w:rsid w:val="00C91E40"/>
    <w:rsid w:val="00C928F8"/>
    <w:rsid w:val="00C932C8"/>
    <w:rsid w:val="00C934DA"/>
    <w:rsid w:val="00C935BF"/>
    <w:rsid w:val="00C93715"/>
    <w:rsid w:val="00C95018"/>
    <w:rsid w:val="00C95CB9"/>
    <w:rsid w:val="00C979D8"/>
    <w:rsid w:val="00CA1F5D"/>
    <w:rsid w:val="00CA480C"/>
    <w:rsid w:val="00CA514A"/>
    <w:rsid w:val="00CA6624"/>
    <w:rsid w:val="00CA6D18"/>
    <w:rsid w:val="00CB0120"/>
    <w:rsid w:val="00CB261E"/>
    <w:rsid w:val="00CB4113"/>
    <w:rsid w:val="00CB6476"/>
    <w:rsid w:val="00CB7E2E"/>
    <w:rsid w:val="00CC10CC"/>
    <w:rsid w:val="00CC1228"/>
    <w:rsid w:val="00CC38B7"/>
    <w:rsid w:val="00CC4A07"/>
    <w:rsid w:val="00CC668D"/>
    <w:rsid w:val="00CC6902"/>
    <w:rsid w:val="00CC7E43"/>
    <w:rsid w:val="00CD27E9"/>
    <w:rsid w:val="00CD3508"/>
    <w:rsid w:val="00CD3863"/>
    <w:rsid w:val="00CD67DB"/>
    <w:rsid w:val="00CD67F0"/>
    <w:rsid w:val="00CE0F92"/>
    <w:rsid w:val="00CE101A"/>
    <w:rsid w:val="00CE2586"/>
    <w:rsid w:val="00CE32FC"/>
    <w:rsid w:val="00CE34F2"/>
    <w:rsid w:val="00CE4263"/>
    <w:rsid w:val="00CE483C"/>
    <w:rsid w:val="00CE57C3"/>
    <w:rsid w:val="00CF10F5"/>
    <w:rsid w:val="00CF40EB"/>
    <w:rsid w:val="00CF5CEB"/>
    <w:rsid w:val="00CF6BF9"/>
    <w:rsid w:val="00CF6DC1"/>
    <w:rsid w:val="00D0144F"/>
    <w:rsid w:val="00D02303"/>
    <w:rsid w:val="00D025F4"/>
    <w:rsid w:val="00D04302"/>
    <w:rsid w:val="00D04409"/>
    <w:rsid w:val="00D04D4E"/>
    <w:rsid w:val="00D04E1A"/>
    <w:rsid w:val="00D06999"/>
    <w:rsid w:val="00D07D11"/>
    <w:rsid w:val="00D11247"/>
    <w:rsid w:val="00D115FF"/>
    <w:rsid w:val="00D1421C"/>
    <w:rsid w:val="00D1709B"/>
    <w:rsid w:val="00D17803"/>
    <w:rsid w:val="00D22084"/>
    <w:rsid w:val="00D227F1"/>
    <w:rsid w:val="00D22D80"/>
    <w:rsid w:val="00D248FC"/>
    <w:rsid w:val="00D24F1D"/>
    <w:rsid w:val="00D31424"/>
    <w:rsid w:val="00D317BF"/>
    <w:rsid w:val="00D322D4"/>
    <w:rsid w:val="00D34D4F"/>
    <w:rsid w:val="00D368DD"/>
    <w:rsid w:val="00D379AD"/>
    <w:rsid w:val="00D4123B"/>
    <w:rsid w:val="00D43A41"/>
    <w:rsid w:val="00D44458"/>
    <w:rsid w:val="00D44C40"/>
    <w:rsid w:val="00D47289"/>
    <w:rsid w:val="00D47B8F"/>
    <w:rsid w:val="00D47ED6"/>
    <w:rsid w:val="00D50633"/>
    <w:rsid w:val="00D53666"/>
    <w:rsid w:val="00D5516C"/>
    <w:rsid w:val="00D554F8"/>
    <w:rsid w:val="00D604AE"/>
    <w:rsid w:val="00D63626"/>
    <w:rsid w:val="00D63780"/>
    <w:rsid w:val="00D63862"/>
    <w:rsid w:val="00D63BDD"/>
    <w:rsid w:val="00D64505"/>
    <w:rsid w:val="00D64C06"/>
    <w:rsid w:val="00D64DDD"/>
    <w:rsid w:val="00D668F2"/>
    <w:rsid w:val="00D6701C"/>
    <w:rsid w:val="00D71BE5"/>
    <w:rsid w:val="00D745BD"/>
    <w:rsid w:val="00D748BF"/>
    <w:rsid w:val="00D74E59"/>
    <w:rsid w:val="00D750CB"/>
    <w:rsid w:val="00D750F6"/>
    <w:rsid w:val="00D75246"/>
    <w:rsid w:val="00D7667B"/>
    <w:rsid w:val="00D76C27"/>
    <w:rsid w:val="00D776E3"/>
    <w:rsid w:val="00D77C89"/>
    <w:rsid w:val="00D80E3F"/>
    <w:rsid w:val="00D8160E"/>
    <w:rsid w:val="00D85165"/>
    <w:rsid w:val="00D861CA"/>
    <w:rsid w:val="00D865D8"/>
    <w:rsid w:val="00D86EFA"/>
    <w:rsid w:val="00D870CA"/>
    <w:rsid w:val="00D900B4"/>
    <w:rsid w:val="00D915C8"/>
    <w:rsid w:val="00DA1BA3"/>
    <w:rsid w:val="00DA2029"/>
    <w:rsid w:val="00DA354D"/>
    <w:rsid w:val="00DA4436"/>
    <w:rsid w:val="00DA4521"/>
    <w:rsid w:val="00DA50E0"/>
    <w:rsid w:val="00DA5DDF"/>
    <w:rsid w:val="00DA62FC"/>
    <w:rsid w:val="00DA6F1F"/>
    <w:rsid w:val="00DA6F25"/>
    <w:rsid w:val="00DA743B"/>
    <w:rsid w:val="00DA789D"/>
    <w:rsid w:val="00DB2D5C"/>
    <w:rsid w:val="00DB3802"/>
    <w:rsid w:val="00DB40D2"/>
    <w:rsid w:val="00DB47BB"/>
    <w:rsid w:val="00DB4BFB"/>
    <w:rsid w:val="00DB7BC0"/>
    <w:rsid w:val="00DC0F2E"/>
    <w:rsid w:val="00DC462D"/>
    <w:rsid w:val="00DC5442"/>
    <w:rsid w:val="00DC6FA8"/>
    <w:rsid w:val="00DC7190"/>
    <w:rsid w:val="00DD0035"/>
    <w:rsid w:val="00DD13FD"/>
    <w:rsid w:val="00DD416F"/>
    <w:rsid w:val="00DD428E"/>
    <w:rsid w:val="00DD45B4"/>
    <w:rsid w:val="00DD5B63"/>
    <w:rsid w:val="00DD6E59"/>
    <w:rsid w:val="00DD6FE9"/>
    <w:rsid w:val="00DE01D8"/>
    <w:rsid w:val="00DE0494"/>
    <w:rsid w:val="00DE287D"/>
    <w:rsid w:val="00DE2946"/>
    <w:rsid w:val="00DE5AD5"/>
    <w:rsid w:val="00DE781B"/>
    <w:rsid w:val="00DE7B9E"/>
    <w:rsid w:val="00DF17B0"/>
    <w:rsid w:val="00DF2625"/>
    <w:rsid w:val="00DF2DDF"/>
    <w:rsid w:val="00DF2FC3"/>
    <w:rsid w:val="00DF3FA8"/>
    <w:rsid w:val="00DF5967"/>
    <w:rsid w:val="00DF7CB9"/>
    <w:rsid w:val="00E00CEA"/>
    <w:rsid w:val="00E00D49"/>
    <w:rsid w:val="00E02E4A"/>
    <w:rsid w:val="00E04501"/>
    <w:rsid w:val="00E05C39"/>
    <w:rsid w:val="00E064C8"/>
    <w:rsid w:val="00E06A41"/>
    <w:rsid w:val="00E11E87"/>
    <w:rsid w:val="00E127DC"/>
    <w:rsid w:val="00E141AA"/>
    <w:rsid w:val="00E15E02"/>
    <w:rsid w:val="00E160B8"/>
    <w:rsid w:val="00E16DDC"/>
    <w:rsid w:val="00E218AC"/>
    <w:rsid w:val="00E22540"/>
    <w:rsid w:val="00E229D2"/>
    <w:rsid w:val="00E2483D"/>
    <w:rsid w:val="00E24AA9"/>
    <w:rsid w:val="00E24DC4"/>
    <w:rsid w:val="00E2515B"/>
    <w:rsid w:val="00E27F18"/>
    <w:rsid w:val="00E30DF5"/>
    <w:rsid w:val="00E32B2F"/>
    <w:rsid w:val="00E3329D"/>
    <w:rsid w:val="00E34023"/>
    <w:rsid w:val="00E34FFF"/>
    <w:rsid w:val="00E35607"/>
    <w:rsid w:val="00E363D4"/>
    <w:rsid w:val="00E363DE"/>
    <w:rsid w:val="00E37D44"/>
    <w:rsid w:val="00E37FE1"/>
    <w:rsid w:val="00E417DB"/>
    <w:rsid w:val="00E42BDE"/>
    <w:rsid w:val="00E42E03"/>
    <w:rsid w:val="00E46688"/>
    <w:rsid w:val="00E47CF2"/>
    <w:rsid w:val="00E5060D"/>
    <w:rsid w:val="00E53E52"/>
    <w:rsid w:val="00E53E6F"/>
    <w:rsid w:val="00E55B02"/>
    <w:rsid w:val="00E5624D"/>
    <w:rsid w:val="00E57672"/>
    <w:rsid w:val="00E6118E"/>
    <w:rsid w:val="00E615E6"/>
    <w:rsid w:val="00E61D97"/>
    <w:rsid w:val="00E62397"/>
    <w:rsid w:val="00E62FE1"/>
    <w:rsid w:val="00E63191"/>
    <w:rsid w:val="00E63416"/>
    <w:rsid w:val="00E6413B"/>
    <w:rsid w:val="00E66463"/>
    <w:rsid w:val="00E66C57"/>
    <w:rsid w:val="00E673E4"/>
    <w:rsid w:val="00E67883"/>
    <w:rsid w:val="00E67D3C"/>
    <w:rsid w:val="00E716D7"/>
    <w:rsid w:val="00E73AB7"/>
    <w:rsid w:val="00E7587A"/>
    <w:rsid w:val="00E77106"/>
    <w:rsid w:val="00E807D1"/>
    <w:rsid w:val="00E808FB"/>
    <w:rsid w:val="00E81FE5"/>
    <w:rsid w:val="00E82CEC"/>
    <w:rsid w:val="00E82CF3"/>
    <w:rsid w:val="00E831F6"/>
    <w:rsid w:val="00E83CE0"/>
    <w:rsid w:val="00E840EF"/>
    <w:rsid w:val="00E84CEF"/>
    <w:rsid w:val="00E85A5C"/>
    <w:rsid w:val="00E860C6"/>
    <w:rsid w:val="00E87475"/>
    <w:rsid w:val="00E90A9A"/>
    <w:rsid w:val="00E90B9C"/>
    <w:rsid w:val="00E919AF"/>
    <w:rsid w:val="00E92691"/>
    <w:rsid w:val="00E93279"/>
    <w:rsid w:val="00E9491A"/>
    <w:rsid w:val="00E94FB6"/>
    <w:rsid w:val="00EA05DA"/>
    <w:rsid w:val="00EA18E8"/>
    <w:rsid w:val="00EA27BB"/>
    <w:rsid w:val="00EA3D30"/>
    <w:rsid w:val="00EA51B1"/>
    <w:rsid w:val="00EA5D3D"/>
    <w:rsid w:val="00EA6505"/>
    <w:rsid w:val="00EB13DC"/>
    <w:rsid w:val="00EB1A7D"/>
    <w:rsid w:val="00EB1A89"/>
    <w:rsid w:val="00EB2082"/>
    <w:rsid w:val="00EB40DA"/>
    <w:rsid w:val="00EB561A"/>
    <w:rsid w:val="00EB69B9"/>
    <w:rsid w:val="00EB6AA8"/>
    <w:rsid w:val="00EB70E7"/>
    <w:rsid w:val="00EB772F"/>
    <w:rsid w:val="00EB7966"/>
    <w:rsid w:val="00EB7B5D"/>
    <w:rsid w:val="00EC1858"/>
    <w:rsid w:val="00EC1A3D"/>
    <w:rsid w:val="00EC292B"/>
    <w:rsid w:val="00EC4146"/>
    <w:rsid w:val="00EC4EBE"/>
    <w:rsid w:val="00EC4FF2"/>
    <w:rsid w:val="00EC693E"/>
    <w:rsid w:val="00EC69E6"/>
    <w:rsid w:val="00EC7582"/>
    <w:rsid w:val="00EC7D46"/>
    <w:rsid w:val="00ED0762"/>
    <w:rsid w:val="00ED2C23"/>
    <w:rsid w:val="00ED3711"/>
    <w:rsid w:val="00ED4437"/>
    <w:rsid w:val="00ED4705"/>
    <w:rsid w:val="00ED51ED"/>
    <w:rsid w:val="00ED5BD3"/>
    <w:rsid w:val="00ED79CF"/>
    <w:rsid w:val="00EE1592"/>
    <w:rsid w:val="00EE1C2E"/>
    <w:rsid w:val="00EE5535"/>
    <w:rsid w:val="00EE63B7"/>
    <w:rsid w:val="00EE70A7"/>
    <w:rsid w:val="00EF0252"/>
    <w:rsid w:val="00EF1AC7"/>
    <w:rsid w:val="00EF48C9"/>
    <w:rsid w:val="00EF48CD"/>
    <w:rsid w:val="00EF605D"/>
    <w:rsid w:val="00EF63F7"/>
    <w:rsid w:val="00EF6BDB"/>
    <w:rsid w:val="00F0172C"/>
    <w:rsid w:val="00F02783"/>
    <w:rsid w:val="00F02A55"/>
    <w:rsid w:val="00F07796"/>
    <w:rsid w:val="00F07A4E"/>
    <w:rsid w:val="00F11E64"/>
    <w:rsid w:val="00F12A41"/>
    <w:rsid w:val="00F14442"/>
    <w:rsid w:val="00F177DA"/>
    <w:rsid w:val="00F20D6D"/>
    <w:rsid w:val="00F213ED"/>
    <w:rsid w:val="00F2190B"/>
    <w:rsid w:val="00F21A0B"/>
    <w:rsid w:val="00F257D8"/>
    <w:rsid w:val="00F25E4C"/>
    <w:rsid w:val="00F25EDD"/>
    <w:rsid w:val="00F26E45"/>
    <w:rsid w:val="00F27EE5"/>
    <w:rsid w:val="00F32BEA"/>
    <w:rsid w:val="00F32E75"/>
    <w:rsid w:val="00F338EE"/>
    <w:rsid w:val="00F33EBD"/>
    <w:rsid w:val="00F34006"/>
    <w:rsid w:val="00F36F6E"/>
    <w:rsid w:val="00F36F76"/>
    <w:rsid w:val="00F371D5"/>
    <w:rsid w:val="00F37380"/>
    <w:rsid w:val="00F40E4D"/>
    <w:rsid w:val="00F45156"/>
    <w:rsid w:val="00F46160"/>
    <w:rsid w:val="00F478B6"/>
    <w:rsid w:val="00F47C90"/>
    <w:rsid w:val="00F517EB"/>
    <w:rsid w:val="00F54109"/>
    <w:rsid w:val="00F54603"/>
    <w:rsid w:val="00F57FA9"/>
    <w:rsid w:val="00F61BDB"/>
    <w:rsid w:val="00F61D8D"/>
    <w:rsid w:val="00F62133"/>
    <w:rsid w:val="00F62497"/>
    <w:rsid w:val="00F62BD6"/>
    <w:rsid w:val="00F65FA9"/>
    <w:rsid w:val="00F675BC"/>
    <w:rsid w:val="00F7025F"/>
    <w:rsid w:val="00F7074B"/>
    <w:rsid w:val="00F70CFF"/>
    <w:rsid w:val="00F718ED"/>
    <w:rsid w:val="00F71956"/>
    <w:rsid w:val="00F721B7"/>
    <w:rsid w:val="00F73524"/>
    <w:rsid w:val="00F74CBF"/>
    <w:rsid w:val="00F824A1"/>
    <w:rsid w:val="00F833B5"/>
    <w:rsid w:val="00F83BAD"/>
    <w:rsid w:val="00F84C05"/>
    <w:rsid w:val="00F85BF9"/>
    <w:rsid w:val="00F85D48"/>
    <w:rsid w:val="00F87930"/>
    <w:rsid w:val="00F879E9"/>
    <w:rsid w:val="00F87F30"/>
    <w:rsid w:val="00F9157A"/>
    <w:rsid w:val="00F92643"/>
    <w:rsid w:val="00F92B0C"/>
    <w:rsid w:val="00F92FC1"/>
    <w:rsid w:val="00F95D4E"/>
    <w:rsid w:val="00F95DB5"/>
    <w:rsid w:val="00F96025"/>
    <w:rsid w:val="00F96E81"/>
    <w:rsid w:val="00F97E51"/>
    <w:rsid w:val="00FA105B"/>
    <w:rsid w:val="00FA15F0"/>
    <w:rsid w:val="00FA3043"/>
    <w:rsid w:val="00FA372C"/>
    <w:rsid w:val="00FA3FC3"/>
    <w:rsid w:val="00FA59B1"/>
    <w:rsid w:val="00FB1E58"/>
    <w:rsid w:val="00FB383D"/>
    <w:rsid w:val="00FB3860"/>
    <w:rsid w:val="00FB473A"/>
    <w:rsid w:val="00FB58DA"/>
    <w:rsid w:val="00FB600C"/>
    <w:rsid w:val="00FC20D5"/>
    <w:rsid w:val="00FC3CCF"/>
    <w:rsid w:val="00FC3D75"/>
    <w:rsid w:val="00FC43D3"/>
    <w:rsid w:val="00FC4D74"/>
    <w:rsid w:val="00FC7153"/>
    <w:rsid w:val="00FC7B9F"/>
    <w:rsid w:val="00FD15A7"/>
    <w:rsid w:val="00FD463A"/>
    <w:rsid w:val="00FD4803"/>
    <w:rsid w:val="00FD54A2"/>
    <w:rsid w:val="00FD5814"/>
    <w:rsid w:val="00FD72D0"/>
    <w:rsid w:val="00FD7B45"/>
    <w:rsid w:val="00FE1BF1"/>
    <w:rsid w:val="00FE2908"/>
    <w:rsid w:val="00FE53F3"/>
    <w:rsid w:val="00FE69BA"/>
    <w:rsid w:val="00FE7BD9"/>
    <w:rsid w:val="00FF2192"/>
    <w:rsid w:val="00FF39B0"/>
    <w:rsid w:val="00FF52B0"/>
    <w:rsid w:val="00FF7B40"/>
    <w:rsid w:val="7FFD05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jc w:val="both"/>
    </w:pPr>
    <w:rPr>
      <w:sz w:val="22"/>
      <w:szCs w:val="22"/>
      <w:lang w:val="es-ES" w:eastAsia="en-US" w:bidi="ar-SA"/>
    </w:rPr>
  </w:style>
  <w:style w:type="paragraph" w:styleId="2">
    <w:name w:val="heading 1"/>
    <w:basedOn w:val="1"/>
    <w:next w:val="1"/>
    <w:link w:val="21"/>
    <w:qFormat/>
    <w:uiPriority w:val="0"/>
    <w:pPr>
      <w:keepNext/>
      <w:spacing w:after="0"/>
      <w:jc w:val="left"/>
      <w:outlineLvl w:val="0"/>
    </w:pPr>
    <w:rPr>
      <w:rFonts w:ascii="Times New Roman" w:hAnsi="Times New Roman" w:eastAsia="Times New Roman"/>
      <w:b/>
      <w:bCs/>
      <w:sz w:val="16"/>
      <w:szCs w:val="24"/>
    </w:rPr>
  </w:style>
  <w:style w:type="paragraph" w:styleId="3">
    <w:name w:val="heading 4"/>
    <w:basedOn w:val="1"/>
    <w:next w:val="1"/>
    <w:link w:val="53"/>
    <w:qFormat/>
    <w:uiPriority w:val="0"/>
    <w:pPr>
      <w:keepNext/>
      <w:spacing w:after="120"/>
      <w:jc w:val="right"/>
      <w:outlineLvl w:val="3"/>
    </w:pPr>
    <w:rPr>
      <w:rFonts w:ascii="Century Schoolbook" w:hAnsi="Century Schoolbook"/>
      <w:b/>
      <w:bCs/>
      <w:lang/>
    </w:rPr>
  </w:style>
  <w:style w:type="paragraph" w:styleId="4">
    <w:name w:val="heading 6"/>
    <w:basedOn w:val="1"/>
    <w:next w:val="1"/>
    <w:link w:val="22"/>
    <w:semiHidden/>
    <w:unhideWhenUsed/>
    <w:qFormat/>
    <w:uiPriority w:val="9"/>
    <w:pPr>
      <w:spacing w:before="240" w:after="60"/>
      <w:outlineLvl w:val="5"/>
    </w:pPr>
    <w:rPr>
      <w:rFonts w:eastAsia="Times New Roman"/>
      <w:b/>
      <w:bCs/>
    </w:rPr>
  </w:style>
  <w:style w:type="paragraph" w:styleId="5">
    <w:name w:val="heading 7"/>
    <w:basedOn w:val="1"/>
    <w:next w:val="1"/>
    <w:link w:val="54"/>
    <w:semiHidden/>
    <w:unhideWhenUsed/>
    <w:qFormat/>
    <w:uiPriority w:val="9"/>
    <w:pPr>
      <w:keepNext/>
      <w:keepLines/>
      <w:spacing w:before="200" w:after="0"/>
      <w:outlineLvl w:val="6"/>
    </w:pPr>
    <w:rPr>
      <w:rFonts w:ascii="Cambria" w:hAnsi="Cambria" w:eastAsia="Times New Roman" w:cs="Times New Roman"/>
      <w:i/>
      <w:iCs/>
      <w:color w:val="404040"/>
    </w:rPr>
  </w:style>
  <w:style w:type="character" w:default="1" w:styleId="6">
    <w:name w:val="Default Paragraph Font"/>
    <w:unhideWhenUsed/>
    <w:uiPriority w:val="1"/>
  </w:style>
  <w:style w:type="table" w:default="1" w:styleId="7">
    <w:name w:val="Normal Table"/>
    <w:semiHidden/>
    <w:unhideWhenUsed/>
    <w:uiPriority w:val="99"/>
    <w:tblPr>
      <w:tblStyle w:val="7"/>
      <w:tblCellMar>
        <w:top w:w="0" w:type="dxa"/>
        <w:left w:w="108" w:type="dxa"/>
        <w:bottom w:w="0" w:type="dxa"/>
        <w:right w:w="108" w:type="dxa"/>
      </w:tblCellMar>
    </w:tblPr>
    <w:trPr>
      <w:wBefore w:w="0" w:type="dxa"/>
    </w:trPr>
  </w:style>
  <w:style w:type="character" w:styleId="8">
    <w:name w:val="annotation reference"/>
    <w:semiHidden/>
    <w:unhideWhenUsed/>
    <w:uiPriority w:val="99"/>
    <w:rPr>
      <w:sz w:val="16"/>
      <w:szCs w:val="16"/>
    </w:rPr>
  </w:style>
  <w:style w:type="character" w:styleId="9">
    <w:name w:val="Hyperlink"/>
    <w:semiHidden/>
    <w:unhideWhenUsed/>
    <w:uiPriority w:val="99"/>
    <w:rPr>
      <w:color w:val="0000FF"/>
      <w:u w:val="single"/>
    </w:rPr>
  </w:style>
  <w:style w:type="character" w:styleId="10">
    <w:name w:val="FollowedHyperlink"/>
    <w:semiHidden/>
    <w:unhideWhenUsed/>
    <w:uiPriority w:val="99"/>
    <w:rPr>
      <w:color w:val="800080"/>
      <w:u w:val="single"/>
    </w:rPr>
  </w:style>
  <w:style w:type="character" w:styleId="11">
    <w:name w:val="page number"/>
    <w:uiPriority w:val="0"/>
  </w:style>
  <w:style w:type="character" w:styleId="12">
    <w:name w:val="Strong"/>
    <w:qFormat/>
    <w:uiPriority w:val="22"/>
    <w:rPr>
      <w:b/>
      <w:bCs/>
    </w:rPr>
  </w:style>
  <w:style w:type="paragraph" w:styleId="13">
    <w:name w:val="annotation subject"/>
    <w:basedOn w:val="14"/>
    <w:next w:val="14"/>
    <w:link w:val="61"/>
    <w:semiHidden/>
    <w:unhideWhenUsed/>
    <w:uiPriority w:val="99"/>
    <w:pPr>
      <w:spacing w:after="200"/>
      <w:jc w:val="both"/>
    </w:pPr>
    <w:rPr>
      <w:rFonts w:ascii="Calibri" w:hAnsi="Calibri" w:eastAsia="Calibri"/>
      <w:b/>
      <w:bCs/>
      <w:lang w:eastAsia="en-US"/>
    </w:rPr>
  </w:style>
  <w:style w:type="paragraph" w:styleId="14">
    <w:name w:val="annotation text"/>
    <w:basedOn w:val="1"/>
    <w:link w:val="28"/>
    <w:uiPriority w:val="99"/>
    <w:pPr>
      <w:spacing w:after="0"/>
      <w:jc w:val="left"/>
    </w:pPr>
    <w:rPr>
      <w:rFonts w:ascii="Times New Roman" w:hAnsi="Times New Roman" w:eastAsia="Times New Roman"/>
      <w:sz w:val="20"/>
      <w:szCs w:val="20"/>
      <w:lang w:eastAsia="es-ES"/>
    </w:rPr>
  </w:style>
  <w:style w:type="paragraph" w:styleId="15">
    <w:name w:val="Balloon Text"/>
    <w:basedOn w:val="1"/>
    <w:link w:val="24"/>
    <w:semiHidden/>
    <w:unhideWhenUsed/>
    <w:uiPriority w:val="99"/>
    <w:pPr>
      <w:spacing w:after="0"/>
      <w:jc w:val="left"/>
    </w:pPr>
    <w:rPr>
      <w:rFonts w:ascii="Tahoma" w:hAnsi="Tahoma"/>
      <w:sz w:val="16"/>
      <w:szCs w:val="16"/>
    </w:rPr>
  </w:style>
  <w:style w:type="paragraph" w:styleId="16">
    <w:name w:val="header"/>
    <w:basedOn w:val="1"/>
    <w:link w:val="25"/>
    <w:unhideWhenUsed/>
    <w:uiPriority w:val="99"/>
    <w:pPr>
      <w:tabs>
        <w:tab w:val="center" w:pos="4252"/>
        <w:tab w:val="right" w:pos="8504"/>
      </w:tabs>
    </w:pPr>
  </w:style>
  <w:style w:type="paragraph" w:styleId="17">
    <w:name w:val="Normal (Web)"/>
    <w:basedOn w:val="1"/>
    <w:unhideWhenUsed/>
    <w:uiPriority w:val="99"/>
    <w:pPr>
      <w:spacing w:before="100" w:beforeAutospacing="1" w:after="100" w:afterAutospacing="1"/>
      <w:jc w:val="left"/>
    </w:pPr>
    <w:rPr>
      <w:rFonts w:ascii="Times New Roman" w:hAnsi="Times New Roman" w:eastAsia="Times New Roman"/>
      <w:sz w:val="24"/>
      <w:szCs w:val="24"/>
      <w:lang w:val="es-MX" w:eastAsia="es-MX"/>
    </w:rPr>
  </w:style>
  <w:style w:type="paragraph" w:styleId="18">
    <w:name w:val="footer"/>
    <w:basedOn w:val="1"/>
    <w:link w:val="26"/>
    <w:unhideWhenUsed/>
    <w:uiPriority w:val="99"/>
    <w:pPr>
      <w:tabs>
        <w:tab w:val="center" w:pos="4252"/>
        <w:tab w:val="right" w:pos="8504"/>
      </w:tabs>
    </w:pPr>
  </w:style>
  <w:style w:type="paragraph" w:styleId="19">
    <w:name w:val="Body Text"/>
    <w:basedOn w:val="1"/>
    <w:link w:val="55"/>
    <w:uiPriority w:val="99"/>
    <w:pPr>
      <w:spacing w:after="120"/>
    </w:pPr>
    <w:rPr>
      <w:rFonts w:ascii="Century Schoolbook" w:hAnsi="Century Schoolbook" w:eastAsia="Times New Roman"/>
      <w:sz w:val="21"/>
      <w:szCs w:val="21"/>
    </w:rPr>
  </w:style>
  <w:style w:type="table" w:styleId="20">
    <w:name w:val="Table Grid"/>
    <w:basedOn w:val="7"/>
    <w:uiPriority w:val="59"/>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1">
    <w:name w:val="Título 1 Car"/>
    <w:link w:val="2"/>
    <w:uiPriority w:val="0"/>
    <w:rPr>
      <w:rFonts w:ascii="Times New Roman" w:hAnsi="Times New Roman" w:eastAsia="Times New Roman"/>
      <w:b/>
      <w:bCs/>
      <w:sz w:val="16"/>
      <w:szCs w:val="24"/>
    </w:rPr>
  </w:style>
  <w:style w:type="character" w:customStyle="1" w:styleId="22">
    <w:name w:val="Título 6 Car"/>
    <w:link w:val="4"/>
    <w:semiHidden/>
    <w:uiPriority w:val="9"/>
    <w:rPr>
      <w:rFonts w:ascii="Calibri" w:hAnsi="Calibri" w:eastAsia="Times New Roman" w:cs="Times New Roman"/>
      <w:b/>
      <w:bCs/>
      <w:sz w:val="22"/>
      <w:szCs w:val="22"/>
      <w:lang w:val="es-ES" w:eastAsia="en-US"/>
    </w:rPr>
  </w:style>
  <w:style w:type="paragraph" w:styleId="23">
    <w:name w:val="No Spacing"/>
    <w:qFormat/>
    <w:uiPriority w:val="1"/>
    <w:pPr>
      <w:ind w:right="851"/>
      <w:jc w:val="both"/>
    </w:pPr>
    <w:rPr>
      <w:sz w:val="22"/>
      <w:szCs w:val="22"/>
      <w:lang w:val="es-ES" w:eastAsia="en-US" w:bidi="ar-SA"/>
    </w:rPr>
  </w:style>
  <w:style w:type="character" w:customStyle="1" w:styleId="24">
    <w:name w:val="Texto de globo Car"/>
    <w:link w:val="15"/>
    <w:semiHidden/>
    <w:uiPriority w:val="99"/>
    <w:rPr>
      <w:rFonts w:ascii="Tahoma" w:hAnsi="Tahoma" w:eastAsia="Calibri" w:cs="Tahoma"/>
      <w:sz w:val="16"/>
      <w:szCs w:val="16"/>
      <w:lang w:eastAsia="en-US"/>
    </w:rPr>
  </w:style>
  <w:style w:type="character" w:customStyle="1" w:styleId="25">
    <w:name w:val="Encabezado Car"/>
    <w:link w:val="16"/>
    <w:uiPriority w:val="99"/>
    <w:rPr>
      <w:sz w:val="22"/>
      <w:szCs w:val="22"/>
      <w:lang w:eastAsia="en-US"/>
    </w:rPr>
  </w:style>
  <w:style w:type="character" w:customStyle="1" w:styleId="26">
    <w:name w:val="Pie de página Car"/>
    <w:link w:val="18"/>
    <w:uiPriority w:val="99"/>
    <w:rPr>
      <w:sz w:val="22"/>
      <w:szCs w:val="22"/>
      <w:lang w:eastAsia="en-US"/>
    </w:rPr>
  </w:style>
  <w:style w:type="paragraph" w:styleId="27">
    <w:name w:val="List Paragraph"/>
    <w:basedOn w:val="1"/>
    <w:qFormat/>
    <w:uiPriority w:val="34"/>
    <w:pPr>
      <w:ind w:left="708"/>
    </w:pPr>
  </w:style>
  <w:style w:type="character" w:customStyle="1" w:styleId="28">
    <w:name w:val="Texto comentario Car"/>
    <w:link w:val="14"/>
    <w:uiPriority w:val="99"/>
    <w:rPr>
      <w:rFonts w:ascii="Times New Roman" w:hAnsi="Times New Roman" w:eastAsia="Times New Roman"/>
      <w:lang w:val="es-ES" w:eastAsia="es-ES"/>
    </w:rPr>
  </w:style>
  <w:style w:type="paragraph" w:customStyle="1" w:styleId="29">
    <w:name w:val="xl65"/>
    <w:basedOn w:val="1"/>
    <w:uiPriority w:val="0"/>
    <w:pPr>
      <w:spacing w:before="100" w:beforeAutospacing="1" w:after="100" w:afterAutospacing="1"/>
      <w:jc w:val="left"/>
      <w:textAlignment w:val="center"/>
    </w:pPr>
    <w:rPr>
      <w:rFonts w:ascii="Arial" w:hAnsi="Arial" w:eastAsia="Times New Roman" w:cs="Arial"/>
      <w:b/>
      <w:bCs/>
      <w:sz w:val="20"/>
      <w:szCs w:val="20"/>
      <w:lang w:val="es-MX" w:eastAsia="es-MX"/>
    </w:rPr>
  </w:style>
  <w:style w:type="paragraph" w:customStyle="1" w:styleId="30">
    <w:name w:val="xl66"/>
    <w:basedOn w:val="1"/>
    <w:uiPriority w:val="0"/>
    <w:pPr>
      <w:spacing w:before="100" w:beforeAutospacing="1" w:after="100" w:afterAutospacing="1"/>
      <w:jc w:val="left"/>
      <w:textAlignment w:val="center"/>
    </w:pPr>
    <w:rPr>
      <w:rFonts w:ascii="Arial" w:hAnsi="Arial" w:eastAsia="Times New Roman" w:cs="Arial"/>
      <w:sz w:val="20"/>
      <w:szCs w:val="20"/>
      <w:lang w:val="es-MX" w:eastAsia="es-MX"/>
    </w:rPr>
  </w:style>
  <w:style w:type="paragraph" w:customStyle="1" w:styleId="31">
    <w:name w:val="xl67"/>
    <w:basedOn w:val="1"/>
    <w:uiPriority w:val="0"/>
    <w:pPr>
      <w:spacing w:before="100" w:beforeAutospacing="1" w:after="100" w:afterAutospacing="1"/>
      <w:jc w:val="left"/>
      <w:textAlignment w:val="center"/>
    </w:pPr>
    <w:rPr>
      <w:rFonts w:ascii="Arial" w:hAnsi="Arial" w:eastAsia="Times New Roman" w:cs="Arial"/>
      <w:sz w:val="20"/>
      <w:szCs w:val="20"/>
      <w:lang w:val="es-MX" w:eastAsia="es-MX"/>
    </w:rPr>
  </w:style>
  <w:style w:type="paragraph" w:customStyle="1" w:styleId="32">
    <w:name w:val="xl68"/>
    <w:basedOn w:val="1"/>
    <w:uiPriority w:val="0"/>
    <w:pPr>
      <w:spacing w:before="100" w:beforeAutospacing="1" w:after="100" w:afterAutospacing="1"/>
      <w:jc w:val="center"/>
      <w:textAlignment w:val="center"/>
    </w:pPr>
    <w:rPr>
      <w:rFonts w:ascii="Arial" w:hAnsi="Arial" w:eastAsia="Times New Roman" w:cs="Arial"/>
      <w:b/>
      <w:bCs/>
      <w:color w:val="FF0000"/>
      <w:sz w:val="20"/>
      <w:szCs w:val="20"/>
      <w:lang w:val="es-MX" w:eastAsia="es-MX"/>
    </w:rPr>
  </w:style>
  <w:style w:type="paragraph" w:customStyle="1" w:styleId="33">
    <w:name w:val="xl6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sz w:val="20"/>
      <w:szCs w:val="20"/>
      <w:lang w:val="es-MX" w:eastAsia="es-MX"/>
    </w:rPr>
  </w:style>
  <w:style w:type="paragraph" w:customStyle="1" w:styleId="34">
    <w:name w:val="xl7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Arial" w:hAnsi="Arial" w:eastAsia="Times New Roman" w:cs="Arial"/>
      <w:b/>
      <w:bCs/>
      <w:sz w:val="20"/>
      <w:szCs w:val="20"/>
      <w:lang w:val="es-MX" w:eastAsia="es-MX"/>
    </w:rPr>
  </w:style>
  <w:style w:type="paragraph" w:customStyle="1" w:styleId="35">
    <w:name w:val="xl7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sz w:val="20"/>
      <w:szCs w:val="20"/>
      <w:lang w:val="es-MX" w:eastAsia="es-MX"/>
    </w:rPr>
  </w:style>
  <w:style w:type="paragraph" w:customStyle="1" w:styleId="36">
    <w:name w:val="xl7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sz w:val="20"/>
      <w:szCs w:val="20"/>
      <w:lang w:val="es-MX" w:eastAsia="es-MX"/>
    </w:rPr>
  </w:style>
  <w:style w:type="paragraph" w:customStyle="1" w:styleId="37">
    <w:name w:val="xl7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Arial" w:hAnsi="Arial" w:eastAsia="Times New Roman" w:cs="Arial"/>
      <w:sz w:val="20"/>
      <w:szCs w:val="20"/>
      <w:lang w:val="es-MX" w:eastAsia="es-MX"/>
    </w:rPr>
  </w:style>
  <w:style w:type="paragraph" w:customStyle="1" w:styleId="38">
    <w:name w:val="xl7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Arial" w:hAnsi="Arial" w:eastAsia="Times New Roman" w:cs="Arial"/>
      <w:color w:val="000000"/>
      <w:sz w:val="20"/>
      <w:szCs w:val="20"/>
      <w:lang w:val="es-MX" w:eastAsia="es-MX"/>
    </w:rPr>
  </w:style>
  <w:style w:type="paragraph" w:customStyle="1" w:styleId="39">
    <w:name w:val="xl75"/>
    <w:basedOn w:val="1"/>
    <w:uiPriority w:val="0"/>
    <w:pPr>
      <w:spacing w:before="100" w:beforeAutospacing="1" w:after="100" w:afterAutospacing="1"/>
      <w:jc w:val="left"/>
      <w:textAlignment w:val="center"/>
    </w:pPr>
    <w:rPr>
      <w:rFonts w:ascii="Arial" w:hAnsi="Arial" w:eastAsia="Times New Roman" w:cs="Arial"/>
      <w:color w:val="FF0000"/>
      <w:sz w:val="20"/>
      <w:szCs w:val="20"/>
      <w:lang w:val="es-MX" w:eastAsia="es-MX"/>
    </w:rPr>
  </w:style>
  <w:style w:type="paragraph" w:customStyle="1" w:styleId="40">
    <w:name w:val="xl76"/>
    <w:basedOn w:val="1"/>
    <w:uiPriority w:val="0"/>
    <w:pPr>
      <w:spacing w:before="100" w:beforeAutospacing="1" w:after="100" w:afterAutospacing="1"/>
      <w:jc w:val="left"/>
      <w:textAlignment w:val="center"/>
    </w:pPr>
    <w:rPr>
      <w:rFonts w:ascii="Arial" w:hAnsi="Arial" w:eastAsia="Times New Roman" w:cs="Arial"/>
      <w:color w:val="0070C0"/>
      <w:sz w:val="20"/>
      <w:szCs w:val="20"/>
      <w:lang w:val="es-MX" w:eastAsia="es-MX"/>
    </w:rPr>
  </w:style>
  <w:style w:type="paragraph" w:customStyle="1" w:styleId="41">
    <w:name w:val="xl7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color w:val="0070C0"/>
      <w:sz w:val="20"/>
      <w:szCs w:val="20"/>
      <w:lang w:val="es-MX" w:eastAsia="es-MX"/>
    </w:rPr>
  </w:style>
  <w:style w:type="paragraph" w:customStyle="1" w:styleId="42">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Times New Roman" w:cs="Arial"/>
      <w:color w:val="0070C0"/>
      <w:sz w:val="20"/>
      <w:szCs w:val="20"/>
      <w:lang w:val="es-MX" w:eastAsia="es-MX"/>
    </w:rPr>
  </w:style>
  <w:style w:type="paragraph" w:customStyle="1" w:styleId="43">
    <w:name w:val="xl79"/>
    <w:basedOn w:val="1"/>
    <w:uiPriority w:val="0"/>
    <w:pPr>
      <w:spacing w:before="100" w:beforeAutospacing="1" w:after="100" w:afterAutospacing="1"/>
      <w:jc w:val="left"/>
      <w:textAlignment w:val="center"/>
    </w:pPr>
    <w:rPr>
      <w:rFonts w:ascii="Arial" w:hAnsi="Arial" w:eastAsia="Times New Roman" w:cs="Arial"/>
      <w:color w:val="00B050"/>
      <w:sz w:val="20"/>
      <w:szCs w:val="20"/>
      <w:lang w:val="es-MX" w:eastAsia="es-MX"/>
    </w:rPr>
  </w:style>
  <w:style w:type="paragraph" w:customStyle="1" w:styleId="44">
    <w:name w:val="xl8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color w:val="00B050"/>
      <w:sz w:val="20"/>
      <w:szCs w:val="20"/>
      <w:lang w:val="es-MX" w:eastAsia="es-MX"/>
    </w:rPr>
  </w:style>
  <w:style w:type="paragraph" w:customStyle="1" w:styleId="45">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Times New Roman" w:cs="Arial"/>
      <w:color w:val="00B050"/>
      <w:sz w:val="20"/>
      <w:szCs w:val="20"/>
      <w:lang w:val="es-MX" w:eastAsia="es-MX"/>
    </w:rPr>
  </w:style>
  <w:style w:type="paragraph" w:customStyle="1" w:styleId="46">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Times New Roman" w:cs="Arial"/>
      <w:color w:val="FF0000"/>
      <w:sz w:val="20"/>
      <w:szCs w:val="20"/>
      <w:lang w:val="es-MX" w:eastAsia="es-MX"/>
    </w:rPr>
  </w:style>
  <w:style w:type="paragraph" w:customStyle="1" w:styleId="47">
    <w:name w:val="xl83"/>
    <w:basedOn w:val="1"/>
    <w:uiPriority w:val="0"/>
    <w:pPr>
      <w:spacing w:before="100" w:beforeAutospacing="1" w:after="100" w:afterAutospacing="1"/>
      <w:jc w:val="center"/>
      <w:textAlignment w:val="center"/>
    </w:pPr>
    <w:rPr>
      <w:rFonts w:ascii="Arial" w:hAnsi="Arial" w:eastAsia="Times New Roman" w:cs="Arial"/>
      <w:color w:val="0070C0"/>
      <w:sz w:val="20"/>
      <w:szCs w:val="20"/>
      <w:lang w:val="es-MX" w:eastAsia="es-MX"/>
    </w:rPr>
  </w:style>
  <w:style w:type="paragraph" w:customStyle="1" w:styleId="48">
    <w:name w:val="xl84"/>
    <w:basedOn w:val="1"/>
    <w:uiPriority w:val="0"/>
    <w:pPr>
      <w:spacing w:before="100" w:beforeAutospacing="1" w:after="100" w:afterAutospacing="1"/>
      <w:jc w:val="center"/>
      <w:textAlignment w:val="center"/>
    </w:pPr>
    <w:rPr>
      <w:rFonts w:ascii="Arial" w:hAnsi="Arial" w:eastAsia="Times New Roman" w:cs="Arial"/>
      <w:color w:val="00B050"/>
      <w:sz w:val="20"/>
      <w:szCs w:val="20"/>
      <w:lang w:val="es-MX" w:eastAsia="es-MX"/>
    </w:rPr>
  </w:style>
  <w:style w:type="paragraph" w:customStyle="1" w:styleId="49">
    <w:name w:val="xl8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color w:val="FF0000"/>
      <w:sz w:val="20"/>
      <w:szCs w:val="20"/>
      <w:lang w:val="es-MX" w:eastAsia="es-MX"/>
    </w:rPr>
  </w:style>
  <w:style w:type="paragraph" w:customStyle="1" w:styleId="50">
    <w:name w:val="xl86"/>
    <w:basedOn w:val="1"/>
    <w:uiPriority w:val="0"/>
    <w:pPr>
      <w:pBdr>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eastAsia="Times New Roman" w:cs="Arial"/>
      <w:b/>
      <w:bCs/>
      <w:color w:val="0070C0"/>
      <w:sz w:val="20"/>
      <w:szCs w:val="20"/>
      <w:lang w:val="es-MX" w:eastAsia="es-MX"/>
    </w:rPr>
  </w:style>
  <w:style w:type="paragraph" w:customStyle="1" w:styleId="51">
    <w:name w:val="xl87"/>
    <w:basedOn w:val="1"/>
    <w:uiPriority w:val="0"/>
    <w:pPr>
      <w:pBdr>
        <w:left w:val="single" w:color="auto" w:sz="4" w:space="0"/>
        <w:right w:val="single" w:color="auto" w:sz="4" w:space="0"/>
      </w:pBdr>
      <w:spacing w:before="100" w:beforeAutospacing="1" w:after="100" w:afterAutospacing="1"/>
      <w:jc w:val="left"/>
      <w:textAlignment w:val="center"/>
    </w:pPr>
    <w:rPr>
      <w:rFonts w:ascii="Arial" w:hAnsi="Arial" w:eastAsia="Times New Roman" w:cs="Arial"/>
      <w:color w:val="0070C0"/>
      <w:sz w:val="20"/>
      <w:szCs w:val="20"/>
      <w:lang w:val="es-MX" w:eastAsia="es-MX"/>
    </w:rPr>
  </w:style>
  <w:style w:type="paragraph" w:customStyle="1" w:styleId="52">
    <w:name w:val="Párrafo de lista1"/>
    <w:basedOn w:val="1"/>
    <w:qFormat/>
    <w:uiPriority w:val="0"/>
    <w:pPr>
      <w:spacing w:line="276" w:lineRule="auto"/>
      <w:ind w:left="720"/>
      <w:jc w:val="left"/>
    </w:pPr>
    <w:rPr>
      <w:rFonts w:eastAsia="Times New Roman" w:cs="Calibri"/>
    </w:rPr>
  </w:style>
  <w:style w:type="character" w:customStyle="1" w:styleId="53">
    <w:name w:val="Título 4 Car"/>
    <w:link w:val="3"/>
    <w:uiPriority w:val="0"/>
    <w:rPr>
      <w:rFonts w:ascii="Century Schoolbook" w:hAnsi="Century Schoolbook"/>
      <w:b/>
      <w:bCs/>
      <w:sz w:val="22"/>
      <w:szCs w:val="22"/>
      <w:lang/>
    </w:rPr>
  </w:style>
  <w:style w:type="character" w:customStyle="1" w:styleId="54">
    <w:name w:val="Título 7 Car"/>
    <w:link w:val="5"/>
    <w:semiHidden/>
    <w:uiPriority w:val="9"/>
    <w:rPr>
      <w:rFonts w:ascii="Cambria" w:hAnsi="Cambria" w:eastAsia="Times New Roman"/>
      <w:i/>
      <w:iCs/>
      <w:color w:val="404040"/>
      <w:sz w:val="22"/>
      <w:szCs w:val="22"/>
      <w:lang w:val="es-ES" w:eastAsia="en-US"/>
    </w:rPr>
  </w:style>
  <w:style w:type="character" w:customStyle="1" w:styleId="55">
    <w:name w:val="Texto independiente Car"/>
    <w:link w:val="19"/>
    <w:uiPriority w:val="99"/>
    <w:rPr>
      <w:rFonts w:ascii="Century Schoolbook" w:hAnsi="Century Schoolbook" w:eastAsia="Times New Roman"/>
      <w:sz w:val="21"/>
      <w:szCs w:val="21"/>
    </w:rPr>
  </w:style>
  <w:style w:type="table" w:customStyle="1" w:styleId="56">
    <w:name w:val="Tabla con cuadrícula1"/>
    <w:basedOn w:val="7"/>
    <w:uiPriority w:val="59"/>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7">
    <w:name w:val="Tabla con cuadrícula2"/>
    <w:basedOn w:val="7"/>
    <w:uiPriority w:val="59"/>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
    <w:name w:val="Tabla con cuadrícula3"/>
    <w:basedOn w:val="7"/>
    <w:uiPriority w:val="59"/>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9">
    <w:name w:val="Tabla con cuadrícula4"/>
    <w:basedOn w:val="7"/>
    <w:uiPriority w:val="59"/>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0">
    <w:name w:val="Tabla con cuadrícula5"/>
    <w:basedOn w:val="7"/>
    <w:uiPriority w:val="59"/>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61">
    <w:name w:val="Asunto del comentario Car"/>
    <w:link w:val="13"/>
    <w:semiHidden/>
    <w:uiPriority w:val="99"/>
    <w:rPr>
      <w:rFonts w:ascii="Times New Roman" w:hAnsi="Times New Roman" w:eastAsia="Times New Roman"/>
      <w:b/>
      <w:bCs/>
      <w:lang w:val="es-E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36</Pages>
  <Words>7714</Words>
  <Characters>42430</Characters>
  <Lines>353</Lines>
  <Paragraphs>100</Paragraphs>
  <TotalTime>0</TotalTime>
  <ScaleCrop>false</ScaleCrop>
  <LinksUpToDate>false</LinksUpToDate>
  <CharactersWithSpaces>50044</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2020-11-26T14:35:00Z</dcterms:created>
  <dc:creator>Bonilla Catzin Saúl Amilcar</dc:creator>
  <cp:lastModifiedBy>sistemas</cp:lastModifiedBy>
  <cp:lastPrinted>2020-11-26T14:35:00Z</cp:lastPrinted>
  <dcterms:modified xsi:type="dcterms:W3CDTF">2020-12-02T16:10:28Z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3082-11.1.0.9719</vt:lpwstr>
  </property>
</Properties>
</file>