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93" w:rsidRPr="00104093" w:rsidRDefault="00104093" w:rsidP="00E628B4">
      <w:pPr>
        <w:ind w:left="4111" w:right="18"/>
        <w:jc w:val="both"/>
        <w:rPr>
          <w:rFonts w:ascii="Arial" w:hAnsi="Arial" w:cs="Arial"/>
        </w:rPr>
      </w:pPr>
      <w:r w:rsidRPr="00104093">
        <w:rPr>
          <w:rFonts w:ascii="Arial" w:hAnsi="Arial" w:cs="Arial"/>
          <w:b/>
        </w:rPr>
        <w:t xml:space="preserve">COMISIÓN PERMANENTE DE PRESUPUESTO, PATRIMONIO ESTATAL Y MUNICIPAL. </w:t>
      </w:r>
      <w:r w:rsidRPr="00104093">
        <w:rPr>
          <w:rFonts w:ascii="Arial" w:hAnsi="Arial" w:cs="Arial"/>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w:t>
      </w:r>
    </w:p>
    <w:p w:rsidR="00104093" w:rsidRPr="00104093" w:rsidRDefault="00104093" w:rsidP="00E628B4">
      <w:pPr>
        <w:spacing w:line="360" w:lineRule="auto"/>
        <w:ind w:left="3969" w:right="62" w:firstLine="708"/>
        <w:jc w:val="both"/>
        <w:rPr>
          <w:rFonts w:ascii="Arial" w:hAnsi="Arial" w:cs="Arial"/>
          <w:b/>
        </w:rPr>
      </w:pPr>
    </w:p>
    <w:p w:rsidR="00A94550" w:rsidRDefault="00104093" w:rsidP="00104093">
      <w:pPr>
        <w:pStyle w:val="NormalWeb"/>
        <w:spacing w:before="0" w:beforeAutospacing="0" w:after="0" w:afterAutospacing="0" w:line="360" w:lineRule="auto"/>
        <w:jc w:val="both"/>
        <w:rPr>
          <w:b/>
        </w:rPr>
      </w:pPr>
      <w:r w:rsidRPr="00104093">
        <w:rPr>
          <w:b/>
        </w:rPr>
        <w:t>HONORABLE CONGRESO DEL ESTADO:</w:t>
      </w:r>
    </w:p>
    <w:p w:rsidR="00104093" w:rsidRPr="00104093" w:rsidRDefault="00104093" w:rsidP="00104093">
      <w:pPr>
        <w:pStyle w:val="NormalWeb"/>
        <w:spacing w:before="0" w:beforeAutospacing="0" w:after="0" w:afterAutospacing="0" w:line="360" w:lineRule="auto"/>
        <w:jc w:val="both"/>
        <w:rPr>
          <w:b/>
          <w:lang w:val="es-MX"/>
        </w:rPr>
      </w:pPr>
    </w:p>
    <w:p w:rsidR="00A94550" w:rsidRPr="005E6466" w:rsidRDefault="00A94550" w:rsidP="00C66098">
      <w:pPr>
        <w:spacing w:line="360" w:lineRule="auto"/>
        <w:ind w:right="51" w:firstLine="708"/>
        <w:jc w:val="both"/>
        <w:rPr>
          <w:rFonts w:ascii="Arial" w:hAnsi="Arial" w:cs="Arial"/>
          <w:lang w:val="es-MX"/>
        </w:rPr>
      </w:pPr>
      <w:r w:rsidRPr="005E6466">
        <w:rPr>
          <w:rFonts w:ascii="Arial" w:hAnsi="Arial" w:cs="Arial"/>
          <w:lang w:val="es-MX"/>
        </w:rPr>
        <w:t xml:space="preserve">En sesión </w:t>
      </w:r>
      <w:r w:rsidR="00104093">
        <w:rPr>
          <w:rFonts w:ascii="Arial" w:hAnsi="Arial" w:cs="Arial"/>
          <w:lang w:val="es-MX"/>
        </w:rPr>
        <w:t>ordinaria de pleno de fecha 30</w:t>
      </w:r>
      <w:r w:rsidRPr="005E6466">
        <w:rPr>
          <w:rFonts w:ascii="Arial" w:hAnsi="Arial" w:cs="Arial"/>
          <w:lang w:val="es-MX"/>
        </w:rPr>
        <w:t xml:space="preserve"> de </w:t>
      </w:r>
      <w:r w:rsidR="007B469C" w:rsidRPr="005E6466">
        <w:rPr>
          <w:rFonts w:ascii="Arial" w:hAnsi="Arial" w:cs="Arial"/>
          <w:lang w:val="es-MX"/>
        </w:rPr>
        <w:t xml:space="preserve">noviembre </w:t>
      </w:r>
      <w:r w:rsidRPr="005E6466">
        <w:rPr>
          <w:rFonts w:ascii="Arial" w:hAnsi="Arial" w:cs="Arial"/>
          <w:lang w:val="es-MX"/>
        </w:rPr>
        <w:t>del año</w:t>
      </w:r>
      <w:r w:rsidR="007B469C" w:rsidRPr="005E6466">
        <w:rPr>
          <w:rFonts w:ascii="Arial" w:hAnsi="Arial" w:cs="Arial"/>
          <w:lang w:val="es-MX"/>
        </w:rPr>
        <w:t xml:space="preserve"> en curso</w:t>
      </w:r>
      <w:r w:rsidR="00A07378" w:rsidRPr="005E6466">
        <w:rPr>
          <w:rFonts w:ascii="Arial" w:hAnsi="Arial" w:cs="Arial"/>
          <w:lang w:val="es-MX"/>
        </w:rPr>
        <w:t xml:space="preserve">, </w:t>
      </w:r>
      <w:r w:rsidRPr="005E6466">
        <w:rPr>
          <w:rFonts w:ascii="Arial" w:hAnsi="Arial" w:cs="Arial"/>
          <w:lang w:val="es-MX"/>
        </w:rPr>
        <w:t>se turn</w:t>
      </w:r>
      <w:r w:rsidR="007F2D81" w:rsidRPr="005E6466">
        <w:rPr>
          <w:rFonts w:ascii="Arial" w:hAnsi="Arial" w:cs="Arial"/>
          <w:lang w:val="es-MX"/>
        </w:rPr>
        <w:t>ó</w:t>
      </w:r>
      <w:r w:rsidRPr="005E6466">
        <w:rPr>
          <w:rFonts w:ascii="Arial" w:hAnsi="Arial" w:cs="Arial"/>
          <w:lang w:val="es-MX"/>
        </w:rPr>
        <w:t xml:space="preserve"> a esta Comisión Permanente de Presupuesto, Patrimonio Estatal y Municipal</w:t>
      </w:r>
      <w:r w:rsidR="005A3D61" w:rsidRPr="005E6466">
        <w:rPr>
          <w:rFonts w:ascii="Arial" w:hAnsi="Arial" w:cs="Arial"/>
          <w:lang w:val="es-MX"/>
        </w:rPr>
        <w:t>,</w:t>
      </w:r>
      <w:r w:rsidRPr="005E6466">
        <w:rPr>
          <w:rFonts w:ascii="Arial" w:hAnsi="Arial" w:cs="Arial"/>
          <w:lang w:val="es-MX"/>
        </w:rPr>
        <w:t xml:space="preserve"> para su estudio, análisis y dictamen la iniciativa </w:t>
      </w:r>
      <w:r w:rsidR="007D7E0F" w:rsidRPr="005E6466">
        <w:rPr>
          <w:rFonts w:ascii="Arial" w:hAnsi="Arial" w:cs="Arial"/>
          <w:lang w:val="es-MX"/>
        </w:rPr>
        <w:t xml:space="preserve">de </w:t>
      </w:r>
      <w:r w:rsidRPr="005E6466">
        <w:rPr>
          <w:rFonts w:ascii="Arial" w:hAnsi="Arial" w:cs="Arial"/>
          <w:lang w:val="es-MX"/>
        </w:rPr>
        <w:t xml:space="preserve">Ley de </w:t>
      </w:r>
      <w:r w:rsidR="007D7E0F" w:rsidRPr="005E6466">
        <w:rPr>
          <w:rFonts w:ascii="Arial" w:hAnsi="Arial" w:cs="Arial"/>
          <w:lang w:val="es-MX"/>
        </w:rPr>
        <w:t xml:space="preserve">Ingresos </w:t>
      </w:r>
      <w:r w:rsidRPr="005E6466">
        <w:rPr>
          <w:rFonts w:ascii="Arial" w:hAnsi="Arial" w:cs="Arial"/>
          <w:lang w:val="es-MX"/>
        </w:rPr>
        <w:t>Estado de Yucatán</w:t>
      </w:r>
      <w:r w:rsidR="007D7E0F" w:rsidRPr="005E6466">
        <w:rPr>
          <w:rFonts w:ascii="Arial" w:hAnsi="Arial" w:cs="Arial"/>
          <w:lang w:val="es-MX"/>
        </w:rPr>
        <w:t xml:space="preserve"> para el Ejercicio Fiscal 2</w:t>
      </w:r>
      <w:r w:rsidR="00481461" w:rsidRPr="005E6466">
        <w:rPr>
          <w:rFonts w:ascii="Arial" w:hAnsi="Arial" w:cs="Arial"/>
          <w:lang w:val="es-MX"/>
        </w:rPr>
        <w:t>0</w:t>
      </w:r>
      <w:r w:rsidR="007D7E0F" w:rsidRPr="005E6466">
        <w:rPr>
          <w:rFonts w:ascii="Arial" w:hAnsi="Arial" w:cs="Arial"/>
          <w:lang w:val="es-MX"/>
        </w:rPr>
        <w:t>2</w:t>
      </w:r>
      <w:r w:rsidR="00E628B4">
        <w:rPr>
          <w:rFonts w:ascii="Arial" w:hAnsi="Arial" w:cs="Arial"/>
          <w:lang w:val="es-MX"/>
        </w:rPr>
        <w:t>2</w:t>
      </w:r>
      <w:r w:rsidRPr="005E6466">
        <w:rPr>
          <w:rFonts w:ascii="Arial" w:hAnsi="Arial" w:cs="Arial"/>
          <w:lang w:val="es-MX"/>
        </w:rPr>
        <w:t>, suscrita por los ciudadanos Mauricio Vila Dosal y María Dolores Fritz Sierra, Gobernador Constitucional y Secretaria General de Go</w:t>
      </w:r>
      <w:r w:rsidR="003539D1" w:rsidRPr="005E6466">
        <w:rPr>
          <w:rFonts w:ascii="Arial" w:hAnsi="Arial" w:cs="Arial"/>
          <w:lang w:val="es-MX"/>
        </w:rPr>
        <w:t>bierno, ambos funcionarios del e</w:t>
      </w:r>
      <w:r w:rsidRPr="005E6466">
        <w:rPr>
          <w:rFonts w:ascii="Arial" w:hAnsi="Arial" w:cs="Arial"/>
          <w:lang w:val="es-MX"/>
        </w:rPr>
        <w:t>stado de Yucatán, respectivamente.</w:t>
      </w:r>
    </w:p>
    <w:p w:rsidR="00A94550" w:rsidRPr="005E6466" w:rsidRDefault="00A94550" w:rsidP="00C66098">
      <w:pPr>
        <w:spacing w:line="360" w:lineRule="auto"/>
        <w:ind w:right="51"/>
        <w:rPr>
          <w:rFonts w:ascii="Arial" w:hAnsi="Arial" w:cs="Arial"/>
          <w:lang w:val="es-MX"/>
        </w:rPr>
      </w:pPr>
    </w:p>
    <w:p w:rsidR="00A94550" w:rsidRPr="005E6466" w:rsidRDefault="00EB3CEC" w:rsidP="00C66098">
      <w:pPr>
        <w:pStyle w:val="NormalWeb"/>
        <w:spacing w:before="0" w:beforeAutospacing="0" w:after="0" w:afterAutospacing="0" w:line="360" w:lineRule="auto"/>
        <w:ind w:firstLine="709"/>
        <w:jc w:val="both"/>
        <w:rPr>
          <w:lang w:val="es-MX"/>
        </w:rPr>
      </w:pPr>
      <w:r w:rsidRPr="005E6466">
        <w:rPr>
          <w:lang w:val="es-MX"/>
        </w:rPr>
        <w:t xml:space="preserve">Las diputadas y diputados </w:t>
      </w:r>
      <w:r w:rsidR="00D9166C">
        <w:rPr>
          <w:lang w:val="es-MX"/>
        </w:rPr>
        <w:t>integrantes de esta Comisión P</w:t>
      </w:r>
      <w:r w:rsidR="00A94550" w:rsidRPr="005E6466">
        <w:rPr>
          <w:lang w:val="es-MX"/>
        </w:rPr>
        <w:t xml:space="preserve">ermanente, en los trabajos de estudio y análisis de la iniciativa mencionada, tomamos en consideración los siguientes, </w:t>
      </w:r>
    </w:p>
    <w:p w:rsidR="00E628B4" w:rsidRDefault="00E628B4" w:rsidP="00E628B4">
      <w:pPr>
        <w:jc w:val="center"/>
        <w:rPr>
          <w:rFonts w:ascii="Arial" w:hAnsi="Arial" w:cs="Arial"/>
          <w:b/>
          <w:lang w:val="es-MX"/>
        </w:rPr>
      </w:pPr>
    </w:p>
    <w:p w:rsidR="00A94550" w:rsidRPr="005E6466" w:rsidRDefault="00E628B4" w:rsidP="00643103">
      <w:pPr>
        <w:spacing w:line="360" w:lineRule="auto"/>
        <w:jc w:val="center"/>
        <w:rPr>
          <w:rFonts w:ascii="Arial" w:hAnsi="Arial" w:cs="Arial"/>
          <w:b/>
          <w:lang w:val="es-MX"/>
        </w:rPr>
      </w:pPr>
      <w:r>
        <w:rPr>
          <w:rFonts w:ascii="Arial" w:hAnsi="Arial" w:cs="Arial"/>
          <w:b/>
          <w:lang w:val="es-MX"/>
        </w:rPr>
        <w:t>A N T E C E D E N T E S</w:t>
      </w:r>
    </w:p>
    <w:p w:rsidR="00A94550" w:rsidRPr="005E6466" w:rsidRDefault="00A94550" w:rsidP="00E628B4">
      <w:pPr>
        <w:pStyle w:val="NormalWeb"/>
        <w:spacing w:before="0" w:beforeAutospacing="0" w:after="0" w:afterAutospacing="0"/>
        <w:ind w:firstLine="425"/>
        <w:jc w:val="center"/>
        <w:rPr>
          <w:b/>
          <w:lang w:val="es-MX"/>
        </w:rPr>
      </w:pPr>
    </w:p>
    <w:p w:rsidR="00A94550" w:rsidRPr="005E6466" w:rsidRDefault="00A94550" w:rsidP="00643103">
      <w:pPr>
        <w:pStyle w:val="NormalWeb"/>
        <w:spacing w:before="0" w:beforeAutospacing="0" w:after="0" w:afterAutospacing="0" w:line="360" w:lineRule="auto"/>
        <w:ind w:right="-142" w:firstLine="708"/>
        <w:jc w:val="both"/>
        <w:rPr>
          <w:lang w:val="es-MX"/>
        </w:rPr>
      </w:pPr>
      <w:r w:rsidRPr="005E6466">
        <w:rPr>
          <w:b/>
          <w:lang w:val="es-MX"/>
        </w:rPr>
        <w:t xml:space="preserve">PRIMERO. </w:t>
      </w:r>
      <w:r w:rsidRPr="005E6466">
        <w:rPr>
          <w:lang w:val="es-MX"/>
        </w:rPr>
        <w:t xml:space="preserve">En fecha </w:t>
      </w:r>
      <w:r w:rsidR="00583CAF" w:rsidRPr="005E6466">
        <w:rPr>
          <w:lang w:val="es-MX"/>
        </w:rPr>
        <w:t xml:space="preserve">25 de noviembre </w:t>
      </w:r>
      <w:r w:rsidRPr="005E6466">
        <w:rPr>
          <w:lang w:val="es-MX"/>
        </w:rPr>
        <w:t xml:space="preserve">del año en curso, fue presentada ante esta soberanía la iniciativa </w:t>
      </w:r>
      <w:r w:rsidR="00E628B4">
        <w:rPr>
          <w:lang w:val="es-MX"/>
        </w:rPr>
        <w:t>de</w:t>
      </w:r>
      <w:r w:rsidRPr="005E6466">
        <w:rPr>
          <w:lang w:val="es-MX"/>
        </w:rPr>
        <w:t xml:space="preserve"> Ley </w:t>
      </w:r>
      <w:r w:rsidR="00E628B4">
        <w:rPr>
          <w:lang w:val="es-MX"/>
        </w:rPr>
        <w:t>de Ingresos</w:t>
      </w:r>
      <w:r w:rsidR="00583CAF" w:rsidRPr="005E6466">
        <w:rPr>
          <w:lang w:val="es-MX"/>
        </w:rPr>
        <w:t xml:space="preserve"> del Estado de Yucatán, suscrita por los ciudadanos Mauricio</w:t>
      </w:r>
      <w:r w:rsidR="00DD5994" w:rsidRPr="005E6466">
        <w:rPr>
          <w:lang w:val="es-MX"/>
        </w:rPr>
        <w:t xml:space="preserve"> Vila Dosal y María Dolores Fritz Sierra, </w:t>
      </w:r>
      <w:r w:rsidR="00DD5994" w:rsidRPr="005E6466">
        <w:rPr>
          <w:lang w:val="es-MX"/>
        </w:rPr>
        <w:lastRenderedPageBreak/>
        <w:t>Gobernador Constitucional y Secretaria General de Gobierno, ambos funcionarios del estado de Yucatán, respectivamente.</w:t>
      </w:r>
    </w:p>
    <w:p w:rsidR="00A94550" w:rsidRPr="005E6466" w:rsidRDefault="00A94550" w:rsidP="00643103">
      <w:pPr>
        <w:pStyle w:val="NormalWeb"/>
        <w:spacing w:before="0" w:beforeAutospacing="0" w:after="0" w:afterAutospacing="0" w:line="360" w:lineRule="auto"/>
        <w:ind w:right="-142" w:firstLine="708"/>
        <w:jc w:val="both"/>
        <w:rPr>
          <w:lang w:val="es-MX"/>
        </w:rPr>
      </w:pPr>
    </w:p>
    <w:p w:rsidR="00A94550" w:rsidRPr="005E6466" w:rsidRDefault="00A94550" w:rsidP="00643103">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Esta iniciativa </w:t>
      </w:r>
      <w:r w:rsidR="0007144C" w:rsidRPr="005E6466">
        <w:rPr>
          <w:rFonts w:ascii="Arial" w:hAnsi="Arial" w:cs="Arial"/>
          <w:lang w:val="es-MX"/>
        </w:rPr>
        <w:t xml:space="preserve">fue presentada en ejercicio de la facultad que confiere el artículo </w:t>
      </w:r>
      <w:r w:rsidRPr="005E6466">
        <w:rPr>
          <w:rFonts w:ascii="Arial" w:hAnsi="Arial" w:cs="Arial"/>
          <w:lang w:val="es-MX"/>
        </w:rPr>
        <w:t>35</w:t>
      </w:r>
      <w:r w:rsidR="00746304" w:rsidRPr="005E6466">
        <w:rPr>
          <w:rFonts w:ascii="Arial" w:hAnsi="Arial" w:cs="Arial"/>
          <w:lang w:val="es-MX"/>
        </w:rPr>
        <w:t>,</w:t>
      </w:r>
      <w:r w:rsidRPr="005E6466">
        <w:rPr>
          <w:rFonts w:ascii="Arial" w:hAnsi="Arial" w:cs="Arial"/>
          <w:lang w:val="es-MX"/>
        </w:rPr>
        <w:t xml:space="preserve"> fracción II</w:t>
      </w:r>
      <w:r w:rsidR="00746304" w:rsidRPr="005E6466">
        <w:rPr>
          <w:rFonts w:ascii="Arial" w:hAnsi="Arial" w:cs="Arial"/>
          <w:lang w:val="es-MX"/>
        </w:rPr>
        <w:t>,</w:t>
      </w:r>
      <w:r w:rsidRPr="005E6466">
        <w:rPr>
          <w:rFonts w:ascii="Arial" w:hAnsi="Arial" w:cs="Arial"/>
          <w:lang w:val="es-MX"/>
        </w:rPr>
        <w:t xml:space="preserve"> de la Constitución Política del Estado de Yucatán, precepto</w:t>
      </w:r>
      <w:r w:rsidR="00AF7A60" w:rsidRPr="005E6466">
        <w:rPr>
          <w:rFonts w:ascii="Arial" w:hAnsi="Arial" w:cs="Arial"/>
          <w:lang w:val="es-MX"/>
        </w:rPr>
        <w:t xml:space="preserve"> que faculta</w:t>
      </w:r>
      <w:r w:rsidR="003D66D7" w:rsidRPr="005E6466">
        <w:rPr>
          <w:rFonts w:ascii="Arial" w:hAnsi="Arial" w:cs="Arial"/>
          <w:lang w:val="es-MX"/>
        </w:rPr>
        <w:t xml:space="preserve"> </w:t>
      </w:r>
      <w:r w:rsidRPr="005E6466">
        <w:rPr>
          <w:rFonts w:ascii="Arial" w:hAnsi="Arial" w:cs="Arial"/>
          <w:lang w:val="es-MX"/>
        </w:rPr>
        <w:t xml:space="preserve">al Gobernador del Estado para iniciar leyes y decretos. </w:t>
      </w:r>
    </w:p>
    <w:p w:rsidR="00A94550" w:rsidRPr="005E6466" w:rsidRDefault="00A94550" w:rsidP="00643103">
      <w:pPr>
        <w:pStyle w:val="NormalWeb"/>
        <w:spacing w:before="0" w:beforeAutospacing="0" w:after="0" w:afterAutospacing="0" w:line="360" w:lineRule="auto"/>
        <w:ind w:right="-283" w:firstLine="708"/>
        <w:jc w:val="both"/>
        <w:rPr>
          <w:b/>
          <w:lang w:val="es-MX"/>
        </w:rPr>
      </w:pPr>
    </w:p>
    <w:p w:rsidR="00B14ED2" w:rsidRPr="005E6466" w:rsidRDefault="00A94550" w:rsidP="00643103">
      <w:pPr>
        <w:pStyle w:val="NormalWeb"/>
        <w:spacing w:before="0" w:beforeAutospacing="0" w:after="0" w:afterAutospacing="0" w:line="360" w:lineRule="auto"/>
        <w:ind w:right="-283" w:firstLine="708"/>
        <w:jc w:val="both"/>
        <w:rPr>
          <w:lang w:val="es-MX"/>
        </w:rPr>
      </w:pPr>
      <w:r w:rsidRPr="005E6466">
        <w:rPr>
          <w:lang w:val="es-MX"/>
        </w:rPr>
        <w:t xml:space="preserve">La iniciativa en comento, en la parte correspondiente a la exposición de motivos, </w:t>
      </w:r>
      <w:r w:rsidR="00B07CB6" w:rsidRPr="005E6466">
        <w:rPr>
          <w:lang w:val="es-MX"/>
        </w:rPr>
        <w:t xml:space="preserve">se </w:t>
      </w:r>
      <w:r w:rsidRPr="005E6466">
        <w:rPr>
          <w:lang w:val="es-MX"/>
        </w:rPr>
        <w:t>expresó lo siguiente:</w:t>
      </w:r>
    </w:p>
    <w:p w:rsidR="00B14ED2" w:rsidRPr="00463F25" w:rsidRDefault="00B14ED2" w:rsidP="00463F25">
      <w:pPr>
        <w:pStyle w:val="NormalWeb"/>
        <w:spacing w:before="0" w:beforeAutospacing="0" w:after="0" w:afterAutospacing="0"/>
        <w:ind w:left="284" w:right="426" w:firstLine="283"/>
        <w:jc w:val="both"/>
        <w:rPr>
          <w:i/>
          <w:sz w:val="20"/>
          <w:szCs w:val="20"/>
          <w:lang w:val="es-MX"/>
        </w:rPr>
      </w:pPr>
    </w:p>
    <w:p w:rsidR="00E628B4" w:rsidRDefault="00463F25" w:rsidP="00463F25">
      <w:pPr>
        <w:ind w:left="284" w:right="426" w:firstLine="283"/>
        <w:jc w:val="both"/>
        <w:rPr>
          <w:rFonts w:ascii="Arial" w:hAnsi="Arial" w:cs="Arial"/>
          <w:i/>
          <w:sz w:val="20"/>
          <w:szCs w:val="20"/>
        </w:rPr>
      </w:pPr>
      <w:r>
        <w:rPr>
          <w:rFonts w:ascii="Arial" w:hAnsi="Arial" w:cs="Arial"/>
          <w:i/>
          <w:sz w:val="20"/>
          <w:szCs w:val="20"/>
        </w:rPr>
        <w:t>“</w:t>
      </w:r>
      <w:r w:rsidR="00E628B4" w:rsidRPr="00463F25">
        <w:rPr>
          <w:rFonts w:ascii="Arial" w:hAnsi="Arial" w:cs="Arial"/>
          <w:i/>
          <w:sz w:val="20"/>
          <w:szCs w:val="20"/>
        </w:rPr>
        <w:t xml:space="preserve">La iniciativa para expedir la Ley de Ingresos del Estado de Yucatán tiene por objeto establecer los recursos que el estado, a través de diferentes rubros, estima percibir durante cierto ejercicio fiscal. </w:t>
      </w:r>
    </w:p>
    <w:p w:rsidR="00463F25" w:rsidRPr="00463F25" w:rsidRDefault="00463F25" w:rsidP="00463F25">
      <w:pPr>
        <w:ind w:left="284" w:right="426" w:firstLine="283"/>
        <w:jc w:val="both"/>
        <w:rPr>
          <w:rFonts w:ascii="Arial" w:hAnsi="Arial" w:cs="Arial"/>
          <w:i/>
          <w:sz w:val="20"/>
          <w:szCs w:val="20"/>
        </w:rPr>
      </w:pPr>
    </w:p>
    <w:p w:rsidR="00E628B4" w:rsidRDefault="00E628B4" w:rsidP="00463F25">
      <w:pPr>
        <w:ind w:left="284" w:right="426" w:firstLine="283"/>
        <w:jc w:val="both"/>
        <w:rPr>
          <w:rFonts w:ascii="Arial" w:hAnsi="Arial" w:cs="Arial"/>
          <w:i/>
          <w:sz w:val="20"/>
          <w:szCs w:val="20"/>
        </w:rPr>
      </w:pPr>
      <w:r w:rsidRPr="00463F25">
        <w:rPr>
          <w:rFonts w:ascii="Arial" w:hAnsi="Arial" w:cs="Arial"/>
          <w:i/>
          <w:sz w:val="20"/>
          <w:szCs w:val="20"/>
        </w:rPr>
        <w:t>La importancia de esta iniciativa radica en que la correcta determinación de los ingresos del ejercicio permite crear un balance presupuestario entre estos y los gastos previstos en el Presupuesto de Egresos del Gobierno del Estado de Yucatán para el Ejercicio Fiscal 2022.</w:t>
      </w:r>
    </w:p>
    <w:p w:rsidR="00463F25" w:rsidRPr="00463F25" w:rsidRDefault="00463F25" w:rsidP="00463F25">
      <w:pPr>
        <w:ind w:left="284" w:right="426" w:firstLine="283"/>
        <w:jc w:val="both"/>
        <w:rPr>
          <w:rFonts w:ascii="Arial" w:hAnsi="Arial" w:cs="Arial"/>
          <w:i/>
          <w:sz w:val="20"/>
          <w:szCs w:val="20"/>
        </w:rPr>
      </w:pPr>
    </w:p>
    <w:p w:rsidR="00E628B4" w:rsidRDefault="00E628B4" w:rsidP="00463F25">
      <w:pPr>
        <w:ind w:left="284" w:right="426" w:firstLine="283"/>
        <w:jc w:val="both"/>
        <w:rPr>
          <w:rFonts w:ascii="Arial" w:hAnsi="Arial" w:cs="Arial"/>
          <w:i/>
          <w:sz w:val="20"/>
          <w:szCs w:val="20"/>
        </w:rPr>
      </w:pPr>
      <w:r w:rsidRPr="00463F25">
        <w:rPr>
          <w:rFonts w:ascii="Arial" w:hAnsi="Arial" w:cs="Arial"/>
          <w:i/>
          <w:sz w:val="20"/>
          <w:szCs w:val="20"/>
        </w:rPr>
        <w:t>En este sentido, el proyecto de iniciativa que se somete a consideración constituye el instrumento jurídico que, en coordinación con las demás leyes fiscales federales y locales, establece la forma en la que el estado percibirá ingresos públicos durante el año 2022 para cumplir con sus funciones y para garantizar la continuación de bienes y servicios necesarios para los yucatecos.</w:t>
      </w:r>
    </w:p>
    <w:p w:rsidR="00463F25" w:rsidRPr="00463F25" w:rsidRDefault="00463F25" w:rsidP="00463F25">
      <w:pPr>
        <w:ind w:left="284" w:right="426" w:firstLine="283"/>
        <w:jc w:val="both"/>
        <w:rPr>
          <w:rFonts w:ascii="Arial" w:hAnsi="Arial" w:cs="Arial"/>
          <w:i/>
          <w:sz w:val="20"/>
          <w:szCs w:val="20"/>
        </w:rPr>
      </w:pPr>
    </w:p>
    <w:p w:rsidR="00E628B4" w:rsidRPr="00463F25" w:rsidRDefault="00E628B4" w:rsidP="00463F25">
      <w:pPr>
        <w:ind w:left="284" w:right="426" w:firstLine="283"/>
        <w:jc w:val="both"/>
        <w:rPr>
          <w:rFonts w:ascii="Arial" w:hAnsi="Arial" w:cs="Arial"/>
          <w:i/>
          <w:sz w:val="20"/>
          <w:szCs w:val="20"/>
        </w:rPr>
      </w:pPr>
      <w:r w:rsidRPr="00463F25">
        <w:rPr>
          <w:rFonts w:ascii="Arial" w:hAnsi="Arial" w:cs="Arial"/>
          <w:i/>
          <w:sz w:val="20"/>
          <w:szCs w:val="20"/>
        </w:rPr>
        <w:t>Para realizar los cálculos, y las proyecciones, y establecer algunos de los riesgos relevantes de las finanzas públicas del estado, se tomaron en consideración, entre otras variables, las establecidas en los Criterios Generales de Política Económica para la Iniciativa de Ley de Ingresos y el Proyecto de Presupuesto de Egresos de la Federación correspondientes al ejercicio fiscal de 2022.</w:t>
      </w:r>
    </w:p>
    <w:p w:rsidR="00F67B3D" w:rsidRPr="00463F25" w:rsidRDefault="00E628B4" w:rsidP="00463F25">
      <w:pPr>
        <w:ind w:left="284" w:right="426" w:firstLine="283"/>
        <w:jc w:val="both"/>
        <w:rPr>
          <w:rFonts w:ascii="Arial" w:eastAsia="Calibri" w:hAnsi="Arial" w:cs="Arial"/>
          <w:i/>
          <w:sz w:val="20"/>
          <w:szCs w:val="20"/>
          <w:lang w:eastAsia="en-US"/>
        </w:rPr>
      </w:pPr>
      <w:r w:rsidRPr="00463F25">
        <w:rPr>
          <w:rFonts w:ascii="Arial" w:eastAsia="Calibri" w:hAnsi="Arial" w:cs="Arial"/>
          <w:i/>
          <w:sz w:val="20"/>
          <w:szCs w:val="20"/>
          <w:lang w:eastAsia="en-US"/>
        </w:rPr>
        <w:t>…</w:t>
      </w:r>
    </w:p>
    <w:p w:rsidR="00E628B4" w:rsidRPr="00463F25" w:rsidRDefault="00E628B4" w:rsidP="00463F25">
      <w:pPr>
        <w:ind w:left="284" w:right="426" w:firstLine="283"/>
        <w:jc w:val="both"/>
        <w:rPr>
          <w:rFonts w:ascii="Arial" w:eastAsia="Calibri" w:hAnsi="Arial" w:cs="Arial"/>
          <w:i/>
          <w:sz w:val="20"/>
          <w:szCs w:val="20"/>
          <w:lang w:val="es-MX" w:eastAsia="en-US"/>
        </w:rPr>
      </w:pPr>
    </w:p>
    <w:p w:rsidR="00E628B4" w:rsidRDefault="00E628B4" w:rsidP="00463F25">
      <w:pPr>
        <w:pStyle w:val="NormalWeb"/>
        <w:spacing w:before="0" w:beforeAutospacing="0" w:after="0" w:afterAutospacing="0"/>
        <w:ind w:left="284" w:right="426" w:firstLine="283"/>
        <w:jc w:val="both"/>
        <w:rPr>
          <w:i/>
          <w:sz w:val="20"/>
          <w:szCs w:val="20"/>
        </w:rPr>
      </w:pPr>
      <w:r w:rsidRPr="00463F25">
        <w:rPr>
          <w:i/>
          <w:sz w:val="20"/>
          <w:szCs w:val="20"/>
        </w:rPr>
        <w:t xml:space="preserve">La pandemia de la enfermedad COVID-19 causada por el virus SARS-CoV-2 continúa, y sus efectos económicos y sociales aún son tangibles. Sin embargo, los avances en la vacunación, la aplicación de diversas medidas sanitarias y la apertura económica han incentivado la recuperación del estado. </w:t>
      </w:r>
    </w:p>
    <w:p w:rsidR="00463F25" w:rsidRPr="00463F25" w:rsidRDefault="00463F25" w:rsidP="00463F25">
      <w:pPr>
        <w:pStyle w:val="NormalWeb"/>
        <w:spacing w:before="0" w:beforeAutospacing="0" w:after="0" w:afterAutospacing="0"/>
        <w:ind w:left="284" w:right="426" w:firstLine="283"/>
        <w:jc w:val="both"/>
        <w:rPr>
          <w:i/>
          <w:sz w:val="20"/>
          <w:szCs w:val="20"/>
        </w:rPr>
      </w:pPr>
    </w:p>
    <w:p w:rsidR="00E628B4" w:rsidRDefault="00E628B4" w:rsidP="00463F25">
      <w:pPr>
        <w:pStyle w:val="NormalWeb"/>
        <w:spacing w:before="0" w:beforeAutospacing="0" w:after="0" w:afterAutospacing="0"/>
        <w:ind w:left="284" w:right="426" w:firstLine="283"/>
        <w:jc w:val="both"/>
        <w:rPr>
          <w:i/>
          <w:sz w:val="20"/>
          <w:szCs w:val="20"/>
          <w:lang w:val="es-MX"/>
        </w:rPr>
      </w:pPr>
      <w:r w:rsidRPr="00463F25">
        <w:rPr>
          <w:i/>
          <w:sz w:val="20"/>
          <w:szCs w:val="20"/>
          <w:lang w:val="es-MX"/>
        </w:rPr>
        <w:t>Como se observará en esta iniciativa, los ingresos que soportarán el gasto público eficiente del ejercicio fiscal 2022 parten de las estimaciones de la Secretaría de Hacienda y Crédito Público para las transferencias al estado, y del comportamiento de la recaudación fiscal local del año en curso, cuyas expectativas de cierre sugieren un escenario de recuperación superior al estimado en la Ley de Ingresos del Estado de Yucatán para el Ejercicio Fiscal 2021.</w:t>
      </w:r>
    </w:p>
    <w:p w:rsidR="00463F25" w:rsidRPr="00463F25" w:rsidRDefault="00463F25" w:rsidP="00463F25">
      <w:pPr>
        <w:pStyle w:val="NormalWeb"/>
        <w:spacing w:before="0" w:beforeAutospacing="0" w:after="0" w:afterAutospacing="0"/>
        <w:ind w:left="284" w:right="426" w:firstLine="283"/>
        <w:jc w:val="both"/>
        <w:rPr>
          <w:i/>
          <w:sz w:val="20"/>
          <w:szCs w:val="20"/>
          <w:lang w:val="es-MX"/>
        </w:rPr>
      </w:pPr>
    </w:p>
    <w:p w:rsidR="00E628B4" w:rsidRDefault="00E628B4" w:rsidP="00463F25">
      <w:pPr>
        <w:pStyle w:val="NormalWeb"/>
        <w:spacing w:before="0" w:beforeAutospacing="0" w:after="0" w:afterAutospacing="0"/>
        <w:ind w:left="284" w:right="426" w:firstLine="283"/>
        <w:jc w:val="both"/>
        <w:rPr>
          <w:b/>
          <w:bCs/>
          <w:i/>
          <w:sz w:val="20"/>
          <w:szCs w:val="20"/>
        </w:rPr>
      </w:pPr>
      <w:r w:rsidRPr="00463F25">
        <w:rPr>
          <w:b/>
          <w:bCs/>
          <w:i/>
          <w:sz w:val="20"/>
          <w:szCs w:val="20"/>
        </w:rPr>
        <w:t>2. Estimación de los ingresos al cierre del ejercicio fiscal 2021</w:t>
      </w:r>
    </w:p>
    <w:p w:rsidR="00463F25" w:rsidRPr="00463F25" w:rsidRDefault="00463F25" w:rsidP="00463F25">
      <w:pPr>
        <w:pStyle w:val="NormalWeb"/>
        <w:spacing w:before="0" w:beforeAutospacing="0" w:after="0" w:afterAutospacing="0"/>
        <w:ind w:left="284" w:right="426" w:firstLine="283"/>
        <w:jc w:val="both"/>
        <w:rPr>
          <w:b/>
          <w:bCs/>
          <w:i/>
          <w:sz w:val="20"/>
          <w:szCs w:val="20"/>
        </w:rPr>
      </w:pPr>
    </w:p>
    <w:p w:rsidR="00E628B4" w:rsidRPr="00463F25" w:rsidRDefault="00E628B4" w:rsidP="00463F25">
      <w:pPr>
        <w:pStyle w:val="NormalWeb"/>
        <w:spacing w:before="0" w:beforeAutospacing="0" w:after="0" w:afterAutospacing="0"/>
        <w:ind w:left="284" w:right="426" w:firstLine="283"/>
        <w:jc w:val="both"/>
        <w:rPr>
          <w:i/>
          <w:sz w:val="20"/>
          <w:szCs w:val="20"/>
          <w:lang w:val="es-MX"/>
        </w:rPr>
      </w:pPr>
      <w:r w:rsidRPr="00463F25">
        <w:rPr>
          <w:i/>
          <w:sz w:val="20"/>
          <w:szCs w:val="20"/>
          <w:lang w:val="es-MX"/>
        </w:rPr>
        <w:t xml:space="preserve">El año anterior se presentó un paquete fiscal para el ejercicio fiscal 2021 balanceado y congruente con el entorno de incertidumbre que había en el estado al cierre del ejercicio 2020, en relación con la evolución de la pandemia y sus impactos socioeconómicos. El referido proyecto planteó un escenario prudente de recuperación alineado con las estimaciones de la Secretaría de Hacienda y Crédito Público y con los retos de la recaudación derivados de la contracción económica a nivel mundial. </w:t>
      </w:r>
    </w:p>
    <w:p w:rsidR="00463F25" w:rsidRDefault="00463F25" w:rsidP="00463F25">
      <w:pPr>
        <w:pStyle w:val="NormalWeb"/>
        <w:spacing w:before="0" w:beforeAutospacing="0" w:after="0" w:afterAutospacing="0"/>
        <w:ind w:left="284" w:right="426" w:firstLine="283"/>
        <w:jc w:val="both"/>
        <w:rPr>
          <w:i/>
          <w:sz w:val="20"/>
          <w:szCs w:val="20"/>
          <w:lang w:val="es-MX"/>
        </w:rPr>
      </w:pPr>
    </w:p>
    <w:p w:rsidR="00E628B4" w:rsidRPr="00463F25" w:rsidRDefault="00E628B4" w:rsidP="00463F25">
      <w:pPr>
        <w:pStyle w:val="NormalWeb"/>
        <w:spacing w:before="0" w:beforeAutospacing="0" w:after="0" w:afterAutospacing="0"/>
        <w:ind w:left="284" w:right="426" w:firstLine="283"/>
        <w:jc w:val="both"/>
        <w:rPr>
          <w:i/>
          <w:sz w:val="20"/>
          <w:szCs w:val="20"/>
          <w:lang w:val="es-MX"/>
        </w:rPr>
      </w:pPr>
      <w:r w:rsidRPr="00463F25">
        <w:rPr>
          <w:i/>
          <w:sz w:val="20"/>
          <w:szCs w:val="20"/>
          <w:lang w:val="es-MX"/>
        </w:rPr>
        <w:t>Al 1 de enero de 2021 se estimaba una recaudación de ingresos totales por $41,136 millones de pesos, de los cuales $3,054 millones de pesos serían recursos recaudados directamente por las entidades a través de los conceptos de venta de bienes y servicios y cuotas de aportación de seguridad social. Excluyendo esto, se proyectó recaudar $38,081 millones de pesos a través del sector centralizado, en donde $19,106 millones de pesos correspondían a recursos etiquetados (convenios y subsidios federales, así como aportaciones del Ramo 33) y $18,975 millones de pesos a recursos no etiquetados (ingresos propios fiscales, participaciones federales e incentivos de colaboración fiscal).</w:t>
      </w:r>
    </w:p>
    <w:p w:rsidR="00463F25" w:rsidRDefault="00463F25" w:rsidP="00463F25">
      <w:pPr>
        <w:pStyle w:val="NormalWeb"/>
        <w:spacing w:before="0" w:beforeAutospacing="0" w:after="0" w:afterAutospacing="0"/>
        <w:ind w:left="284" w:right="426" w:firstLine="283"/>
        <w:jc w:val="both"/>
        <w:rPr>
          <w:i/>
          <w:sz w:val="20"/>
          <w:szCs w:val="20"/>
          <w:lang w:val="es-MX"/>
        </w:rPr>
      </w:pPr>
    </w:p>
    <w:p w:rsidR="00E628B4" w:rsidRPr="00463F25" w:rsidRDefault="00E628B4" w:rsidP="00463F25">
      <w:pPr>
        <w:pStyle w:val="NormalWeb"/>
        <w:spacing w:before="0" w:beforeAutospacing="0" w:after="0" w:afterAutospacing="0"/>
        <w:ind w:left="284" w:right="426" w:firstLine="283"/>
        <w:jc w:val="both"/>
        <w:rPr>
          <w:i/>
          <w:sz w:val="20"/>
          <w:szCs w:val="20"/>
          <w:lang w:val="es-MX"/>
        </w:rPr>
      </w:pPr>
      <w:r w:rsidRPr="00463F25">
        <w:rPr>
          <w:i/>
          <w:sz w:val="20"/>
          <w:szCs w:val="20"/>
          <w:lang w:val="es-MX"/>
        </w:rPr>
        <w:t xml:space="preserve">Derivado del análisis de desempeño de la recaudación al tercer trimestre de 2021, se proyecta una recaudación de ingresos no etiquetados de $19,100 millones de pesos; es decir, $125 millones de pesos por encima de lo previsto en la Ley de Ingresos del Estado de Yucatán para el Ejercicio Fiscal 2021, principalmente debido a que la recaudación local refleja la reactivación económica del estado. Esta estimación también contempla el desempeño de la recaudación federal participable, de la que emanan las participaciones federales y que al mes de septiembre ha sido inferior a lo proyectado por la Federación. Al respecto, aunque en el mes de octubre se activó el Fondo de Estabilización de los Ingresos de las Entidades Federativas, la Secretaría de Hacienda y Crédito Público mantiene su estimación inicial al esperar que se dé una recuperación en este rubro al concluir el ejercicio. </w:t>
      </w:r>
    </w:p>
    <w:p w:rsidR="00463F25" w:rsidRDefault="00463F25" w:rsidP="00463F25">
      <w:pPr>
        <w:ind w:left="284" w:right="426" w:firstLine="283"/>
        <w:jc w:val="both"/>
        <w:rPr>
          <w:rFonts w:ascii="Arial" w:hAnsi="Arial" w:cs="Arial"/>
          <w:i/>
          <w:sz w:val="20"/>
          <w:szCs w:val="20"/>
          <w:lang w:val="es-MX"/>
        </w:rPr>
      </w:pPr>
    </w:p>
    <w:p w:rsidR="00E628B4" w:rsidRPr="00463F25" w:rsidRDefault="00E628B4" w:rsidP="00463F25">
      <w:pPr>
        <w:ind w:left="284" w:right="426" w:firstLine="283"/>
        <w:jc w:val="both"/>
        <w:rPr>
          <w:rFonts w:ascii="Arial" w:hAnsi="Arial" w:cs="Arial"/>
          <w:i/>
          <w:sz w:val="20"/>
          <w:szCs w:val="20"/>
          <w:lang w:val="es-MX"/>
        </w:rPr>
      </w:pPr>
      <w:r w:rsidRPr="00463F25">
        <w:rPr>
          <w:rFonts w:ascii="Arial" w:hAnsi="Arial" w:cs="Arial"/>
          <w:i/>
          <w:sz w:val="20"/>
          <w:szCs w:val="20"/>
          <w:lang w:val="es-MX"/>
        </w:rPr>
        <w:t>Se proyecta cerrar el ejercicio fiscal 2021 con un presupuesto balanceado y una recaudación de $38,303 millones de pesos, excluyendo los recursos por venta de bienes y servicios y cuotas de aportación de seguridad social.</w:t>
      </w:r>
    </w:p>
    <w:p w:rsidR="00E628B4" w:rsidRDefault="00E628B4" w:rsidP="00E628B4">
      <w:pPr>
        <w:spacing w:line="360" w:lineRule="auto"/>
        <w:ind w:firstLine="709"/>
        <w:jc w:val="both"/>
        <w:rPr>
          <w:rFonts w:ascii="Arial" w:hAnsi="Arial" w:cs="Arial"/>
          <w:lang w:val="es-MX"/>
        </w:rPr>
      </w:pPr>
    </w:p>
    <w:p w:rsidR="00463F25" w:rsidRPr="00463F25" w:rsidRDefault="00463F25" w:rsidP="00463F25">
      <w:pPr>
        <w:pStyle w:val="NormalWeb"/>
        <w:spacing w:before="0" w:beforeAutospacing="0" w:after="0" w:afterAutospacing="0"/>
        <w:ind w:left="284" w:right="426" w:firstLine="283"/>
        <w:jc w:val="both"/>
        <w:rPr>
          <w:i/>
          <w:sz w:val="20"/>
          <w:szCs w:val="20"/>
          <w:lang w:val="es-MX"/>
        </w:rPr>
      </w:pPr>
      <w:r w:rsidRPr="00463F25">
        <w:rPr>
          <w:i/>
          <w:sz w:val="20"/>
          <w:szCs w:val="20"/>
          <w:lang w:val="es-MX"/>
        </w:rPr>
        <w:t>….”</w:t>
      </w:r>
    </w:p>
    <w:p w:rsidR="00E628B4" w:rsidRPr="005E6466" w:rsidRDefault="00E628B4" w:rsidP="00E628B4">
      <w:pPr>
        <w:spacing w:line="360" w:lineRule="auto"/>
        <w:ind w:firstLine="709"/>
        <w:jc w:val="both"/>
        <w:rPr>
          <w:rFonts w:ascii="Arial" w:eastAsia="Calibri" w:hAnsi="Arial" w:cs="Arial"/>
          <w:lang w:val="es-MX" w:eastAsia="en-US"/>
        </w:rPr>
      </w:pPr>
    </w:p>
    <w:p w:rsidR="007E7A3B" w:rsidRPr="005E6466" w:rsidRDefault="00337909" w:rsidP="008A1C9A">
      <w:pPr>
        <w:pStyle w:val="NormalWeb"/>
        <w:spacing w:before="0" w:beforeAutospacing="0" w:after="0" w:afterAutospacing="0" w:line="360" w:lineRule="auto"/>
        <w:ind w:firstLine="709"/>
        <w:jc w:val="both"/>
        <w:rPr>
          <w:lang w:val="es-MX"/>
        </w:rPr>
      </w:pPr>
      <w:r w:rsidRPr="005E6466">
        <w:rPr>
          <w:b/>
          <w:lang w:val="es-MX"/>
        </w:rPr>
        <w:t xml:space="preserve">SEGUNDO. </w:t>
      </w:r>
      <w:r w:rsidRPr="005E6466">
        <w:rPr>
          <w:lang w:val="es-MX"/>
        </w:rPr>
        <w:t>Como se hizo referencia, en sesión</w:t>
      </w:r>
      <w:r w:rsidR="00781DAB" w:rsidRPr="005E6466">
        <w:rPr>
          <w:lang w:val="es-MX"/>
        </w:rPr>
        <w:t xml:space="preserve"> ordinaria de </w:t>
      </w:r>
      <w:r w:rsidRPr="005E6466">
        <w:rPr>
          <w:lang w:val="es-MX"/>
        </w:rPr>
        <w:t xml:space="preserve">fecha </w:t>
      </w:r>
      <w:r w:rsidR="00E628B4">
        <w:rPr>
          <w:lang w:val="es-MX"/>
        </w:rPr>
        <w:t>30</w:t>
      </w:r>
      <w:r w:rsidRPr="005E6466">
        <w:rPr>
          <w:lang w:val="es-MX"/>
        </w:rPr>
        <w:t xml:space="preserve"> de </w:t>
      </w:r>
      <w:r w:rsidR="00781DAB" w:rsidRPr="005E6466">
        <w:rPr>
          <w:lang w:val="es-MX"/>
        </w:rPr>
        <w:t xml:space="preserve">noviembre </w:t>
      </w:r>
      <w:r w:rsidRPr="005E6466">
        <w:rPr>
          <w:lang w:val="es-MX"/>
        </w:rPr>
        <w:t>del año en curso, se turnó la iniciativa antes citad</w:t>
      </w:r>
      <w:r w:rsidR="00891E48">
        <w:rPr>
          <w:lang w:val="es-MX"/>
        </w:rPr>
        <w:t>a a esta C</w:t>
      </w:r>
      <w:r w:rsidR="00163EEE" w:rsidRPr="005E6466">
        <w:rPr>
          <w:lang w:val="es-MX"/>
        </w:rPr>
        <w:t>omisión dictaminadora</w:t>
      </w:r>
      <w:r w:rsidRPr="005E6466">
        <w:rPr>
          <w:lang w:val="es-MX"/>
        </w:rPr>
        <w:t>; posteriormente</w:t>
      </w:r>
      <w:r w:rsidR="00E628B4">
        <w:rPr>
          <w:lang w:val="es-MX"/>
        </w:rPr>
        <w:t xml:space="preserve"> el 1</w:t>
      </w:r>
      <w:r w:rsidR="0033169C" w:rsidRPr="005E6466">
        <w:rPr>
          <w:lang w:val="es-MX"/>
        </w:rPr>
        <w:t xml:space="preserve"> de </w:t>
      </w:r>
      <w:r w:rsidR="00E628B4">
        <w:rPr>
          <w:lang w:val="es-MX"/>
        </w:rPr>
        <w:t>diciembre</w:t>
      </w:r>
      <w:r w:rsidR="0033169C" w:rsidRPr="005E6466">
        <w:rPr>
          <w:lang w:val="es-MX"/>
        </w:rPr>
        <w:t xml:space="preserve"> del año en curso, fue </w:t>
      </w:r>
      <w:r w:rsidR="00E628B4">
        <w:rPr>
          <w:lang w:val="es-MX"/>
        </w:rPr>
        <w:t>distribuido</w:t>
      </w:r>
      <w:r w:rsidR="0033169C" w:rsidRPr="005E6466">
        <w:rPr>
          <w:lang w:val="es-MX"/>
        </w:rPr>
        <w:t xml:space="preserve"> a </w:t>
      </w:r>
      <w:r w:rsidR="00EB3CEC" w:rsidRPr="005E6466">
        <w:t>l</w:t>
      </w:r>
      <w:r w:rsidR="00EB3CEC" w:rsidRPr="005E6466">
        <w:rPr>
          <w:lang w:val="es-MX"/>
        </w:rPr>
        <w:t xml:space="preserve">as diputadas y diputados </w:t>
      </w:r>
      <w:r w:rsidR="00F17EE6" w:rsidRPr="005E6466">
        <w:rPr>
          <w:lang w:val="es-MX"/>
        </w:rPr>
        <w:t xml:space="preserve">integrantes de esta </w:t>
      </w:r>
      <w:r w:rsidR="00D9166C">
        <w:rPr>
          <w:lang w:val="es-MX"/>
        </w:rPr>
        <w:t>C</w:t>
      </w:r>
      <w:r w:rsidR="00F17EE6" w:rsidRPr="005E6466">
        <w:rPr>
          <w:lang w:val="es-MX"/>
        </w:rPr>
        <w:t xml:space="preserve">omisión para su debido análisis, estudio y dictamen respectivo. </w:t>
      </w:r>
    </w:p>
    <w:p w:rsidR="007E7A3B" w:rsidRPr="005E6466" w:rsidRDefault="007E7A3B" w:rsidP="007E7A3B">
      <w:pPr>
        <w:pStyle w:val="NormalWeb"/>
        <w:spacing w:before="0" w:beforeAutospacing="0" w:after="0" w:afterAutospacing="0" w:line="360" w:lineRule="auto"/>
        <w:ind w:firstLine="708"/>
        <w:jc w:val="both"/>
        <w:rPr>
          <w:lang w:val="es-MX"/>
        </w:rPr>
      </w:pPr>
    </w:p>
    <w:p w:rsidR="007E7A3B" w:rsidRPr="005E6466" w:rsidRDefault="007E7A3B" w:rsidP="007E7A3B">
      <w:pPr>
        <w:pStyle w:val="NormalWeb"/>
        <w:spacing w:before="0" w:beforeAutospacing="0" w:after="0" w:afterAutospacing="0" w:line="360" w:lineRule="auto"/>
        <w:ind w:firstLine="708"/>
        <w:jc w:val="both"/>
        <w:rPr>
          <w:color w:val="000000"/>
          <w:shd w:val="clear" w:color="auto" w:fill="FFFFFF"/>
        </w:rPr>
      </w:pPr>
      <w:r w:rsidRPr="00FB2823">
        <w:rPr>
          <w:b/>
          <w:lang w:val="es-MX"/>
        </w:rPr>
        <w:lastRenderedPageBreak/>
        <w:t>TERCERO</w:t>
      </w:r>
      <w:r w:rsidRPr="00FB2823">
        <w:rPr>
          <w:b/>
        </w:rPr>
        <w:t>.</w:t>
      </w:r>
      <w:r w:rsidRPr="00FB2823">
        <w:rPr>
          <w:color w:val="000000"/>
          <w:shd w:val="clear" w:color="auto" w:fill="FFFFFF"/>
        </w:rPr>
        <w:t xml:space="preserve"> Es preciso mencionar, que el </w:t>
      </w:r>
      <w:r w:rsidR="004A6631" w:rsidRPr="00FB2823">
        <w:rPr>
          <w:color w:val="000000"/>
          <w:shd w:val="clear" w:color="auto" w:fill="FFFFFF"/>
        </w:rPr>
        <w:t>1</w:t>
      </w:r>
      <w:r w:rsidRPr="00FB2823">
        <w:rPr>
          <w:color w:val="000000"/>
          <w:shd w:val="clear" w:color="auto" w:fill="FFFFFF"/>
        </w:rPr>
        <w:t xml:space="preserve"> de </w:t>
      </w:r>
      <w:r w:rsidR="004A6631" w:rsidRPr="00FB2823">
        <w:rPr>
          <w:color w:val="000000"/>
          <w:shd w:val="clear" w:color="auto" w:fill="FFFFFF"/>
        </w:rPr>
        <w:t>diciembre</w:t>
      </w:r>
      <w:r w:rsidRPr="00FB2823">
        <w:rPr>
          <w:color w:val="000000"/>
          <w:shd w:val="clear" w:color="auto" w:fill="FFFFFF"/>
        </w:rPr>
        <w:t xml:space="preserve"> del año en curso, como parte de la implementación del </w:t>
      </w:r>
      <w:r w:rsidR="00734B74" w:rsidRPr="00FB2823">
        <w:rPr>
          <w:color w:val="000000"/>
          <w:shd w:val="clear" w:color="auto" w:fill="FFFFFF"/>
        </w:rPr>
        <w:t>p</w:t>
      </w:r>
      <w:r w:rsidRPr="00FB2823">
        <w:rPr>
          <w:color w:val="000000"/>
          <w:shd w:val="clear" w:color="auto" w:fill="FFFFFF"/>
        </w:rPr>
        <w:t xml:space="preserve">arlamento </w:t>
      </w:r>
      <w:r w:rsidR="00734B74" w:rsidRPr="00FB2823">
        <w:rPr>
          <w:color w:val="000000"/>
          <w:shd w:val="clear" w:color="auto" w:fill="FFFFFF"/>
        </w:rPr>
        <w:t>a</w:t>
      </w:r>
      <w:r w:rsidRPr="00FB2823">
        <w:rPr>
          <w:color w:val="000000"/>
          <w:shd w:val="clear" w:color="auto" w:fill="FFFFFF"/>
        </w:rPr>
        <w:t xml:space="preserve">bierto, se solicitó </w:t>
      </w:r>
      <w:r w:rsidR="00FB2823" w:rsidRPr="00FB2823">
        <w:rPr>
          <w:color w:val="000000"/>
          <w:shd w:val="clear" w:color="auto" w:fill="FFFFFF"/>
        </w:rPr>
        <w:t>subir</w:t>
      </w:r>
      <w:r w:rsidR="007C7FDD" w:rsidRPr="00FB2823">
        <w:rPr>
          <w:color w:val="000000"/>
          <w:shd w:val="clear" w:color="auto" w:fill="FFFFFF"/>
        </w:rPr>
        <w:t xml:space="preserve"> en la página web de este c</w:t>
      </w:r>
      <w:r w:rsidRPr="00FB2823">
        <w:rPr>
          <w:color w:val="000000"/>
          <w:shd w:val="clear" w:color="auto" w:fill="FFFFFF"/>
        </w:rPr>
        <w:t>ongreso estatal</w:t>
      </w:r>
      <w:r w:rsidR="00FB2823" w:rsidRPr="00FB2823">
        <w:rPr>
          <w:color w:val="000000"/>
          <w:shd w:val="clear" w:color="auto" w:fill="FFFFFF"/>
        </w:rPr>
        <w:t xml:space="preserve"> todo lo concerniente al paquete fiscal estatal correspondiente al ejercicio fiscal 2022</w:t>
      </w:r>
      <w:r w:rsidRPr="00FB2823">
        <w:rPr>
          <w:color w:val="000000"/>
          <w:shd w:val="clear" w:color="auto" w:fill="FFFFFF"/>
        </w:rPr>
        <w:t xml:space="preserve">, </w:t>
      </w:r>
      <w:r w:rsidR="00FB2823">
        <w:rPr>
          <w:color w:val="000000"/>
          <w:shd w:val="clear" w:color="auto" w:fill="FFFFFF"/>
        </w:rPr>
        <w:t>para que</w:t>
      </w:r>
      <w:r w:rsidRPr="00FB2823">
        <w:rPr>
          <w:color w:val="000000"/>
          <w:shd w:val="clear" w:color="auto" w:fill="FFFFFF"/>
        </w:rPr>
        <w:t xml:space="preserve"> </w:t>
      </w:r>
      <w:r w:rsidR="00891E48">
        <w:rPr>
          <w:color w:val="000000"/>
          <w:shd w:val="clear" w:color="auto" w:fill="FFFFFF"/>
        </w:rPr>
        <w:t>esté</w:t>
      </w:r>
      <w:r w:rsidRPr="00FB2823">
        <w:rPr>
          <w:color w:val="000000"/>
          <w:shd w:val="clear" w:color="auto" w:fill="FFFFFF"/>
        </w:rPr>
        <w:t xml:space="preserve"> </w:t>
      </w:r>
      <w:r w:rsidR="00891E48">
        <w:rPr>
          <w:color w:val="000000"/>
          <w:shd w:val="clear" w:color="auto" w:fill="FFFFFF"/>
        </w:rPr>
        <w:t>a</w:t>
      </w:r>
      <w:r w:rsidRPr="00FB2823">
        <w:rPr>
          <w:color w:val="000000"/>
          <w:shd w:val="clear" w:color="auto" w:fill="FFFFFF"/>
        </w:rPr>
        <w:t xml:space="preserve"> disposición de la ciudadanía yucateca.</w:t>
      </w:r>
    </w:p>
    <w:p w:rsidR="007612E5" w:rsidRPr="005E6466" w:rsidRDefault="007612E5" w:rsidP="007E7A3B">
      <w:pPr>
        <w:pStyle w:val="NormalWeb"/>
        <w:spacing w:before="0" w:beforeAutospacing="0" w:after="0" w:afterAutospacing="0" w:line="360" w:lineRule="auto"/>
        <w:ind w:firstLine="708"/>
        <w:jc w:val="both"/>
        <w:rPr>
          <w:color w:val="000000"/>
          <w:shd w:val="clear" w:color="auto" w:fill="FFFFFF"/>
        </w:rPr>
      </w:pPr>
    </w:p>
    <w:p w:rsidR="00206E62" w:rsidRPr="005E6466" w:rsidRDefault="00C540A4" w:rsidP="002F3F05">
      <w:pPr>
        <w:pStyle w:val="NormalWeb"/>
        <w:spacing w:before="0" w:beforeAutospacing="0" w:after="0" w:afterAutospacing="0" w:line="360" w:lineRule="auto"/>
        <w:ind w:firstLine="709"/>
        <w:jc w:val="both"/>
        <w:rPr>
          <w:color w:val="000000"/>
          <w:shd w:val="clear" w:color="auto" w:fill="FFFFFF"/>
        </w:rPr>
      </w:pPr>
      <w:r w:rsidRPr="00FB2823">
        <w:rPr>
          <w:b/>
          <w:color w:val="000000"/>
          <w:shd w:val="clear" w:color="auto" w:fill="FFFFFF"/>
        </w:rPr>
        <w:t>CUARTO.</w:t>
      </w:r>
      <w:r w:rsidRPr="00FB2823">
        <w:rPr>
          <w:color w:val="000000"/>
          <w:shd w:val="clear" w:color="auto" w:fill="FFFFFF"/>
        </w:rPr>
        <w:t xml:space="preserve"> </w:t>
      </w:r>
      <w:r w:rsidR="00206E62" w:rsidRPr="00FB2823">
        <w:rPr>
          <w:color w:val="000000"/>
          <w:shd w:val="clear" w:color="auto" w:fill="FFFFFF"/>
        </w:rPr>
        <w:t>De igual forma, y de común acuerdo e</w:t>
      </w:r>
      <w:r w:rsidR="00891E48">
        <w:rPr>
          <w:color w:val="000000"/>
          <w:shd w:val="clear" w:color="auto" w:fill="FFFFFF"/>
        </w:rPr>
        <w:t>ntre los que integramos esta Comisión P</w:t>
      </w:r>
      <w:r w:rsidR="00206E62" w:rsidRPr="00FB2823">
        <w:rPr>
          <w:color w:val="000000"/>
          <w:shd w:val="clear" w:color="auto" w:fill="FFFFFF"/>
        </w:rPr>
        <w:t xml:space="preserve">ermanente, coincidimos en invitar a </w:t>
      </w:r>
      <w:r w:rsidR="00891E48">
        <w:rPr>
          <w:color w:val="000000"/>
          <w:shd w:val="clear" w:color="auto" w:fill="FFFFFF"/>
        </w:rPr>
        <w:t>participar</w:t>
      </w:r>
      <w:r w:rsidR="00206E62" w:rsidRPr="00FB2823">
        <w:rPr>
          <w:color w:val="000000"/>
          <w:shd w:val="clear" w:color="auto" w:fill="FFFFFF"/>
        </w:rPr>
        <w:t xml:space="preserve"> a diversos funcionarios del Estado, </w:t>
      </w:r>
      <w:r w:rsidR="00891E48">
        <w:rPr>
          <w:color w:val="000000"/>
          <w:shd w:val="clear" w:color="auto" w:fill="FFFFFF"/>
        </w:rPr>
        <w:t xml:space="preserve">en una reunión de trabajo a efecto de ahondar, aclarar y en su caso dilucidar sobre </w:t>
      </w:r>
      <w:proofErr w:type="gramStart"/>
      <w:r w:rsidR="00891E48">
        <w:rPr>
          <w:color w:val="000000"/>
          <w:shd w:val="clear" w:color="auto" w:fill="FFFFFF"/>
        </w:rPr>
        <w:t>algunas temas</w:t>
      </w:r>
      <w:proofErr w:type="gramEnd"/>
      <w:r w:rsidR="00891E48">
        <w:rPr>
          <w:color w:val="000000"/>
          <w:shd w:val="clear" w:color="auto" w:fill="FFFFFF"/>
        </w:rPr>
        <w:t xml:space="preserve"> </w:t>
      </w:r>
      <w:r w:rsidR="00206E62" w:rsidRPr="00FB2823">
        <w:rPr>
          <w:color w:val="000000"/>
          <w:shd w:val="clear" w:color="auto" w:fill="FFFFFF"/>
        </w:rPr>
        <w:t>con respecto al anál</w:t>
      </w:r>
      <w:r w:rsidR="00891E48">
        <w:rPr>
          <w:color w:val="000000"/>
          <w:shd w:val="clear" w:color="auto" w:fill="FFFFFF"/>
        </w:rPr>
        <w:t>isis del paquete fiscal estatal;</w:t>
      </w:r>
      <w:r w:rsidR="00206E62" w:rsidRPr="00FB2823">
        <w:rPr>
          <w:color w:val="000000"/>
          <w:shd w:val="clear" w:color="auto" w:fill="FFFFFF"/>
        </w:rPr>
        <w:t xml:space="preserve"> en ese sentido el día </w:t>
      </w:r>
      <w:r w:rsidR="004A6631" w:rsidRPr="00FB2823">
        <w:rPr>
          <w:color w:val="000000"/>
          <w:shd w:val="clear" w:color="auto" w:fill="FFFFFF"/>
        </w:rPr>
        <w:t>domingo 5</w:t>
      </w:r>
      <w:r w:rsidR="00206E62" w:rsidRPr="00FB2823">
        <w:rPr>
          <w:color w:val="000000"/>
          <w:shd w:val="clear" w:color="auto" w:fill="FFFFFF"/>
        </w:rPr>
        <w:t xml:space="preserve"> de diciembre del año en curso, se llevó a cabo la </w:t>
      </w:r>
      <w:r w:rsidR="00891E48">
        <w:rPr>
          <w:color w:val="000000"/>
          <w:shd w:val="clear" w:color="auto" w:fill="FFFFFF"/>
        </w:rPr>
        <w:t xml:space="preserve">reunión de trabajo con </w:t>
      </w:r>
      <w:r w:rsidR="00206E62" w:rsidRPr="00FB2823">
        <w:rPr>
          <w:color w:val="000000"/>
          <w:shd w:val="clear" w:color="auto" w:fill="FFFFFF"/>
        </w:rPr>
        <w:t>los funcionarios estatales</w:t>
      </w:r>
      <w:r w:rsidR="003C7808">
        <w:rPr>
          <w:color w:val="000000"/>
          <w:shd w:val="clear" w:color="auto" w:fill="FFFFFF"/>
        </w:rPr>
        <w:t>,</w:t>
      </w:r>
      <w:r w:rsidR="003C7808" w:rsidRPr="003C7808">
        <w:rPr>
          <w:color w:val="000000"/>
          <w:shd w:val="clear" w:color="auto" w:fill="FFFFFF"/>
        </w:rPr>
        <w:t xml:space="preserve"> </w:t>
      </w:r>
      <w:r w:rsidR="003C7808">
        <w:rPr>
          <w:color w:val="000000"/>
          <w:shd w:val="clear" w:color="auto" w:fill="FFFFFF"/>
        </w:rPr>
        <w:t xml:space="preserve">la </w:t>
      </w:r>
      <w:proofErr w:type="spellStart"/>
      <w:r w:rsidR="003C7808" w:rsidRPr="005E6466">
        <w:rPr>
          <w:color w:val="000000"/>
          <w:shd w:val="clear" w:color="auto" w:fill="FFFFFF"/>
        </w:rPr>
        <w:t>Abog</w:t>
      </w:r>
      <w:proofErr w:type="spellEnd"/>
      <w:r w:rsidR="003C7808" w:rsidRPr="005E6466">
        <w:rPr>
          <w:color w:val="000000"/>
          <w:shd w:val="clear" w:color="auto" w:fill="FFFFFF"/>
        </w:rPr>
        <w:t>. María Dolores Fritz Sierra</w:t>
      </w:r>
      <w:r w:rsidR="003C7808">
        <w:rPr>
          <w:color w:val="000000"/>
          <w:shd w:val="clear" w:color="auto" w:fill="FFFFFF"/>
        </w:rPr>
        <w:t xml:space="preserve">, </w:t>
      </w:r>
      <w:r w:rsidR="00C100C0" w:rsidRPr="005E6466">
        <w:rPr>
          <w:color w:val="000000"/>
          <w:shd w:val="clear" w:color="auto" w:fill="FFFFFF"/>
        </w:rPr>
        <w:t>Secretaría General de Gobierno</w:t>
      </w:r>
      <w:r w:rsidR="00307F91">
        <w:rPr>
          <w:color w:val="000000"/>
          <w:shd w:val="clear" w:color="auto" w:fill="FFFFFF"/>
        </w:rPr>
        <w:t>;</w:t>
      </w:r>
      <w:r w:rsidR="00C100C0" w:rsidRPr="005E6466">
        <w:rPr>
          <w:color w:val="000000"/>
          <w:shd w:val="clear" w:color="auto" w:fill="FFFFFF"/>
        </w:rPr>
        <w:t xml:space="preserve"> </w:t>
      </w:r>
      <w:r w:rsidR="003C7808">
        <w:rPr>
          <w:color w:val="000000"/>
          <w:shd w:val="clear" w:color="auto" w:fill="FFFFFF"/>
        </w:rPr>
        <w:t xml:space="preserve">la </w:t>
      </w:r>
      <w:r w:rsidR="003C7808" w:rsidRPr="00FB2823">
        <w:rPr>
          <w:color w:val="000000"/>
          <w:shd w:val="clear" w:color="auto" w:fill="FFFFFF"/>
        </w:rPr>
        <w:t>Mtra. Olga Rosas Moya</w:t>
      </w:r>
      <w:r w:rsidR="003C7808">
        <w:rPr>
          <w:color w:val="000000"/>
          <w:shd w:val="clear" w:color="auto" w:fill="FFFFFF"/>
        </w:rPr>
        <w:t>,</w:t>
      </w:r>
      <w:r w:rsidR="00206E62" w:rsidRPr="00FB2823">
        <w:rPr>
          <w:color w:val="000000"/>
          <w:shd w:val="clear" w:color="auto" w:fill="FFFFFF"/>
        </w:rPr>
        <w:t xml:space="preserve"> Secretaría de Administración y </w:t>
      </w:r>
      <w:r w:rsidR="00FB2823" w:rsidRPr="00FB2823">
        <w:rPr>
          <w:color w:val="000000"/>
          <w:shd w:val="clear" w:color="auto" w:fill="FFFFFF"/>
        </w:rPr>
        <w:t xml:space="preserve">Finanzas y </w:t>
      </w:r>
      <w:r w:rsidR="003C7808">
        <w:rPr>
          <w:color w:val="000000"/>
          <w:shd w:val="clear" w:color="auto" w:fill="FFFFFF"/>
        </w:rPr>
        <w:t xml:space="preserve">el </w:t>
      </w:r>
      <w:r w:rsidR="003C7808" w:rsidRPr="00FB2823">
        <w:rPr>
          <w:color w:val="000000"/>
          <w:shd w:val="clear" w:color="auto" w:fill="FFFFFF"/>
        </w:rPr>
        <w:t xml:space="preserve">C.P. Juan Carlos </w:t>
      </w:r>
      <w:proofErr w:type="spellStart"/>
      <w:r w:rsidR="003C7808" w:rsidRPr="00FB2823">
        <w:rPr>
          <w:color w:val="000000"/>
          <w:shd w:val="clear" w:color="auto" w:fill="FFFFFF"/>
        </w:rPr>
        <w:t>Rosel</w:t>
      </w:r>
      <w:proofErr w:type="spellEnd"/>
      <w:r w:rsidR="003C7808" w:rsidRPr="00FB2823">
        <w:rPr>
          <w:color w:val="000000"/>
          <w:shd w:val="clear" w:color="auto" w:fill="FFFFFF"/>
        </w:rPr>
        <w:t xml:space="preserve"> Flores </w:t>
      </w:r>
      <w:r w:rsidR="00206E62" w:rsidRPr="00FB2823">
        <w:rPr>
          <w:color w:val="000000"/>
          <w:shd w:val="clear" w:color="auto" w:fill="FFFFFF"/>
        </w:rPr>
        <w:t>de la Agencia de Administración Fiscal de Yucatán</w:t>
      </w:r>
      <w:r w:rsidR="00206E62" w:rsidRPr="00FB2823">
        <w:rPr>
          <w:bCs/>
          <w:color w:val="000000"/>
        </w:rPr>
        <w:t xml:space="preserve">, </w:t>
      </w:r>
      <w:r w:rsidR="00206E62" w:rsidRPr="00FB2823">
        <w:rPr>
          <w:color w:val="000000"/>
          <w:shd w:val="clear" w:color="auto" w:fill="FFFFFF"/>
        </w:rPr>
        <w:t>quienes de manera puntual tuvieron a bien expo</w:t>
      </w:r>
      <w:r w:rsidR="00891E48">
        <w:rPr>
          <w:color w:val="000000"/>
          <w:shd w:val="clear" w:color="auto" w:fill="FFFFFF"/>
        </w:rPr>
        <w:t>ner lo conducente; así como de aclarar</w:t>
      </w:r>
      <w:r w:rsidR="00206E62" w:rsidRPr="00FB2823">
        <w:rPr>
          <w:color w:val="000000"/>
          <w:shd w:val="clear" w:color="auto" w:fill="FFFFFF"/>
        </w:rPr>
        <w:t xml:space="preserve"> las dudas generadas por l</w:t>
      </w:r>
      <w:r w:rsidR="00206E62" w:rsidRPr="00FB2823">
        <w:rPr>
          <w:lang w:val="es-MX"/>
        </w:rPr>
        <w:t>as diputadas y diputados</w:t>
      </w:r>
      <w:r w:rsidR="00206E62" w:rsidRPr="00FB2823">
        <w:rPr>
          <w:color w:val="000000"/>
          <w:shd w:val="clear" w:color="auto" w:fill="FFFFFF"/>
        </w:rPr>
        <w:t>.</w:t>
      </w:r>
    </w:p>
    <w:p w:rsidR="00E83B4B" w:rsidRPr="005E6466" w:rsidRDefault="00E83B4B" w:rsidP="00E83B4B">
      <w:pPr>
        <w:pStyle w:val="NormalWeb"/>
        <w:spacing w:before="0" w:beforeAutospacing="0" w:after="0" w:afterAutospacing="0" w:line="360" w:lineRule="auto"/>
        <w:ind w:firstLine="708"/>
        <w:jc w:val="both"/>
      </w:pPr>
    </w:p>
    <w:p w:rsidR="00337909" w:rsidRPr="005E6466" w:rsidRDefault="00337909" w:rsidP="000A069E">
      <w:pPr>
        <w:spacing w:line="360" w:lineRule="auto"/>
        <w:ind w:firstLine="708"/>
        <w:jc w:val="both"/>
        <w:rPr>
          <w:rFonts w:ascii="Arial" w:hAnsi="Arial" w:cs="Arial"/>
          <w:lang w:val="es-MX"/>
        </w:rPr>
      </w:pPr>
      <w:r w:rsidRPr="005E6466">
        <w:rPr>
          <w:rFonts w:ascii="Arial" w:hAnsi="Arial" w:cs="Arial"/>
          <w:lang w:val="es-MX"/>
        </w:rPr>
        <w:t>Con base en los antecedentes mencion</w:t>
      </w:r>
      <w:r w:rsidR="00F67474" w:rsidRPr="005E6466">
        <w:rPr>
          <w:rFonts w:ascii="Arial" w:hAnsi="Arial" w:cs="Arial"/>
          <w:lang w:val="es-MX"/>
        </w:rPr>
        <w:t xml:space="preserve">ados, </w:t>
      </w:r>
      <w:r w:rsidR="00EB3CEC" w:rsidRPr="005E6466">
        <w:rPr>
          <w:rFonts w:ascii="Arial" w:hAnsi="Arial" w:cs="Arial"/>
        </w:rPr>
        <w:t>l</w:t>
      </w:r>
      <w:r w:rsidR="00EB3CEC" w:rsidRPr="005E6466">
        <w:rPr>
          <w:rFonts w:ascii="Arial" w:hAnsi="Arial" w:cs="Arial"/>
          <w:lang w:val="es-MX"/>
        </w:rPr>
        <w:t xml:space="preserve">as diputadas y diputados </w:t>
      </w:r>
      <w:r w:rsidR="00F67474" w:rsidRPr="005E6466">
        <w:rPr>
          <w:rFonts w:ascii="Arial" w:hAnsi="Arial" w:cs="Arial"/>
          <w:lang w:val="es-MX"/>
        </w:rPr>
        <w:t xml:space="preserve">integrantes </w:t>
      </w:r>
      <w:r w:rsidRPr="005E6466">
        <w:rPr>
          <w:rFonts w:ascii="Arial" w:hAnsi="Arial" w:cs="Arial"/>
          <w:lang w:val="es-MX"/>
        </w:rPr>
        <w:t>de esta comisión permanente, realizamos la</w:t>
      </w:r>
      <w:r w:rsidR="007C7363" w:rsidRPr="005E6466">
        <w:rPr>
          <w:rFonts w:ascii="Arial" w:hAnsi="Arial" w:cs="Arial"/>
          <w:lang w:val="es-MX"/>
        </w:rPr>
        <w:t xml:space="preserve"> siguiente,</w:t>
      </w:r>
    </w:p>
    <w:p w:rsidR="00FB2823" w:rsidRDefault="00FB2823"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 xml:space="preserve">E X P O S I C I Ó </w:t>
      </w:r>
      <w:proofErr w:type="gramStart"/>
      <w:r w:rsidRPr="005E6466">
        <w:rPr>
          <w:rFonts w:ascii="Arial" w:hAnsi="Arial" w:cs="Arial"/>
          <w:b/>
          <w:lang w:val="es-MX"/>
        </w:rPr>
        <w:t>N  D</w:t>
      </w:r>
      <w:proofErr w:type="gramEnd"/>
      <w:r w:rsidRPr="005E6466">
        <w:rPr>
          <w:rFonts w:ascii="Arial" w:hAnsi="Arial" w:cs="Arial"/>
          <w:b/>
          <w:lang w:val="es-MX"/>
        </w:rPr>
        <w:t xml:space="preserve"> E  </w:t>
      </w:r>
      <w:r w:rsidR="000E110F">
        <w:rPr>
          <w:rFonts w:ascii="Arial" w:hAnsi="Arial" w:cs="Arial"/>
          <w:b/>
          <w:lang w:val="es-MX"/>
        </w:rPr>
        <w:t xml:space="preserve"> </w:t>
      </w:r>
      <w:r w:rsidRPr="005E6466">
        <w:rPr>
          <w:rFonts w:ascii="Arial" w:hAnsi="Arial" w:cs="Arial"/>
          <w:b/>
          <w:lang w:val="es-MX"/>
        </w:rPr>
        <w:t>M O T I V O S</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lastRenderedPageBreak/>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891E48" w:rsidP="00891E48">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00337909" w:rsidRPr="005E6466">
        <w:rPr>
          <w:rFonts w:ascii="Arial" w:hAnsi="Arial" w:cs="Arial"/>
          <w:lang w:val="es-MX"/>
        </w:rPr>
        <w:t xml:space="preserve">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00337909"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Pr>
          <w:rFonts w:ascii="Arial" w:hAnsi="Arial" w:cs="Arial"/>
          <w:lang w:val="es-MX"/>
        </w:rPr>
        <w:t xml:space="preserve"> de la Carta M</w:t>
      </w:r>
      <w:r w:rsidR="00337909" w:rsidRPr="005E6466">
        <w:rPr>
          <w:rFonts w:ascii="Arial" w:hAnsi="Arial" w:cs="Arial"/>
          <w:lang w:val="es-MX"/>
        </w:rPr>
        <w:t>agna, cuya esencia señala la obligación de todos los mexicanos para contribuir a</w:t>
      </w:r>
      <w:r w:rsidR="00811FD0" w:rsidRPr="005E6466">
        <w:rPr>
          <w:rFonts w:ascii="Arial" w:hAnsi="Arial" w:cs="Arial"/>
          <w:lang w:val="es-MX"/>
        </w:rPr>
        <w:t>l gasto público</w:t>
      </w:r>
      <w:r w:rsidR="00337909"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11574A">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w:t>
      </w:r>
      <w:r w:rsidR="00463F25">
        <w:rPr>
          <w:rFonts w:ascii="Arial" w:hAnsi="Arial" w:cs="Arial"/>
          <w:lang w:val="es-MX"/>
        </w:rPr>
        <w:t>án para el Ejercicio Fiscal 2022</w:t>
      </w:r>
      <w:r w:rsidR="00A86569" w:rsidRPr="005E6466">
        <w:rPr>
          <w:rFonts w:ascii="Arial" w:hAnsi="Arial" w:cs="Arial"/>
          <w:lang w:val="es-MX"/>
        </w:rPr>
        <w:t>,</w:t>
      </w:r>
      <w:r w:rsidR="00A86569" w:rsidRPr="005E6466">
        <w:rPr>
          <w:rFonts w:ascii="Arial" w:hAnsi="Arial" w:cs="Arial"/>
          <w:b/>
          <w:lang w:val="es-MX"/>
        </w:rPr>
        <w:t xml:space="preserve"> </w:t>
      </w:r>
      <w:r w:rsidR="00A86569" w:rsidRPr="005E6466">
        <w:rPr>
          <w:rFonts w:ascii="Arial" w:hAnsi="Arial" w:cs="Arial"/>
        </w:rPr>
        <w:t xml:space="preserve">que se somete a consideración constituye </w:t>
      </w:r>
      <w:r w:rsidR="00E912AB">
        <w:rPr>
          <w:rFonts w:ascii="Arial" w:hAnsi="Arial" w:cs="Arial"/>
        </w:rPr>
        <w:t>un instrumento jurídico que</w:t>
      </w:r>
      <w:r w:rsidR="00A86569" w:rsidRPr="005E6466">
        <w:rPr>
          <w:rFonts w:ascii="Arial" w:hAnsi="Arial" w:cs="Arial"/>
        </w:rPr>
        <w:t xml:space="preserve"> en coordinación con las demás leyes tributarias federales y locales, e</w:t>
      </w:r>
      <w:r w:rsidR="00891E48">
        <w:rPr>
          <w:rFonts w:ascii="Arial" w:hAnsi="Arial" w:cs="Arial"/>
        </w:rPr>
        <w:t>stablece la forma en la que el E</w:t>
      </w:r>
      <w:r w:rsidR="00A86569" w:rsidRPr="005E6466">
        <w:rPr>
          <w:rFonts w:ascii="Arial" w:hAnsi="Arial" w:cs="Arial"/>
        </w:rPr>
        <w:t xml:space="preserve">stado percibirá 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Pr="005E6466" w:rsidRDefault="006F1FC3" w:rsidP="0011574A">
      <w:pPr>
        <w:autoSpaceDN w:val="0"/>
        <w:adjustRightInd w:val="0"/>
        <w:spacing w:line="360" w:lineRule="auto"/>
        <w:ind w:firstLine="708"/>
        <w:jc w:val="both"/>
        <w:rPr>
          <w:rFonts w:ascii="Arial" w:hAnsi="Arial" w:cs="Arial"/>
        </w:rPr>
      </w:pPr>
    </w:p>
    <w:p w:rsidR="00891E48" w:rsidRDefault="00E912AB" w:rsidP="00891E48">
      <w:pPr>
        <w:spacing w:line="360" w:lineRule="auto"/>
        <w:ind w:firstLine="708"/>
        <w:jc w:val="both"/>
        <w:rPr>
          <w:rFonts w:ascii="Arial" w:hAnsi="Arial" w:cs="Arial"/>
        </w:rPr>
      </w:pPr>
      <w:r>
        <w:rPr>
          <w:rFonts w:ascii="Arial" w:hAnsi="Arial" w:cs="Arial"/>
        </w:rPr>
        <w:t>En otro orden de ideas,</w:t>
      </w:r>
      <w:r w:rsidR="00614932">
        <w:rPr>
          <w:rFonts w:ascii="Arial" w:hAnsi="Arial" w:cs="Arial"/>
        </w:rPr>
        <w:t xml:space="preserve"> l</w:t>
      </w:r>
      <w:r w:rsidR="0011574A" w:rsidRPr="00D93F7E">
        <w:rPr>
          <w:rFonts w:ascii="Arial" w:hAnsi="Arial" w:cs="Arial"/>
        </w:rPr>
        <w:t xml:space="preserve">a política de ingresos estatales </w:t>
      </w:r>
      <w:r w:rsidR="0011574A">
        <w:rPr>
          <w:rFonts w:ascii="Arial" w:hAnsi="Arial" w:cs="Arial"/>
        </w:rPr>
        <w:t>representa</w:t>
      </w:r>
      <w:r w:rsidR="0011574A" w:rsidRPr="00D93F7E">
        <w:rPr>
          <w:rFonts w:ascii="Arial" w:hAnsi="Arial" w:cs="Arial"/>
        </w:rPr>
        <w:t xml:space="preserve"> un </w:t>
      </w:r>
      <w:r w:rsidR="0011574A">
        <w:rPr>
          <w:rFonts w:ascii="Arial" w:hAnsi="Arial" w:cs="Arial"/>
        </w:rPr>
        <w:t>aspecto</w:t>
      </w:r>
      <w:r w:rsidR="0011574A" w:rsidRPr="00D93F7E">
        <w:rPr>
          <w:rFonts w:ascii="Arial" w:hAnsi="Arial" w:cs="Arial"/>
        </w:rPr>
        <w:t xml:space="preserve"> importante </w:t>
      </w:r>
      <w:r w:rsidR="00206496">
        <w:rPr>
          <w:rFonts w:ascii="Arial" w:hAnsi="Arial" w:cs="Arial"/>
        </w:rPr>
        <w:t>en el contexto del E</w:t>
      </w:r>
      <w:r w:rsidR="0011574A">
        <w:rPr>
          <w:rFonts w:ascii="Arial" w:hAnsi="Arial" w:cs="Arial"/>
        </w:rPr>
        <w:t xml:space="preserve">stado, </w:t>
      </w:r>
      <w:r w:rsidR="0011574A" w:rsidRPr="00D93F7E">
        <w:rPr>
          <w:rFonts w:ascii="Arial" w:hAnsi="Arial" w:cs="Arial"/>
        </w:rPr>
        <w:t xml:space="preserve">principalmente </w:t>
      </w:r>
      <w:r w:rsidR="0011574A">
        <w:rPr>
          <w:rFonts w:ascii="Arial" w:hAnsi="Arial" w:cs="Arial"/>
        </w:rPr>
        <w:t xml:space="preserve">teniendo en consideración </w:t>
      </w:r>
      <w:r w:rsidR="0011574A" w:rsidRPr="00D93F7E">
        <w:rPr>
          <w:rFonts w:ascii="Arial" w:hAnsi="Arial" w:cs="Arial"/>
        </w:rPr>
        <w:t xml:space="preserve">la situación económica, sanitaria y social que </w:t>
      </w:r>
      <w:r w:rsidR="0011574A">
        <w:rPr>
          <w:rFonts w:ascii="Arial" w:hAnsi="Arial" w:cs="Arial"/>
        </w:rPr>
        <w:t>inició</w:t>
      </w:r>
      <w:r w:rsidR="0011574A" w:rsidRPr="00D93F7E">
        <w:rPr>
          <w:rFonts w:ascii="Arial" w:hAnsi="Arial" w:cs="Arial"/>
        </w:rPr>
        <w:t xml:space="preserve"> </w:t>
      </w:r>
      <w:r w:rsidR="0011574A">
        <w:rPr>
          <w:rFonts w:ascii="Arial" w:hAnsi="Arial" w:cs="Arial"/>
        </w:rPr>
        <w:t xml:space="preserve">desde </w:t>
      </w:r>
      <w:r w:rsidR="0011574A" w:rsidRPr="00D93F7E">
        <w:rPr>
          <w:rFonts w:ascii="Arial" w:hAnsi="Arial" w:cs="Arial"/>
        </w:rPr>
        <w:t>el año 20</w:t>
      </w:r>
      <w:r w:rsidR="0011574A">
        <w:rPr>
          <w:rFonts w:ascii="Arial" w:hAnsi="Arial" w:cs="Arial"/>
        </w:rPr>
        <w:t>20</w:t>
      </w:r>
      <w:r w:rsidR="0011574A" w:rsidRPr="00D93F7E">
        <w:rPr>
          <w:rFonts w:ascii="Arial" w:hAnsi="Arial" w:cs="Arial"/>
        </w:rPr>
        <w:t xml:space="preserve"> por la pandemia de </w:t>
      </w:r>
      <w:r w:rsidR="0011574A">
        <w:rPr>
          <w:rFonts w:ascii="Arial" w:hAnsi="Arial" w:cs="Arial"/>
        </w:rPr>
        <w:t xml:space="preserve">la enfermedad </w:t>
      </w:r>
      <w:r w:rsidR="0011574A" w:rsidRPr="00D93F7E">
        <w:rPr>
          <w:rFonts w:ascii="Arial" w:hAnsi="Arial" w:cs="Arial"/>
        </w:rPr>
        <w:t>COVID-19</w:t>
      </w:r>
      <w:r w:rsidR="0011574A">
        <w:rPr>
          <w:rFonts w:ascii="Arial" w:hAnsi="Arial" w:cs="Arial"/>
        </w:rPr>
        <w:t>; e</w:t>
      </w:r>
      <w:r w:rsidR="0011574A" w:rsidRPr="00D93F7E">
        <w:rPr>
          <w:rFonts w:ascii="Arial" w:hAnsi="Arial" w:cs="Arial"/>
        </w:rPr>
        <w:t xml:space="preserve">s por ello que </w:t>
      </w:r>
      <w:r w:rsidR="000E110F">
        <w:rPr>
          <w:rFonts w:ascii="Arial" w:hAnsi="Arial" w:cs="Arial"/>
        </w:rPr>
        <w:t xml:space="preserve">la </w:t>
      </w:r>
      <w:r w:rsidR="0011574A" w:rsidRPr="00D93F7E">
        <w:rPr>
          <w:rFonts w:ascii="Arial" w:hAnsi="Arial" w:cs="Arial"/>
        </w:rPr>
        <w:t xml:space="preserve">administración </w:t>
      </w:r>
      <w:r>
        <w:rPr>
          <w:rFonts w:ascii="Arial" w:hAnsi="Arial" w:cs="Arial"/>
        </w:rPr>
        <w:t>debe estar</w:t>
      </w:r>
      <w:r w:rsidR="0011574A" w:rsidRPr="00D93F7E">
        <w:rPr>
          <w:rFonts w:ascii="Arial" w:hAnsi="Arial" w:cs="Arial"/>
        </w:rPr>
        <w:t xml:space="preserve"> encaminada </w:t>
      </w:r>
      <w:r w:rsidR="000E110F">
        <w:rPr>
          <w:rFonts w:ascii="Arial" w:hAnsi="Arial" w:cs="Arial"/>
        </w:rPr>
        <w:t>a</w:t>
      </w:r>
      <w:r w:rsidR="0011574A" w:rsidRPr="00D93F7E">
        <w:rPr>
          <w:rFonts w:ascii="Arial" w:hAnsi="Arial" w:cs="Arial"/>
        </w:rPr>
        <w:t xml:space="preserve"> fortalecer la recaudación de ingresos propios, así como </w:t>
      </w:r>
      <w:r w:rsidR="0011574A">
        <w:rPr>
          <w:rFonts w:ascii="Arial" w:hAnsi="Arial" w:cs="Arial"/>
        </w:rPr>
        <w:t>a</w:t>
      </w:r>
      <w:r w:rsidR="0011574A" w:rsidRPr="00D93F7E">
        <w:rPr>
          <w:rFonts w:ascii="Arial" w:hAnsi="Arial" w:cs="Arial"/>
        </w:rPr>
        <w:t xml:space="preserve"> implementar políticas fiscales </w:t>
      </w:r>
      <w:r w:rsidR="0011574A">
        <w:rPr>
          <w:rFonts w:ascii="Arial" w:hAnsi="Arial" w:cs="Arial"/>
        </w:rPr>
        <w:t>que se ajusten</w:t>
      </w:r>
      <w:r w:rsidR="0011574A" w:rsidRPr="00D93F7E">
        <w:rPr>
          <w:rFonts w:ascii="Arial" w:hAnsi="Arial" w:cs="Arial"/>
        </w:rPr>
        <w:t xml:space="preserve"> a estos tiempos</w:t>
      </w:r>
      <w:r w:rsidR="0011574A">
        <w:rPr>
          <w:rFonts w:ascii="Arial" w:hAnsi="Arial" w:cs="Arial"/>
        </w:rPr>
        <w:t xml:space="preserve"> y a las necesidades </w:t>
      </w:r>
      <w:r w:rsidR="00891E48">
        <w:rPr>
          <w:rFonts w:ascii="Arial" w:hAnsi="Arial" w:cs="Arial"/>
        </w:rPr>
        <w:t>de la entidad</w:t>
      </w:r>
      <w:r w:rsidR="0011574A">
        <w:rPr>
          <w:rFonts w:ascii="Arial" w:hAnsi="Arial" w:cs="Arial"/>
        </w:rPr>
        <w:t>.</w:t>
      </w:r>
    </w:p>
    <w:p w:rsidR="00891E48" w:rsidRDefault="00891E48" w:rsidP="00891E48">
      <w:pPr>
        <w:spacing w:line="360" w:lineRule="auto"/>
        <w:ind w:firstLine="708"/>
        <w:jc w:val="both"/>
        <w:rPr>
          <w:rFonts w:ascii="Arial" w:hAnsi="Arial" w:cs="Arial"/>
        </w:rPr>
      </w:pPr>
    </w:p>
    <w:p w:rsidR="0011574A" w:rsidRPr="00E00D2B" w:rsidRDefault="000E110F" w:rsidP="00891E48">
      <w:pPr>
        <w:spacing w:line="360" w:lineRule="auto"/>
        <w:ind w:firstLine="708"/>
        <w:jc w:val="both"/>
        <w:rPr>
          <w:rFonts w:ascii="Arial" w:hAnsi="Arial" w:cs="Arial"/>
        </w:rPr>
      </w:pPr>
      <w:r>
        <w:rPr>
          <w:rFonts w:ascii="Arial" w:hAnsi="Arial" w:cs="Arial"/>
        </w:rPr>
        <w:lastRenderedPageBreak/>
        <w:t>Debido a</w:t>
      </w:r>
      <w:r w:rsidR="0011574A" w:rsidRPr="00D93F7E">
        <w:rPr>
          <w:rFonts w:ascii="Arial" w:hAnsi="Arial" w:cs="Arial"/>
        </w:rPr>
        <w:t xml:space="preserve"> las condiciones </w:t>
      </w:r>
      <w:r w:rsidR="0011574A">
        <w:rPr>
          <w:rFonts w:ascii="Arial" w:hAnsi="Arial" w:cs="Arial"/>
        </w:rPr>
        <w:t>actuales</w:t>
      </w:r>
      <w:r w:rsidR="0011574A" w:rsidRPr="00D93F7E">
        <w:rPr>
          <w:rFonts w:ascii="Arial" w:hAnsi="Arial" w:cs="Arial"/>
        </w:rPr>
        <w:t xml:space="preserve">, la administración tributaria de la entidad </w:t>
      </w:r>
      <w:r w:rsidR="00E912AB" w:rsidRPr="00D93F7E">
        <w:rPr>
          <w:rFonts w:ascii="Arial" w:hAnsi="Arial" w:cs="Arial"/>
        </w:rPr>
        <w:t>prevé</w:t>
      </w:r>
      <w:r w:rsidR="0011574A" w:rsidRPr="00D93F7E">
        <w:rPr>
          <w:rFonts w:ascii="Arial" w:hAnsi="Arial" w:cs="Arial"/>
        </w:rPr>
        <w:t xml:space="preserve">: </w:t>
      </w:r>
      <w:r>
        <w:rPr>
          <w:rFonts w:ascii="Arial" w:hAnsi="Arial" w:cs="Arial"/>
        </w:rPr>
        <w:t>a</w:t>
      </w:r>
      <w:r w:rsidR="0011574A" w:rsidRPr="00E00D2B">
        <w:rPr>
          <w:rFonts w:ascii="Arial" w:hAnsi="Arial" w:cs="Arial"/>
        </w:rPr>
        <w:t xml:space="preserve">lcanzar un incremento de 19% en la recaudación de ingresos propios en </w:t>
      </w:r>
      <w:r w:rsidR="0011574A">
        <w:rPr>
          <w:rFonts w:ascii="Arial" w:hAnsi="Arial" w:cs="Arial"/>
        </w:rPr>
        <w:t xml:space="preserve">el ejercicio fiscal </w:t>
      </w:r>
      <w:r w:rsidR="0011574A" w:rsidRPr="00E00D2B">
        <w:rPr>
          <w:rFonts w:ascii="Arial" w:hAnsi="Arial" w:cs="Arial"/>
        </w:rPr>
        <w:t xml:space="preserve">2022, respecto </w:t>
      </w:r>
      <w:r w:rsidR="0011574A">
        <w:rPr>
          <w:rFonts w:ascii="Arial" w:hAnsi="Arial" w:cs="Arial"/>
        </w:rPr>
        <w:t>de lo</w:t>
      </w:r>
      <w:r w:rsidR="0011574A" w:rsidRPr="00E00D2B">
        <w:rPr>
          <w:rFonts w:ascii="Arial" w:hAnsi="Arial" w:cs="Arial"/>
        </w:rPr>
        <w:t xml:space="preserve"> estimado </w:t>
      </w:r>
      <w:r w:rsidR="0011574A">
        <w:rPr>
          <w:rFonts w:ascii="Arial" w:hAnsi="Arial" w:cs="Arial"/>
        </w:rPr>
        <w:t>al</w:t>
      </w:r>
      <w:r w:rsidR="0011574A" w:rsidRPr="00E00D2B">
        <w:rPr>
          <w:rFonts w:ascii="Arial" w:hAnsi="Arial" w:cs="Arial"/>
        </w:rPr>
        <w:t xml:space="preserve"> cierre del ejercicio </w:t>
      </w:r>
      <w:r w:rsidR="0011574A">
        <w:rPr>
          <w:rFonts w:ascii="Arial" w:hAnsi="Arial" w:cs="Arial"/>
        </w:rPr>
        <w:t xml:space="preserve">fiscal </w:t>
      </w:r>
      <w:r w:rsidR="0011574A" w:rsidRPr="00E00D2B">
        <w:rPr>
          <w:rFonts w:ascii="Arial" w:hAnsi="Arial" w:cs="Arial"/>
        </w:rPr>
        <w:t>2021, que será resultado, principalmente, del esfuerzo recaudatorio de la autoridad fiscal</w:t>
      </w:r>
      <w:r w:rsidR="00891E48">
        <w:rPr>
          <w:rFonts w:ascii="Arial" w:hAnsi="Arial" w:cs="Arial"/>
        </w:rPr>
        <w:t xml:space="preserve"> del E</w:t>
      </w:r>
      <w:r w:rsidR="0011574A">
        <w:rPr>
          <w:rFonts w:ascii="Arial" w:hAnsi="Arial" w:cs="Arial"/>
        </w:rPr>
        <w:t>stado</w:t>
      </w:r>
      <w:r w:rsidR="0011574A" w:rsidRPr="00E00D2B">
        <w:rPr>
          <w:rFonts w:ascii="Arial" w:hAnsi="Arial" w:cs="Arial"/>
        </w:rPr>
        <w:t xml:space="preserve">. </w:t>
      </w:r>
    </w:p>
    <w:p w:rsidR="000E110F" w:rsidRDefault="000E110F" w:rsidP="0011574A">
      <w:pPr>
        <w:spacing w:line="360" w:lineRule="auto"/>
        <w:ind w:firstLine="708"/>
        <w:jc w:val="both"/>
        <w:rPr>
          <w:rFonts w:ascii="Arial" w:hAnsi="Arial" w:cs="Arial"/>
        </w:rPr>
      </w:pPr>
    </w:p>
    <w:p w:rsidR="0011574A" w:rsidRDefault="00E912AB" w:rsidP="0011574A">
      <w:pPr>
        <w:spacing w:line="360" w:lineRule="auto"/>
        <w:ind w:firstLine="708"/>
        <w:jc w:val="both"/>
        <w:rPr>
          <w:rFonts w:ascii="Arial" w:hAnsi="Arial" w:cs="Arial"/>
        </w:rPr>
      </w:pPr>
      <w:r>
        <w:rPr>
          <w:rFonts w:ascii="Arial" w:hAnsi="Arial" w:cs="Arial"/>
        </w:rPr>
        <w:t xml:space="preserve">También </w:t>
      </w:r>
      <w:r w:rsidR="000E110F">
        <w:rPr>
          <w:rFonts w:ascii="Arial" w:hAnsi="Arial" w:cs="Arial"/>
        </w:rPr>
        <w:t>enfoca</w:t>
      </w:r>
      <w:r w:rsidR="0011574A" w:rsidRPr="00E00D2B">
        <w:rPr>
          <w:rFonts w:ascii="Arial" w:hAnsi="Arial" w:cs="Arial"/>
        </w:rPr>
        <w:t xml:space="preserve"> </w:t>
      </w:r>
      <w:r>
        <w:rPr>
          <w:rFonts w:ascii="Arial" w:hAnsi="Arial" w:cs="Arial"/>
        </w:rPr>
        <w:t>sus</w:t>
      </w:r>
      <w:r w:rsidR="0011574A" w:rsidRPr="00E00D2B">
        <w:rPr>
          <w:rFonts w:ascii="Arial" w:hAnsi="Arial" w:cs="Arial"/>
        </w:rPr>
        <w:t xml:space="preserve"> principales estrategias hacia un trabajo coordinado con las diferentes entidades de la </w:t>
      </w:r>
      <w:r w:rsidR="0011574A">
        <w:rPr>
          <w:rFonts w:ascii="Arial" w:hAnsi="Arial" w:cs="Arial"/>
        </w:rPr>
        <w:t>A</w:t>
      </w:r>
      <w:r w:rsidR="0011574A" w:rsidRPr="00E00D2B">
        <w:rPr>
          <w:rFonts w:ascii="Arial" w:hAnsi="Arial" w:cs="Arial"/>
        </w:rPr>
        <w:t xml:space="preserve">dministración </w:t>
      </w:r>
      <w:r w:rsidR="0011574A">
        <w:rPr>
          <w:rFonts w:ascii="Arial" w:hAnsi="Arial" w:cs="Arial"/>
        </w:rPr>
        <w:t>P</w:t>
      </w:r>
      <w:r w:rsidR="0011574A" w:rsidRPr="00E00D2B">
        <w:rPr>
          <w:rFonts w:ascii="Arial" w:hAnsi="Arial" w:cs="Arial"/>
        </w:rPr>
        <w:t xml:space="preserve">ública estatal, como facilitar e incentivar al contribuyente </w:t>
      </w:r>
      <w:r w:rsidR="0011574A">
        <w:rPr>
          <w:rFonts w:ascii="Arial" w:hAnsi="Arial" w:cs="Arial"/>
        </w:rPr>
        <w:t>a cumplir</w:t>
      </w:r>
      <w:r w:rsidR="0011574A" w:rsidRPr="00E00D2B">
        <w:rPr>
          <w:rFonts w:ascii="Arial" w:hAnsi="Arial" w:cs="Arial"/>
        </w:rPr>
        <w:t xml:space="preserve"> </w:t>
      </w:r>
      <w:r w:rsidR="0011574A">
        <w:rPr>
          <w:rFonts w:ascii="Arial" w:hAnsi="Arial" w:cs="Arial"/>
        </w:rPr>
        <w:t xml:space="preserve">con </w:t>
      </w:r>
      <w:r w:rsidR="0011574A" w:rsidRPr="00E00D2B">
        <w:rPr>
          <w:rFonts w:ascii="Arial" w:hAnsi="Arial" w:cs="Arial"/>
        </w:rPr>
        <w:t>sus obligaciones fiscales</w:t>
      </w:r>
      <w:r w:rsidR="0011574A">
        <w:rPr>
          <w:rFonts w:ascii="Arial" w:hAnsi="Arial" w:cs="Arial"/>
        </w:rPr>
        <w:t>,</w:t>
      </w:r>
      <w:r w:rsidR="0011574A" w:rsidRPr="00E00D2B">
        <w:rPr>
          <w:rFonts w:ascii="Arial" w:hAnsi="Arial" w:cs="Arial"/>
        </w:rPr>
        <w:t xml:space="preserve"> ofreciendo más canales de atención, </w:t>
      </w:r>
      <w:r w:rsidR="0011574A">
        <w:rPr>
          <w:rFonts w:ascii="Arial" w:hAnsi="Arial" w:cs="Arial"/>
        </w:rPr>
        <w:t>al impulsar</w:t>
      </w:r>
      <w:r w:rsidR="0011574A" w:rsidRPr="00E00D2B">
        <w:rPr>
          <w:rFonts w:ascii="Arial" w:hAnsi="Arial" w:cs="Arial"/>
        </w:rPr>
        <w:t xml:space="preserve"> medios tecnológicos</w:t>
      </w:r>
      <w:r w:rsidR="0011574A">
        <w:rPr>
          <w:rFonts w:ascii="Arial" w:hAnsi="Arial" w:cs="Arial"/>
        </w:rPr>
        <w:t xml:space="preserve"> que otorguen</w:t>
      </w:r>
      <w:r w:rsidR="0011574A" w:rsidRPr="00E00D2B">
        <w:rPr>
          <w:rFonts w:ascii="Arial" w:hAnsi="Arial" w:cs="Arial"/>
        </w:rPr>
        <w:t xml:space="preserve"> a los contribuyentes la posibilidad de cumplir </w:t>
      </w:r>
      <w:r w:rsidR="0011574A">
        <w:rPr>
          <w:rFonts w:ascii="Arial" w:hAnsi="Arial" w:cs="Arial"/>
        </w:rPr>
        <w:t xml:space="preserve">con </w:t>
      </w:r>
      <w:r w:rsidR="0011574A" w:rsidRPr="00E00D2B">
        <w:rPr>
          <w:rFonts w:ascii="Arial" w:hAnsi="Arial" w:cs="Arial"/>
        </w:rPr>
        <w:t>las disposiciones fiscales de una manera rápida, práctica y sencilla, lo que favorecerá la atra</w:t>
      </w:r>
      <w:r w:rsidR="00891E48">
        <w:rPr>
          <w:rFonts w:ascii="Arial" w:hAnsi="Arial" w:cs="Arial"/>
        </w:rPr>
        <w:t>cción de nuevas inversiones al E</w:t>
      </w:r>
      <w:r w:rsidR="0011574A" w:rsidRPr="00E00D2B">
        <w:rPr>
          <w:rFonts w:ascii="Arial" w:hAnsi="Arial" w:cs="Arial"/>
        </w:rPr>
        <w:t>stado.</w:t>
      </w:r>
      <w:r w:rsidR="000E110F">
        <w:rPr>
          <w:rFonts w:ascii="Arial" w:hAnsi="Arial" w:cs="Arial"/>
        </w:rPr>
        <w:t xml:space="preserve"> </w:t>
      </w:r>
      <w:r w:rsidR="00A23E52">
        <w:rPr>
          <w:rFonts w:ascii="Arial" w:hAnsi="Arial" w:cs="Arial"/>
        </w:rPr>
        <w:t>Asimismo</w:t>
      </w:r>
      <w:r w:rsidR="00891E48">
        <w:rPr>
          <w:rFonts w:ascii="Arial" w:hAnsi="Arial" w:cs="Arial"/>
        </w:rPr>
        <w:t>,</w:t>
      </w:r>
      <w:r w:rsidR="000E110F">
        <w:rPr>
          <w:rFonts w:ascii="Arial" w:hAnsi="Arial" w:cs="Arial"/>
        </w:rPr>
        <w:t xml:space="preserve"> </w:t>
      </w:r>
      <w:r w:rsidR="005C5C68">
        <w:rPr>
          <w:rFonts w:ascii="Arial" w:hAnsi="Arial" w:cs="Arial"/>
        </w:rPr>
        <w:t xml:space="preserve">se </w:t>
      </w:r>
      <w:r w:rsidR="000E110F">
        <w:rPr>
          <w:rFonts w:ascii="Arial" w:hAnsi="Arial" w:cs="Arial"/>
        </w:rPr>
        <w:t>privilegia</w:t>
      </w:r>
      <w:r w:rsidR="0011574A" w:rsidRPr="00E00D2B">
        <w:rPr>
          <w:rFonts w:ascii="Arial" w:hAnsi="Arial" w:cs="Arial"/>
        </w:rPr>
        <w:t xml:space="preserve"> el acercamiento y cumplimiento voluntario de los contribuyentes, con un enfoque en la vigilancia, control y fiscalización de sus obligaciones fiscales.</w:t>
      </w:r>
    </w:p>
    <w:p w:rsidR="000E110F" w:rsidRPr="00E00D2B" w:rsidRDefault="000E110F" w:rsidP="0011574A">
      <w:pPr>
        <w:spacing w:line="360" w:lineRule="auto"/>
        <w:ind w:firstLine="708"/>
        <w:jc w:val="both"/>
        <w:rPr>
          <w:rFonts w:ascii="Arial" w:hAnsi="Arial" w:cs="Arial"/>
        </w:rPr>
      </w:pPr>
    </w:p>
    <w:p w:rsidR="0011574A" w:rsidRPr="00E00D2B" w:rsidRDefault="004851E2" w:rsidP="0011574A">
      <w:pPr>
        <w:spacing w:line="360" w:lineRule="auto"/>
        <w:ind w:firstLine="708"/>
        <w:jc w:val="both"/>
        <w:rPr>
          <w:rFonts w:ascii="Arial" w:hAnsi="Arial" w:cs="Arial"/>
        </w:rPr>
      </w:pPr>
      <w:r>
        <w:rPr>
          <w:rFonts w:ascii="Arial" w:hAnsi="Arial" w:cs="Arial"/>
        </w:rPr>
        <w:t>De igual modo,</w:t>
      </w:r>
      <w:r w:rsidR="00614932">
        <w:rPr>
          <w:rFonts w:ascii="Arial" w:hAnsi="Arial" w:cs="Arial"/>
        </w:rPr>
        <w:t xml:space="preserve"> </w:t>
      </w:r>
      <w:r w:rsidR="00180061">
        <w:rPr>
          <w:rFonts w:ascii="Arial" w:hAnsi="Arial" w:cs="Arial"/>
        </w:rPr>
        <w:t>propone cumplir</w:t>
      </w:r>
      <w:r w:rsidR="0011574A" w:rsidRPr="00E00D2B">
        <w:rPr>
          <w:rFonts w:ascii="Arial" w:hAnsi="Arial" w:cs="Arial"/>
        </w:rPr>
        <w:t xml:space="preserve"> con los comp</w:t>
      </w:r>
      <w:r w:rsidR="000E110F">
        <w:rPr>
          <w:rFonts w:ascii="Arial" w:hAnsi="Arial" w:cs="Arial"/>
        </w:rPr>
        <w:t xml:space="preserve">romisos adquiridos </w:t>
      </w:r>
      <w:r w:rsidR="002021BC">
        <w:rPr>
          <w:rFonts w:ascii="Arial" w:hAnsi="Arial" w:cs="Arial"/>
        </w:rPr>
        <w:t>e</w:t>
      </w:r>
      <w:r w:rsidR="00180061">
        <w:rPr>
          <w:rFonts w:ascii="Arial" w:hAnsi="Arial" w:cs="Arial"/>
        </w:rPr>
        <w:t xml:space="preserve"> </w:t>
      </w:r>
      <w:r w:rsidR="000E110F">
        <w:rPr>
          <w:rFonts w:ascii="Arial" w:hAnsi="Arial" w:cs="Arial"/>
        </w:rPr>
        <w:t>implementa</w:t>
      </w:r>
      <w:r w:rsidR="00180061">
        <w:rPr>
          <w:rFonts w:ascii="Arial" w:hAnsi="Arial" w:cs="Arial"/>
        </w:rPr>
        <w:t>r</w:t>
      </w:r>
      <w:r w:rsidR="000E110F">
        <w:rPr>
          <w:rFonts w:ascii="Arial" w:hAnsi="Arial" w:cs="Arial"/>
        </w:rPr>
        <w:t xml:space="preserve"> acciones coordinadas con el </w:t>
      </w:r>
      <w:r w:rsidR="0011574A" w:rsidRPr="00E00D2B">
        <w:rPr>
          <w:rFonts w:ascii="Arial" w:hAnsi="Arial" w:cs="Arial"/>
        </w:rPr>
        <w:t xml:space="preserve">gobierno federal y </w:t>
      </w:r>
      <w:r w:rsidR="000E110F">
        <w:rPr>
          <w:rFonts w:ascii="Arial" w:hAnsi="Arial" w:cs="Arial"/>
        </w:rPr>
        <w:t xml:space="preserve">los </w:t>
      </w:r>
      <w:r w:rsidR="0011574A" w:rsidRPr="00E00D2B">
        <w:rPr>
          <w:rFonts w:ascii="Arial" w:hAnsi="Arial" w:cs="Arial"/>
        </w:rPr>
        <w:t>municipales para lograr los objetivos planteado</w:t>
      </w:r>
      <w:r w:rsidR="00366D68">
        <w:rPr>
          <w:rFonts w:ascii="Arial" w:hAnsi="Arial" w:cs="Arial"/>
        </w:rPr>
        <w:t>s, en el marco del Convenio de c</w:t>
      </w:r>
      <w:r w:rsidR="0011574A" w:rsidRPr="00E00D2B">
        <w:rPr>
          <w:rFonts w:ascii="Arial" w:hAnsi="Arial" w:cs="Arial"/>
        </w:rPr>
        <w:t>olaboración Administrativa en Materia Fiscal Federal.</w:t>
      </w:r>
      <w:r w:rsidR="00614932">
        <w:rPr>
          <w:rFonts w:ascii="Arial" w:hAnsi="Arial" w:cs="Arial"/>
        </w:rPr>
        <w:t xml:space="preserve"> </w:t>
      </w:r>
      <w:r w:rsidR="002021BC">
        <w:rPr>
          <w:rFonts w:ascii="Arial" w:hAnsi="Arial" w:cs="Arial"/>
        </w:rPr>
        <w:t>De igual manera,</w:t>
      </w:r>
      <w:r w:rsidR="00614932">
        <w:rPr>
          <w:rFonts w:ascii="Arial" w:hAnsi="Arial" w:cs="Arial"/>
        </w:rPr>
        <w:t xml:space="preserve"> </w:t>
      </w:r>
      <w:r w:rsidR="002021BC">
        <w:rPr>
          <w:rFonts w:ascii="Arial" w:hAnsi="Arial" w:cs="Arial"/>
        </w:rPr>
        <w:t>se propone contribuir</w:t>
      </w:r>
      <w:r w:rsidR="0011574A" w:rsidRPr="00E00D2B">
        <w:rPr>
          <w:rFonts w:ascii="Arial" w:hAnsi="Arial" w:cs="Arial"/>
        </w:rPr>
        <w:t xml:space="preserve"> al cuidado del medio ambiente, mediante la implementación de impuestos ecológicos, en relación con la emisión de gases a la atmósfera y a la emisión de contaminantes al suelo, subsuelo y agua, para que Yucatán continúe caracterizándose por su abundante flora y fauna, así como por la calidad del aire.</w:t>
      </w:r>
    </w:p>
    <w:p w:rsidR="000E110F" w:rsidRDefault="000E110F" w:rsidP="0011574A">
      <w:pPr>
        <w:spacing w:line="360" w:lineRule="auto"/>
        <w:jc w:val="both"/>
        <w:rPr>
          <w:rFonts w:ascii="Arial" w:hAnsi="Arial" w:cs="Arial"/>
        </w:rPr>
      </w:pPr>
    </w:p>
    <w:p w:rsidR="0011574A" w:rsidRDefault="004851E2" w:rsidP="000E110F">
      <w:pPr>
        <w:spacing w:line="360" w:lineRule="auto"/>
        <w:ind w:firstLine="708"/>
        <w:jc w:val="both"/>
        <w:rPr>
          <w:rFonts w:ascii="Arial" w:hAnsi="Arial" w:cs="Arial"/>
        </w:rPr>
      </w:pPr>
      <w:r>
        <w:rPr>
          <w:rFonts w:ascii="Arial" w:hAnsi="Arial" w:cs="Arial"/>
        </w:rPr>
        <w:t xml:space="preserve">Por lo anterior, </w:t>
      </w:r>
      <w:r w:rsidR="002021BC">
        <w:rPr>
          <w:rFonts w:ascii="Arial" w:hAnsi="Arial" w:cs="Arial"/>
        </w:rPr>
        <w:t xml:space="preserve">es que </w:t>
      </w:r>
      <w:r>
        <w:rPr>
          <w:rFonts w:ascii="Arial" w:hAnsi="Arial" w:cs="Arial"/>
        </w:rPr>
        <w:t xml:space="preserve">el </w:t>
      </w:r>
      <w:r w:rsidR="0011574A">
        <w:rPr>
          <w:rFonts w:ascii="Arial" w:hAnsi="Arial" w:cs="Arial"/>
        </w:rPr>
        <w:t xml:space="preserve">fortalecimiento </w:t>
      </w:r>
      <w:r w:rsidR="0011574A" w:rsidRPr="00D93F7E">
        <w:rPr>
          <w:rFonts w:ascii="Arial" w:hAnsi="Arial" w:cs="Arial"/>
        </w:rPr>
        <w:t>de la recaudación de ingresos propios</w:t>
      </w:r>
      <w:r w:rsidR="0011574A">
        <w:rPr>
          <w:rFonts w:ascii="Arial" w:hAnsi="Arial" w:cs="Arial"/>
        </w:rPr>
        <w:t xml:space="preserve"> en el estado </w:t>
      </w:r>
      <w:r w:rsidR="00180061">
        <w:rPr>
          <w:rFonts w:ascii="Arial" w:hAnsi="Arial" w:cs="Arial"/>
        </w:rPr>
        <w:t>establece</w:t>
      </w:r>
      <w:r w:rsidR="0011574A" w:rsidRPr="00D93F7E">
        <w:rPr>
          <w:rFonts w:ascii="Arial" w:hAnsi="Arial" w:cs="Arial"/>
        </w:rPr>
        <w:t xml:space="preserve"> una estrategia imprescindible para hacer frente </w:t>
      </w:r>
      <w:r w:rsidR="0011574A" w:rsidRPr="00D93F7E">
        <w:rPr>
          <w:rFonts w:ascii="Arial" w:hAnsi="Arial" w:cs="Arial"/>
        </w:rPr>
        <w:lastRenderedPageBreak/>
        <w:t>a la inestabilidad económica, así como para sufragar gran parte del gasto público y satisfacer las necesidades</w:t>
      </w:r>
      <w:r w:rsidR="0011574A">
        <w:rPr>
          <w:rFonts w:ascii="Arial" w:hAnsi="Arial" w:cs="Arial"/>
        </w:rPr>
        <w:t xml:space="preserve"> de los yucatecos, ante la incertidumbre económica en la que se encuentran tanto las pequeñas como las grandes empresas por la situación actual.</w:t>
      </w:r>
    </w:p>
    <w:p w:rsidR="003912AF" w:rsidRPr="005E6466" w:rsidRDefault="003912AF" w:rsidP="004F78A3">
      <w:pPr>
        <w:autoSpaceDN w:val="0"/>
        <w:adjustRightInd w:val="0"/>
        <w:spacing w:line="360" w:lineRule="auto"/>
        <w:ind w:firstLine="708"/>
        <w:jc w:val="both"/>
        <w:rPr>
          <w:rFonts w:ascii="Arial" w:hAnsi="Arial" w:cs="Arial"/>
        </w:rPr>
      </w:pPr>
    </w:p>
    <w:p w:rsidR="003912AF" w:rsidRPr="005E6466" w:rsidRDefault="003912AF" w:rsidP="003912AF">
      <w:pPr>
        <w:spacing w:line="360" w:lineRule="auto"/>
        <w:ind w:firstLine="708"/>
        <w:jc w:val="both"/>
        <w:rPr>
          <w:rFonts w:ascii="Arial" w:hAnsi="Arial" w:cs="Arial"/>
        </w:rPr>
      </w:pPr>
      <w:r w:rsidRPr="005E6466">
        <w:rPr>
          <w:rFonts w:ascii="Arial" w:hAnsi="Arial" w:cs="Arial"/>
          <w:b/>
        </w:rPr>
        <w:t xml:space="preserve">TERCERA. </w:t>
      </w:r>
      <w:r w:rsidR="004851E2">
        <w:rPr>
          <w:rFonts w:ascii="Arial" w:hAnsi="Arial" w:cs="Arial"/>
        </w:rPr>
        <w:t>Por otro lado</w:t>
      </w:r>
      <w:r w:rsidRPr="005E6466">
        <w:rPr>
          <w:rFonts w:ascii="Arial" w:hAnsi="Arial" w:cs="Arial"/>
        </w:rPr>
        <w:t>, el Titular del Poder Ejecutivo del Estado, en ejercicio de las facultades que la normatividad correspondiente le marca, presentó en tiempo y forma la iniciativa de la Ley de Ingresos</w:t>
      </w:r>
      <w:r w:rsidR="00C971B4" w:rsidRPr="005E6466">
        <w:rPr>
          <w:rFonts w:ascii="Arial" w:hAnsi="Arial" w:cs="Arial"/>
        </w:rPr>
        <w:t xml:space="preserve"> del Estado de Yucatán para el E</w:t>
      </w:r>
      <w:r w:rsidRPr="005E6466">
        <w:rPr>
          <w:rFonts w:ascii="Arial" w:hAnsi="Arial" w:cs="Arial"/>
        </w:rPr>
        <w:t xml:space="preserve">jercicio </w:t>
      </w:r>
      <w:r w:rsidR="00C971B4" w:rsidRPr="005E6466">
        <w:rPr>
          <w:rFonts w:ascii="Arial" w:hAnsi="Arial" w:cs="Arial"/>
        </w:rPr>
        <w:t>F</w:t>
      </w:r>
      <w:r w:rsidRPr="005E6466">
        <w:rPr>
          <w:rFonts w:ascii="Arial" w:hAnsi="Arial" w:cs="Arial"/>
        </w:rPr>
        <w:t>iscal 20</w:t>
      </w:r>
      <w:r w:rsidR="007B0B84" w:rsidRPr="005E6466">
        <w:rPr>
          <w:rFonts w:ascii="Arial" w:hAnsi="Arial" w:cs="Arial"/>
        </w:rPr>
        <w:t>2</w:t>
      </w:r>
      <w:r w:rsidR="00463F25">
        <w:rPr>
          <w:rFonts w:ascii="Arial" w:hAnsi="Arial" w:cs="Arial"/>
        </w:rPr>
        <w:t>2</w:t>
      </w:r>
      <w:r w:rsidR="001478C5" w:rsidRPr="005E6466">
        <w:rPr>
          <w:rFonts w:ascii="Arial" w:hAnsi="Arial" w:cs="Arial"/>
        </w:rPr>
        <w:t>, tal y como se ha dejado claro anteriormente, una ley fuera de lo habitual</w:t>
      </w:r>
      <w:r w:rsidR="008B1BCD" w:rsidRPr="005E6466">
        <w:rPr>
          <w:rFonts w:ascii="Arial" w:hAnsi="Arial" w:cs="Arial"/>
        </w:rPr>
        <w:t>mente acostumbrado</w:t>
      </w:r>
      <w:r w:rsidR="001478C5" w:rsidRPr="005E6466">
        <w:rPr>
          <w:rFonts w:ascii="Arial" w:hAnsi="Arial" w:cs="Arial"/>
        </w:rPr>
        <w:t xml:space="preserve">, por las </w:t>
      </w:r>
      <w:r w:rsidR="008B1BCD" w:rsidRPr="005E6466">
        <w:rPr>
          <w:rFonts w:ascii="Arial" w:hAnsi="Arial" w:cs="Arial"/>
        </w:rPr>
        <w:t xml:space="preserve">diferentes </w:t>
      </w:r>
      <w:r w:rsidR="001478C5" w:rsidRPr="005E6466">
        <w:rPr>
          <w:rFonts w:ascii="Arial" w:hAnsi="Arial" w:cs="Arial"/>
        </w:rPr>
        <w:t xml:space="preserve">repercusiones que conlleva </w:t>
      </w:r>
      <w:r w:rsidR="008B1BCD" w:rsidRPr="005E6466">
        <w:rPr>
          <w:rFonts w:ascii="Arial" w:hAnsi="Arial" w:cs="Arial"/>
        </w:rPr>
        <w:t xml:space="preserve">a causa </w:t>
      </w:r>
      <w:r w:rsidR="001478C5" w:rsidRPr="005E6466">
        <w:rPr>
          <w:rFonts w:ascii="Arial" w:hAnsi="Arial" w:cs="Arial"/>
        </w:rPr>
        <w:t xml:space="preserve">de la pandemia </w:t>
      </w:r>
      <w:r w:rsidR="008B1BCD" w:rsidRPr="005E6466">
        <w:rPr>
          <w:rFonts w:ascii="Arial" w:hAnsi="Arial" w:cs="Arial"/>
        </w:rPr>
        <w:t xml:space="preserve">en la que </w:t>
      </w:r>
      <w:r w:rsidR="001478C5" w:rsidRPr="005E6466">
        <w:rPr>
          <w:rFonts w:ascii="Arial" w:hAnsi="Arial" w:cs="Arial"/>
        </w:rPr>
        <w:t>actualmente nos encontramos.</w:t>
      </w:r>
      <w:r w:rsidRPr="005E6466">
        <w:rPr>
          <w:rFonts w:ascii="Arial" w:hAnsi="Arial" w:cs="Arial"/>
        </w:rPr>
        <w:t xml:space="preserve"> </w:t>
      </w:r>
    </w:p>
    <w:p w:rsidR="003912AF" w:rsidRPr="005E6466" w:rsidRDefault="003912AF" w:rsidP="003912AF">
      <w:pPr>
        <w:spacing w:line="360" w:lineRule="auto"/>
        <w:ind w:firstLine="708"/>
        <w:jc w:val="both"/>
        <w:rPr>
          <w:rFonts w:ascii="Arial" w:hAnsi="Arial" w:cs="Arial"/>
        </w:rPr>
      </w:pPr>
    </w:p>
    <w:p w:rsidR="00D753D5" w:rsidRPr="005E6466" w:rsidRDefault="003912AF" w:rsidP="00D753D5">
      <w:pPr>
        <w:spacing w:line="360" w:lineRule="auto"/>
        <w:jc w:val="both"/>
        <w:rPr>
          <w:rFonts w:ascii="Arial" w:hAnsi="Arial" w:cs="Arial"/>
        </w:rPr>
      </w:pPr>
      <w:r w:rsidRPr="005E6466">
        <w:rPr>
          <w:rFonts w:ascii="Arial" w:hAnsi="Arial" w:cs="Arial"/>
        </w:rPr>
        <w:tab/>
      </w:r>
      <w:r w:rsidR="003204C1" w:rsidRPr="005E6466">
        <w:rPr>
          <w:rFonts w:ascii="Arial" w:hAnsi="Arial" w:cs="Arial"/>
        </w:rPr>
        <w:t>A través de e</w:t>
      </w:r>
      <w:r w:rsidRPr="005E6466">
        <w:rPr>
          <w:rFonts w:ascii="Arial" w:hAnsi="Arial" w:cs="Arial"/>
        </w:rPr>
        <w:t xml:space="preserve">sta ley </w:t>
      </w:r>
      <w:r w:rsidR="003204C1" w:rsidRPr="005E6466">
        <w:rPr>
          <w:rFonts w:ascii="Arial" w:hAnsi="Arial" w:cs="Arial"/>
        </w:rPr>
        <w:t>de ingresos 202</w:t>
      </w:r>
      <w:r w:rsidR="00463F25">
        <w:rPr>
          <w:rFonts w:ascii="Arial" w:hAnsi="Arial" w:cs="Arial"/>
        </w:rPr>
        <w:t>2</w:t>
      </w:r>
      <w:r w:rsidR="003204C1" w:rsidRPr="005E6466">
        <w:rPr>
          <w:rFonts w:ascii="Arial" w:hAnsi="Arial" w:cs="Arial"/>
        </w:rPr>
        <w:t xml:space="preserve">, se establecerá </w:t>
      </w:r>
      <w:r w:rsidRPr="005E6466">
        <w:rPr>
          <w:rFonts w:ascii="Arial" w:hAnsi="Arial" w:cs="Arial"/>
        </w:rPr>
        <w:t xml:space="preserve">los recursos que el Estado, a través de los diferentes rubros, tiene la expectativa de percibir para </w:t>
      </w:r>
      <w:r w:rsidR="003204C1" w:rsidRPr="005E6466">
        <w:rPr>
          <w:rFonts w:ascii="Arial" w:hAnsi="Arial" w:cs="Arial"/>
        </w:rPr>
        <w:t xml:space="preserve">tal </w:t>
      </w:r>
      <w:r w:rsidRPr="005E6466">
        <w:rPr>
          <w:rFonts w:ascii="Arial" w:hAnsi="Arial" w:cs="Arial"/>
        </w:rPr>
        <w:t>ejercicio fiscal. La determinación de los ingresos permitirá crear un balance presupuestario entre los ingresos y los egresos previstos en el Presupuesto de Egresos del Gobierno del Estado de Yucatán para el Ejercicio Fiscal 20</w:t>
      </w:r>
      <w:r w:rsidR="003204C1" w:rsidRPr="005E6466">
        <w:rPr>
          <w:rFonts w:ascii="Arial" w:hAnsi="Arial" w:cs="Arial"/>
        </w:rPr>
        <w:t>2</w:t>
      </w:r>
      <w:r w:rsidR="00463F25">
        <w:rPr>
          <w:rFonts w:ascii="Arial" w:hAnsi="Arial" w:cs="Arial"/>
        </w:rPr>
        <w:t>2</w:t>
      </w:r>
      <w:r w:rsidR="00D753D5" w:rsidRPr="005E6466">
        <w:rPr>
          <w:rFonts w:ascii="Arial" w:hAnsi="Arial" w:cs="Arial"/>
        </w:rPr>
        <w:t>.</w:t>
      </w:r>
    </w:p>
    <w:p w:rsidR="00D753D5" w:rsidRPr="005E6466" w:rsidRDefault="00D753D5" w:rsidP="00D753D5">
      <w:pPr>
        <w:spacing w:line="360" w:lineRule="auto"/>
        <w:jc w:val="both"/>
        <w:rPr>
          <w:rFonts w:ascii="Arial" w:hAnsi="Arial" w:cs="Arial"/>
        </w:rPr>
      </w:pPr>
    </w:p>
    <w:p w:rsidR="00A12890" w:rsidRPr="005E6466" w:rsidRDefault="003912AF" w:rsidP="00A12890">
      <w:pPr>
        <w:spacing w:line="360" w:lineRule="auto"/>
        <w:ind w:firstLine="708"/>
        <w:jc w:val="both"/>
        <w:rPr>
          <w:rFonts w:ascii="Arial" w:hAnsi="Arial" w:cs="Arial"/>
        </w:rPr>
      </w:pPr>
      <w:r w:rsidRPr="005E6466">
        <w:rPr>
          <w:rFonts w:ascii="Arial" w:hAnsi="Arial" w:cs="Arial"/>
          <w:lang w:val="es-MX"/>
        </w:rPr>
        <w:t xml:space="preserve">Cabe señalar que como se desprende de la  iniciativa, el proyecto de Ley de Ingresos del Estado de Yucatán para el </w:t>
      </w:r>
      <w:r w:rsidR="00BF05A8" w:rsidRPr="005E6466">
        <w:rPr>
          <w:rFonts w:ascii="Arial" w:hAnsi="Arial" w:cs="Arial"/>
          <w:lang w:val="es-MX"/>
        </w:rPr>
        <w:t>E</w:t>
      </w:r>
      <w:r w:rsidRPr="005E6466">
        <w:rPr>
          <w:rFonts w:ascii="Arial" w:hAnsi="Arial" w:cs="Arial"/>
          <w:lang w:val="es-MX"/>
        </w:rPr>
        <w:t xml:space="preserve">jercicio </w:t>
      </w:r>
      <w:r w:rsidR="00BF05A8" w:rsidRPr="005E6466">
        <w:rPr>
          <w:rFonts w:ascii="Arial" w:hAnsi="Arial" w:cs="Arial"/>
          <w:lang w:val="es-MX"/>
        </w:rPr>
        <w:t>F</w:t>
      </w:r>
      <w:r w:rsidRPr="005E6466">
        <w:rPr>
          <w:rFonts w:ascii="Arial" w:hAnsi="Arial" w:cs="Arial"/>
          <w:lang w:val="es-MX"/>
        </w:rPr>
        <w:t>iscal 202</w:t>
      </w:r>
      <w:r w:rsidR="00463F25">
        <w:rPr>
          <w:rFonts w:ascii="Arial" w:hAnsi="Arial" w:cs="Arial"/>
          <w:lang w:val="es-MX"/>
        </w:rPr>
        <w:t>2</w:t>
      </w:r>
      <w:r w:rsidRPr="005E6466">
        <w:rPr>
          <w:rFonts w:ascii="Arial" w:hAnsi="Arial" w:cs="Arial"/>
          <w:lang w:val="es-MX"/>
        </w:rPr>
        <w:t xml:space="preserve"> está elaborado con base en lo establecido </w:t>
      </w:r>
      <w:r w:rsidR="00D753D5" w:rsidRPr="005E6466">
        <w:rPr>
          <w:rFonts w:ascii="Arial" w:hAnsi="Arial" w:cs="Arial"/>
        </w:rPr>
        <w:t>en la Ley General de Hacienda del Estado de Yucatán, la Ley de Planeación para el Desarrollo del Estado de Yucatán, la Ley de Coordinación Fiscal federal y estatal, la 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A12890" w:rsidRDefault="00A12890" w:rsidP="002845B4">
      <w:pPr>
        <w:spacing w:line="360" w:lineRule="auto"/>
        <w:ind w:firstLine="709"/>
        <w:jc w:val="both"/>
        <w:rPr>
          <w:rFonts w:ascii="Arial" w:hAnsi="Arial" w:cs="Arial"/>
          <w:lang w:val="es-MX"/>
        </w:rPr>
      </w:pPr>
    </w:p>
    <w:p w:rsidR="002845B4" w:rsidRDefault="002845B4" w:rsidP="002845B4">
      <w:pPr>
        <w:suppressAutoHyphens/>
        <w:spacing w:line="360" w:lineRule="auto"/>
        <w:ind w:firstLine="708"/>
        <w:jc w:val="both"/>
        <w:rPr>
          <w:rFonts w:ascii="Arial" w:hAnsi="Arial" w:cs="Arial"/>
        </w:rPr>
      </w:pPr>
      <w:r w:rsidRPr="00A85EFF">
        <w:rPr>
          <w:rFonts w:ascii="Arial" w:hAnsi="Arial" w:cs="Arial"/>
        </w:rPr>
        <w:t xml:space="preserve">Para el ejercicio fiscal 2022, el Gobierno del estado propone la creación de dos nuevos impuestos ambientales, tema novedoso para nuestra entidad, que </w:t>
      </w:r>
      <w:r>
        <w:rPr>
          <w:rFonts w:ascii="Arial" w:hAnsi="Arial" w:cs="Arial"/>
        </w:rPr>
        <w:t>brindarán</w:t>
      </w:r>
      <w:r w:rsidRPr="00A85EFF">
        <w:rPr>
          <w:rFonts w:ascii="Arial" w:hAnsi="Arial" w:cs="Arial"/>
        </w:rPr>
        <w:t xml:space="preserve"> solidez a los ingresos</w:t>
      </w:r>
      <w:r>
        <w:rPr>
          <w:rFonts w:ascii="Arial" w:hAnsi="Arial" w:cs="Arial"/>
        </w:rPr>
        <w:t xml:space="preserve"> y permitirán cumplir con diversos compromisos internacionales en la materia. Estos nuevos impuestos</w:t>
      </w:r>
      <w:r w:rsidRPr="00A85EFF">
        <w:rPr>
          <w:rFonts w:ascii="Arial" w:hAnsi="Arial" w:cs="Arial"/>
        </w:rPr>
        <w:t xml:space="preserve"> </w:t>
      </w:r>
      <w:r>
        <w:rPr>
          <w:rFonts w:ascii="Arial" w:hAnsi="Arial" w:cs="Arial"/>
        </w:rPr>
        <w:t xml:space="preserve">inhibirán determinadas conductas para mitigar </w:t>
      </w:r>
      <w:r w:rsidRPr="00A85EFF">
        <w:rPr>
          <w:rFonts w:ascii="Arial" w:hAnsi="Arial" w:cs="Arial"/>
        </w:rPr>
        <w:t>los efectos de la contaminación</w:t>
      </w:r>
      <w:r>
        <w:rPr>
          <w:rFonts w:ascii="Arial" w:hAnsi="Arial" w:cs="Arial"/>
        </w:rPr>
        <w:t xml:space="preserve"> que implican un daño a la salud pública.</w:t>
      </w:r>
    </w:p>
    <w:p w:rsidR="002845B4" w:rsidRDefault="002845B4" w:rsidP="002845B4">
      <w:pPr>
        <w:suppressAutoHyphens/>
        <w:spacing w:line="360" w:lineRule="auto"/>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iCs/>
        </w:rPr>
        <w:t xml:space="preserve">Bajo este tenor, es importante mencionar que lo anterior encuentra fundamento en el artículo 31 fracción IV de la Constitución Política de los Estados Unidos Mexicanos, así como en el artículo 3 de la Carta Magna, en donde se establece </w:t>
      </w:r>
      <w:r w:rsidRPr="005E6466">
        <w:rPr>
          <w:rFonts w:ascii="Arial" w:hAnsi="Arial" w:cs="Arial"/>
        </w:rPr>
        <w:t xml:space="preserve">la obligación de los mexicanos a contribuir para los gastos públicos en el </w:t>
      </w:r>
      <w:r w:rsidR="009215FB" w:rsidRPr="005E6466">
        <w:rPr>
          <w:rFonts w:ascii="Arial" w:hAnsi="Arial" w:cs="Arial"/>
        </w:rPr>
        <w:t>E</w:t>
      </w:r>
      <w:r w:rsidRPr="005E6466">
        <w:rPr>
          <w:rFonts w:ascii="Arial" w:hAnsi="Arial" w:cs="Arial"/>
        </w:rPr>
        <w:t>stado en que residan, de manera proporcional y equitativa que dispongan las leyes respectivas.</w:t>
      </w:r>
    </w:p>
    <w:p w:rsidR="003912AF" w:rsidRPr="005E6466" w:rsidRDefault="003912AF" w:rsidP="003912AF">
      <w:pPr>
        <w:spacing w:line="360" w:lineRule="auto"/>
        <w:ind w:firstLine="708"/>
        <w:jc w:val="both"/>
        <w:rPr>
          <w:rFonts w:ascii="Arial" w:hAnsi="Arial" w:cs="Arial"/>
        </w:rPr>
      </w:pPr>
    </w:p>
    <w:p w:rsidR="003912AF" w:rsidRPr="005E6466" w:rsidRDefault="003912AF" w:rsidP="003912AF">
      <w:pPr>
        <w:spacing w:line="360" w:lineRule="auto"/>
        <w:ind w:firstLine="709"/>
        <w:jc w:val="both"/>
        <w:rPr>
          <w:rFonts w:ascii="Arial" w:hAnsi="Arial" w:cs="Arial"/>
        </w:rPr>
      </w:pPr>
      <w:r w:rsidRPr="005E6466">
        <w:rPr>
          <w:rFonts w:ascii="Arial" w:hAnsi="Arial" w:cs="Arial"/>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3912AF" w:rsidRPr="005E6466" w:rsidRDefault="003912AF" w:rsidP="003912AF">
      <w:pPr>
        <w:spacing w:line="360" w:lineRule="auto"/>
        <w:ind w:firstLine="709"/>
        <w:jc w:val="both"/>
        <w:rPr>
          <w:rFonts w:ascii="Arial" w:hAnsi="Arial" w:cs="Arial"/>
        </w:rPr>
      </w:pPr>
    </w:p>
    <w:p w:rsidR="003912AF" w:rsidRPr="005E6466" w:rsidRDefault="003912AF" w:rsidP="007A18EB">
      <w:pPr>
        <w:tabs>
          <w:tab w:val="left" w:pos="2796"/>
        </w:tabs>
        <w:spacing w:line="360" w:lineRule="auto"/>
        <w:ind w:firstLine="709"/>
        <w:jc w:val="both"/>
        <w:rPr>
          <w:rFonts w:ascii="Arial" w:hAnsi="Arial" w:cs="Arial"/>
        </w:rPr>
      </w:pPr>
      <w:r w:rsidRPr="005E6466">
        <w:rPr>
          <w:rFonts w:ascii="Arial" w:hAnsi="Arial" w:cs="Arial"/>
        </w:rPr>
        <w:t>Por tanto es</w:t>
      </w:r>
      <w:r w:rsidR="005C4C62" w:rsidRPr="005E6466">
        <w:rPr>
          <w:rFonts w:ascii="Arial" w:hAnsi="Arial" w:cs="Arial"/>
        </w:rPr>
        <w:t xml:space="preserve"> en la ley de i</w:t>
      </w:r>
      <w:r w:rsidRPr="005E6466">
        <w:rPr>
          <w:rFonts w:ascii="Arial" w:hAnsi="Arial" w:cs="Arial"/>
        </w:rPr>
        <w:t xml:space="preserve">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w:t>
      </w:r>
      <w:r w:rsidRPr="005E6466">
        <w:rPr>
          <w:rFonts w:ascii="Arial" w:hAnsi="Arial" w:cs="Arial"/>
        </w:rPr>
        <w:lastRenderedPageBreak/>
        <w:t>económicas, calculando una captación de ingresos con un enfoque moderado así como la racionalización en el gasto público.</w:t>
      </w:r>
    </w:p>
    <w:p w:rsidR="003912AF" w:rsidRPr="005E6466" w:rsidRDefault="003912AF" w:rsidP="007A18EB">
      <w:pPr>
        <w:spacing w:line="360" w:lineRule="auto"/>
        <w:ind w:firstLine="709"/>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obtendrán en el estado de Yucatán del 1 de enero de 202</w:t>
      </w:r>
      <w:r w:rsidR="00463F25">
        <w:rPr>
          <w:rFonts w:ascii="Arial" w:hAnsi="Arial" w:cs="Arial"/>
          <w:iCs/>
        </w:rPr>
        <w:t>2</w:t>
      </w:r>
      <w:r w:rsidR="00877CB6" w:rsidRPr="005E6466">
        <w:rPr>
          <w:rFonts w:ascii="Arial" w:hAnsi="Arial" w:cs="Arial"/>
          <w:iCs/>
        </w:rPr>
        <w:t xml:space="preserve"> al 31 de diciembre de 202</w:t>
      </w:r>
      <w:r w:rsidR="00463F25">
        <w:rPr>
          <w:rFonts w:ascii="Arial" w:hAnsi="Arial" w:cs="Arial"/>
          <w:iCs/>
        </w:rPr>
        <w:t>3</w:t>
      </w:r>
      <w:r w:rsidR="00877CB6" w:rsidRPr="005E6466">
        <w:rPr>
          <w:rFonts w:ascii="Arial" w:hAnsi="Arial" w:cs="Arial"/>
          <w:iCs/>
        </w:rPr>
        <w:t xml:space="preserve">, </w:t>
      </w:r>
      <w:r w:rsidR="00574052" w:rsidRPr="005E6466">
        <w:rPr>
          <w:rFonts w:ascii="Arial" w:hAnsi="Arial" w:cs="Arial"/>
          <w:iCs/>
        </w:rPr>
        <w:t xml:space="preserve">derivados </w:t>
      </w:r>
      <w:r w:rsidR="003912AF" w:rsidRPr="005E6466">
        <w:rPr>
          <w:rFonts w:ascii="Arial" w:hAnsi="Arial" w:cs="Arial"/>
          <w:iCs/>
        </w:rPr>
        <w:t>directamente por fuentes de carácter estatal, así como por la transferencia de recursos provenientes del Gobierno Feder</w:t>
      </w:r>
      <w:r w:rsidR="00574052" w:rsidRPr="005E6466">
        <w:rPr>
          <w:rFonts w:ascii="Arial" w:hAnsi="Arial" w:cs="Arial"/>
          <w:iCs/>
        </w:rPr>
        <w:t>al para el ejercicio fiscal 2021</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3912AF" w:rsidRPr="005E6466">
        <w:rPr>
          <w:rFonts w:ascii="Arial" w:hAnsi="Arial" w:cs="Arial"/>
          <w:b/>
          <w:bCs/>
        </w:rPr>
        <w:t>4</w:t>
      </w:r>
      <w:r w:rsidR="002017B0">
        <w:rPr>
          <w:rFonts w:ascii="Arial" w:hAnsi="Arial" w:cs="Arial"/>
          <w:b/>
          <w:bCs/>
        </w:rPr>
        <w:t>6</w:t>
      </w:r>
      <w:r w:rsidR="003912AF" w:rsidRPr="005E6466">
        <w:rPr>
          <w:rFonts w:ascii="Arial" w:hAnsi="Arial" w:cs="Arial"/>
          <w:b/>
          <w:bCs/>
        </w:rPr>
        <w:t>,</w:t>
      </w:r>
      <w:r w:rsidR="002017B0">
        <w:rPr>
          <w:rFonts w:ascii="Arial" w:hAnsi="Arial" w:cs="Arial"/>
          <w:b/>
          <w:bCs/>
        </w:rPr>
        <w:t>038</w:t>
      </w:r>
      <w:r w:rsidR="003912AF" w:rsidRPr="005E6466">
        <w:rPr>
          <w:rFonts w:ascii="Arial" w:hAnsi="Arial" w:cs="Arial"/>
          <w:b/>
          <w:bCs/>
        </w:rPr>
        <w:t>,</w:t>
      </w:r>
      <w:r w:rsidR="002017B0">
        <w:rPr>
          <w:rFonts w:ascii="Arial" w:hAnsi="Arial" w:cs="Arial"/>
          <w:b/>
          <w:bCs/>
        </w:rPr>
        <w:t>050</w:t>
      </w:r>
      <w:r w:rsidR="003912AF" w:rsidRPr="005E6466">
        <w:rPr>
          <w:rFonts w:ascii="Arial" w:hAnsi="Arial" w:cs="Arial"/>
          <w:b/>
          <w:bCs/>
        </w:rPr>
        <w:t>,</w:t>
      </w:r>
      <w:r w:rsidR="002017B0">
        <w:rPr>
          <w:rFonts w:ascii="Arial" w:hAnsi="Arial" w:cs="Arial"/>
          <w:b/>
          <w:bCs/>
        </w:rPr>
        <w:t>321</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$2,</w:t>
      </w:r>
      <w:r w:rsidR="002017B0">
        <w:rPr>
          <w:rFonts w:ascii="Arial" w:hAnsi="Arial" w:cs="Arial"/>
          <w:b/>
        </w:rPr>
        <w:t>785</w:t>
      </w:r>
      <w:r w:rsidR="009D6669" w:rsidRPr="005E6466">
        <w:rPr>
          <w:rFonts w:ascii="Arial" w:hAnsi="Arial" w:cs="Arial"/>
          <w:b/>
        </w:rPr>
        <w:t>,</w:t>
      </w:r>
      <w:r w:rsidR="002017B0">
        <w:rPr>
          <w:rFonts w:ascii="Arial" w:hAnsi="Arial" w:cs="Arial"/>
          <w:b/>
        </w:rPr>
        <w:t>616</w:t>
      </w:r>
      <w:r w:rsidR="009D6669" w:rsidRPr="005E6466">
        <w:rPr>
          <w:rFonts w:ascii="Arial" w:hAnsi="Arial" w:cs="Arial"/>
          <w:b/>
        </w:rPr>
        <w:t>,</w:t>
      </w:r>
      <w:r w:rsidR="002017B0">
        <w:rPr>
          <w:rFonts w:ascii="Arial" w:hAnsi="Arial" w:cs="Arial"/>
          <w:b/>
        </w:rPr>
        <w:t>196</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063BE" w:rsidRPr="005E6466">
        <w:rPr>
          <w:rFonts w:ascii="Arial" w:hAnsi="Arial" w:cs="Arial"/>
          <w:b/>
        </w:rPr>
        <w:t>1</w:t>
      </w:r>
      <w:r w:rsidR="003912AF" w:rsidRPr="005E6466">
        <w:rPr>
          <w:rFonts w:ascii="Arial" w:hAnsi="Arial" w:cs="Arial"/>
          <w:b/>
        </w:rPr>
        <w:t>,</w:t>
      </w:r>
      <w:r w:rsidR="002017B0">
        <w:rPr>
          <w:rFonts w:ascii="Arial" w:hAnsi="Arial" w:cs="Arial"/>
          <w:b/>
        </w:rPr>
        <w:t>722</w:t>
      </w:r>
      <w:r w:rsidR="003912AF" w:rsidRPr="005E6466">
        <w:rPr>
          <w:rFonts w:ascii="Arial" w:hAnsi="Arial" w:cs="Arial"/>
          <w:b/>
        </w:rPr>
        <w:t>,</w:t>
      </w:r>
      <w:r w:rsidR="002017B0">
        <w:rPr>
          <w:rFonts w:ascii="Arial" w:hAnsi="Arial" w:cs="Arial"/>
          <w:b/>
        </w:rPr>
        <w:t>038</w:t>
      </w:r>
      <w:r w:rsidR="003912AF" w:rsidRPr="005E6466">
        <w:rPr>
          <w:rFonts w:ascii="Arial" w:hAnsi="Arial" w:cs="Arial"/>
          <w:b/>
        </w:rPr>
        <w:t>,</w:t>
      </w:r>
      <w:r w:rsidR="002017B0">
        <w:rPr>
          <w:rFonts w:ascii="Arial" w:hAnsi="Arial" w:cs="Arial"/>
          <w:b/>
        </w:rPr>
        <w:t>175</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2017B0">
        <w:rPr>
          <w:rFonts w:ascii="Arial" w:hAnsi="Arial" w:cs="Arial"/>
          <w:b/>
        </w:rPr>
        <w:t>323</w:t>
      </w:r>
      <w:r w:rsidR="003912AF" w:rsidRPr="005E6466">
        <w:rPr>
          <w:rFonts w:ascii="Arial" w:hAnsi="Arial" w:cs="Arial"/>
          <w:b/>
        </w:rPr>
        <w:t>,</w:t>
      </w:r>
      <w:r w:rsidR="002017B0">
        <w:rPr>
          <w:rFonts w:ascii="Arial" w:hAnsi="Arial" w:cs="Arial"/>
          <w:b/>
        </w:rPr>
        <w:t>996</w:t>
      </w:r>
      <w:r w:rsidR="003912AF" w:rsidRPr="005E6466">
        <w:rPr>
          <w:rFonts w:ascii="Arial" w:hAnsi="Arial" w:cs="Arial"/>
          <w:b/>
        </w:rPr>
        <w:t>,</w:t>
      </w:r>
      <w:r w:rsidR="002017B0">
        <w:rPr>
          <w:rFonts w:ascii="Arial" w:hAnsi="Arial" w:cs="Arial"/>
          <w:b/>
        </w:rPr>
        <w:t>640</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2017B0">
        <w:rPr>
          <w:rFonts w:ascii="Arial" w:hAnsi="Arial" w:cs="Arial"/>
          <w:b/>
        </w:rPr>
        <w:t>279</w:t>
      </w:r>
      <w:r w:rsidR="003912AF" w:rsidRPr="005E6466">
        <w:rPr>
          <w:rFonts w:ascii="Arial" w:hAnsi="Arial" w:cs="Arial"/>
          <w:b/>
        </w:rPr>
        <w:t>,</w:t>
      </w:r>
      <w:r w:rsidR="002017B0">
        <w:rPr>
          <w:rFonts w:ascii="Arial" w:hAnsi="Arial" w:cs="Arial"/>
          <w:b/>
        </w:rPr>
        <w:t>105</w:t>
      </w:r>
      <w:r w:rsidR="003912AF" w:rsidRPr="005E6466">
        <w:rPr>
          <w:rFonts w:ascii="Arial" w:hAnsi="Arial" w:cs="Arial"/>
          <w:b/>
        </w:rPr>
        <w:t>,</w:t>
      </w:r>
      <w:r w:rsidR="002017B0">
        <w:rPr>
          <w:rFonts w:ascii="Arial" w:hAnsi="Arial" w:cs="Arial"/>
          <w:b/>
        </w:rPr>
        <w:t>662</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w:t>
      </w:r>
      <w:r w:rsidR="002017B0">
        <w:rPr>
          <w:rFonts w:ascii="Arial" w:hAnsi="Arial" w:cs="Arial"/>
          <w:b/>
        </w:rPr>
        <w:t>2</w:t>
      </w:r>
      <w:r w:rsidR="006267F7" w:rsidRPr="005E6466">
        <w:rPr>
          <w:rFonts w:ascii="Arial" w:hAnsi="Arial" w:cs="Arial"/>
          <w:b/>
        </w:rPr>
        <w:t>,</w:t>
      </w:r>
      <w:r w:rsidR="002017B0">
        <w:rPr>
          <w:rFonts w:ascii="Arial" w:hAnsi="Arial" w:cs="Arial"/>
          <w:b/>
        </w:rPr>
        <w:t>026</w:t>
      </w:r>
      <w:r w:rsidR="006267F7" w:rsidRPr="005E6466">
        <w:rPr>
          <w:rFonts w:ascii="Arial" w:hAnsi="Arial" w:cs="Arial"/>
          <w:b/>
        </w:rPr>
        <w:t>,</w:t>
      </w:r>
      <w:r w:rsidR="002017B0">
        <w:rPr>
          <w:rFonts w:ascii="Arial" w:hAnsi="Arial" w:cs="Arial"/>
          <w:b/>
        </w:rPr>
        <w:t>363</w:t>
      </w:r>
      <w:r w:rsidR="006267F7" w:rsidRPr="005E6466">
        <w:rPr>
          <w:rFonts w:ascii="Arial" w:hAnsi="Arial" w:cs="Arial"/>
          <w:b/>
        </w:rPr>
        <w:t>,</w:t>
      </w:r>
      <w:r w:rsidR="002017B0">
        <w:rPr>
          <w:rFonts w:ascii="Arial" w:hAnsi="Arial" w:cs="Arial"/>
          <w:b/>
        </w:rPr>
        <w:t>842</w:t>
      </w:r>
      <w:r w:rsidR="006267F7" w:rsidRPr="005E6466">
        <w:rPr>
          <w:rFonts w:ascii="Arial" w:hAnsi="Arial" w:cs="Arial"/>
          <w:b/>
        </w:rPr>
        <w:t>.00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$3</w:t>
      </w:r>
      <w:r w:rsidR="002017B0">
        <w:rPr>
          <w:rFonts w:ascii="Arial" w:hAnsi="Arial" w:cs="Arial"/>
          <w:b/>
        </w:rPr>
        <w:t>5</w:t>
      </w:r>
      <w:r w:rsidR="003912AF" w:rsidRPr="005E6466">
        <w:rPr>
          <w:rFonts w:ascii="Arial" w:hAnsi="Arial" w:cs="Arial"/>
          <w:b/>
        </w:rPr>
        <w:t>,</w:t>
      </w:r>
      <w:r w:rsidR="002017B0">
        <w:rPr>
          <w:rFonts w:ascii="Arial" w:hAnsi="Arial" w:cs="Arial"/>
          <w:b/>
        </w:rPr>
        <w:t>350</w:t>
      </w:r>
      <w:r w:rsidR="003912AF" w:rsidRPr="005E6466">
        <w:rPr>
          <w:rFonts w:ascii="Arial" w:hAnsi="Arial" w:cs="Arial"/>
          <w:b/>
        </w:rPr>
        <w:t>,</w:t>
      </w:r>
      <w:r w:rsidR="002017B0">
        <w:rPr>
          <w:rFonts w:ascii="Arial" w:hAnsi="Arial" w:cs="Arial"/>
          <w:b/>
        </w:rPr>
        <w:t>884</w:t>
      </w:r>
      <w:r w:rsidR="00DA0EAD" w:rsidRPr="005E6466">
        <w:rPr>
          <w:rFonts w:ascii="Arial" w:hAnsi="Arial" w:cs="Arial"/>
          <w:b/>
        </w:rPr>
        <w:t>,</w:t>
      </w:r>
      <w:r w:rsidR="002017B0">
        <w:rPr>
          <w:rFonts w:ascii="Arial" w:hAnsi="Arial" w:cs="Arial"/>
          <w:b/>
        </w:rPr>
        <w:t>840</w:t>
      </w:r>
      <w:r w:rsidR="003912AF" w:rsidRPr="005E6466">
        <w:rPr>
          <w:rFonts w:ascii="Arial" w:hAnsi="Arial" w:cs="Arial"/>
          <w:b/>
        </w:rPr>
        <w:t>.00</w:t>
      </w:r>
      <w:r w:rsidR="003912AF" w:rsidRPr="005E6466">
        <w:rPr>
          <w:rFonts w:ascii="Arial" w:hAnsi="Arial" w:cs="Arial"/>
        </w:rPr>
        <w:t xml:space="preserve"> a participaciones, aportaciones, convenios e incentivos; y, </w:t>
      </w:r>
      <w:r w:rsidR="003912AF" w:rsidRPr="005E6466">
        <w:rPr>
          <w:rFonts w:ascii="Arial" w:hAnsi="Arial" w:cs="Arial"/>
          <w:b/>
        </w:rPr>
        <w:t>$2,</w:t>
      </w:r>
      <w:r w:rsidR="002017B0">
        <w:rPr>
          <w:rFonts w:ascii="Arial" w:hAnsi="Arial" w:cs="Arial"/>
          <w:b/>
        </w:rPr>
        <w:t>174</w:t>
      </w:r>
      <w:r w:rsidR="003912AF" w:rsidRPr="005E6466">
        <w:rPr>
          <w:rFonts w:ascii="Arial" w:hAnsi="Arial" w:cs="Arial"/>
          <w:b/>
        </w:rPr>
        <w:t>,</w:t>
      </w:r>
      <w:r w:rsidR="002017B0">
        <w:rPr>
          <w:rFonts w:ascii="Arial" w:hAnsi="Arial" w:cs="Arial"/>
          <w:b/>
        </w:rPr>
        <w:t>094</w:t>
      </w:r>
      <w:r w:rsidR="003912AF" w:rsidRPr="005E6466">
        <w:rPr>
          <w:rFonts w:ascii="Arial" w:hAnsi="Arial" w:cs="Arial"/>
          <w:b/>
        </w:rPr>
        <w:t>,</w:t>
      </w:r>
      <w:r w:rsidR="002017B0">
        <w:rPr>
          <w:rFonts w:ascii="Arial" w:hAnsi="Arial" w:cs="Arial"/>
          <w:b/>
        </w:rPr>
        <w:t>546</w:t>
      </w:r>
      <w:r w:rsidR="003912AF" w:rsidRPr="005E6466">
        <w:rPr>
          <w:rFonts w:ascii="Arial" w:hAnsi="Arial" w:cs="Arial"/>
          <w:b/>
        </w:rPr>
        <w:t>.00</w:t>
      </w:r>
      <w:r w:rsidR="003912AF" w:rsidRPr="005E6466">
        <w:rPr>
          <w:rFonts w:ascii="Arial" w:hAnsi="Arial" w:cs="Arial"/>
        </w:rPr>
        <w:t xml:space="preserve"> a transferencias, asignaciones, subsidios y otras ayudas. </w:t>
      </w:r>
    </w:p>
    <w:p w:rsidR="003912AF" w:rsidRPr="005E6466" w:rsidRDefault="003912AF" w:rsidP="00463F25">
      <w:pPr>
        <w:spacing w:line="360" w:lineRule="auto"/>
        <w:ind w:firstLine="709"/>
        <w:jc w:val="both"/>
        <w:rPr>
          <w:rFonts w:ascii="Arial" w:hAnsi="Arial" w:cs="Arial"/>
        </w:rPr>
      </w:pPr>
    </w:p>
    <w:p w:rsidR="00463F25" w:rsidRDefault="003912AF" w:rsidP="00463F25">
      <w:pPr>
        <w:suppressAutoHyphens/>
        <w:spacing w:line="360" w:lineRule="auto"/>
        <w:jc w:val="both"/>
        <w:rPr>
          <w:rFonts w:ascii="Arial" w:hAnsi="Arial" w:cs="Arial"/>
        </w:rPr>
      </w:pPr>
      <w:r w:rsidRPr="005E6466">
        <w:rPr>
          <w:rFonts w:ascii="Arial" w:hAnsi="Arial" w:cs="Arial"/>
        </w:rPr>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w:t>
      </w:r>
      <w:r w:rsidR="00463F25">
        <w:rPr>
          <w:rFonts w:ascii="Arial" w:hAnsi="Arial" w:cs="Arial"/>
          <w:lang w:val="es-MX"/>
        </w:rPr>
        <w:t>2</w:t>
      </w:r>
      <w:r w:rsidRPr="005E6466">
        <w:rPr>
          <w:rFonts w:ascii="Arial" w:hAnsi="Arial" w:cs="Arial"/>
          <w:lang w:val="es-MX"/>
        </w:rPr>
        <w:t xml:space="preserve">, </w:t>
      </w:r>
      <w:r w:rsidR="00463F25" w:rsidRPr="00085C30">
        <w:rPr>
          <w:rFonts w:ascii="Arial" w:hAnsi="Arial" w:cs="Arial"/>
        </w:rPr>
        <w:t>se conforma por treinta y dos artículos, divididos en cuatro capítulos. El capítulo I, denominado “Ingresos”, es el más relevante del documento y establece la estimación de los ingresos que el Gobierno del estado, en todos sus ámbitos, considera obtener para el ejercicio fiscal 2022. El capítulo II, denominado “Recaudaci</w:t>
      </w:r>
      <w:r w:rsidR="004A6631">
        <w:rPr>
          <w:rFonts w:ascii="Arial" w:hAnsi="Arial" w:cs="Arial"/>
        </w:rPr>
        <w:t>ón y concentración de ingresos”</w:t>
      </w:r>
      <w:r w:rsidR="00463F25" w:rsidRPr="00085C30">
        <w:rPr>
          <w:rFonts w:ascii="Arial" w:hAnsi="Arial" w:cs="Arial"/>
        </w:rPr>
        <w:t xml:space="preserve">. El capítulo III, denominado “Sujetos públicos obligados. El capítulo IV, denominado “Facilidades a los contribuyentes. Finalmente, se incluyen </w:t>
      </w:r>
      <w:r w:rsidR="004A6631">
        <w:rPr>
          <w:rFonts w:ascii="Arial" w:hAnsi="Arial" w:cs="Arial"/>
        </w:rPr>
        <w:t xml:space="preserve">los </w:t>
      </w:r>
      <w:r w:rsidR="00463F25" w:rsidRPr="00085C30">
        <w:rPr>
          <w:rFonts w:ascii="Arial" w:hAnsi="Arial" w:cs="Arial"/>
        </w:rPr>
        <w:t>artículos transitorios con disposiciones que permitirán una efectiva entrada en vigor y aplicación de la ley.</w:t>
      </w:r>
    </w:p>
    <w:p w:rsidR="00463F25" w:rsidRDefault="00463F25" w:rsidP="00463F25">
      <w:pPr>
        <w:suppressAutoHyphens/>
        <w:spacing w:line="360" w:lineRule="auto"/>
        <w:jc w:val="both"/>
        <w:rPr>
          <w:rFonts w:ascii="Arial" w:hAnsi="Arial" w:cs="Arial"/>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lastRenderedPageBreak/>
        <w:t xml:space="preserve">El </w:t>
      </w:r>
      <w:r w:rsidRPr="005E6466">
        <w:rPr>
          <w:rFonts w:ascii="Arial" w:hAnsi="Arial" w:cs="Arial"/>
        </w:rPr>
        <w:t>Capítulo I denominado “Ingresos” es el más relevante del documento y establece la estimación de los ingresos, que el Gobierno del estado en todos sus ámbitos considera obten</w:t>
      </w:r>
      <w:r w:rsidR="007959A7">
        <w:rPr>
          <w:rFonts w:ascii="Arial" w:hAnsi="Arial" w:cs="Arial"/>
        </w:rPr>
        <w:t>er para el ejercicio fiscal 2022</w:t>
      </w:r>
      <w:r w:rsidRPr="005E6466">
        <w:rPr>
          <w:rFonts w:ascii="Arial" w:hAnsi="Arial" w:cs="Arial"/>
        </w:rPr>
        <w:t>.</w:t>
      </w:r>
    </w:p>
    <w:p w:rsidR="00463F25" w:rsidRPr="005E6466" w:rsidRDefault="00463F25" w:rsidP="00463F25">
      <w:pPr>
        <w:spacing w:line="360" w:lineRule="auto"/>
        <w:ind w:firstLine="720"/>
        <w:jc w:val="both"/>
        <w:rPr>
          <w:rFonts w:ascii="Arial" w:hAnsi="Arial" w:cs="Arial"/>
          <w:lang w:val="es-MX"/>
        </w:rPr>
      </w:pPr>
    </w:p>
    <w:p w:rsidR="00463F25" w:rsidRPr="005E6466" w:rsidRDefault="00463F25" w:rsidP="00463F25">
      <w:pPr>
        <w:spacing w:line="360" w:lineRule="auto"/>
        <w:ind w:firstLine="720"/>
        <w:jc w:val="both"/>
        <w:rPr>
          <w:rFonts w:ascii="Arial" w:hAnsi="Arial" w:cs="Arial"/>
        </w:rPr>
      </w:pPr>
      <w:r w:rsidRPr="005E6466">
        <w:rPr>
          <w:rFonts w:ascii="Arial" w:hAnsi="Arial" w:cs="Arial"/>
          <w:lang w:val="es-MX"/>
        </w:rPr>
        <w:t xml:space="preserve">El </w:t>
      </w:r>
      <w:r w:rsidRPr="005E6466">
        <w:rPr>
          <w:rFonts w:ascii="Arial" w:hAnsi="Arial" w:cs="Arial"/>
        </w:rPr>
        <w:t>Capítulo II denominado “Recaudación y concentración de ingresos”, refiere a la manera en que se hará la recaudación y cómo se concentrarán los recursos públicos del estado por diversos rubros.</w:t>
      </w:r>
    </w:p>
    <w:p w:rsidR="00463F25" w:rsidRPr="005E6466" w:rsidRDefault="00463F25" w:rsidP="00463F25">
      <w:pPr>
        <w:spacing w:line="360" w:lineRule="auto"/>
        <w:ind w:firstLine="720"/>
        <w:jc w:val="both"/>
        <w:rPr>
          <w:rFonts w:ascii="Arial" w:hAnsi="Arial" w:cs="Arial"/>
          <w:iCs/>
          <w:lang w:val="es-MX"/>
        </w:rPr>
      </w:pPr>
    </w:p>
    <w:p w:rsidR="00463F25" w:rsidRPr="005E6466" w:rsidRDefault="00463F25" w:rsidP="00463F25">
      <w:pPr>
        <w:spacing w:line="360" w:lineRule="auto"/>
        <w:jc w:val="both"/>
        <w:rPr>
          <w:rFonts w:ascii="Arial" w:hAnsi="Arial" w:cs="Arial"/>
        </w:rPr>
      </w:pPr>
      <w:r w:rsidRPr="005E6466">
        <w:rPr>
          <w:rFonts w:ascii="Arial" w:hAnsi="Arial" w:cs="Arial"/>
        </w:rPr>
        <w:tab/>
        <w:t xml:space="preserve">El Capítulo III, denominado “Sujetos públicos obligados”, únicamente contiene un artículo que refiere a los sujetos públicos obligados al pago de contribuciones. </w:t>
      </w:r>
    </w:p>
    <w:p w:rsidR="00463F25" w:rsidRPr="005E6466" w:rsidRDefault="00463F25" w:rsidP="00463F25">
      <w:pPr>
        <w:spacing w:line="360" w:lineRule="auto"/>
        <w:jc w:val="both"/>
        <w:rPr>
          <w:rFonts w:ascii="Arial" w:hAnsi="Arial" w:cs="Arial"/>
        </w:rPr>
      </w:pPr>
    </w:p>
    <w:p w:rsidR="00463F25" w:rsidRPr="005E6466" w:rsidRDefault="00463F25" w:rsidP="00463F25">
      <w:pPr>
        <w:spacing w:line="360" w:lineRule="auto"/>
        <w:ind w:firstLine="708"/>
        <w:jc w:val="both"/>
        <w:rPr>
          <w:rFonts w:ascii="Arial" w:hAnsi="Arial" w:cs="Arial"/>
        </w:rPr>
      </w:pPr>
      <w:r w:rsidRPr="005E6466">
        <w:rPr>
          <w:rFonts w:ascii="Arial" w:hAnsi="Arial" w:cs="Arial"/>
        </w:rPr>
        <w:t xml:space="preserve">El Capítulo IV, denominado “Facilidades a los contribuyentes”, señala las herramientas y los mecanismos encaminados a facilitar el correcto y responsable cumplimiento de las obligaciones tributarias. Por último, como se ha referido se incluyen los </w:t>
      </w:r>
      <w:r w:rsidR="004A6631">
        <w:rPr>
          <w:rFonts w:ascii="Arial" w:hAnsi="Arial" w:cs="Arial"/>
        </w:rPr>
        <w:t xml:space="preserve">cinco </w:t>
      </w:r>
      <w:r w:rsidRPr="005E6466">
        <w:rPr>
          <w:rFonts w:ascii="Arial" w:hAnsi="Arial" w:cs="Arial"/>
        </w:rPr>
        <w:t xml:space="preserve">artículos transitorios necesarios para la efectiva aplicación de la ley. </w:t>
      </w:r>
    </w:p>
    <w:p w:rsidR="00463F25" w:rsidRPr="005E6466" w:rsidRDefault="00463F25" w:rsidP="00463F25">
      <w:pPr>
        <w:spacing w:line="360" w:lineRule="auto"/>
        <w:ind w:firstLine="708"/>
        <w:jc w:val="both"/>
        <w:rPr>
          <w:rFonts w:ascii="Arial" w:hAnsi="Arial" w:cs="Arial"/>
        </w:rPr>
      </w:pPr>
    </w:p>
    <w:p w:rsidR="007A0B9A" w:rsidRDefault="003E5208" w:rsidP="001732BC">
      <w:pPr>
        <w:spacing w:line="360" w:lineRule="auto"/>
        <w:ind w:firstLine="708"/>
        <w:jc w:val="both"/>
        <w:rPr>
          <w:rFonts w:ascii="Arial" w:hAnsi="Arial" w:cs="Arial"/>
        </w:rPr>
      </w:pPr>
      <w:r w:rsidRPr="005E6466">
        <w:rPr>
          <w:rFonts w:ascii="Arial" w:hAnsi="Arial" w:cs="Arial"/>
          <w:b/>
        </w:rPr>
        <w:t xml:space="preserve">QUINTO. </w:t>
      </w:r>
      <w:r w:rsidR="00276E0D" w:rsidRPr="005E6466">
        <w:rPr>
          <w:rFonts w:ascii="Arial" w:hAnsi="Arial" w:cs="Arial"/>
        </w:rPr>
        <w:t xml:space="preserve">Por otra parte, </w:t>
      </w:r>
      <w:r w:rsidR="002017B0">
        <w:rPr>
          <w:rFonts w:ascii="Arial" w:hAnsi="Arial" w:cs="Arial"/>
        </w:rPr>
        <w:t>conformidad con</w:t>
      </w:r>
      <w:r w:rsidR="002017B0" w:rsidRPr="00D93F7E">
        <w:rPr>
          <w:rFonts w:ascii="Arial" w:hAnsi="Arial" w:cs="Arial"/>
        </w:rPr>
        <w:t xml:space="preserve"> lo establecido en el artículo 52, fracción V, de la Ley del Presupuesto y Contabilidad Gubernamental del Estado de Yucatán</w:t>
      </w:r>
      <w:r w:rsidR="002017B0">
        <w:rPr>
          <w:rFonts w:ascii="Arial" w:hAnsi="Arial" w:cs="Arial"/>
        </w:rPr>
        <w:t>,</w:t>
      </w:r>
      <w:r w:rsidR="002017B0" w:rsidRPr="00D93F7E">
        <w:rPr>
          <w:rFonts w:ascii="Arial" w:hAnsi="Arial" w:cs="Arial"/>
        </w:rPr>
        <w:t xml:space="preserve"> para el programa de financiamiento 2022</w:t>
      </w:r>
      <w:r w:rsidR="002017B0">
        <w:rPr>
          <w:rFonts w:ascii="Arial" w:hAnsi="Arial" w:cs="Arial"/>
        </w:rPr>
        <w:t>,</w:t>
      </w:r>
      <w:r w:rsidR="002017B0" w:rsidRPr="00D93F7E">
        <w:rPr>
          <w:rFonts w:ascii="Arial" w:hAnsi="Arial" w:cs="Arial"/>
        </w:rPr>
        <w:t xml:space="preserve"> la estimación de las amortizaciones y el costo del servicio de la deuda de largo plazo que se cubrirán durante el ejercicio fiscal 2022 es de $65,946,307.00 y de $455,601,172.00, respectivamente. L</w:t>
      </w:r>
      <w:r w:rsidR="002017B0">
        <w:rPr>
          <w:rFonts w:ascii="Arial" w:hAnsi="Arial" w:cs="Arial"/>
        </w:rPr>
        <w:t>as cifras señaladas</w:t>
      </w:r>
      <w:r w:rsidR="002017B0"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w:t>
      </w:r>
      <w:r w:rsidR="002017B0" w:rsidRPr="00D93F7E">
        <w:rPr>
          <w:rFonts w:ascii="Arial" w:hAnsi="Arial" w:cs="Arial"/>
        </w:rPr>
        <w:lastRenderedPageBreak/>
        <w:t>de Hacienda y Crédito Público: P31-0413037, P31-1119054, P31-1020086, P31-1020087 y P31-1020088</w:t>
      </w:r>
      <w:r w:rsidR="002017B0">
        <w:rPr>
          <w:rFonts w:ascii="Arial" w:hAnsi="Arial" w:cs="Arial"/>
        </w:rPr>
        <w:t>.</w:t>
      </w:r>
    </w:p>
    <w:p w:rsidR="007A0B9A" w:rsidRPr="005E6466" w:rsidRDefault="007A0B9A" w:rsidP="001732BC">
      <w:pPr>
        <w:spacing w:line="360" w:lineRule="auto"/>
        <w:ind w:firstLine="708"/>
        <w:jc w:val="both"/>
        <w:rPr>
          <w:rFonts w:ascii="Arial" w:hAnsi="Arial" w:cs="Arial"/>
        </w:rPr>
      </w:pPr>
    </w:p>
    <w:p w:rsidR="001732BC"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en el artículo 5 de la Ley de Ingresos del Estado de Yucatán para el Ejercicio Fiscal 202</w:t>
      </w:r>
      <w:r w:rsidR="007959A7">
        <w:rPr>
          <w:rFonts w:ascii="Arial" w:hAnsi="Arial" w:cs="Arial"/>
        </w:rPr>
        <w:t>1</w:t>
      </w:r>
      <w:r w:rsidR="00A11A4A" w:rsidRPr="005E6466">
        <w:rPr>
          <w:rFonts w:ascii="Arial" w:hAnsi="Arial" w:cs="Arial"/>
        </w:rPr>
        <w:t xml:space="preserve">,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7959A7" w:rsidRPr="005E6466" w:rsidRDefault="007959A7" w:rsidP="001732BC">
      <w:pPr>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Pr>
          <w:rFonts w:ascii="Arial" w:hAnsi="Arial" w:cs="Arial"/>
        </w:rPr>
        <w:t>Por otra parte, mencionan que</w:t>
      </w:r>
      <w:r w:rsidRPr="007959A7">
        <w:rPr>
          <w:rFonts w:ascii="Arial" w:hAnsi="Arial" w:cs="Arial"/>
        </w:rPr>
        <w:t xml:space="preserve"> 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2022:</w:t>
      </w:r>
    </w:p>
    <w:p w:rsidR="004851E2" w:rsidRPr="007959A7" w:rsidRDefault="004851E2"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a) Continuidad de la pandemia ocasionada por el virus SARS-CoV-2 y su aparejada desaceleración económica</w:t>
      </w:r>
      <w:r w:rsidRPr="007959A7">
        <w:rPr>
          <w:rFonts w:ascii="Arial" w:hAnsi="Arial" w:cs="Arial"/>
        </w:rPr>
        <w:t xml:space="preserve">. De prolongarse significativamente la presente crisis sanitaria, la recuperación de las interrupciones en las cadenas de suministros sería más lenta, lo que podría tener efectos negativos en la inflación, en el empleo y en los ingresos de los hogares. Esto </w:t>
      </w:r>
      <w:proofErr w:type="gramStart"/>
      <w:r w:rsidRPr="007959A7">
        <w:rPr>
          <w:rFonts w:ascii="Arial" w:hAnsi="Arial" w:cs="Arial"/>
        </w:rPr>
        <w:t>implicaría</w:t>
      </w:r>
      <w:proofErr w:type="gramEnd"/>
      <w:r w:rsidRPr="007959A7">
        <w:rPr>
          <w:rFonts w:ascii="Arial" w:hAnsi="Arial" w:cs="Arial"/>
        </w:rPr>
        <w:t xml:space="preserve"> además, como vimos en el año 2020, una baja recaudación a nivel local y federal, aunada a mayores necesidades de gasto para la atención hospitalaria, prevención y subsidios dirigidos a la población en mayor riesgo.</w:t>
      </w:r>
    </w:p>
    <w:p w:rsidR="007959A7" w:rsidRPr="007959A7" w:rsidRDefault="007959A7"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b) Ajustes a las participaciones por el cálculo del coeficiente de participaciones 2022.</w:t>
      </w:r>
      <w:r w:rsidRPr="007959A7">
        <w:rPr>
          <w:rFonts w:ascii="Arial" w:hAnsi="Arial" w:cs="Arial"/>
          <w:i/>
        </w:rPr>
        <w:t xml:space="preserve"> </w:t>
      </w:r>
      <w:r w:rsidRPr="007959A7">
        <w:rPr>
          <w:rFonts w:ascii="Arial" w:hAnsi="Arial" w:cs="Arial"/>
        </w:rPr>
        <w:t xml:space="preserve">El coeficiente aplicado para la distribución de recursos </w:t>
      </w:r>
      <w:r w:rsidRPr="007959A7">
        <w:rPr>
          <w:rFonts w:ascii="Arial" w:hAnsi="Arial" w:cs="Arial"/>
        </w:rPr>
        <w:lastRenderedPageBreak/>
        <w:t xml:space="preserve">del Fondo General de Participaciones se modifica cada año en función de los resultados de recaudación publicados en las Cuentas Públicas previas inmediatas. </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c)</w:t>
      </w:r>
      <w:r w:rsidRPr="007959A7">
        <w:rPr>
          <w:rFonts w:ascii="Arial" w:hAnsi="Arial" w:cs="Arial"/>
          <w:i/>
        </w:rPr>
        <w:t xml:space="preserve"> </w:t>
      </w:r>
      <w:r w:rsidRPr="007959A7">
        <w:rPr>
          <w:rFonts w:ascii="Arial" w:hAnsi="Arial" w:cs="Arial"/>
          <w:iCs/>
        </w:rPr>
        <w:t>Modificaciones fiscales y presupuestales del Gobierno federal.</w:t>
      </w:r>
      <w:r w:rsidRPr="007959A7">
        <w:rPr>
          <w:rFonts w:ascii="Arial" w:hAnsi="Arial" w:cs="Arial"/>
          <w:i/>
        </w:rPr>
        <w:t xml:space="preserve"> </w:t>
      </w:r>
      <w:r w:rsidRPr="007959A7">
        <w:rPr>
          <w:rFonts w:ascii="Arial" w:hAnsi="Arial" w:cs="Arial"/>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2022 propuesto al H. Congreso del estado ha estimado los ingresos únicamente de aquellos convenios para los que se asignaron recursos en el Presupuesto de Egresos de la Federación 2022.</w:t>
      </w:r>
    </w:p>
    <w:p w:rsidR="001B04B6" w:rsidRPr="007959A7" w:rsidRDefault="001B04B6" w:rsidP="007959A7">
      <w:pPr>
        <w:suppressAutoHyphens/>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sidRPr="007959A7">
        <w:rPr>
          <w:rFonts w:ascii="Arial" w:hAnsi="Arial" w:cs="Arial"/>
          <w:iCs/>
        </w:rPr>
        <w:t>d)</w:t>
      </w:r>
      <w:r w:rsidRPr="007959A7">
        <w:rPr>
          <w:rFonts w:ascii="Arial" w:hAnsi="Arial" w:cs="Arial"/>
          <w:i/>
        </w:rPr>
        <w:t xml:space="preserve"> </w:t>
      </w:r>
      <w:r w:rsidRPr="007959A7">
        <w:rPr>
          <w:rFonts w:ascii="Arial" w:hAnsi="Arial" w:cs="Arial"/>
          <w:iCs/>
        </w:rPr>
        <w:t>Modificación de la tasa de referencia.</w:t>
      </w:r>
      <w:r w:rsidRPr="007959A7">
        <w:rPr>
          <w:rFonts w:ascii="Arial" w:hAnsi="Arial" w:cs="Arial"/>
          <w:i/>
        </w:rPr>
        <w:t xml:space="preserve"> </w:t>
      </w:r>
      <w:r w:rsidRPr="007959A7">
        <w:rPr>
          <w:rFonts w:ascii="Arial" w:hAnsi="Arial" w:cs="Arial"/>
        </w:rPr>
        <w:t xml:space="preserve">Los impactos negativos en la actividad económica mundial y nacional implicarán cambios en la política monetaria en función del desempeño de los mercados financieros internacionales. Las políticas monetarias expansivas generarán presiones a las tasas de interés de referencia fijadas por el Banco Central. </w:t>
      </w:r>
    </w:p>
    <w:p w:rsidR="001B04B6" w:rsidRPr="007959A7" w:rsidRDefault="001B04B6" w:rsidP="007959A7">
      <w:pPr>
        <w:suppressAutoHyphens/>
        <w:spacing w:line="360" w:lineRule="auto"/>
        <w:ind w:firstLine="708"/>
        <w:jc w:val="both"/>
        <w:rPr>
          <w:rFonts w:ascii="Arial" w:hAnsi="Arial" w:cs="Arial"/>
        </w:rPr>
      </w:pPr>
    </w:p>
    <w:p w:rsidR="007959A7" w:rsidRPr="007959A7" w:rsidRDefault="007959A7" w:rsidP="001B04B6">
      <w:pPr>
        <w:suppressAutoHyphens/>
        <w:spacing w:line="360" w:lineRule="auto"/>
        <w:ind w:firstLine="708"/>
        <w:jc w:val="both"/>
        <w:rPr>
          <w:rFonts w:ascii="Arial" w:hAnsi="Arial" w:cs="Arial"/>
        </w:rPr>
      </w:pPr>
      <w:r w:rsidRPr="007959A7">
        <w:rPr>
          <w:rFonts w:ascii="Arial" w:hAnsi="Arial" w:cs="Arial"/>
        </w:rPr>
        <w:t xml:space="preserve">Esta situación podría presentarse en el año 2022, con lo que las entidades federativas enfrentarían un mayor costo del servicio de la deuda y condiciones menos favorables para acceder o reestructurar los financiamientos. El paquete económico 2022 ha estimado recursos para la posible contratación de coberturas que permitan mitigar adecuadamente la deuda, sin incurrir en costos onerosos, en función de la conveniencia que se presente en los mercados financieros. </w:t>
      </w:r>
    </w:p>
    <w:p w:rsidR="00321887" w:rsidRPr="007959A7" w:rsidRDefault="00321887" w:rsidP="007959A7">
      <w:pPr>
        <w:spacing w:line="360" w:lineRule="auto"/>
        <w:ind w:firstLine="708"/>
        <w:jc w:val="both"/>
        <w:rPr>
          <w:rFonts w:ascii="Arial" w:hAnsi="Arial" w:cs="Arial"/>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696227" w:rsidRPr="005E6466">
        <w:rPr>
          <w:rFonts w:ascii="Arial" w:hAnsi="Arial" w:cs="Arial"/>
          <w:iCs/>
          <w:lang w:val="es-MX"/>
        </w:rPr>
        <w:t>Esta c</w:t>
      </w:r>
      <w:r w:rsidR="003912AF" w:rsidRPr="005E6466">
        <w:rPr>
          <w:rFonts w:ascii="Arial" w:hAnsi="Arial" w:cs="Arial"/>
          <w:iCs/>
          <w:lang w:val="es-MX"/>
        </w:rPr>
        <w:t xml:space="preserve">omisión </w:t>
      </w:r>
      <w:r w:rsidR="00696227" w:rsidRPr="005E646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w:t>
      </w:r>
      <w:r w:rsidR="00E963F6" w:rsidRPr="005E6466">
        <w:rPr>
          <w:rFonts w:ascii="Arial" w:hAnsi="Arial" w:cs="Arial"/>
          <w:iCs/>
          <w:lang w:val="es-MX"/>
        </w:rPr>
        <w:t xml:space="preserve">Ley </w:t>
      </w:r>
      <w:r w:rsidR="00891E48" w:rsidRPr="005E6466">
        <w:rPr>
          <w:rFonts w:ascii="Arial" w:hAnsi="Arial" w:cs="Arial"/>
          <w:iCs/>
          <w:lang w:val="es-MX"/>
        </w:rPr>
        <w:t xml:space="preserve">General </w:t>
      </w:r>
      <w:r w:rsidR="00E963F6" w:rsidRPr="005E6466">
        <w:rPr>
          <w:rFonts w:ascii="Arial" w:hAnsi="Arial" w:cs="Arial"/>
          <w:iCs/>
          <w:lang w:val="es-MX"/>
        </w:rPr>
        <w:t>de Hacienda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t>Por lo que se estima que los preceptos legales que contiene la iniciativa de Ley de Ingresos del Estado de Yucat</w:t>
      </w:r>
      <w:r w:rsidR="00D83C50" w:rsidRPr="005E6466">
        <w:rPr>
          <w:rFonts w:ascii="Arial" w:hAnsi="Arial" w:cs="Arial"/>
          <w:iCs/>
          <w:lang w:val="es-ES_tradnl"/>
        </w:rPr>
        <w:t>án para el Ejercicio Fiscal 202</w:t>
      </w:r>
      <w:r w:rsidR="002017B0">
        <w:rPr>
          <w:rFonts w:ascii="Arial" w:hAnsi="Arial" w:cs="Arial"/>
          <w:iCs/>
          <w:lang w:val="es-ES_tradnl"/>
        </w:rPr>
        <w:t>2</w:t>
      </w:r>
      <w:r w:rsidRPr="005E6466">
        <w:rPr>
          <w:rFonts w:ascii="Arial" w:hAnsi="Arial" w:cs="Arial"/>
          <w:iCs/>
          <w:lang w:val="es-ES_tradnl"/>
        </w:rPr>
        <w:t xml:space="preserve">, son congruentes con las disposiciones fiscales federales y estatales, con los preceptos relativos y aplicables de </w:t>
      </w:r>
      <w:smartTag w:uri="urn:schemas-microsoft-com:office:smarttags" w:element="PersonName">
        <w:smartTagPr>
          <w:attr w:name="ProductID" w:val="̂"/>
        </w:smartTagPr>
        <w:r w:rsidRPr="005E6466">
          <w:rPr>
            <w:rFonts w:ascii="Arial" w:hAnsi="Arial" w:cs="Arial"/>
            <w:iCs/>
            <w:lang w:val="es-ES_tradnl"/>
          </w:rPr>
          <w:t>la Constitución Política</w:t>
        </w:r>
      </w:smartTag>
      <w:r w:rsidRPr="005E6466">
        <w:rPr>
          <w:rFonts w:ascii="Arial" w:hAnsi="Arial" w:cs="Arial"/>
          <w:iCs/>
          <w:lang w:val="es-ES_tradnl"/>
        </w:rPr>
        <w:t xml:space="preserve">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w:t>
      </w:r>
      <w:proofErr w:type="gramStart"/>
      <w:r w:rsidRPr="005E6466">
        <w:rPr>
          <w:rFonts w:ascii="Arial" w:hAnsi="Arial" w:cs="Arial"/>
          <w:iCs/>
          <w:lang w:val="es-MX"/>
        </w:rPr>
        <w:t>que</w:t>
      </w:r>
      <w:proofErr w:type="gramEnd"/>
      <w:r w:rsidRPr="005E6466">
        <w:rPr>
          <w:rFonts w:ascii="Arial" w:hAnsi="Arial" w:cs="Arial"/>
          <w:iCs/>
          <w:lang w:val="es-MX"/>
        </w:rPr>
        <w:t xml:space="preserve"> en sesiones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00182150">
        <w:rPr>
          <w:rFonts w:ascii="Arial" w:hAnsi="Arial" w:cs="Arial"/>
          <w:iCs/>
          <w:lang w:val="es-MX"/>
        </w:rPr>
        <w:t>integrantes realizaron diverso</w:t>
      </w:r>
      <w:r w:rsidRPr="005E6466">
        <w:rPr>
          <w:rFonts w:ascii="Arial" w:hAnsi="Arial" w:cs="Arial"/>
          <w:iCs/>
          <w:lang w:val="es-MX"/>
        </w:rPr>
        <w:t xml:space="preserve">s </w:t>
      </w:r>
      <w:r w:rsidR="00182150">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sidR="00182150">
        <w:rPr>
          <w:rFonts w:ascii="Arial" w:hAnsi="Arial" w:cs="Arial"/>
          <w:iCs/>
          <w:lang w:val="es-MX"/>
        </w:rPr>
        <w:t>do.</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FC474F" w:rsidRPr="005E6466">
        <w:rPr>
          <w:rFonts w:ascii="Arial" w:hAnsi="Arial" w:cs="Arial"/>
          <w:iCs/>
          <w:lang w:val="es-MX"/>
        </w:rPr>
        <w:t>l</w:t>
      </w:r>
      <w:r w:rsidR="003912AF" w:rsidRPr="005E6466">
        <w:rPr>
          <w:rFonts w:ascii="Arial" w:hAnsi="Arial" w:cs="Arial"/>
          <w:iCs/>
          <w:lang w:val="es-MX"/>
        </w:rPr>
        <w:t xml:space="preserve">ey, los integrantes que conformamos esta </w:t>
      </w:r>
      <w:r w:rsidR="00FC474F" w:rsidRPr="005E6466">
        <w:rPr>
          <w:rFonts w:ascii="Arial" w:hAnsi="Arial" w:cs="Arial"/>
          <w:iCs/>
          <w:lang w:val="es-MX"/>
        </w:rPr>
        <w:t>c</w:t>
      </w:r>
      <w:r w:rsidR="003912AF" w:rsidRPr="005E6466">
        <w:rPr>
          <w:rFonts w:ascii="Arial" w:hAnsi="Arial" w:cs="Arial"/>
          <w:iCs/>
          <w:lang w:val="es-MX"/>
        </w:rPr>
        <w:t xml:space="preserve">omisión, y conscientes que el objetivo de la iniciativa, es establecer una política fiscal que conceda mayor seguridad jurídica al contribuyente, facilitando su aplicación con eficiencia administrativa y congruencia para ejercer la potestad tributaria de modo responsable, </w:t>
      </w:r>
      <w:r w:rsidR="003912AF" w:rsidRPr="005E6466">
        <w:rPr>
          <w:rFonts w:ascii="Arial" w:hAnsi="Arial" w:cs="Arial"/>
          <w:iCs/>
          <w:lang w:val="es-MX"/>
        </w:rPr>
        <w:lastRenderedPageBreak/>
        <w:t xml:space="preserve">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9F7E00" w:rsidRPr="005E6466">
        <w:rPr>
          <w:rFonts w:ascii="Arial" w:hAnsi="Arial" w:cs="Arial"/>
          <w:iCs/>
          <w:lang w:val="es-MX"/>
        </w:rPr>
        <w:t>l</w:t>
      </w:r>
      <w:r w:rsidR="003912AF" w:rsidRPr="005E6466">
        <w:rPr>
          <w:rFonts w:ascii="Arial" w:hAnsi="Arial" w:cs="Arial"/>
          <w:iCs/>
          <w:lang w:val="es-MX"/>
        </w:rPr>
        <w:t>ey.</w:t>
      </w:r>
    </w:p>
    <w:p w:rsidR="003912AF" w:rsidRPr="005E6466" w:rsidRDefault="003912AF" w:rsidP="007A18EB">
      <w:pPr>
        <w:spacing w:line="360" w:lineRule="auto"/>
        <w:ind w:firstLine="708"/>
        <w:jc w:val="both"/>
        <w:rPr>
          <w:rFonts w:ascii="Arial" w:hAnsi="Arial" w:cs="Arial"/>
          <w:iCs/>
          <w:lang w:val="es-MX"/>
        </w:rPr>
      </w:pPr>
    </w:p>
    <w:p w:rsidR="00905C7F" w:rsidRPr="005E6466" w:rsidRDefault="00D54F75" w:rsidP="00E3795A">
      <w:pPr>
        <w:pStyle w:val="NormalWeb"/>
        <w:spacing w:before="0" w:beforeAutospacing="0" w:after="0" w:afterAutospacing="0" w:line="360" w:lineRule="auto"/>
        <w:ind w:firstLine="709"/>
        <w:jc w:val="both"/>
        <w:rPr>
          <w:b/>
        </w:rPr>
      </w:pPr>
      <w:r w:rsidRPr="005E6466">
        <w:rPr>
          <w:lang w:val="es-MX"/>
        </w:rPr>
        <w:t>Por todo lo anterior expuesto, c</w:t>
      </w:r>
      <w:r w:rsidR="00A94550" w:rsidRPr="005E6466">
        <w:rPr>
          <w:lang w:val="es-MX"/>
        </w:rPr>
        <w:t>on fundamento en los artículos 30</w:t>
      </w:r>
      <w:r w:rsidR="00C928CD" w:rsidRPr="005E6466">
        <w:rPr>
          <w:lang w:val="es-MX"/>
        </w:rPr>
        <w:t>,</w:t>
      </w:r>
      <w:r w:rsidR="00A94550" w:rsidRPr="005E6466">
        <w:rPr>
          <w:lang w:val="es-MX"/>
        </w:rPr>
        <w:t xml:space="preserve"> fracci</w:t>
      </w:r>
      <w:r w:rsidR="00D4329D" w:rsidRPr="005E6466">
        <w:rPr>
          <w:lang w:val="es-MX"/>
        </w:rPr>
        <w:t>ones</w:t>
      </w:r>
      <w:r w:rsidR="00A94550" w:rsidRPr="005E6466">
        <w:rPr>
          <w:lang w:val="es-MX"/>
        </w:rPr>
        <w:t xml:space="preserve"> V</w:t>
      </w:r>
      <w:r w:rsidR="00D4329D" w:rsidRPr="005E6466">
        <w:rPr>
          <w:lang w:val="es-MX"/>
        </w:rPr>
        <w:t xml:space="preserve"> y VI</w:t>
      </w:r>
      <w:r w:rsidR="00A94550" w:rsidRPr="005E6466">
        <w:rPr>
          <w:lang w:val="es-MX"/>
        </w:rPr>
        <w:t xml:space="preserve"> de la Constitución Política, 18 y 43</w:t>
      </w:r>
      <w:r w:rsidR="00C928CD" w:rsidRPr="005E6466">
        <w:rPr>
          <w:lang w:val="es-MX"/>
        </w:rPr>
        <w:t>,</w:t>
      </w:r>
      <w:r w:rsidR="00A94550" w:rsidRPr="005E6466">
        <w:rPr>
          <w:lang w:val="es-MX"/>
        </w:rPr>
        <w:t xml:space="preserve"> fracción IV</w:t>
      </w:r>
      <w:r w:rsidR="00C928CD" w:rsidRPr="005E6466">
        <w:rPr>
          <w:lang w:val="es-MX"/>
        </w:rPr>
        <w:t>,</w:t>
      </w:r>
      <w:r w:rsidR="00A94550" w:rsidRPr="005E6466">
        <w:rPr>
          <w:lang w:val="es-MX"/>
        </w:rPr>
        <w:t xml:space="preserve"> inciso a)</w:t>
      </w:r>
      <w:r w:rsidR="00C928CD" w:rsidRPr="005E6466">
        <w:rPr>
          <w:lang w:val="es-MX"/>
        </w:rPr>
        <w:t>,</w:t>
      </w:r>
      <w:r w:rsidR="00A94550" w:rsidRPr="005E6466">
        <w:rPr>
          <w:lang w:val="es-MX"/>
        </w:rPr>
        <w:t xml:space="preserve"> de la Ley de Gobierno del Poder Legislativo y 71</w:t>
      </w:r>
      <w:r w:rsidR="00C928CD" w:rsidRPr="005E6466">
        <w:rPr>
          <w:lang w:val="es-MX"/>
        </w:rPr>
        <w:t>,</w:t>
      </w:r>
      <w:r w:rsidR="00A94550" w:rsidRPr="005E6466">
        <w:rPr>
          <w:lang w:val="es-MX"/>
        </w:rPr>
        <w:t xml:space="preserve"> fracción II</w:t>
      </w:r>
      <w:r w:rsidR="00C928CD" w:rsidRPr="005E6466">
        <w:rPr>
          <w:lang w:val="es-MX"/>
        </w:rPr>
        <w:t>,</w:t>
      </w:r>
      <w:r w:rsidR="00A94550" w:rsidRPr="005E6466">
        <w:rPr>
          <w:lang w:val="es-MX"/>
        </w:rPr>
        <w:t xml:space="preserve"> del Reglamento de la Ley de Gobierno de</w:t>
      </w:r>
      <w:r w:rsidR="00080502" w:rsidRPr="005E6466">
        <w:rPr>
          <w:lang w:val="es-MX"/>
        </w:rPr>
        <w:t>l Poder Legislativo, todos del e</w:t>
      </w:r>
      <w:r w:rsidR="00A94550" w:rsidRPr="005E6466">
        <w:rPr>
          <w:lang w:val="es-MX"/>
        </w:rPr>
        <w:t>stado de Yucatán, sometemos a consideración del Pleno del Congreso del Estado de Yucatán, el siguiente proyecto de,</w:t>
      </w:r>
    </w:p>
    <w:p w:rsidR="000A31DC" w:rsidRPr="005E6466" w:rsidRDefault="000A31DC" w:rsidP="00640279">
      <w:pPr>
        <w:tabs>
          <w:tab w:val="right" w:pos="8498"/>
        </w:tabs>
        <w:jc w:val="center"/>
        <w:rPr>
          <w:rFonts w:ascii="Arial" w:hAnsi="Arial" w:cs="Arial"/>
          <w:b/>
        </w:rPr>
      </w:pPr>
    </w:p>
    <w:p w:rsidR="000B0F29" w:rsidRDefault="002017B0" w:rsidP="000B0F29">
      <w:pPr>
        <w:tabs>
          <w:tab w:val="right" w:pos="8498"/>
        </w:tabs>
        <w:spacing w:line="360" w:lineRule="auto"/>
        <w:jc w:val="center"/>
        <w:rPr>
          <w:rFonts w:ascii="Arial" w:hAnsi="Arial" w:cs="Arial"/>
          <w:b/>
        </w:rPr>
      </w:pPr>
      <w:r>
        <w:rPr>
          <w:rFonts w:ascii="Arial" w:hAnsi="Arial" w:cs="Arial"/>
          <w:b/>
        </w:rPr>
        <w:br w:type="page"/>
      </w:r>
    </w:p>
    <w:p w:rsidR="001B04B6" w:rsidRDefault="00BA6439" w:rsidP="000B0F29">
      <w:pPr>
        <w:tabs>
          <w:tab w:val="right" w:pos="8498"/>
        </w:tabs>
        <w:spacing w:line="360" w:lineRule="auto"/>
        <w:jc w:val="center"/>
        <w:rPr>
          <w:rFonts w:ascii="Arial" w:hAnsi="Arial" w:cs="Arial"/>
          <w:b/>
        </w:rPr>
      </w:pPr>
      <w:r w:rsidRPr="00D93F7E">
        <w:rPr>
          <w:rFonts w:ascii="Arial" w:hAnsi="Arial" w:cs="Arial"/>
          <w:b/>
        </w:rPr>
        <w:lastRenderedPageBreak/>
        <w:t>LEY DE INGRESOS DEL ESTADO DE YUCATÁN PARA EL EJERCICIO FISCAL 2022</w:t>
      </w:r>
    </w:p>
    <w:p w:rsidR="001B04B6" w:rsidRPr="00D93F7E" w:rsidRDefault="001B04B6" w:rsidP="001B04B6">
      <w:pPr>
        <w:tabs>
          <w:tab w:val="right" w:pos="8498"/>
        </w:tabs>
        <w:spacing w:line="360" w:lineRule="auto"/>
        <w:jc w:val="center"/>
        <w:rPr>
          <w:rFonts w:ascii="Arial" w:hAnsi="Arial" w:cs="Arial"/>
          <w:b/>
        </w:rPr>
      </w:pPr>
    </w:p>
    <w:p w:rsidR="001B04B6" w:rsidRDefault="001B04B6" w:rsidP="001B04B6">
      <w:pPr>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Yucatán para el Ejercicio Fiscal 2022.</w:t>
      </w:r>
    </w:p>
    <w:p w:rsidR="001B04B6" w:rsidRPr="00D93F7E" w:rsidRDefault="001B04B6" w:rsidP="001B04B6">
      <w:pPr>
        <w:spacing w:line="360" w:lineRule="auto"/>
        <w:jc w:val="both"/>
        <w:rPr>
          <w:rFonts w:ascii="Arial" w:hAnsi="Arial" w:cs="Arial"/>
        </w:rPr>
      </w:pPr>
    </w:p>
    <w:p w:rsidR="001B04B6" w:rsidRDefault="001B04B6" w:rsidP="001B04B6">
      <w:pPr>
        <w:jc w:val="center"/>
        <w:rPr>
          <w:rFonts w:ascii="Arial" w:hAnsi="Arial" w:cs="Arial"/>
          <w:b/>
        </w:rPr>
      </w:pPr>
      <w:r w:rsidRPr="00D93F7E">
        <w:rPr>
          <w:rFonts w:ascii="Arial" w:hAnsi="Arial" w:cs="Arial"/>
          <w:b/>
        </w:rPr>
        <w:t>Ley de Ingresos del Estado de Yucatán para el Ejercicio Fiscal 2022</w:t>
      </w:r>
    </w:p>
    <w:p w:rsidR="001B04B6" w:rsidRPr="00D93F7E" w:rsidRDefault="001B04B6" w:rsidP="001B04B6">
      <w:pPr>
        <w:spacing w:line="360" w:lineRule="auto"/>
        <w:jc w:val="center"/>
        <w:rPr>
          <w:rFonts w:ascii="Arial" w:hAnsi="Arial" w:cs="Arial"/>
          <w:b/>
        </w:rPr>
      </w:pPr>
    </w:p>
    <w:p w:rsidR="001B04B6" w:rsidRDefault="001B04B6" w:rsidP="001B04B6">
      <w:pPr>
        <w:jc w:val="center"/>
        <w:rPr>
          <w:rFonts w:ascii="Arial" w:hAnsi="Arial" w:cs="Arial"/>
          <w:b/>
        </w:rPr>
      </w:pPr>
      <w:r w:rsidRPr="00D93F7E">
        <w:rPr>
          <w:rFonts w:ascii="Arial" w:hAnsi="Arial" w:cs="Arial"/>
          <w:b/>
        </w:rPr>
        <w:t>Capítulo I</w:t>
      </w:r>
    </w:p>
    <w:p w:rsidR="001B04B6" w:rsidRDefault="001B04B6" w:rsidP="001B04B6">
      <w:pPr>
        <w:jc w:val="center"/>
        <w:rPr>
          <w:rFonts w:ascii="Arial" w:hAnsi="Arial" w:cs="Arial"/>
          <w:b/>
        </w:rPr>
      </w:pPr>
      <w:r w:rsidRPr="00D93F7E">
        <w:rPr>
          <w:rFonts w:ascii="Arial" w:hAnsi="Arial" w:cs="Arial"/>
          <w:b/>
        </w:rPr>
        <w:t>Ingresos</w:t>
      </w:r>
    </w:p>
    <w:p w:rsidR="001B04B6" w:rsidRPr="00D93F7E" w:rsidRDefault="001B04B6" w:rsidP="001B04B6">
      <w:pPr>
        <w:jc w:val="center"/>
        <w:rPr>
          <w:rFonts w:ascii="Arial" w:hAnsi="Arial" w:cs="Arial"/>
          <w:b/>
        </w:rPr>
      </w:pPr>
    </w:p>
    <w:p w:rsidR="001B04B6" w:rsidRPr="00D93F7E" w:rsidRDefault="001B04B6" w:rsidP="001B04B6">
      <w:pPr>
        <w:jc w:val="both"/>
        <w:rPr>
          <w:rFonts w:ascii="Arial" w:hAnsi="Arial" w:cs="Arial"/>
          <w:b/>
        </w:rPr>
      </w:pPr>
      <w:r w:rsidRPr="00D93F7E">
        <w:rPr>
          <w:rFonts w:ascii="Arial" w:hAnsi="Arial" w:cs="Arial"/>
          <w:b/>
        </w:rPr>
        <w:t>Artículo 1. Objeto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Esta ley tiene por objeto establecer las estimaciones de los ingresos que percibirá el estado de Yucatán durante el ejercicio fiscal comprendido del 1 de enero de 2022 al 31 de diciembre de 2022, que permitirán atender y financiar, entre otros rubros, los gastos, las inversiones públicas, la organización y la prestación de servicios públicos</w:t>
      </w:r>
      <w:r>
        <w:rPr>
          <w:rFonts w:ascii="Arial" w:hAnsi="Arial" w:cs="Arial"/>
        </w:rPr>
        <w:t xml:space="preserve"> y </w:t>
      </w:r>
      <w:r w:rsidRPr="00D93F7E">
        <w:rPr>
          <w:rFonts w:ascii="Arial" w:hAnsi="Arial" w:cs="Arial"/>
        </w:rPr>
        <w:t>los proyectos estratégicos, así como trabajar en el cumplimiento de las metas y objetivos del Plan Estatal de Desarrollo 2018-2024.</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referidos en el párrafo anterior se integrarán</w:t>
      </w:r>
      <w:r>
        <w:rPr>
          <w:rFonts w:ascii="Arial" w:hAnsi="Arial" w:cs="Arial"/>
        </w:rPr>
        <w:t>,</w:t>
      </w:r>
      <w:r w:rsidRPr="00D93F7E">
        <w:rPr>
          <w:rFonts w:ascii="Arial" w:hAnsi="Arial" w:cs="Arial"/>
        </w:rPr>
        <w:t xml:space="preserve"> de manera enunciativa</w:t>
      </w:r>
      <w:r>
        <w:rPr>
          <w:rFonts w:ascii="Arial" w:hAnsi="Arial" w:cs="Arial"/>
        </w:rPr>
        <w:t>, mas no limitativa,</w:t>
      </w:r>
      <w:r w:rsidRPr="00D93F7E">
        <w:rPr>
          <w:rFonts w:ascii="Arial" w:hAnsi="Arial" w:cs="Arial"/>
        </w:rPr>
        <w:t xml:space="preserve"> con los recursos provenientes de impuestos, cuotas y aportaciones de seguridad social, derechos, productos, aprovechamientos, ingresos por venta de bienes y servicios, participaciones, aportaciones, convenios, incentivos derivados de la colaboración fiscal</w:t>
      </w:r>
      <w:r>
        <w:rPr>
          <w:rFonts w:ascii="Arial" w:hAnsi="Arial" w:cs="Arial"/>
        </w:rPr>
        <w:t xml:space="preserve">, </w:t>
      </w:r>
      <w:r w:rsidRPr="00D93F7E">
        <w:rPr>
          <w:rFonts w:ascii="Arial" w:hAnsi="Arial" w:cs="Arial"/>
        </w:rPr>
        <w:t>fondos distintos de aportaciones y subsidios y subvenciones que determinen esta ley y las demás leyes fiscales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 Ingresos</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que el estado de Yucatán percibirá durante el ejercicio fiscal 2022 serán los provenientes de los rubros, tipos y en las cantidades estimadas que a continuación se enumeran: </w:t>
      </w:r>
    </w:p>
    <w:p w:rsidR="001B04B6" w:rsidRDefault="001B04B6" w:rsidP="0016359A">
      <w:pPr>
        <w:spacing w:before="100" w:beforeAutospacing="1" w:after="100" w:afterAutospacing="1"/>
        <w:jc w:val="center"/>
        <w:rPr>
          <w:rFonts w:ascii="Arial" w:hAnsi="Arial" w:cs="Arial"/>
          <w:b/>
        </w:rPr>
      </w:pPr>
      <w:r>
        <w:rPr>
          <w:rFonts w:ascii="Arial" w:hAnsi="Arial" w:cs="Arial"/>
        </w:rPr>
        <w:br w:type="page"/>
      </w:r>
      <w:r w:rsidRPr="00D93F7E">
        <w:rPr>
          <w:rFonts w:ascii="Arial" w:hAnsi="Arial" w:cs="Arial"/>
          <w:b/>
        </w:rPr>
        <w:lastRenderedPageBreak/>
        <w:t>Tabla 1. Clasificador por rubro de ingresos</w:t>
      </w:r>
    </w:p>
    <w:tbl>
      <w:tblPr>
        <w:tblW w:w="4972" w:type="pct"/>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1339"/>
        <w:gridCol w:w="4564"/>
        <w:gridCol w:w="2414"/>
      </w:tblGrid>
      <w:tr w:rsidR="001B04B6" w:rsidRPr="00931C5D" w:rsidTr="001B04B6">
        <w:trPr>
          <w:trHeight w:val="300"/>
          <w:tblHeader/>
          <w:jc w:val="center"/>
        </w:trPr>
        <w:tc>
          <w:tcPr>
            <w:tcW w:w="805"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Rubros</w:t>
            </w:r>
          </w:p>
        </w:tc>
        <w:tc>
          <w:tcPr>
            <w:tcW w:w="2744" w:type="pct"/>
            <w:shd w:val="clear" w:color="2E75B5" w:fill="000000"/>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Conceptos</w:t>
            </w:r>
          </w:p>
        </w:tc>
        <w:tc>
          <w:tcPr>
            <w:tcW w:w="1451" w:type="pct"/>
            <w:shd w:val="clear" w:color="2E75B5" w:fill="000000"/>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Totales</w:t>
            </w:r>
          </w:p>
        </w:tc>
      </w:tr>
      <w:tr w:rsidR="001B04B6" w:rsidRPr="00931C5D" w:rsidTr="001B04B6">
        <w:trPr>
          <w:trHeight w:val="300"/>
          <w:jc w:val="center"/>
        </w:trPr>
        <w:tc>
          <w:tcPr>
            <w:tcW w:w="805" w:type="pct"/>
            <w:shd w:val="clear" w:color="2E75B5" w:fill="D9D9D9"/>
            <w:noWrap/>
            <w:vAlign w:val="bottom"/>
            <w:hideMark/>
          </w:tcPr>
          <w:p w:rsidR="001B04B6" w:rsidRPr="00931C5D" w:rsidRDefault="001B04B6" w:rsidP="001B04B6">
            <w:pPr>
              <w:ind w:left="72"/>
              <w:rPr>
                <w:rFonts w:ascii="Arial" w:hAnsi="Arial" w:cs="Arial"/>
                <w:b/>
                <w:bCs/>
                <w:sz w:val="20"/>
                <w:szCs w:val="20"/>
              </w:rPr>
            </w:pPr>
          </w:p>
        </w:tc>
        <w:tc>
          <w:tcPr>
            <w:tcW w:w="2744" w:type="pct"/>
            <w:shd w:val="clear" w:color="2E75B5" w:fill="D9D9D9"/>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Iniciativa de Ley de Ingresos</w:t>
            </w:r>
          </w:p>
        </w:tc>
        <w:tc>
          <w:tcPr>
            <w:tcW w:w="1451" w:type="pct"/>
            <w:shd w:val="clear" w:color="333F4F" w:fill="D9D9D9"/>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46,038,050,321</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2,785,616,196</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los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302,611,073</w:t>
            </w:r>
          </w:p>
        </w:tc>
      </w:tr>
      <w:tr w:rsidR="001B04B6" w:rsidRPr="00931C5D" w:rsidTr="001B04B6">
        <w:trPr>
          <w:trHeight w:val="19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loterías, rifas, sorteos, concursos y juegos con cruce de apuestas legalmente permitidos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70,887,497</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el ejercicio profesional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20,952,106</w:t>
            </w:r>
          </w:p>
        </w:tc>
      </w:tr>
      <w:tr w:rsidR="001B04B6" w:rsidRPr="00931C5D" w:rsidTr="001B04B6">
        <w:trPr>
          <w:trHeight w:val="25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sobre la obtención de ingresos por actividades empresariales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69,641,578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Cedular por la enajenación de bienes inmuebles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141,129,892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el patrimonio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p>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19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 sobre la producción, el consumo y las transacciones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482,689,971</w:t>
            </w:r>
          </w:p>
        </w:tc>
      </w:tr>
      <w:tr w:rsidR="001B04B6" w:rsidRPr="00931C5D" w:rsidTr="001B04B6">
        <w:trPr>
          <w:trHeight w:val="23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Hospedaje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61,749,994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enajenación de vehículos usados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14,836,586</w:t>
            </w:r>
          </w:p>
        </w:tc>
      </w:tr>
      <w:tr w:rsidR="001B04B6" w:rsidRPr="00931C5D" w:rsidTr="001B04B6">
        <w:trPr>
          <w:trHeight w:val="14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Adicional para la ejecución de obras materiales y 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233,748,588</w:t>
            </w:r>
          </w:p>
        </w:tc>
      </w:tr>
      <w:tr w:rsidR="001B04B6" w:rsidRPr="00931C5D" w:rsidTr="001B04B6">
        <w:trPr>
          <w:trHeight w:val="17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las erogaciones en juegos y concursos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146,093,668</w:t>
            </w:r>
          </w:p>
        </w:tc>
      </w:tr>
      <w:tr w:rsidR="001B04B6" w:rsidRPr="00931C5D" w:rsidTr="001B04B6">
        <w:trPr>
          <w:trHeight w:val="20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338,213</w:t>
            </w:r>
          </w:p>
        </w:tc>
      </w:tr>
      <w:tr w:rsidR="001B04B6" w:rsidRPr="00931C5D" w:rsidTr="001B04B6">
        <w:trPr>
          <w:trHeight w:val="22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venta final de bebidas con contenido alcohólico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25,922,922</w:t>
            </w:r>
          </w:p>
        </w:tc>
      </w:tr>
      <w:tr w:rsidR="001B04B6" w:rsidRPr="00931C5D" w:rsidTr="001B04B6">
        <w:trPr>
          <w:trHeight w:val="11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14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Al comercio exterior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81"/>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sobre Nóminas y Asimilables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1,845,014,343</w:t>
            </w:r>
          </w:p>
        </w:tc>
      </w:tr>
      <w:tr w:rsidR="001B04B6" w:rsidRPr="00931C5D" w:rsidTr="001B04B6">
        <w:trPr>
          <w:trHeight w:val="10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erogaciones por remuneración al trabajo personal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1,845,014,343</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ecológicos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139,990,000</w:t>
            </w:r>
          </w:p>
        </w:tc>
      </w:tr>
      <w:tr w:rsidR="001B04B6" w:rsidRPr="00931C5D" w:rsidTr="001B04B6">
        <w:trPr>
          <w:trHeight w:val="12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Contaminantes al Suelo, Subsuelo y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91,930,000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la Emisión de Gases a la Atmósfera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48,060,000</w:t>
            </w:r>
          </w:p>
        </w:tc>
      </w:tr>
      <w:tr w:rsidR="001B04B6" w:rsidRPr="00931C5D" w:rsidTr="001B04B6">
        <w:trPr>
          <w:trHeight w:val="12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15,269,844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impuestos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impuestos varios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1.9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Impuestos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40,965</w:t>
            </w:r>
          </w:p>
        </w:tc>
      </w:tr>
      <w:tr w:rsidR="001B04B6" w:rsidRPr="00931C5D" w:rsidTr="001B04B6">
        <w:trPr>
          <w:trHeight w:val="20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40,965</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2</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Cuotas y Aportaciones de Seguridad Social</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1,375,950,420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Aportaciones para Fondos de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para la Seguridad Social de los Trabajadores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1,375,950,420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Cuotas de Ahorro para el Retiro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2.4</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Cuotas y Aportaciones para la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2.5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Cuotas y Aportaciones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3</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Contribuciones de Mejoras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Otras contribuciones de mejoras por obras públicas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90"/>
          <w:jc w:val="center"/>
        </w:trPr>
        <w:tc>
          <w:tcPr>
            <w:tcW w:w="805" w:type="pct"/>
            <w:shd w:val="clear" w:color="auto" w:fill="auto"/>
            <w:noWrap/>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3.9</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1,722,038,175</w:t>
            </w:r>
          </w:p>
        </w:tc>
      </w:tr>
      <w:tr w:rsidR="001B04B6" w:rsidRPr="00931C5D" w:rsidTr="001B04B6">
        <w:trPr>
          <w:trHeight w:val="279"/>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el uso, goce, aprovechamiento o explotación de bienes del dominio público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511,889,981</w:t>
            </w:r>
          </w:p>
        </w:tc>
      </w:tr>
      <w:tr w:rsidR="001B04B6" w:rsidRPr="00931C5D" w:rsidTr="001B04B6">
        <w:trPr>
          <w:trHeight w:val="1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goce o aprovechamiento de bienes de dominio público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214,701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cementerios y prestación de servicios conexos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el Uso de Bienes del Dominio Público del Estado de Yucatán que operen como Paradores Turísticos de Zonas Arqueológicas y Turísticas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511,675,280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por prestación de servicios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1,209,934,806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Administración Pública en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6,022,473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Seguridad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588,049,676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Dotación, canje, reposición y baja de placas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372,932,854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Tarjetas de circulación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82,924,348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Expedición de licencias de manejo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97,161,341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6,934,564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vialidad de vehículos de carga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24,213,738</w:t>
            </w:r>
          </w:p>
        </w:tc>
      </w:tr>
      <w:tr w:rsidR="001B04B6" w:rsidRPr="00931C5D" w:rsidTr="001B04B6">
        <w:trPr>
          <w:trHeight w:val="29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Relacionados con la policía auxiliar y la policía bancaria, industrial y comercial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3,498,370</w:t>
            </w:r>
          </w:p>
        </w:tc>
      </w:tr>
      <w:tr w:rsidR="001B04B6" w:rsidRPr="00931C5D" w:rsidTr="001B04B6">
        <w:trPr>
          <w:trHeight w:val="64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44,611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Seguridad Privada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339,850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por los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71,125,171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66,351,917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Diario Oficial del Gobierno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2,408,958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Servicios que presta la Consejería Jurídica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663,483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Archivo Notarial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1,700,813</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321,419,931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del Registro Público de la Propiedad y del Comercio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199,741,762</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prestan los Fedatarios a quienes el Estado les haya concedido Fe Pública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108,118,480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Dirección de Catastro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13,559,689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Fiscalía General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4,125,910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10,102,666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Desarrollo Sustentable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56,478,784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66,594,218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Coordinación Estatal de Protección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312,664</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el 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13,843,514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 a la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71,800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inspección, control y fiscalización que realiza la Secretaría de la Contraloría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supervisión, vigilancia y registro de máquinas de juegos y apuestas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42,241,738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que presta el Poder Judicial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4.3.15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Por los servicios de permiso, registro y supervisión para la instalación y operación de casas de empeño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419,175</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que presta la Secretaría de Investigación, Innovación y Educación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21,147,085</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Derechos no contemplados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Derechos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213,388</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213,387</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4.9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269"/>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4.9.1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323,996,640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Uso, aprovechamiento o enajenación de bienes de dominio privado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258,996,637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Enajenación de bienes muebles no sujetos a ser inventariados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Accesorios de los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de capitales y valores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Propios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Rendimientos Federales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productos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5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5.9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6"/>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279,105,662</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277,733,117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Recargos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30,231</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administrativas y multas impuestas por autoridades judiciales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65,832,212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6.1.4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aprovechamientos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6.1.4.1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211,870,673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Patrimoniales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w:t>
            </w:r>
          </w:p>
        </w:tc>
      </w:tr>
      <w:tr w:rsidR="001B04B6" w:rsidRPr="00931C5D" w:rsidTr="001B04B6">
        <w:trPr>
          <w:trHeight w:val="20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Herencias, legados y donaciones que se hagan a favor del estado o instituciones que dependan de él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Accesorios de Aprovechamientos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1,372,544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Multas, recargos, gastos extraordinarios y otros accesorios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1,372,543</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Indemnizaciones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195"/>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6.9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5"/>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6.9.1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ventas de bienes y servicios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2,026,363,842</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Instituciones Públicas de Seguridad Social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763,486,915</w:t>
            </w:r>
          </w:p>
        </w:tc>
      </w:tr>
      <w:tr w:rsidR="001B04B6" w:rsidRPr="00931C5D" w:rsidTr="001B04B6">
        <w:trPr>
          <w:trHeight w:val="171"/>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 por Venta de Bienes y Prestación de Servicios del Instituto de Seguridad Social de los Trabajadores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312,246,206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Aplicación de reservas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451,240,709</w:t>
            </w:r>
          </w:p>
        </w:tc>
      </w:tr>
      <w:tr w:rsidR="001B04B6" w:rsidRPr="00931C5D" w:rsidTr="001B04B6">
        <w:trPr>
          <w:trHeight w:val="6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Empresas Productivas del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y Fideicomisos No Empresariales y No Financieros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1,245,976,403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de la Cultura Maya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Ejecutiva de Atención a Victimas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el Desarrollo y Certificación de la Infraestructura Física Educativa y Eléctrica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Infraestructura Carretera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12,344,141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Agua Potable y Alcantarillado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458,368,479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la Construcción y Conservación de Obra Pública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Vivienda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380,497,924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del Deporte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4,174,438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38,333,250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Estudios Científicos y Tecnológicos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2,023,200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Educación Profesional 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Educación para Adultos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Becas y Crédito Educativo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Yucateco de Emprendedores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3,854,528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Casa de las Artesanías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Promotor de Ferias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85,084,093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Patronato de las Unidades de Servicios Culturales y Turísticos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51,652,345</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el Desarrollo del Turismo de Reuniones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18,609,749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Movilidad y Desarrollo Urbano Territorial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5,417,737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para el Desarrollo Integral de la Familia en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11,381,910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Junta de Asistencia Privada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Hospital General de </w:t>
            </w:r>
            <w:proofErr w:type="spellStart"/>
            <w:r w:rsidRPr="00931C5D">
              <w:rPr>
                <w:rFonts w:ascii="Arial" w:hAnsi="Arial" w:cs="Arial"/>
                <w:sz w:val="20"/>
                <w:szCs w:val="20"/>
              </w:rPr>
              <w:t>Tekax</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Servicios de Salud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1,560,000</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Administración del Patrimonio de la Beneficencia Pública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de la Amistad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11,089,662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Hospital Comunitario de </w:t>
            </w:r>
            <w:proofErr w:type="spellStart"/>
            <w:r w:rsidRPr="00931C5D">
              <w:rPr>
                <w:rFonts w:ascii="Arial" w:hAnsi="Arial" w:cs="Arial"/>
                <w:sz w:val="20"/>
                <w:szCs w:val="20"/>
              </w:rPr>
              <w:t>Ticul</w:t>
            </w:r>
            <w:proofErr w:type="spellEnd"/>
            <w:r w:rsidRPr="00931C5D">
              <w:rPr>
                <w:rFonts w:ascii="Arial" w:hAnsi="Arial" w:cs="Arial"/>
                <w:sz w:val="20"/>
                <w:szCs w:val="20"/>
              </w:rPr>
              <w:t xml:space="preserv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13,886,000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Hospital Comunitario de Peto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10,942,691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Centro Estatal de Trasplantes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Seguridad Jurídica Patrimonial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Garante de la Orquesta Sinfónica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18,575,863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Secretaría Técnica de Planeación y Evaluación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Fideicomiso Público para la Administración de la Reserva Territorial de </w:t>
            </w:r>
            <w:proofErr w:type="spellStart"/>
            <w:r w:rsidRPr="00931C5D">
              <w:rPr>
                <w:rFonts w:ascii="Arial" w:hAnsi="Arial" w:cs="Arial"/>
                <w:sz w:val="20"/>
                <w:szCs w:val="20"/>
              </w:rPr>
              <w:t>Ucú</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Superior de Artes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27,540,291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Valladolid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5,820,641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2,556,944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Universidad Tecnológica del </w:t>
            </w:r>
            <w:proofErr w:type="spellStart"/>
            <w:r w:rsidRPr="00931C5D">
              <w:rPr>
                <w:rFonts w:ascii="Arial" w:hAnsi="Arial" w:cs="Arial"/>
                <w:sz w:val="20"/>
                <w:szCs w:val="20"/>
              </w:rPr>
              <w:t>Mayab</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1,183,274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1,919,071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del Sur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3,800,096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Instituto Tecnológico Superior de </w:t>
            </w:r>
            <w:proofErr w:type="spellStart"/>
            <w:r w:rsidRPr="00931C5D">
              <w:rPr>
                <w:rFonts w:ascii="Arial" w:hAnsi="Arial" w:cs="Arial"/>
                <w:sz w:val="20"/>
                <w:szCs w:val="20"/>
              </w:rPr>
              <w:t>Motul</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3,800,000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Tecnológico Superior de Progreso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4,279,972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4,382,821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4,717,239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Politécnica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5,516,850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Agencia para el Desarrollo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de Capacitación para el Trabajo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Público para la Administración del Palacio de la Música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2,414,918</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Instituto para la Inclusión de las Personas con Discapacidad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No Financieras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16,900,524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15,750,524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Aeropuerto de Chichén Itzá de Yucatán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1,150,000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Empresa Portuaria Yucateca S. 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98"/>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4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Servicios de Sistema Tele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43"/>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del Aeropuerto de Chichén Itzá del Estado de Yucatán,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7.5.3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y Prestación de la Empresa Portuaria Yucateca, S.A. de C.V.</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5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1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7.6.2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Entidades Paraestatales Empresariales Financieras No Monetarias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Prestación de Servicios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Ingresos por Venta de Bienes de Fideicomisos Financieros Públicos con Participación Estatal Mayoritaria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por Venta de Bienes y Prestación de Servicios de los Poderes Legislativo y Judicial, y de los Órganos Autónomos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Tribunal de Justicia Administrativa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7.9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7.9.1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ingresos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600"/>
          <w:jc w:val="center"/>
        </w:trPr>
        <w:tc>
          <w:tcPr>
            <w:tcW w:w="805" w:type="pct"/>
            <w:shd w:val="clear" w:color="D0CECE"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w:t>
            </w:r>
          </w:p>
        </w:tc>
        <w:tc>
          <w:tcPr>
            <w:tcW w:w="2744" w:type="pct"/>
            <w:shd w:val="clear" w:color="D0CECE"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 Aportaciones, Convenios, Incentivos Derivados de la Colaboración Fiscal y Fondos Distintos de Aportaciones</w:t>
            </w:r>
          </w:p>
        </w:tc>
        <w:tc>
          <w:tcPr>
            <w:tcW w:w="1451" w:type="pct"/>
            <w:shd w:val="clear" w:color="D0CECE" w:fill="D0CECE"/>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35,350,884,840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Participaciones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16,718,685,276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12,306,916,907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1,018,542,485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Especial sobre Producción y Servicios (IEPS)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255,240,801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sobre Automóviles Nuevos (ISAN)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39,489,551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Fiscalización y Recaudación (FOFIR)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1,166,883,309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Compensación (</w:t>
            </w:r>
            <w:proofErr w:type="spellStart"/>
            <w:r w:rsidRPr="00931C5D">
              <w:rPr>
                <w:rFonts w:ascii="Arial" w:hAnsi="Arial" w:cs="Arial"/>
                <w:sz w:val="20"/>
                <w:szCs w:val="20"/>
              </w:rPr>
              <w:t>Repecos</w:t>
            </w:r>
            <w:proofErr w:type="spellEnd"/>
            <w:r w:rsidRPr="00931C5D">
              <w:rPr>
                <w:rFonts w:ascii="Arial" w:hAnsi="Arial" w:cs="Arial"/>
                <w:sz w:val="20"/>
                <w:szCs w:val="20"/>
              </w:rPr>
              <w:t xml:space="preserve"> e Intermedios)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12,969,988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Venta final de gasolina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506,576,060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1,412,066,175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1,292,066,175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ISR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120,000,000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4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General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8.1.9.2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Fomento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9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8.1.9.3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Estabilización de los ingresos de las Entidades Federativas por Fondo de Fiscalización y Recaudación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74"/>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Aportaciones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15,061,319,925</w:t>
            </w:r>
          </w:p>
        </w:tc>
      </w:tr>
      <w:tr w:rsidR="001B04B6" w:rsidRPr="00931C5D" w:rsidTr="001B04B6">
        <w:trPr>
          <w:trHeight w:val="24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Nómina Educativa y Gasto Operativo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6,862,681,545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los Servicios de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2,461,042,376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1,997,539,012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Municipales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1,755,408,285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Infraestructura Social Estatal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242,130,727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los Municipios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1,738,751,058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Múltiples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659,376,951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367,198,881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210,867,136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139,342,900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Infraestructura Educativa Media Superior y Superior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16,988,845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Asistencia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292,178,070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Educación Tecnológica y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206,861,888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Tecnológica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117,555,435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Educación de Adultos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89,306,453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la Seguridad Pública de los Estados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177,684,703</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Aportaciones para el Fortalecimiento de las Entidades Federativas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957,382,392</w:t>
            </w:r>
          </w:p>
        </w:tc>
      </w:tr>
      <w:tr w:rsidR="001B04B6" w:rsidRPr="00931C5D" w:rsidTr="001B04B6">
        <w:trPr>
          <w:trHeight w:val="7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Convenios</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3,001,965,784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8.3.1</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Salud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874,073,445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Prestación Gratuita de Servicios de Salud INSABI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733,356,248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Convenio Específico CRESCA </w:t>
            </w:r>
            <w:proofErr w:type="spellStart"/>
            <w:r w:rsidRPr="00931C5D">
              <w:rPr>
                <w:rFonts w:ascii="Arial" w:hAnsi="Arial" w:cs="Arial"/>
                <w:sz w:val="20"/>
                <w:szCs w:val="20"/>
              </w:rPr>
              <w:t>Conadic</w:t>
            </w:r>
            <w:proofErr w:type="spellEnd"/>
            <w:r w:rsidRPr="00931C5D">
              <w:rPr>
                <w:rFonts w:ascii="Arial" w:hAnsi="Arial" w:cs="Arial"/>
                <w:sz w:val="20"/>
                <w:szCs w:val="20"/>
              </w:rPr>
              <w:t xml:space="preserve"> </w:t>
            </w:r>
            <w:proofErr w:type="spellStart"/>
            <w:r w:rsidRPr="00931C5D">
              <w:rPr>
                <w:rFonts w:ascii="Arial" w:hAnsi="Arial" w:cs="Arial"/>
                <w:sz w:val="20"/>
                <w:szCs w:val="20"/>
              </w:rPr>
              <w:t>Cenadic</w:t>
            </w:r>
            <w:proofErr w:type="spellEnd"/>
            <w:r w:rsidRPr="00931C5D">
              <w:rPr>
                <w:rFonts w:ascii="Arial" w:hAnsi="Arial" w:cs="Arial"/>
                <w:sz w:val="20"/>
                <w:szCs w:val="20"/>
              </w:rPr>
              <w:t xml:space="preserve"> </w:t>
            </w:r>
            <w:proofErr w:type="spellStart"/>
            <w:r w:rsidRPr="00931C5D">
              <w:rPr>
                <w:rFonts w:ascii="Arial" w:hAnsi="Arial" w:cs="Arial"/>
                <w:sz w:val="20"/>
                <w:szCs w:val="20"/>
              </w:rPr>
              <w:t>Yuc</w:t>
            </w:r>
            <w:proofErr w:type="spellEnd"/>
            <w:r w:rsidRPr="00931C5D">
              <w:rPr>
                <w:rFonts w:ascii="Arial" w:hAnsi="Arial" w:cs="Arial"/>
                <w:sz w:val="20"/>
                <w:szCs w:val="20"/>
              </w:rPr>
              <w:t xml:space="preserve"> 001</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2,489,116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Protección contra riesgos catastróficos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Seguro Médico XXI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Acuerdo para el Fortalecimiento de las Acciones de Salud Pública en los Estados (AFASPE)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46,996,231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Fortalecimiento a la Atención Médica (Caravanas)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7,662,239</w:t>
            </w:r>
          </w:p>
        </w:tc>
      </w:tr>
      <w:tr w:rsidR="001B04B6" w:rsidRPr="00931C5D" w:rsidTr="001B04B6">
        <w:trPr>
          <w:trHeight w:val="15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Comisión Federal para la Protección contra riesgos Sanitarios (COFEPRIS)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2,143,706</w:t>
            </w:r>
          </w:p>
        </w:tc>
      </w:tr>
      <w:tr w:rsidR="001B04B6" w:rsidRPr="00931C5D" w:rsidTr="001B04B6">
        <w:trPr>
          <w:trHeight w:val="31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Estrategia Integral de Desarrollo Comunitario Comunidad Diferente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Instancias de Mujeres (PAIMEF)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8,091,046</w:t>
            </w:r>
          </w:p>
        </w:tc>
      </w:tr>
      <w:tr w:rsidR="001B04B6" w:rsidRPr="00931C5D" w:rsidTr="001B04B6">
        <w:trPr>
          <w:trHeight w:val="22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a la Transversalidad de la Perspectiva de Género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11,759,265</w:t>
            </w:r>
          </w:p>
        </w:tc>
      </w:tr>
      <w:tr w:rsidR="001B04B6" w:rsidRPr="00931C5D" w:rsidTr="001B04B6">
        <w:trPr>
          <w:trHeight w:val="28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Salud y Medicamentos Gratuitos para la población sin Seguridad Social Laboral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60,754,784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personas con Discapacidad "Equipamiento"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820,810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Salud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8.3.2</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Educación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2,030,772,823</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y Colaboración (CONADE)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U080 Apoyos a centros y organizaciones de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1,350,000,000</w:t>
            </w:r>
          </w:p>
        </w:tc>
      </w:tr>
      <w:tr w:rsidR="001B04B6" w:rsidRPr="00931C5D" w:rsidTr="001B04B6">
        <w:trPr>
          <w:trHeight w:val="6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Gastos de operación para el Colegio de Estudios Científicos y Tecnológicos de Yucatán (CECYTEY)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79,899,057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Colegio de Bachilleres de Yucatán (COBAY)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360,862,576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Becas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Atención a la Demanda (IEAEY)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8,458,242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a la Universidad de Oriente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16,480,681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Metropolitana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53,830,830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Regional del Sur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17,863,091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Centro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10,568,402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Apoyos Financieros para la Universidad Tecnológica del Poniente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10,461,166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Apoyos Financieros para la Universidad Tecnológica del </w:t>
            </w:r>
            <w:proofErr w:type="spellStart"/>
            <w:r w:rsidRPr="00931C5D">
              <w:rPr>
                <w:rFonts w:ascii="Arial" w:hAnsi="Arial" w:cs="Arial"/>
                <w:sz w:val="20"/>
                <w:szCs w:val="20"/>
              </w:rPr>
              <w:t>Mayab</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11,815,707</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Mejoramiento del Profesorado (PROMEP)</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Infantil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Escuelas de Tiempo Completo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Inglés en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15,550,634</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ampliar y diversificar la Oferta Educativa en Educación Superior (FADOE)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8.3.2.18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Apoyo Financiero para el Programa de Carrera Docente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8.3.2.19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de Fomento a la Lectura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Estímulo a la Creación y al Desarrollo Artístico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las Culturas Municipales y Comunitarias PACMYC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650,658</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Cultural Municipal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3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Coordinación para la creación, operación y apoyo financiero del ICATY</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6,251,544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Calidad Educativa tipo básico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8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en Instituciones Educativas (PROFOCIE)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8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CONACYT (Convenio de Colaboración para el desarrollo del programa de estímulos a la investigación de desarrollos)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Beca de Apoyo a la Práctica Intensiva y al servicio social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C-291045.82/2016 Formación Temprana de Científicos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2"/>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8.3.2.29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Institucional de Fomento Regional para el Desarrollo Científico, Tecnológico y de Innovación (FORDECYT)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9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Fortalecimiento de la Calidad Educativa (PACTEN)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69"/>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solidario para la operación de la Universidad Politécnica del Estado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4,479,289</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Inclusión y Equidad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para la Operación del Programa Expansión de la Educación Inicial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4,051,956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la Reforma Educativa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6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Apoyo Financiero del Servicios Educativo Denominado </w:t>
            </w:r>
            <w:proofErr w:type="spellStart"/>
            <w:r w:rsidRPr="00931C5D">
              <w:rPr>
                <w:rFonts w:ascii="Arial" w:hAnsi="Arial" w:cs="Arial"/>
                <w:sz w:val="20"/>
                <w:szCs w:val="20"/>
              </w:rPr>
              <w:t>Telebachillerato</w:t>
            </w:r>
            <w:proofErr w:type="spellEnd"/>
            <w:r w:rsidRPr="00931C5D">
              <w:rPr>
                <w:rFonts w:ascii="Arial" w:hAnsi="Arial" w:cs="Arial"/>
                <w:sz w:val="20"/>
                <w:szCs w:val="20"/>
              </w:rPr>
              <w:t xml:space="preserve"> Comunitario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69,502,213</w:t>
            </w:r>
          </w:p>
        </w:tc>
      </w:tr>
      <w:tr w:rsidR="001B04B6" w:rsidRPr="00931C5D" w:rsidTr="001B04B6">
        <w:trPr>
          <w:trHeight w:val="75"/>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Profesional Docente para la Educación Básica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1,421,582</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nacional convivencia escolar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la Excelencia Educativa PFCE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2,624,801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8.3.2.39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1,076,759</w:t>
            </w:r>
          </w:p>
        </w:tc>
      </w:tr>
      <w:tr w:rsidR="001B04B6" w:rsidRPr="00931C5D" w:rsidTr="001B04B6">
        <w:trPr>
          <w:trHeight w:val="14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Fortalecimiento de los servicios de educación especial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1,602,226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Escuela Regional de Béisbol (Apoyo extraordinario)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Premio a Deportistas y Entrenadores Destacados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8.3.2.43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Desarrollo de Aprendizajes significativos en Educación Básica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Atención a la Diversidad de la Educación Indígena 2020</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5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Becas de Apoyo a la Educación básica de madres jóvenes y jóvenes embarazadas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1,860,209</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Apoyo Financiero a Institutos Tecnológicos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Cultura (Instituciones Estatales de Cultura)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1,351,200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Proyectos de Cultura (PEF)</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8.3.2.49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Educación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8.3.3</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Económico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del Empleo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204"/>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Incubación de Empresas de Tecnología de Información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07"/>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para el Desarrollo de la Industria del Software (PROSOFT)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Convenio de Colaboración de Apoyos del Fondo Nacional Emprendedor</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8.3.3.5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Económico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Social y Humano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50,984,820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Agua Limpia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410,000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Cultura del 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300,000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para Organismos Operadores (PRODI)</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Apoyo a la Vivienda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Indígena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Espacios Poder Joven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Red Nacional del Programa de Radio y Televisión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integral de las comunidades indígenas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Rural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49,461,740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Apartado Urbano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Proagua</w:t>
            </w:r>
            <w:proofErr w:type="spellEnd"/>
            <w:r w:rsidRPr="00931C5D">
              <w:rPr>
                <w:rFonts w:ascii="Arial" w:hAnsi="Arial" w:cs="Arial"/>
                <w:sz w:val="20"/>
                <w:szCs w:val="20"/>
              </w:rPr>
              <w:t xml:space="preserve"> agua limpia SARS-COV2 (COVID-19)</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UNESCO Fondo internacional para la Diversidad Cultural (FIDC)</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313,080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8.3.4.13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Social y Humano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8.3.5</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Seguridad</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proofErr w:type="spellStart"/>
            <w:r w:rsidRPr="00931C5D">
              <w:rPr>
                <w:rFonts w:ascii="Arial" w:hAnsi="Arial" w:cs="Arial"/>
                <w:sz w:val="20"/>
                <w:szCs w:val="20"/>
              </w:rPr>
              <w:t>Fortaseg</w:t>
            </w:r>
            <w:proofErr w:type="spellEnd"/>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Seguridad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lastRenderedPageBreak/>
              <w:t>8.3.6</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Buen Gobierno</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5,134,696</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Armonización Contable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1,247,484</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Integral del Registro Civil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1,241,348</w:t>
            </w:r>
          </w:p>
        </w:tc>
      </w:tr>
      <w:tr w:rsidR="001B04B6" w:rsidRPr="00931C5D" w:rsidTr="001B04B6">
        <w:trPr>
          <w:trHeight w:val="107"/>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Modernización y Vinculación Registral y Catastral del padrón Inmobiliario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138"/>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Desarrollo Regional Turístico Sustentable y Pueblos Mágicos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Agua Potable Drenaje y Tratamiento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para el Bienestar y el Avance de las Mujeres (FOBAM)</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2,645,864</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8.3.6.7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Buen Gobierno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8.3.7</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Ramo 23</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Accesibilidad para personas con Discapacidad</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Fondo Metropolitano (FIFONMETRO)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Regional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Nacional de Infraestructura (FONADIN)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Proyecto de Desarrollo Regional (Zona </w:t>
            </w:r>
            <w:proofErr w:type="spellStart"/>
            <w:r w:rsidRPr="00931C5D">
              <w:rPr>
                <w:rFonts w:ascii="Arial" w:hAnsi="Arial" w:cs="Arial"/>
                <w:sz w:val="20"/>
                <w:szCs w:val="20"/>
              </w:rPr>
              <w:t>Henequenera</w:t>
            </w:r>
            <w:proofErr w:type="spellEnd"/>
            <w:r w:rsidRPr="00931C5D">
              <w:rPr>
                <w:rFonts w:ascii="Arial" w:hAnsi="Arial" w:cs="Arial"/>
                <w:sz w:val="20"/>
                <w:szCs w:val="20"/>
              </w:rPr>
              <w:t>)</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Fondo de Fortalecimiento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5% Museos o Zonas Arqueológicas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Subsidios para Contingencias Económicas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8.3.7.9</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Fideicomiso para la Infraestructura de los Estados (FIES)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83"/>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8.3.7.10</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de infraestructura en su vertiente ampliación mejoramiento de a la vivienda de la SEDATU</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8.3.7.11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Ramo 23</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8.3.8</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Conservación y Estudios y Proyectos de Caminos Rurales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8.3.8.2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Comunicación y Transporte</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8.3.9</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Agricultura, Ganadería, Desarrollo Rural, Pesca y Alimentación</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41,000,000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Impulso a la Capitalización Pesquera y Acuícola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Componente de Atención a Desastres Naturales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421"/>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Programa rehabilitación modernización tecnificada y equipamiento de unidades de riego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31,000,000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Prevención, Combate y Control de Incendios Forestales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8.3.9.5</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 xml:space="preserve">Programa de Apoyo a la Infraestructura </w:t>
            </w:r>
            <w:proofErr w:type="spellStart"/>
            <w:r w:rsidRPr="00931C5D">
              <w:rPr>
                <w:rFonts w:ascii="Arial" w:hAnsi="Arial" w:cs="Arial"/>
                <w:sz w:val="20"/>
                <w:szCs w:val="20"/>
              </w:rPr>
              <w:t>Hidroagrícola</w:t>
            </w:r>
            <w:proofErr w:type="spellEnd"/>
            <w:r w:rsidRPr="00931C5D">
              <w:rPr>
                <w:rFonts w:ascii="Arial" w:hAnsi="Arial" w:cs="Arial"/>
                <w:sz w:val="20"/>
                <w:szCs w:val="20"/>
              </w:rPr>
              <w:t xml:space="preserve"> CONAGUA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10,000,000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lastRenderedPageBreak/>
              <w:t>8.3.9.6</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Sembrando vida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8.3.9.7</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Sanidad e Inocuidad Agroalimentaria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8.3.9.8</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Otros Convenios AGDRPA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8.4</w:t>
            </w:r>
          </w:p>
        </w:tc>
        <w:tc>
          <w:tcPr>
            <w:tcW w:w="2744" w:type="pct"/>
            <w:shd w:val="clear" w:color="auto" w:fill="auto"/>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Incentivos Derivados de la Colaboración Fiscal</w:t>
            </w:r>
          </w:p>
        </w:tc>
        <w:tc>
          <w:tcPr>
            <w:tcW w:w="1451" w:type="pct"/>
            <w:shd w:val="clear" w:color="auto" w:fill="auto"/>
            <w:noWrap/>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por colaboración Administrativa</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568,913,855</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Impuestos Federales Administrados por el Estado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268,458,276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 Impuestos sobre tenencia o uso de vehículos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b) Impuesto sobre automóviles nuevos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157,583,773</w:t>
            </w:r>
          </w:p>
        </w:tc>
      </w:tr>
      <w:tr w:rsidR="001B04B6" w:rsidRPr="00931C5D" w:rsidTr="001B04B6">
        <w:trPr>
          <w:trHeight w:val="186"/>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8.4.1.1.3</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c) Impuesto Especial Sobre Producción y Servicios a las gasolinas y diésel</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w:t>
            </w:r>
          </w:p>
        </w:tc>
      </w:tr>
      <w:tr w:rsidR="001B04B6" w:rsidRPr="00931C5D" w:rsidTr="001B04B6">
        <w:trPr>
          <w:trHeight w:val="48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8.4.1.1.4</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d) Impuesto Sobre la Renta de quienes tributan en los términos del Capítulo IV del Título IV de la Ley del Impuesto Sobre la Renta respecto de la enajenación de terrenos construcciones o terrenos y construcciones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110,874,499</w:t>
            </w:r>
          </w:p>
        </w:tc>
      </w:tr>
      <w:tr w:rsidR="001B04B6" w:rsidRPr="00931C5D" w:rsidTr="001B04B6">
        <w:trPr>
          <w:trHeight w:val="108"/>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8.4.1.2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Incentivos y Multas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300,455,581</w:t>
            </w:r>
          </w:p>
        </w:tc>
      </w:tr>
      <w:tr w:rsidR="001B04B6" w:rsidRPr="00931C5D" w:rsidTr="001B04B6">
        <w:trPr>
          <w:trHeight w:val="83"/>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9</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Transferencias, Asignaciones, Subsidios y Subvenciones, y Pensiones y Jubilaciones</w:t>
            </w:r>
          </w:p>
        </w:tc>
        <w:tc>
          <w:tcPr>
            <w:tcW w:w="1451" w:type="pct"/>
            <w:shd w:val="clear" w:color="000000" w:fill="D0CECE"/>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2,174,094,546</w:t>
            </w:r>
          </w:p>
        </w:tc>
      </w:tr>
      <w:tr w:rsidR="001B04B6" w:rsidRPr="00931C5D" w:rsidTr="001B04B6">
        <w:trPr>
          <w:trHeight w:val="191"/>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y Asignaciones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Asignaciones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Subsidios y Subvenciones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Universidad Autónoma de Yucatán</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sz w:val="20"/>
                <w:szCs w:val="20"/>
              </w:rPr>
              <w:t>2,174,094,546</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9.5</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Pensiones y Jubilaciones</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Pensiones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9.5.2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Jubilaciones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37"/>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9.7</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9.7.1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Transferencias del Fondo Mexicano del Petróleo para la Estabilización y el Desarrollo</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000000" w:fill="D0CECE"/>
            <w:noWrap/>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0</w:t>
            </w:r>
          </w:p>
        </w:tc>
        <w:tc>
          <w:tcPr>
            <w:tcW w:w="2744" w:type="pct"/>
            <w:shd w:val="clear" w:color="000000" w:fill="D0CECE"/>
            <w:vAlign w:val="bottom"/>
            <w:hideMark/>
          </w:tcPr>
          <w:p w:rsidR="001B04B6" w:rsidRPr="00931C5D" w:rsidRDefault="001B04B6" w:rsidP="001B04B6">
            <w:pPr>
              <w:ind w:left="72"/>
              <w:rPr>
                <w:rFonts w:ascii="Arial" w:hAnsi="Arial" w:cs="Arial"/>
                <w:b/>
                <w:bCs/>
                <w:sz w:val="20"/>
                <w:szCs w:val="20"/>
              </w:rPr>
            </w:pPr>
            <w:r w:rsidRPr="00931C5D">
              <w:rPr>
                <w:rFonts w:ascii="Arial" w:hAnsi="Arial" w:cs="Arial"/>
                <w:b/>
                <w:bCs/>
                <w:sz w:val="20"/>
                <w:szCs w:val="20"/>
              </w:rPr>
              <w:t>Ingresos Derivados de Financiamientos</w:t>
            </w:r>
          </w:p>
        </w:tc>
        <w:tc>
          <w:tcPr>
            <w:tcW w:w="1451" w:type="pct"/>
            <w:shd w:val="clear" w:color="000000" w:fill="D0CECE"/>
            <w:vAlign w:val="bottom"/>
            <w:hideMark/>
          </w:tcPr>
          <w:p w:rsidR="001B04B6" w:rsidRPr="00931C5D" w:rsidRDefault="001B04B6" w:rsidP="001B04B6">
            <w:pPr>
              <w:jc w:val="right"/>
              <w:rPr>
                <w:rFonts w:ascii="Arial" w:hAnsi="Arial" w:cs="Arial"/>
                <w:b/>
                <w:bCs/>
                <w:sz w:val="20"/>
                <w:szCs w:val="20"/>
              </w:rPr>
            </w:pPr>
            <w:r w:rsidRPr="00931C5D">
              <w:rPr>
                <w:rFonts w:ascii="Arial" w:hAnsi="Arial" w:cs="Arial"/>
                <w:b/>
                <w:bCs/>
                <w:sz w:val="20"/>
                <w:szCs w:val="20"/>
              </w:rPr>
              <w:t>0</w:t>
            </w:r>
          </w:p>
        </w:tc>
      </w:tr>
      <w:tr w:rsidR="001B04B6" w:rsidRPr="00931C5D" w:rsidTr="001B04B6">
        <w:trPr>
          <w:trHeight w:val="146"/>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0.1</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Interno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0.1.2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0.2</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Endeudamiento Externo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0.2.2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70"/>
          <w:jc w:val="center"/>
        </w:trPr>
        <w:tc>
          <w:tcPr>
            <w:tcW w:w="805"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lastRenderedPageBreak/>
              <w:t>0.3</w:t>
            </w:r>
          </w:p>
        </w:tc>
        <w:tc>
          <w:tcPr>
            <w:tcW w:w="2744" w:type="pct"/>
            <w:shd w:val="clear" w:color="auto" w:fill="auto"/>
            <w:vAlign w:val="bottom"/>
            <w:hideMark/>
          </w:tcPr>
          <w:p w:rsidR="001B04B6" w:rsidRPr="00931C5D" w:rsidRDefault="001B04B6" w:rsidP="001B04B6">
            <w:pPr>
              <w:ind w:left="72"/>
              <w:rPr>
                <w:rFonts w:ascii="Arial" w:hAnsi="Arial" w:cs="Arial"/>
                <w:b/>
                <w:sz w:val="20"/>
                <w:szCs w:val="20"/>
              </w:rPr>
            </w:pPr>
            <w:r w:rsidRPr="00931C5D">
              <w:rPr>
                <w:rFonts w:ascii="Arial" w:hAnsi="Arial" w:cs="Arial"/>
                <w:b/>
                <w:sz w:val="20"/>
                <w:szCs w:val="20"/>
              </w:rPr>
              <w:t>Financiamiento Interno</w:t>
            </w:r>
          </w:p>
        </w:tc>
        <w:tc>
          <w:tcPr>
            <w:tcW w:w="1451" w:type="pct"/>
            <w:shd w:val="clear" w:color="auto" w:fill="auto"/>
            <w:noWrap/>
            <w:vAlign w:val="bottom"/>
            <w:hideMark/>
          </w:tcPr>
          <w:p w:rsidR="001B04B6" w:rsidRPr="00931C5D" w:rsidRDefault="001B04B6" w:rsidP="001B04B6">
            <w:pPr>
              <w:jc w:val="right"/>
              <w:rPr>
                <w:rFonts w:ascii="Arial" w:hAnsi="Arial" w:cs="Arial"/>
                <w:b/>
                <w:sz w:val="20"/>
                <w:szCs w:val="20"/>
              </w:rPr>
            </w:pPr>
            <w:r w:rsidRPr="00931C5D">
              <w:rPr>
                <w:rFonts w:ascii="Arial" w:hAnsi="Arial" w:cs="Arial"/>
                <w:b/>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0.3.1</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Participaciones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r w:rsidR="001B04B6" w:rsidRPr="00931C5D" w:rsidTr="001B04B6">
        <w:trPr>
          <w:trHeight w:val="300"/>
          <w:jc w:val="center"/>
        </w:trPr>
        <w:tc>
          <w:tcPr>
            <w:tcW w:w="805"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0.3.2</w:t>
            </w:r>
          </w:p>
        </w:tc>
        <w:tc>
          <w:tcPr>
            <w:tcW w:w="2744" w:type="pct"/>
            <w:shd w:val="clear" w:color="auto" w:fill="auto"/>
            <w:vAlign w:val="bottom"/>
            <w:hideMark/>
          </w:tcPr>
          <w:p w:rsidR="001B04B6" w:rsidRPr="00931C5D" w:rsidRDefault="001B04B6" w:rsidP="001B04B6">
            <w:pPr>
              <w:ind w:left="72"/>
              <w:rPr>
                <w:rFonts w:ascii="Arial" w:hAnsi="Arial" w:cs="Arial"/>
                <w:sz w:val="20"/>
                <w:szCs w:val="20"/>
              </w:rPr>
            </w:pPr>
            <w:r w:rsidRPr="00931C5D">
              <w:rPr>
                <w:rFonts w:ascii="Arial" w:hAnsi="Arial" w:cs="Arial"/>
                <w:sz w:val="20"/>
                <w:szCs w:val="20"/>
              </w:rPr>
              <w:t>Empréstitos con Fuente de Pago de Aportaciones</w:t>
            </w:r>
          </w:p>
        </w:tc>
        <w:tc>
          <w:tcPr>
            <w:tcW w:w="1451" w:type="pct"/>
            <w:shd w:val="clear" w:color="auto" w:fill="auto"/>
            <w:noWrap/>
            <w:vAlign w:val="bottom"/>
            <w:hideMark/>
          </w:tcPr>
          <w:p w:rsidR="001B04B6" w:rsidRPr="00931C5D" w:rsidRDefault="001B04B6" w:rsidP="001B04B6">
            <w:pPr>
              <w:jc w:val="right"/>
              <w:rPr>
                <w:rFonts w:ascii="Arial" w:hAnsi="Arial" w:cs="Arial"/>
                <w:sz w:val="20"/>
                <w:szCs w:val="20"/>
              </w:rPr>
            </w:pPr>
            <w:r w:rsidRPr="00931C5D">
              <w:rPr>
                <w:rFonts w:ascii="Arial" w:hAnsi="Arial" w:cs="Arial"/>
                <w:bCs/>
                <w:sz w:val="20"/>
                <w:szCs w:val="20"/>
              </w:rPr>
              <w:t>0</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 Formatos de disciplina financiera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proyección de ingresos de los próximos cinco años, es</w:t>
      </w:r>
      <w:r>
        <w:rPr>
          <w:rFonts w:ascii="Arial" w:hAnsi="Arial" w:cs="Arial"/>
        </w:rPr>
        <w:t xml:space="preserve"> decir</w:t>
      </w:r>
      <w:r w:rsidRPr="00D93F7E">
        <w:rPr>
          <w:rFonts w:ascii="Arial" w:hAnsi="Arial" w:cs="Arial"/>
        </w:rPr>
        <w:t xml:space="preserve">, de 2022 a 2027, se encuentra desglosada en el Anexo I de esta ley. </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El resultado</w:t>
      </w:r>
      <w:r w:rsidRPr="00D93F7E">
        <w:rPr>
          <w:rFonts w:ascii="Arial" w:hAnsi="Arial" w:cs="Arial"/>
        </w:rPr>
        <w:t xml:space="preserve"> de los ingresos durante el per</w:t>
      </w:r>
      <w:r>
        <w:rPr>
          <w:rFonts w:ascii="Arial" w:hAnsi="Arial" w:cs="Arial"/>
        </w:rPr>
        <w:t>i</w:t>
      </w:r>
      <w:r w:rsidRPr="00D93F7E">
        <w:rPr>
          <w:rFonts w:ascii="Arial" w:hAnsi="Arial" w:cs="Arial"/>
        </w:rPr>
        <w:t>odo de los últimos cinco años, es decir, de 2016 a 2021, se presenta en el Anexo II</w:t>
      </w:r>
      <w:r>
        <w:rPr>
          <w:rFonts w:ascii="Arial" w:hAnsi="Arial" w:cs="Arial"/>
        </w:rPr>
        <w:t xml:space="preserve"> de esta ley</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4. Programa de financiamiento anual</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De conformidad con</w:t>
      </w:r>
      <w:r w:rsidRPr="00D93F7E">
        <w:rPr>
          <w:rFonts w:ascii="Arial" w:hAnsi="Arial" w:cs="Arial"/>
        </w:rPr>
        <w:t xml:space="preserve"> lo establecido en el artículo 52, fracción V, de la Ley del Presupuesto y Contabilidad Gubernamental del Estado de Yucatán</w:t>
      </w:r>
      <w:r>
        <w:rPr>
          <w:rFonts w:ascii="Arial" w:hAnsi="Arial" w:cs="Arial"/>
        </w:rPr>
        <w:t>,</w:t>
      </w:r>
      <w:r w:rsidRPr="00D93F7E">
        <w:rPr>
          <w:rFonts w:ascii="Arial" w:hAnsi="Arial" w:cs="Arial"/>
        </w:rPr>
        <w:t xml:space="preserve"> para el programa de financiamiento 2022</w:t>
      </w:r>
      <w:r>
        <w:rPr>
          <w:rFonts w:ascii="Arial" w:hAnsi="Arial" w:cs="Arial"/>
        </w:rPr>
        <w:t>,</w:t>
      </w:r>
      <w:r w:rsidRPr="00D93F7E">
        <w:rPr>
          <w:rFonts w:ascii="Arial" w:hAnsi="Arial" w:cs="Arial"/>
        </w:rPr>
        <w:t xml:space="preserve"> la estimación de las amortizaciones y el costo del servicio de la deuda de largo plazo que se cubrirán durante el ejercicio fiscal 2022 es de $65,946,307.00 y de $455,601,172.00, respectivamente. L</w:t>
      </w:r>
      <w:r>
        <w:rPr>
          <w:rFonts w:ascii="Arial" w:hAnsi="Arial" w:cs="Arial"/>
        </w:rPr>
        <w:t>as cifras señaladas</w:t>
      </w:r>
      <w:r w:rsidRPr="00D93F7E">
        <w:rPr>
          <w:rFonts w:ascii="Arial" w:hAnsi="Arial" w:cs="Arial"/>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 y serán aplicados de la siguiente manera:</w:t>
      </w:r>
    </w:p>
    <w:p w:rsidR="001B04B6" w:rsidRPr="0016359A" w:rsidRDefault="001B04B6" w:rsidP="0016359A">
      <w:pPr>
        <w:jc w:val="center"/>
        <w:rPr>
          <w:rFonts w:ascii="Arial" w:hAnsi="Arial" w:cs="Arial"/>
          <w:b/>
          <w:sz w:val="22"/>
          <w:szCs w:val="22"/>
        </w:rPr>
      </w:pPr>
      <w:r w:rsidRPr="0016359A">
        <w:rPr>
          <w:rFonts w:ascii="Arial" w:hAnsi="Arial" w:cs="Arial"/>
          <w:b/>
          <w:sz w:val="22"/>
          <w:szCs w:val="22"/>
        </w:rPr>
        <w:t>Tabla 2. Amortización y servicio de la deuda</w:t>
      </w:r>
    </w:p>
    <w:tbl>
      <w:tblPr>
        <w:tblW w:w="0" w:type="auto"/>
        <w:jc w:val="center"/>
        <w:tblCellMar>
          <w:left w:w="70" w:type="dxa"/>
          <w:right w:w="70" w:type="dxa"/>
        </w:tblCellMar>
        <w:tblLook w:val="04A0" w:firstRow="1" w:lastRow="0" w:firstColumn="1" w:lastColumn="0" w:noHBand="0" w:noVBand="1"/>
      </w:tblPr>
      <w:tblGrid>
        <w:gridCol w:w="1339"/>
        <w:gridCol w:w="2826"/>
        <w:gridCol w:w="1328"/>
        <w:gridCol w:w="1476"/>
        <w:gridCol w:w="1385"/>
      </w:tblGrid>
      <w:tr w:rsidR="001B04B6" w:rsidRPr="008A39AA" w:rsidTr="001B04B6">
        <w:trPr>
          <w:trHeight w:val="645"/>
          <w:jc w:val="center"/>
        </w:trPr>
        <w:tc>
          <w:tcPr>
            <w:tcW w:w="1413" w:type="dxa"/>
            <w:tcBorders>
              <w:top w:val="nil"/>
              <w:left w:val="single" w:sz="4" w:space="0" w:color="auto"/>
              <w:bottom w:val="single" w:sz="4" w:space="0" w:color="auto"/>
              <w:right w:val="single" w:sz="4" w:space="0" w:color="auto"/>
            </w:tcBorders>
            <w:shd w:val="clear" w:color="000000" w:fill="000000"/>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Clasificación deuda</w:t>
            </w:r>
          </w:p>
        </w:tc>
        <w:tc>
          <w:tcPr>
            <w:tcW w:w="299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Institución Financiera/Monto de Contratación</w:t>
            </w:r>
          </w:p>
        </w:tc>
        <w:tc>
          <w:tcPr>
            <w:tcW w:w="140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 xml:space="preserve">Saldo al </w:t>
            </w:r>
            <w:r w:rsidRPr="008A39AA">
              <w:rPr>
                <w:rFonts w:ascii="Arial" w:hAnsi="Arial" w:cs="Arial"/>
                <w:b/>
                <w:bCs/>
                <w:sz w:val="18"/>
                <w:szCs w:val="18"/>
              </w:rPr>
              <w:br/>
              <w:t>31/dic/2021</w:t>
            </w:r>
          </w:p>
        </w:tc>
        <w:tc>
          <w:tcPr>
            <w:tcW w:w="1559"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Amortización</w:t>
            </w:r>
          </w:p>
        </w:tc>
        <w:tc>
          <w:tcPr>
            <w:tcW w:w="1462" w:type="dxa"/>
            <w:tcBorders>
              <w:top w:val="nil"/>
              <w:left w:val="nil"/>
              <w:bottom w:val="single" w:sz="4" w:space="0" w:color="auto"/>
              <w:right w:val="single" w:sz="4" w:space="0" w:color="auto"/>
            </w:tcBorders>
            <w:shd w:val="clear" w:color="000000" w:fill="000000"/>
            <w:vAlign w:val="center"/>
            <w:hideMark/>
          </w:tcPr>
          <w:p w:rsidR="001B04B6" w:rsidRPr="008A39AA" w:rsidRDefault="001B04B6" w:rsidP="001B04B6">
            <w:pPr>
              <w:jc w:val="center"/>
              <w:rPr>
                <w:rFonts w:ascii="Arial" w:hAnsi="Arial" w:cs="Arial"/>
                <w:b/>
                <w:bCs/>
                <w:sz w:val="18"/>
                <w:szCs w:val="18"/>
              </w:rPr>
            </w:pPr>
            <w:r w:rsidRPr="008A39AA">
              <w:rPr>
                <w:rFonts w:ascii="Arial" w:hAnsi="Arial" w:cs="Arial"/>
                <w:b/>
                <w:bCs/>
                <w:sz w:val="18"/>
                <w:szCs w:val="18"/>
              </w:rPr>
              <w:t>Servicio de la Deuda</w:t>
            </w:r>
            <w:r w:rsidRPr="008A39AA">
              <w:rPr>
                <w:rFonts w:ascii="Arial" w:hAnsi="Arial" w:cs="Arial"/>
                <w:b/>
                <w:bCs/>
                <w:sz w:val="18"/>
                <w:szCs w:val="18"/>
                <w:vertAlign w:val="superscript"/>
              </w:rPr>
              <w:t>1</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México, S.A. por 2,620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2,591,228,832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30,965,491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171,059,904</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por 800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791,778,824</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8,278,994</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49,671,018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lastRenderedPageBreak/>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por 1,200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1,188,008,002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12,413,561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101,811,228</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Banco Nacional de Obras y Servicios Públicos, S.N.C. por 1,420mdp</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1,366,487,676</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14,288,261</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106,343,985</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5,937,503,333</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428,886,135</w:t>
            </w:r>
          </w:p>
        </w:tc>
      </w:tr>
      <w:tr w:rsidR="001B04B6" w:rsidRPr="008A39AA" w:rsidTr="001B04B6">
        <w:trPr>
          <w:trHeight w:val="57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Deuda pública con garantía</w:t>
            </w:r>
          </w:p>
        </w:tc>
        <w:tc>
          <w:tcPr>
            <w:tcW w:w="299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xml:space="preserve">Banco Nacional de Obras y Servicios Públicos, S.N.C. (PROFISE) por 317 </w:t>
            </w:r>
            <w:proofErr w:type="spellStart"/>
            <w:r w:rsidRPr="008A39AA">
              <w:rPr>
                <w:rFonts w:ascii="Arial" w:hAnsi="Arial" w:cs="Arial"/>
                <w:sz w:val="18"/>
                <w:szCs w:val="18"/>
              </w:rPr>
              <w:t>mdp</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2992" w:type="dxa"/>
            <w:tcBorders>
              <w:top w:val="nil"/>
              <w:left w:val="nil"/>
              <w:bottom w:val="single" w:sz="4" w:space="0" w:color="auto"/>
              <w:right w:val="single" w:sz="4" w:space="0" w:color="auto"/>
            </w:tcBorders>
            <w:shd w:val="clear" w:color="auto" w:fill="auto"/>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Total deuda pública con garantía</w:t>
            </w:r>
          </w:p>
        </w:tc>
        <w:tc>
          <w:tcPr>
            <w:tcW w:w="140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26,715,037</w:t>
            </w:r>
          </w:p>
        </w:tc>
      </w:tr>
      <w:tr w:rsidR="001B04B6" w:rsidRPr="008A39AA" w:rsidTr="001B04B6">
        <w:trPr>
          <w:trHeight w:val="300"/>
          <w:jc w:val="center"/>
        </w:trPr>
        <w:tc>
          <w:tcPr>
            <w:tcW w:w="1413" w:type="dxa"/>
            <w:tcBorders>
              <w:top w:val="nil"/>
              <w:left w:val="single" w:sz="4" w:space="0" w:color="auto"/>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b/>
                <w:bCs/>
                <w:sz w:val="18"/>
                <w:szCs w:val="18"/>
              </w:rPr>
            </w:pPr>
            <w:r w:rsidRPr="008A39AA">
              <w:rPr>
                <w:rFonts w:ascii="Arial" w:hAnsi="Arial" w:cs="Arial"/>
                <w:b/>
                <w:bCs/>
                <w:sz w:val="18"/>
                <w:szCs w:val="18"/>
              </w:rPr>
              <w:t>Total</w:t>
            </w:r>
          </w:p>
        </w:tc>
        <w:tc>
          <w:tcPr>
            <w:tcW w:w="299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both"/>
              <w:rPr>
                <w:rFonts w:ascii="Arial" w:hAnsi="Arial" w:cs="Arial"/>
                <w:sz w:val="18"/>
                <w:szCs w:val="18"/>
              </w:rPr>
            </w:pPr>
            <w:r w:rsidRPr="008A39AA">
              <w:rPr>
                <w:rFonts w:ascii="Arial" w:hAnsi="Arial" w:cs="Arial"/>
                <w:sz w:val="18"/>
                <w:szCs w:val="18"/>
              </w:rPr>
              <w:t> </w:t>
            </w:r>
          </w:p>
        </w:tc>
        <w:tc>
          <w:tcPr>
            <w:tcW w:w="140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6,244,435,095</w:t>
            </w:r>
          </w:p>
        </w:tc>
        <w:tc>
          <w:tcPr>
            <w:tcW w:w="1559"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65,946,307</w:t>
            </w:r>
          </w:p>
        </w:tc>
        <w:tc>
          <w:tcPr>
            <w:tcW w:w="1462" w:type="dxa"/>
            <w:tcBorders>
              <w:top w:val="nil"/>
              <w:left w:val="nil"/>
              <w:bottom w:val="single" w:sz="4" w:space="0" w:color="auto"/>
              <w:right w:val="single" w:sz="4" w:space="0" w:color="auto"/>
            </w:tcBorders>
            <w:shd w:val="clear" w:color="auto" w:fill="DDD9C3"/>
            <w:noWrap/>
            <w:vAlign w:val="center"/>
            <w:hideMark/>
          </w:tcPr>
          <w:p w:rsidR="001B04B6" w:rsidRPr="008A39AA" w:rsidRDefault="001B04B6" w:rsidP="001B04B6">
            <w:pPr>
              <w:jc w:val="right"/>
              <w:rPr>
                <w:rFonts w:ascii="Arial" w:hAnsi="Arial" w:cs="Arial"/>
                <w:sz w:val="18"/>
                <w:szCs w:val="18"/>
              </w:rPr>
            </w:pPr>
            <w:r w:rsidRPr="008A39AA">
              <w:rPr>
                <w:rFonts w:ascii="Arial" w:hAnsi="Arial" w:cs="Arial"/>
                <w:sz w:val="18"/>
                <w:szCs w:val="18"/>
              </w:rPr>
              <w:t>455,601,172</w:t>
            </w:r>
          </w:p>
        </w:tc>
      </w:tr>
      <w:tr w:rsidR="001B04B6" w:rsidRPr="0016359A" w:rsidTr="001B04B6">
        <w:trPr>
          <w:trHeight w:val="604"/>
          <w:jc w:val="center"/>
        </w:trPr>
        <w:tc>
          <w:tcPr>
            <w:tcW w:w="8828" w:type="dxa"/>
            <w:gridSpan w:val="5"/>
            <w:tcBorders>
              <w:top w:val="nil"/>
              <w:left w:val="nil"/>
              <w:bottom w:val="nil"/>
              <w:right w:val="nil"/>
            </w:tcBorders>
            <w:shd w:val="clear" w:color="auto" w:fill="auto"/>
            <w:noWrap/>
            <w:vAlign w:val="bottom"/>
            <w:hideMark/>
          </w:tcPr>
          <w:p w:rsidR="001B04B6" w:rsidRPr="0016359A" w:rsidRDefault="001B04B6" w:rsidP="0016359A">
            <w:pPr>
              <w:rPr>
                <w:rFonts w:ascii="Arial" w:hAnsi="Arial" w:cs="Arial"/>
                <w:i/>
                <w:iCs/>
                <w:sz w:val="16"/>
                <w:szCs w:val="16"/>
              </w:rPr>
            </w:pPr>
            <w:r w:rsidRPr="0016359A">
              <w:rPr>
                <w:rFonts w:ascii="Arial" w:hAnsi="Arial" w:cs="Arial"/>
                <w:i/>
                <w:iCs/>
                <w:sz w:val="16"/>
                <w:szCs w:val="16"/>
                <w:vertAlign w:val="superscript"/>
              </w:rPr>
              <w:t>1</w:t>
            </w:r>
            <w:r w:rsidRPr="0016359A">
              <w:rPr>
                <w:rFonts w:ascii="Arial" w:hAnsi="Arial" w:cs="Arial"/>
                <w:i/>
                <w:iCs/>
                <w:sz w:val="16"/>
                <w:szCs w:val="16"/>
              </w:rPr>
              <w:t xml:space="preserve"> El servicio de la deuda considera intereses, gastos y costos de cobertura de la deuda pública de largo plazo.</w:t>
            </w:r>
          </w:p>
        </w:tc>
      </w:tr>
    </w:tbl>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calendario de amortizaciones de los siguientes ejercicios fiscales se presenta en el Anexo III de esta </w:t>
      </w:r>
      <w:r>
        <w:rPr>
          <w:rFonts w:ascii="Arial" w:hAnsi="Arial" w:cs="Arial"/>
        </w:rPr>
        <w:t>l</w:t>
      </w:r>
      <w:r w:rsidRPr="00D93F7E">
        <w:rPr>
          <w:rFonts w:ascii="Arial" w:hAnsi="Arial" w:cs="Arial"/>
        </w:rPr>
        <w:t>ey.</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Con base en los resultados del Sistema de Alertas de la Secretaría de Hacienda y Crédito Público, que presenta la clasificación del nivel de endeudamiento al 27 de agosto de 2021, el estado de Yucatán se encuentra clasificado bajo un endeudamiento sostenible</w:t>
      </w:r>
      <w:r>
        <w:rPr>
          <w:rFonts w:ascii="Arial" w:hAnsi="Arial" w:cs="Arial"/>
        </w:rPr>
        <w:t xml:space="preserve"> y </w:t>
      </w:r>
      <w:r w:rsidRPr="00D93F7E">
        <w:rPr>
          <w:rFonts w:ascii="Arial" w:hAnsi="Arial" w:cs="Arial"/>
        </w:rPr>
        <w:t xml:space="preserve">con acceso a un techo de financiamiento neto de hasta el equivalente al quince por ciento de sus ingresos de libre disposición.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Si durante el ejercicio fiscal 2022 se actualizara alguno de los supuestos previstos en el artículo 7 de la Ley de Disciplina Financiera de las Entidades Federativas y los Municipios, con base en el cual se proyectara incurrir al cierre del ejercicio en un </w:t>
      </w:r>
      <w:r>
        <w:rPr>
          <w:rFonts w:ascii="Arial" w:hAnsi="Arial" w:cs="Arial"/>
        </w:rPr>
        <w:t>b</w:t>
      </w:r>
      <w:r w:rsidRPr="00D93F7E">
        <w:rPr>
          <w:rFonts w:ascii="Arial" w:hAnsi="Arial" w:cs="Arial"/>
        </w:rPr>
        <w:t xml:space="preserve">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Dentro del programa de financiamiento 2022,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ley.</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5. Reestructura o refinanciamiento de deuda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estado de Yucatán, el destino de los financiamientos, </w:t>
      </w:r>
      <w:r>
        <w:rPr>
          <w:rFonts w:ascii="Arial" w:hAnsi="Arial" w:cs="Arial"/>
        </w:rPr>
        <w:t xml:space="preserve">y </w:t>
      </w:r>
      <w:r w:rsidRPr="00D93F7E">
        <w:rPr>
          <w:rFonts w:ascii="Arial" w:hAnsi="Arial" w:cs="Arial"/>
        </w:rPr>
        <w:t xml:space="preserve">la situación de la deuda pública y de los </w:t>
      </w:r>
      <w:r w:rsidRPr="00D93F7E">
        <w:rPr>
          <w:rFonts w:ascii="Arial" w:hAnsi="Arial" w:cs="Arial"/>
        </w:rPr>
        <w:lastRenderedPageBreak/>
        <w:t>recursos a otorgarse como fuente de pago, se autoriza al Poder Ejecutivo del Estado de Yucatán para que, por conducto de la Secretaría de Administración y Finanzas, durante el ejercicio fiscal 2022,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$306,931,762.00</w:t>
      </w:r>
      <w:r>
        <w:rPr>
          <w:rFonts w:ascii="Arial" w:hAnsi="Arial" w:cs="Arial"/>
        </w:rPr>
        <w:t>.</w:t>
      </w:r>
      <w:r w:rsidRPr="00D93F7E">
        <w:rPr>
          <w:rFonts w:ascii="Arial" w:hAnsi="Arial" w:cs="Arial"/>
        </w:rPr>
        <w:t xml:space="preserve">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reestructura o refinanciamiento autorizados en </w:t>
      </w:r>
      <w:r>
        <w:rPr>
          <w:rFonts w:ascii="Arial" w:hAnsi="Arial" w:cs="Arial"/>
        </w:rPr>
        <w:t>este</w:t>
      </w:r>
      <w:r w:rsidRPr="00D93F7E">
        <w:rPr>
          <w:rFonts w:ascii="Arial" w:hAnsi="Arial" w:cs="Arial"/>
        </w:rPr>
        <w:t xml:space="preserve"> artículo comprenden la revisión en el monto, tasa, plazo, amortización, garantías, instrumentos derivados, fuente de pago y fideicomisos, ingresos afectados como fuente de pago o garantía de pago, fondos de reserva pactados</w:t>
      </w:r>
      <w:r>
        <w:rPr>
          <w:rFonts w:ascii="Arial" w:hAnsi="Arial" w:cs="Arial"/>
        </w:rPr>
        <w:t xml:space="preserve"> y </w:t>
      </w:r>
      <w:r w:rsidRPr="00D93F7E">
        <w:rPr>
          <w:rFonts w:ascii="Arial" w:hAnsi="Arial" w:cs="Arial"/>
        </w:rPr>
        <w:t>comisiones, así como las modificaciones necesarias a las demás condiciones</w:t>
      </w:r>
      <w:r>
        <w:rPr>
          <w:rFonts w:ascii="Arial" w:hAnsi="Arial" w:cs="Arial"/>
        </w:rPr>
        <w:t xml:space="preserve">, </w:t>
      </w:r>
      <w:r w:rsidRPr="00D93F7E">
        <w:rPr>
          <w:rFonts w:ascii="Arial" w:hAnsi="Arial" w:cs="Arial"/>
        </w:rPr>
        <w:t xml:space="preserve">obligaciones y derechos previamente pactados, autorizándose a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autorización a que se refiere este artículo se ejercerá hasta por el monto del saldo insoluto de las obligaciones al momento de su celebración, sin implicar nuevas disposiciones o incremento en el saldo de la deuda pública.</w:t>
      </w:r>
    </w:p>
    <w:p w:rsidR="001B04B6" w:rsidRPr="00D93F7E" w:rsidRDefault="001B04B6" w:rsidP="001B04B6">
      <w:pPr>
        <w:spacing w:before="100" w:beforeAutospacing="1" w:after="100" w:afterAutospacing="1"/>
        <w:jc w:val="both"/>
        <w:rPr>
          <w:rFonts w:ascii="Arial" w:hAnsi="Arial" w:cs="Arial"/>
          <w:b/>
        </w:rPr>
      </w:pPr>
      <w:bookmarkStart w:id="0" w:name="_Hlk88302609"/>
      <w:r w:rsidRPr="00D93F7E">
        <w:rPr>
          <w:rFonts w:ascii="Arial" w:hAnsi="Arial" w:cs="Arial"/>
          <w:b/>
        </w:rPr>
        <w:t xml:space="preserve">Artículo 6. Instrumentos </w:t>
      </w:r>
      <w:r>
        <w:rPr>
          <w:rFonts w:ascii="Arial" w:hAnsi="Arial" w:cs="Arial"/>
          <w:b/>
        </w:rPr>
        <w:t>d</w:t>
      </w:r>
      <w:r w:rsidRPr="00D93F7E">
        <w:rPr>
          <w:rFonts w:ascii="Arial" w:hAnsi="Arial" w:cs="Arial"/>
          <w:b/>
        </w:rPr>
        <w:t xml:space="preserve">erivados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Con base en el análisis de la capacidad de pago del </w:t>
      </w:r>
      <w:r>
        <w:rPr>
          <w:rFonts w:ascii="Arial" w:hAnsi="Arial" w:cs="Arial"/>
        </w:rPr>
        <w:t>e</w:t>
      </w:r>
      <w:r w:rsidRPr="00D93F7E">
        <w:rPr>
          <w:rFonts w:ascii="Arial" w:hAnsi="Arial" w:cs="Arial"/>
        </w:rPr>
        <w:t xml:space="preserve">stado, </w:t>
      </w:r>
      <w:r>
        <w:rPr>
          <w:rFonts w:ascii="Arial" w:hAnsi="Arial" w:cs="Arial"/>
        </w:rPr>
        <w:t xml:space="preserve">y </w:t>
      </w:r>
      <w:r w:rsidRPr="00D93F7E">
        <w:rPr>
          <w:rFonts w:ascii="Arial" w:hAnsi="Arial" w:cs="Arial"/>
        </w:rPr>
        <w:t>del destino de los recursos</w:t>
      </w:r>
      <w:r>
        <w:rPr>
          <w:rFonts w:ascii="Arial" w:hAnsi="Arial" w:cs="Arial"/>
        </w:rPr>
        <w:t>,</w:t>
      </w:r>
      <w:r w:rsidRPr="00D93F7E">
        <w:rPr>
          <w:rFonts w:ascii="Arial" w:hAnsi="Arial" w:cs="Arial"/>
        </w:rPr>
        <w:t xml:space="preserve"> tanto a obtenerse</w:t>
      </w:r>
      <w:r>
        <w:rPr>
          <w:rFonts w:ascii="Arial" w:hAnsi="Arial" w:cs="Arial"/>
        </w:rPr>
        <w:t xml:space="preserve"> </w:t>
      </w:r>
      <w:r w:rsidRPr="00D93F7E">
        <w:rPr>
          <w:rFonts w:ascii="Arial" w:hAnsi="Arial" w:cs="Arial"/>
        </w:rPr>
        <w:t>como a otorgarse como fuente de pago, se autoriza al Poder Ejecutivo del Estado de Yucatán para que, por conducto de la Secretaría de Administración y Finanzas</w:t>
      </w:r>
      <w:r>
        <w:rPr>
          <w:rFonts w:ascii="Arial" w:hAnsi="Arial" w:cs="Arial"/>
        </w:rPr>
        <w:t>,</w:t>
      </w:r>
      <w:r w:rsidRPr="00D93F7E">
        <w:rPr>
          <w:rFonts w:ascii="Arial" w:hAnsi="Arial" w:cs="Arial"/>
        </w:rPr>
        <w:t xml:space="preserve"> en cumplimiento de las obligaciones asumidas en los contratos constitutivos de deuda pública inscritos ante el Registro Público Único de Financiamiento y Obligaciones de Entidades Federativas y Municipios a cargo de la Secretaría de Hacienda y Crédito Público</w:t>
      </w:r>
      <w:r>
        <w:rPr>
          <w:rFonts w:ascii="Arial" w:hAnsi="Arial" w:cs="Arial"/>
        </w:rPr>
        <w:t>,</w:t>
      </w:r>
      <w:r w:rsidRPr="00D93F7E">
        <w:rPr>
          <w:rFonts w:ascii="Arial" w:hAnsi="Arial" w:cs="Arial"/>
        </w:rPr>
        <w:t xml:space="preserve"> con clave de inscripción P31-1119054, P31-1020086, P31-1020087 y P31-1020088, durante el ejercicio 2022 celebre operaciones financieras de cobertura</w:t>
      </w:r>
      <w:r>
        <w:rPr>
          <w:rFonts w:ascii="Arial" w:hAnsi="Arial" w:cs="Arial"/>
        </w:rPr>
        <w:t xml:space="preserve">, es decir, </w:t>
      </w:r>
      <w:r w:rsidRPr="00D93F7E">
        <w:rPr>
          <w:rFonts w:ascii="Arial" w:hAnsi="Arial" w:cs="Arial"/>
        </w:rPr>
        <w:t>instrumentos derivados</w:t>
      </w:r>
      <w:r>
        <w:rPr>
          <w:rFonts w:ascii="Arial" w:hAnsi="Arial" w:cs="Arial"/>
        </w:rPr>
        <w:t>,</w:t>
      </w:r>
      <w:r w:rsidRPr="00D93F7E">
        <w:rPr>
          <w:rFonts w:ascii="Arial" w:hAnsi="Arial" w:cs="Arial"/>
        </w:rPr>
        <w:t xml:space="preserve"> </w:t>
      </w:r>
      <w:r>
        <w:rPr>
          <w:rFonts w:ascii="Arial" w:hAnsi="Arial" w:cs="Arial"/>
        </w:rPr>
        <w:t xml:space="preserve">o </w:t>
      </w:r>
      <w:r w:rsidRPr="00D93F7E">
        <w:rPr>
          <w:rFonts w:ascii="Arial" w:hAnsi="Arial" w:cs="Arial"/>
        </w:rPr>
        <w:t xml:space="preserve">pacte su renovación, reestructura </w:t>
      </w:r>
      <w:r w:rsidRPr="00D93F7E">
        <w:rPr>
          <w:rFonts w:ascii="Arial" w:hAnsi="Arial" w:cs="Arial"/>
        </w:rPr>
        <w:lastRenderedPageBreak/>
        <w:t>o adecuación, bajo la modalidad que se estime conveniente, hasta por el total del saldo insoluto del financiamiento objeto de cobertura y por un plazo de vigencia de hasta</w:t>
      </w:r>
      <w:r>
        <w:rPr>
          <w:rFonts w:ascii="Arial" w:hAnsi="Arial" w:cs="Arial"/>
        </w:rPr>
        <w:t xml:space="preserve"> </w:t>
      </w:r>
      <w:r w:rsidRPr="00D93F7E">
        <w:rPr>
          <w:rFonts w:ascii="Arial" w:hAnsi="Arial" w:cs="Arial"/>
        </w:rPr>
        <w:t>sesenta meses, a efecto de mitigar los riesgos económico-financieros de variaciones a la tasa de referencia pactada en los créditos objeto de cobertura.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Tratándose de operaciones de intercambio de tasa de interés</w:t>
      </w:r>
      <w:r>
        <w:rPr>
          <w:rFonts w:ascii="Arial" w:hAnsi="Arial" w:cs="Arial"/>
        </w:rPr>
        <w:t xml:space="preserve">, es decir, </w:t>
      </w:r>
      <w:r w:rsidRPr="00D93F7E">
        <w:rPr>
          <w:rFonts w:ascii="Arial" w:hAnsi="Arial" w:cs="Arial"/>
        </w:rPr>
        <w:t>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bookmarkEnd w:id="0"/>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7. Adeudos de ejercicios fiscales anteriores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Durante el ejercicio fiscal 2022, se considerarán adeudos del ejercicio fiscal 2021 de al menos $150,000,000.00,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8. Ingresos acumulados excedentes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acumulados de </w:t>
      </w:r>
      <w:r>
        <w:rPr>
          <w:rFonts w:ascii="Arial" w:hAnsi="Arial" w:cs="Arial"/>
        </w:rPr>
        <w:t xml:space="preserve">las dependencias y entidades del Poder Ejecutivo del estado, </w:t>
      </w:r>
      <w:r w:rsidRPr="00D93F7E">
        <w:rPr>
          <w:rFonts w:ascii="Arial" w:hAnsi="Arial" w:cs="Arial"/>
        </w:rPr>
        <w:t>los poderes Legislativo y Judicial</w:t>
      </w:r>
      <w:r>
        <w:rPr>
          <w:rFonts w:ascii="Arial" w:hAnsi="Arial" w:cs="Arial"/>
        </w:rPr>
        <w:t>, y</w:t>
      </w:r>
      <w:r w:rsidRPr="00D93F7E">
        <w:rPr>
          <w:rFonts w:ascii="Arial" w:hAnsi="Arial" w:cs="Arial"/>
        </w:rPr>
        <w:t xml:space="preserve"> los órganos autónomos por disposición constitucional</w:t>
      </w:r>
      <w:r>
        <w:rPr>
          <w:rFonts w:ascii="Arial" w:hAnsi="Arial" w:cs="Arial"/>
        </w:rPr>
        <w:t xml:space="preserve"> </w:t>
      </w:r>
      <w:r w:rsidRPr="00D93F7E">
        <w:rPr>
          <w:rFonts w:ascii="Arial" w:hAnsi="Arial" w:cs="Arial"/>
        </w:rPr>
        <w:t>que, durante el ejercicio fiscal 2022, se obtengan en exceso de los aprobados en esta ley, deberán ser aplicados en los términos de la Ley del Presupuesto y Contabilidad Gubernamental del Estado de Yucatán, su reglamento</w:t>
      </w:r>
      <w:r>
        <w:rPr>
          <w:rFonts w:ascii="Arial" w:hAnsi="Arial" w:cs="Arial"/>
        </w:rPr>
        <w:t>,</w:t>
      </w:r>
      <w:r w:rsidRPr="00D93F7E">
        <w:rPr>
          <w:rFonts w:ascii="Arial" w:hAnsi="Arial" w:cs="Arial"/>
        </w:rPr>
        <w:t xml:space="preserve"> y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Asimismo, los ingresos excedentes que provengan de los fondos de aportaciones federales para el estado o los municipios y de recursos federales </w:t>
      </w:r>
      <w:r w:rsidRPr="00D93F7E">
        <w:rPr>
          <w:rFonts w:ascii="Arial" w:hAnsi="Arial" w:cs="Arial"/>
        </w:rPr>
        <w:lastRenderedPageBreak/>
        <w:t>reasignados o federalizados, se destinarán a los fines legalmente establecidos o convenidos, conforme a la normativa federal aplicable.</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9. Convenios celebrados con el Gobierno federal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10. Participaciones municipales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distribución de las participaciones se basa en las estimaciones publicadas en el Presupuesto de Egresos de la Federación para el </w:t>
      </w:r>
      <w:r>
        <w:rPr>
          <w:rFonts w:ascii="Arial" w:hAnsi="Arial" w:cs="Arial"/>
        </w:rPr>
        <w:t>E</w:t>
      </w:r>
      <w:r w:rsidRPr="00D93F7E">
        <w:rPr>
          <w:rFonts w:ascii="Arial" w:hAnsi="Arial" w:cs="Arial"/>
        </w:rPr>
        <w:t xml:space="preserve">jercicio </w:t>
      </w:r>
      <w:r>
        <w:rPr>
          <w:rFonts w:ascii="Arial" w:hAnsi="Arial" w:cs="Arial"/>
        </w:rPr>
        <w:t>F</w:t>
      </w:r>
      <w:r w:rsidRPr="00D93F7E">
        <w:rPr>
          <w:rFonts w:ascii="Arial" w:hAnsi="Arial" w:cs="Arial"/>
        </w:rPr>
        <w:t xml:space="preserve">iscal 2022, </w:t>
      </w:r>
      <w:r>
        <w:rPr>
          <w:rFonts w:ascii="Arial" w:hAnsi="Arial" w:cs="Arial"/>
        </w:rPr>
        <w:t xml:space="preserve">y en la </w:t>
      </w:r>
      <w:r w:rsidRPr="00D93F7E">
        <w:rPr>
          <w:rFonts w:ascii="Arial" w:hAnsi="Arial" w:cs="Arial"/>
        </w:rPr>
        <w:t xml:space="preserve">base del cálculo con coeficientes de 2021. Por lo </w:t>
      </w:r>
      <w:r>
        <w:rPr>
          <w:rFonts w:ascii="Arial" w:hAnsi="Arial" w:cs="Arial"/>
        </w:rPr>
        <w:t>tanto</w:t>
      </w:r>
      <w:r w:rsidRPr="00D93F7E">
        <w:rPr>
          <w:rFonts w:ascii="Arial" w:hAnsi="Arial" w:cs="Arial"/>
        </w:rPr>
        <w:t xml:space="preserve">, el ejercicio de las participaciones por parte de los municipios deberá ser con cautela, ya que el monto definitivo dependerá de la </w:t>
      </w:r>
      <w:r>
        <w:rPr>
          <w:rFonts w:ascii="Arial" w:hAnsi="Arial" w:cs="Arial"/>
        </w:rPr>
        <w:t>R</w:t>
      </w:r>
      <w:r w:rsidRPr="00D93F7E">
        <w:rPr>
          <w:rFonts w:ascii="Arial" w:hAnsi="Arial" w:cs="Arial"/>
        </w:rPr>
        <w:t xml:space="preserve">ecaudación </w:t>
      </w:r>
      <w:r>
        <w:rPr>
          <w:rFonts w:ascii="Arial" w:hAnsi="Arial" w:cs="Arial"/>
        </w:rPr>
        <w:t>F</w:t>
      </w:r>
      <w:r w:rsidRPr="00D93F7E">
        <w:rPr>
          <w:rFonts w:ascii="Arial" w:hAnsi="Arial" w:cs="Arial"/>
        </w:rPr>
        <w:t xml:space="preserve">ederal </w:t>
      </w:r>
      <w:r>
        <w:rPr>
          <w:rFonts w:ascii="Arial" w:hAnsi="Arial" w:cs="Arial"/>
        </w:rPr>
        <w:t>P</w:t>
      </w:r>
      <w:r w:rsidRPr="00D93F7E">
        <w:rPr>
          <w:rFonts w:ascii="Arial" w:hAnsi="Arial" w:cs="Arial"/>
        </w:rPr>
        <w:t>articipable observada en el ejercicio y los coeficientes de distribución definitivos para el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Para efectos de lo previsto en el artículo 115, fracción IV, inciso b), de la Constitución Política de los Estados Unidos Mexicanos, las bases, montos y plazos para la distribución de </w:t>
      </w:r>
      <w:r>
        <w:rPr>
          <w:rFonts w:ascii="Arial" w:hAnsi="Arial" w:cs="Arial"/>
        </w:rPr>
        <w:t xml:space="preserve">las </w:t>
      </w:r>
      <w:r w:rsidRPr="00D93F7E">
        <w:rPr>
          <w:rFonts w:ascii="Arial" w:hAnsi="Arial" w:cs="Arial"/>
        </w:rPr>
        <w:t xml:space="preserve">participaciones federales </w:t>
      </w:r>
      <w:r>
        <w:rPr>
          <w:rFonts w:ascii="Arial" w:hAnsi="Arial" w:cs="Arial"/>
        </w:rPr>
        <w:t xml:space="preserve">destinadas </w:t>
      </w:r>
      <w:r w:rsidRPr="00D93F7E">
        <w:rPr>
          <w:rFonts w:ascii="Arial" w:hAnsi="Arial" w:cs="Arial"/>
        </w:rPr>
        <w:t>a los municipios del estado</w:t>
      </w:r>
      <w:r>
        <w:rPr>
          <w:rFonts w:ascii="Arial" w:hAnsi="Arial" w:cs="Arial"/>
        </w:rPr>
        <w:t xml:space="preserve"> </w:t>
      </w:r>
      <w:r w:rsidRPr="00D93F7E">
        <w:rPr>
          <w:rFonts w:ascii="Arial" w:hAnsi="Arial" w:cs="Arial"/>
        </w:rPr>
        <w:t>s</w:t>
      </w:r>
      <w:r>
        <w:rPr>
          <w:rFonts w:ascii="Arial" w:hAnsi="Arial" w:cs="Arial"/>
        </w:rPr>
        <w:t>erá</w:t>
      </w:r>
      <w:r w:rsidRPr="00D93F7E">
        <w:rPr>
          <w:rFonts w:ascii="Arial" w:hAnsi="Arial" w:cs="Arial"/>
        </w:rPr>
        <w:t>n las que se establecen en la Ley de Coordinación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 xml:space="preserve">Artículo 11. Calendario de ingresos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 xml:space="preserve">Los entes públicos que reciban </w:t>
      </w:r>
      <w:r>
        <w:rPr>
          <w:rFonts w:ascii="Arial" w:hAnsi="Arial" w:cs="Arial"/>
        </w:rPr>
        <w:t xml:space="preserve">los </w:t>
      </w:r>
      <w:r w:rsidRPr="00D93F7E">
        <w:rPr>
          <w:rFonts w:ascii="Arial" w:hAnsi="Arial" w:cs="Arial"/>
        </w:rPr>
        <w:t>ingresos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12. Aprovechamientos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Poder Ejecutivo del </w:t>
      </w:r>
      <w:r>
        <w:rPr>
          <w:rFonts w:ascii="Arial" w:hAnsi="Arial" w:cs="Arial"/>
        </w:rPr>
        <w:t>e</w:t>
      </w:r>
      <w:r w:rsidRPr="00D93F7E">
        <w:rPr>
          <w:rFonts w:ascii="Arial" w:hAnsi="Arial" w:cs="Arial"/>
        </w:rPr>
        <w:t xml:space="preserve">stado, por conducto de la Secretaría de Administración y Finanzas, queda autorizado para fijar o modificar los aprovechamientos que cobren las dependencias durante el ejercicio fiscal 2022, por el uso, goce, aprovechamiento o explotación de bienes sujetos al régimen de dominio público del </w:t>
      </w:r>
      <w:r>
        <w:rPr>
          <w:rFonts w:ascii="Arial" w:hAnsi="Arial" w:cs="Arial"/>
        </w:rPr>
        <w:t>e</w:t>
      </w:r>
      <w:r w:rsidRPr="00D93F7E">
        <w:rPr>
          <w:rFonts w:ascii="Arial" w:hAnsi="Arial" w:cs="Arial"/>
        </w:rPr>
        <w:t>stado</w:t>
      </w:r>
      <w:r>
        <w:rPr>
          <w:rFonts w:ascii="Arial" w:hAnsi="Arial" w:cs="Arial"/>
        </w:rPr>
        <w:t>,</w:t>
      </w:r>
      <w:r w:rsidRPr="00D93F7E">
        <w:rPr>
          <w:rFonts w:ascii="Arial" w:hAnsi="Arial" w:cs="Arial"/>
        </w:rPr>
        <w:t xml:space="preserve"> o por la prestación de servicios en el ejercicio de las funciones de derecho público por los que no se establecen derechos o que, por cualquier causa legal, no se paguen.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 Secretaría de Administración y Finanzas, mediante resoluciones de carácter particular, aprobará los montos de los aprovechamientos que cobren las dependencias de la Administración Pública </w:t>
      </w:r>
      <w:r>
        <w:rPr>
          <w:rFonts w:ascii="Arial" w:hAnsi="Arial" w:cs="Arial"/>
        </w:rPr>
        <w:t>e</w:t>
      </w:r>
      <w:r w:rsidRPr="00D93F7E">
        <w:rPr>
          <w:rFonts w:ascii="Arial" w:hAnsi="Arial" w:cs="Arial"/>
        </w:rPr>
        <w:t>statal, salvo cuando su determinación y cobro se encuentren previstos en otras leyes</w:t>
      </w:r>
      <w:r>
        <w:rPr>
          <w:rFonts w:ascii="Arial" w:hAnsi="Arial" w:cs="Arial"/>
        </w:rPr>
        <w:t xml:space="preserve">. </w:t>
      </w:r>
      <w:r w:rsidRPr="00D93F7E">
        <w:rPr>
          <w:rFonts w:ascii="Arial" w:hAnsi="Arial" w:cs="Arial"/>
        </w:rPr>
        <w:t>Los aprovechamientos que cobren las entidades se sujetarán a la aprobación de</w:t>
      </w:r>
      <w:r>
        <w:rPr>
          <w:rFonts w:ascii="Arial" w:hAnsi="Arial" w:cs="Arial"/>
        </w:rPr>
        <w:t>l</w:t>
      </w:r>
      <w:r w:rsidRPr="00D93F7E">
        <w:rPr>
          <w:rFonts w:ascii="Arial" w:hAnsi="Arial" w:cs="Arial"/>
        </w:rPr>
        <w:t xml:space="preserve"> órgano de gobierno correspondiente</w:t>
      </w:r>
      <w:r>
        <w:rPr>
          <w:rFonts w:ascii="Arial" w:hAnsi="Arial" w:cs="Arial"/>
        </w:rPr>
        <w:t>,</w:t>
      </w:r>
      <w:r w:rsidRPr="00D93F7E">
        <w:rPr>
          <w:rFonts w:ascii="Arial" w:hAnsi="Arial" w:cs="Arial"/>
        </w:rPr>
        <w:t xml:space="preserve"> </w:t>
      </w:r>
      <w:r>
        <w:rPr>
          <w:rFonts w:ascii="Arial" w:hAnsi="Arial" w:cs="Arial"/>
        </w:rPr>
        <w:t>de conformidad con</w:t>
      </w:r>
      <w:r w:rsidRPr="00D93F7E">
        <w:rPr>
          <w:rFonts w:ascii="Arial" w:hAnsi="Arial" w:cs="Arial"/>
        </w:rPr>
        <w:t xml:space="preserve"> la normativ</w:t>
      </w:r>
      <w:r>
        <w:rPr>
          <w:rFonts w:ascii="Arial" w:hAnsi="Arial" w:cs="Arial"/>
        </w:rPr>
        <w:t>idad</w:t>
      </w:r>
      <w:r w:rsidRPr="00D93F7E">
        <w:rPr>
          <w:rFonts w:ascii="Arial" w:hAnsi="Arial" w:cs="Arial"/>
        </w:rPr>
        <w:t xml:space="preserve"> aplicable, con excepción de aquellos que se determinen por acuerdo del Ejecutivo del </w:t>
      </w:r>
      <w:r>
        <w:rPr>
          <w:rFonts w:ascii="Arial" w:hAnsi="Arial" w:cs="Arial"/>
        </w:rPr>
        <w:t>e</w:t>
      </w:r>
      <w:r w:rsidRPr="00D93F7E">
        <w:rPr>
          <w:rFonts w:ascii="Arial" w:hAnsi="Arial" w:cs="Arial"/>
        </w:rPr>
        <w:t>stado.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otorgadas para fijar o modificar las cuotas de los aprovechamientos durante el ejercicio fiscal 2022</w:t>
      </w:r>
      <w:r>
        <w:rPr>
          <w:rFonts w:ascii="Arial" w:hAnsi="Arial" w:cs="Arial"/>
        </w:rPr>
        <w:t xml:space="preserve"> </w:t>
      </w:r>
      <w:r w:rsidRPr="00D93F7E">
        <w:rPr>
          <w:rFonts w:ascii="Arial" w:hAnsi="Arial" w:cs="Arial"/>
        </w:rPr>
        <w:t>solo surtirán sus efectos para ese año. En tanto no sean autorizados los aprovechamientos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Los aprovechamientos</w:t>
      </w:r>
      <w:r w:rsidRPr="00D93F7E">
        <w:rPr>
          <w:rFonts w:ascii="Arial" w:hAnsi="Arial" w:cs="Arial"/>
        </w:rPr>
        <w:t xml:space="preserve"> </w:t>
      </w:r>
      <w:r>
        <w:rPr>
          <w:rFonts w:ascii="Arial" w:hAnsi="Arial" w:cs="Arial"/>
        </w:rPr>
        <w:t xml:space="preserve">fijados en porcentaje que se encuentren vigentes al </w:t>
      </w:r>
      <w:r w:rsidRPr="00D93F7E">
        <w:rPr>
          <w:rFonts w:ascii="Arial" w:hAnsi="Arial" w:cs="Arial"/>
        </w:rPr>
        <w:t xml:space="preserve">31 de diciembre de 2021, </w:t>
      </w:r>
      <w:r>
        <w:rPr>
          <w:rFonts w:ascii="Arial" w:hAnsi="Arial" w:cs="Arial"/>
        </w:rPr>
        <w:t xml:space="preserve">se continuarán aplicando durante el ejercicio fiscal 2022, </w:t>
      </w:r>
      <w:r w:rsidRPr="00D93F7E">
        <w:rPr>
          <w:rFonts w:ascii="Arial" w:hAnsi="Arial" w:cs="Arial"/>
        </w:rPr>
        <w:t xml:space="preserve">hasta en tanto la secretaría o el órgano de gobierno correspondiente 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En cuanto a los aprovechamientos que no hayan sido cobrados en el ejercicio inmediato anterior o que no se cobren de manera regular, las dependencias o entidades interesadas deberán someter</w:t>
      </w:r>
      <w:r>
        <w:rPr>
          <w:rFonts w:ascii="Arial" w:hAnsi="Arial" w:cs="Arial"/>
        </w:rPr>
        <w:t>,</w:t>
      </w:r>
      <w:r w:rsidRPr="00D93F7E">
        <w:rPr>
          <w:rFonts w:ascii="Arial" w:hAnsi="Arial" w:cs="Arial"/>
        </w:rPr>
        <w:t xml:space="preserve"> para su autorización, el monto de los aprovechamientos que pretendan cobrar, en un plazo no menor a diez días hábiles anteriores a la fecha de su entrada en vigor. </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13. Productos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2022, a</w:t>
      </w:r>
      <w:r>
        <w:rPr>
          <w:rFonts w:ascii="Arial" w:hAnsi="Arial" w:cs="Arial"/>
        </w:rPr>
        <w:t>u</w:t>
      </w:r>
      <w:r w:rsidRPr="00D93F7E">
        <w:rPr>
          <w:rFonts w:ascii="Arial" w:hAnsi="Arial" w:cs="Arial"/>
        </w:rPr>
        <w:t>n cuando su cobro se encuentre previsto en otras leyes.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autorizaciones para fijar o modificar las cuotas de los productos que otorgue la Secretaría de Administración y Finanzas durante el ejercicio fiscal 2022, solo surtirán sus efectos para es</w:t>
      </w:r>
      <w:r>
        <w:rPr>
          <w:rFonts w:ascii="Arial" w:hAnsi="Arial" w:cs="Arial"/>
        </w:rPr>
        <w:t>t</w:t>
      </w:r>
      <w:r w:rsidRPr="00D93F7E">
        <w:rPr>
          <w:rFonts w:ascii="Arial" w:hAnsi="Arial" w:cs="Arial"/>
        </w:rPr>
        <w:t>e año. En tanto no sean autorizados los productos a que se refiere este artículo para el ejercicio fiscal 2022, se aplicarán los vigentes al 31 de diciembre de 2021.</w:t>
      </w:r>
    </w:p>
    <w:p w:rsidR="001B04B6" w:rsidRPr="00D93F7E" w:rsidRDefault="001B04B6" w:rsidP="001B04B6">
      <w:pPr>
        <w:spacing w:before="100" w:beforeAutospacing="1" w:after="100" w:afterAutospacing="1"/>
        <w:jc w:val="both"/>
        <w:rPr>
          <w:rFonts w:ascii="Arial" w:hAnsi="Arial" w:cs="Arial"/>
        </w:rPr>
      </w:pPr>
      <w:r>
        <w:rPr>
          <w:rFonts w:ascii="Arial" w:hAnsi="Arial" w:cs="Arial"/>
        </w:rPr>
        <w:t xml:space="preserve">Los productos fijados en porcentaje que se encuentren vigentes al 31 de diciembre de 2021, se continuarán aplicando durante el ejercicio fiscal 2022, </w:t>
      </w:r>
      <w:r w:rsidRPr="00D93F7E">
        <w:rPr>
          <w:rFonts w:ascii="Arial" w:hAnsi="Arial" w:cs="Arial"/>
        </w:rPr>
        <w:t xml:space="preserve">hasta en tanto </w:t>
      </w:r>
      <w:r>
        <w:rPr>
          <w:rFonts w:ascii="Arial" w:hAnsi="Arial" w:cs="Arial"/>
        </w:rPr>
        <w:t>la</w:t>
      </w:r>
      <w:r w:rsidRPr="00D93F7E">
        <w:rPr>
          <w:rFonts w:ascii="Arial" w:hAnsi="Arial" w:cs="Arial"/>
        </w:rPr>
        <w:t xml:space="preserve"> secretaría </w:t>
      </w:r>
      <w:r>
        <w:rPr>
          <w:rFonts w:ascii="Arial" w:hAnsi="Arial" w:cs="Arial"/>
        </w:rPr>
        <w:t xml:space="preserve">o el órgano de gobierno correspondiente </w:t>
      </w:r>
      <w:r w:rsidRPr="00D93F7E">
        <w:rPr>
          <w:rFonts w:ascii="Arial" w:hAnsi="Arial" w:cs="Arial"/>
        </w:rPr>
        <w:t xml:space="preserve">no emita autorización para </w:t>
      </w:r>
      <w:r>
        <w:rPr>
          <w:rFonts w:ascii="Arial" w:hAnsi="Arial" w:cs="Arial"/>
        </w:rPr>
        <w:t>este último ejercicio fiscal.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14. Ingresos obtenidos de multas por infracciones fiscales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5B0664" w:rsidRDefault="005B0664" w:rsidP="001B04B6">
      <w:pPr>
        <w:jc w:val="center"/>
        <w:rPr>
          <w:rFonts w:ascii="Arial" w:hAnsi="Arial" w:cs="Arial"/>
          <w:b/>
        </w:rPr>
      </w:pPr>
    </w:p>
    <w:p w:rsidR="005B0664" w:rsidRDefault="005B0664" w:rsidP="001B04B6">
      <w:pPr>
        <w:jc w:val="center"/>
        <w:rPr>
          <w:rFonts w:ascii="Arial" w:hAnsi="Arial" w:cs="Arial"/>
          <w:b/>
        </w:rPr>
      </w:pPr>
    </w:p>
    <w:p w:rsidR="005B0664" w:rsidRDefault="005B0664" w:rsidP="001B04B6">
      <w:pPr>
        <w:jc w:val="center"/>
        <w:rPr>
          <w:rFonts w:ascii="Arial" w:hAnsi="Arial" w:cs="Arial"/>
          <w:b/>
        </w:rPr>
      </w:pPr>
    </w:p>
    <w:p w:rsidR="001B04B6" w:rsidRDefault="001B04B6" w:rsidP="001B04B6">
      <w:pPr>
        <w:jc w:val="center"/>
        <w:rPr>
          <w:rFonts w:ascii="Arial" w:hAnsi="Arial" w:cs="Arial"/>
          <w:b/>
        </w:rPr>
      </w:pPr>
      <w:bookmarkStart w:id="1" w:name="_GoBack"/>
      <w:bookmarkEnd w:id="1"/>
      <w:r w:rsidRPr="00D93F7E">
        <w:rPr>
          <w:rFonts w:ascii="Arial" w:hAnsi="Arial" w:cs="Arial"/>
          <w:b/>
        </w:rPr>
        <w:lastRenderedPageBreak/>
        <w:t>Capítulo II</w:t>
      </w:r>
    </w:p>
    <w:p w:rsidR="001B04B6" w:rsidRPr="00D93F7E" w:rsidRDefault="001B04B6" w:rsidP="001B04B6">
      <w:pPr>
        <w:jc w:val="center"/>
        <w:rPr>
          <w:rFonts w:ascii="Arial" w:hAnsi="Arial" w:cs="Arial"/>
          <w:b/>
        </w:rPr>
      </w:pPr>
      <w:r w:rsidRPr="00D93F7E">
        <w:rPr>
          <w:rFonts w:ascii="Arial" w:hAnsi="Arial" w:cs="Arial"/>
          <w:b/>
        </w:rPr>
        <w:t>Recaudación y concentración de ingresos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15. Disposiciones en materia de recaudación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recaudación de los ingresos a que se refiere esta ley se acreditará mediante el comprobante de pago o el acuse de pago impreso o electrónico que para tal efecto emita la Secretaría de Administración y Finanzas, la Agencia de Administración Fiscal de Yucatán o las instituciones, entidades y establecimientos autorizados para tal efecto.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o comprobante de pago con sello y firma del cajero, según sea el caso.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este artículo, se entenderá por línea de referencia, el conjunto de caracteres que permite</w:t>
      </w:r>
      <w:r>
        <w:rPr>
          <w:rFonts w:ascii="Arial" w:hAnsi="Arial" w:cs="Arial"/>
        </w:rPr>
        <w:t>n</w:t>
      </w:r>
      <w:r w:rsidRPr="00D93F7E">
        <w:rPr>
          <w:rFonts w:ascii="Arial" w:hAnsi="Arial" w:cs="Arial"/>
        </w:rPr>
        <w:t xml:space="preserve"> identificar de manera única una transacción y validar la información presentada en las instituciones de crédito, entidades y establecimientos, así como en las oficinas recaudadoras de la Agencia de Administración Fiscal de Yucatán.</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expedir las disposiciones que sean necesarias para la correcta y debida aplicación de este artículo.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16. Recaudación de los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autorizados por esta ley se percibirán, causarán, enterarán, liquidarán y recaudarán de acuerdo con la Ley General de Hacienda del Estado </w:t>
      </w:r>
      <w:r w:rsidRPr="00D93F7E">
        <w:rPr>
          <w:rFonts w:ascii="Arial" w:hAnsi="Arial" w:cs="Arial"/>
        </w:rPr>
        <w:lastRenderedPageBreak/>
        <w:t>de Yucatán, el Código Fiscal del Estado de Yucatán, la Ley de Coordinación Fiscal federal y local, y las demás disposiciones fiscales federales o estatales aplicables.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17. Excepción de recaudación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que el estado obtenga en términos del artículo 71 de la Ley General de Víctimas</w:t>
      </w:r>
      <w:r>
        <w:rPr>
          <w:rFonts w:ascii="Arial" w:hAnsi="Arial" w:cs="Arial"/>
        </w:rPr>
        <w:t xml:space="preserve"> </w:t>
      </w:r>
      <w:r w:rsidRPr="00D93F7E">
        <w:rPr>
          <w:rFonts w:ascii="Arial" w:hAnsi="Arial" w:cs="Arial"/>
        </w:rPr>
        <w:t>serán integrados al patrimonio del Fondo Estatal de Ayuda, Asistencia y Reparación Integral.</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18. Registro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19.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Secretaría de Administración y Finanzas estará facultada para que, por conducto de la Agencia de Administración Fiscal de Yucatán, realice los siguientes actos: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I. Celebre</w:t>
      </w:r>
      <w:r w:rsidRPr="00DA4AE8">
        <w:rPr>
          <w:rFonts w:ascii="Arial" w:hAnsi="Arial"/>
        </w:rPr>
        <w:t xml:space="preserve"> convenios de colaboración administrativa con las entidades de la Administración Pública paraestatal, municipal o federal, respecto a la recaudación de </w:t>
      </w:r>
      <w:r w:rsidRPr="00DA4AE8">
        <w:rPr>
          <w:rFonts w:ascii="Arial" w:hAnsi="Arial" w:cs="Arial"/>
        </w:rPr>
        <w:t>los</w:t>
      </w:r>
      <w:r w:rsidRPr="00DA4AE8">
        <w:rPr>
          <w:rFonts w:ascii="Arial" w:hAnsi="Arial"/>
        </w:rPr>
        <w:t xml:space="preserve"> ingresos</w:t>
      </w:r>
      <w:r w:rsidRPr="00DA4AE8">
        <w:rPr>
          <w:rFonts w:ascii="Arial" w:hAnsi="Arial" w:cs="Arial"/>
        </w:rPr>
        <w:t xml:space="preserve"> que tenga derecho a percibir</w:t>
      </w:r>
      <w:r w:rsidRPr="00DA4AE8">
        <w:rPr>
          <w:rFonts w:ascii="Arial" w:hAnsi="Arial"/>
        </w:rPr>
        <w:t>.</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lastRenderedPageBreak/>
        <w:t xml:space="preserve">II. Celebre convenios </w:t>
      </w:r>
      <w:r>
        <w:rPr>
          <w:rFonts w:ascii="Arial" w:hAnsi="Arial" w:cs="Arial"/>
        </w:rPr>
        <w:t>o</w:t>
      </w:r>
      <w:r w:rsidRPr="00DA4AE8">
        <w:rPr>
          <w:rFonts w:ascii="Arial" w:hAnsi="Arial" w:cs="Arial"/>
        </w:rPr>
        <w:t xml:space="preserve"> acuerdos de colaboración en materia fiscal con el Gobierno </w:t>
      </w:r>
      <w:r>
        <w:rPr>
          <w:rFonts w:ascii="Arial" w:hAnsi="Arial" w:cs="Arial"/>
        </w:rPr>
        <w:t>f</w:t>
      </w:r>
      <w:r w:rsidRPr="00DA4AE8">
        <w:rPr>
          <w:rFonts w:ascii="Arial" w:hAnsi="Arial" w:cs="Arial"/>
        </w:rPr>
        <w:t xml:space="preserve">ederal, incluidos sus </w:t>
      </w:r>
      <w:r>
        <w:rPr>
          <w:rFonts w:ascii="Arial" w:hAnsi="Arial" w:cs="Arial"/>
        </w:rPr>
        <w:t>o</w:t>
      </w:r>
      <w:r w:rsidRPr="00DA4AE8">
        <w:rPr>
          <w:rFonts w:ascii="Arial" w:hAnsi="Arial" w:cs="Arial"/>
        </w:rPr>
        <w:t xml:space="preserve">rganismos </w:t>
      </w:r>
      <w:r>
        <w:rPr>
          <w:rFonts w:ascii="Arial" w:hAnsi="Arial" w:cs="Arial"/>
        </w:rPr>
        <w:t>p</w:t>
      </w:r>
      <w:r w:rsidRPr="00DA4AE8">
        <w:rPr>
          <w:rFonts w:ascii="Arial" w:hAnsi="Arial" w:cs="Arial"/>
        </w:rPr>
        <w:t xml:space="preserve">úblicos </w:t>
      </w:r>
      <w:r>
        <w:rPr>
          <w:rFonts w:ascii="Arial" w:hAnsi="Arial" w:cs="Arial"/>
        </w:rPr>
        <w:t>d</w:t>
      </w:r>
      <w:r w:rsidRPr="00DA4AE8">
        <w:rPr>
          <w:rFonts w:ascii="Arial" w:hAnsi="Arial" w:cs="Arial"/>
        </w:rPr>
        <w:t xml:space="preserve">escentralizados y </w:t>
      </w:r>
      <w:r>
        <w:rPr>
          <w:rFonts w:ascii="Arial" w:hAnsi="Arial" w:cs="Arial"/>
        </w:rPr>
        <w:t>d</w:t>
      </w:r>
      <w:r w:rsidRPr="00DA4AE8">
        <w:rPr>
          <w:rFonts w:ascii="Arial" w:hAnsi="Arial" w:cs="Arial"/>
        </w:rPr>
        <w:t>esconcentrados, para que se suministren recíprocamente la información que requieran, con el propósito de que cada una de las partes tenga acceso a dicha información y</w:t>
      </w:r>
      <w:r>
        <w:rPr>
          <w:rFonts w:ascii="Arial" w:hAnsi="Arial" w:cs="Arial"/>
        </w:rPr>
        <w:t>,</w:t>
      </w:r>
      <w:r w:rsidRPr="00DA4AE8">
        <w:rPr>
          <w:rFonts w:ascii="Arial" w:hAnsi="Arial" w:cs="Arial"/>
        </w:rPr>
        <w:t xml:space="preserve"> con base en ella, </w:t>
      </w:r>
      <w:r>
        <w:rPr>
          <w:rFonts w:ascii="Arial" w:hAnsi="Arial" w:cs="Arial"/>
        </w:rPr>
        <w:t xml:space="preserve">se </w:t>
      </w:r>
      <w:r w:rsidRPr="00DA4AE8">
        <w:rPr>
          <w:rFonts w:ascii="Arial" w:hAnsi="Arial" w:cs="Arial"/>
        </w:rPr>
        <w:t>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de los contribuyentes.</w:t>
      </w:r>
    </w:p>
    <w:p w:rsidR="001B04B6" w:rsidRPr="00DA4AE8" w:rsidRDefault="001B04B6" w:rsidP="001B04B6">
      <w:pPr>
        <w:spacing w:before="100" w:beforeAutospacing="1" w:after="100" w:afterAutospacing="1"/>
        <w:ind w:firstLine="709"/>
        <w:jc w:val="both"/>
        <w:rPr>
          <w:rFonts w:ascii="Arial" w:hAnsi="Arial" w:cs="Arial"/>
        </w:rPr>
      </w:pPr>
      <w:r w:rsidRPr="00DA4AE8">
        <w:rPr>
          <w:rFonts w:ascii="Arial" w:hAnsi="Arial" w:cs="Arial"/>
        </w:rPr>
        <w:t xml:space="preserve">III. Celebre con los </w:t>
      </w:r>
      <w:r>
        <w:rPr>
          <w:rFonts w:ascii="Arial" w:hAnsi="Arial" w:cs="Arial"/>
        </w:rPr>
        <w:t>m</w:t>
      </w:r>
      <w:r w:rsidRPr="00DA4AE8">
        <w:rPr>
          <w:rFonts w:ascii="Arial" w:hAnsi="Arial" w:cs="Arial"/>
        </w:rPr>
        <w:t>unicipios</w:t>
      </w:r>
      <w:r>
        <w:rPr>
          <w:rFonts w:ascii="Arial" w:hAnsi="Arial" w:cs="Arial"/>
        </w:rPr>
        <w:t>,</w:t>
      </w:r>
      <w:r w:rsidRPr="00DA4AE8">
        <w:rPr>
          <w:rFonts w:ascii="Arial" w:hAnsi="Arial" w:cs="Arial"/>
        </w:rPr>
        <w:t xml:space="preserve"> a través de sus </w:t>
      </w:r>
      <w:r>
        <w:rPr>
          <w:rFonts w:ascii="Arial" w:hAnsi="Arial" w:cs="Arial"/>
        </w:rPr>
        <w:t>a</w:t>
      </w:r>
      <w:r w:rsidRPr="00DA4AE8">
        <w:rPr>
          <w:rFonts w:ascii="Arial" w:hAnsi="Arial" w:cs="Arial"/>
        </w:rPr>
        <w:t>yuntamientos</w:t>
      </w:r>
      <w:r>
        <w:rPr>
          <w:rFonts w:ascii="Arial" w:hAnsi="Arial" w:cs="Arial"/>
        </w:rPr>
        <w:t>, c</w:t>
      </w:r>
      <w:r w:rsidRPr="00DA4AE8">
        <w:rPr>
          <w:rFonts w:ascii="Arial" w:hAnsi="Arial" w:cs="Arial"/>
        </w:rPr>
        <w:t>onvenios o acuerdo</w:t>
      </w:r>
      <w:r>
        <w:rPr>
          <w:rFonts w:ascii="Arial" w:hAnsi="Arial" w:cs="Arial"/>
        </w:rPr>
        <w:t>s</w:t>
      </w:r>
      <w:r w:rsidRPr="00DA4AE8">
        <w:rPr>
          <w:rFonts w:ascii="Arial" w:hAnsi="Arial" w:cs="Arial"/>
        </w:rPr>
        <w:t xml:space="preserve"> de </w:t>
      </w:r>
      <w:r>
        <w:rPr>
          <w:rFonts w:ascii="Arial" w:hAnsi="Arial" w:cs="Arial"/>
        </w:rPr>
        <w:t>c</w:t>
      </w:r>
      <w:r w:rsidRPr="00DA4AE8">
        <w:rPr>
          <w:rFonts w:ascii="Arial" w:hAnsi="Arial" w:cs="Arial"/>
        </w:rPr>
        <w:t xml:space="preserve">oordinación, </w:t>
      </w:r>
      <w:r>
        <w:rPr>
          <w:rFonts w:ascii="Arial" w:hAnsi="Arial" w:cs="Arial"/>
        </w:rPr>
        <w:t>c</w:t>
      </w:r>
      <w:r w:rsidRPr="00DA4AE8">
        <w:rPr>
          <w:rFonts w:ascii="Arial" w:hAnsi="Arial" w:cs="Arial"/>
        </w:rPr>
        <w:t xml:space="preserve">olaboración administrativa o prestación de servicios para que efectúe la administración o </w:t>
      </w:r>
      <w:r>
        <w:rPr>
          <w:rFonts w:ascii="Arial" w:hAnsi="Arial" w:cs="Arial"/>
        </w:rPr>
        <w:t xml:space="preserve">el </w:t>
      </w:r>
      <w:r w:rsidRPr="00DA4AE8">
        <w:rPr>
          <w:rFonts w:ascii="Arial" w:hAnsi="Arial" w:cs="Arial"/>
        </w:rPr>
        <w:t>cobro de ingresos municipales</w:t>
      </w:r>
      <w:r>
        <w:rPr>
          <w:rFonts w:ascii="Arial" w:hAnsi="Arial" w:cs="Arial"/>
        </w:rPr>
        <w:t>,</w:t>
      </w:r>
      <w:r w:rsidRPr="00DA4AE8">
        <w:rPr>
          <w:rFonts w:ascii="Arial" w:hAnsi="Arial" w:cs="Arial"/>
        </w:rPr>
        <w:t xml:space="preserve"> o se suministren recíprocamente la información que requieran</w:t>
      </w:r>
      <w:r>
        <w:rPr>
          <w:rFonts w:ascii="Arial" w:hAnsi="Arial" w:cs="Arial"/>
        </w:rPr>
        <w:t>,</w:t>
      </w:r>
      <w:r w:rsidRPr="00DA4AE8">
        <w:rPr>
          <w:rFonts w:ascii="Arial" w:hAnsi="Arial" w:cs="Arial"/>
        </w:rPr>
        <w:t xml:space="preserve"> con el propósito de que cada una de las partes tenga acceso a</w:t>
      </w:r>
      <w:r>
        <w:rPr>
          <w:rFonts w:ascii="Arial" w:hAnsi="Arial" w:cs="Arial"/>
        </w:rPr>
        <w:t xml:space="preserve"> dicha información y, con base en ella, s</w:t>
      </w:r>
      <w:r w:rsidRPr="00DA4AE8">
        <w:rPr>
          <w:rFonts w:ascii="Arial" w:hAnsi="Arial" w:cs="Arial"/>
        </w:rPr>
        <w:t>e instrument</w:t>
      </w:r>
      <w:r>
        <w:rPr>
          <w:rFonts w:ascii="Arial" w:hAnsi="Arial" w:cs="Arial"/>
        </w:rPr>
        <w:t>en</w:t>
      </w:r>
      <w:r w:rsidRPr="00DA4AE8">
        <w:rPr>
          <w:rFonts w:ascii="Arial" w:hAnsi="Arial" w:cs="Arial"/>
        </w:rPr>
        <w:t xml:space="preserve"> programas de verificación y </w:t>
      </w:r>
      <w:r>
        <w:rPr>
          <w:rFonts w:ascii="Arial" w:hAnsi="Arial" w:cs="Arial"/>
        </w:rPr>
        <w:t xml:space="preserve">se </w:t>
      </w:r>
      <w:r w:rsidRPr="00DA4AE8">
        <w:rPr>
          <w:rFonts w:ascii="Arial" w:hAnsi="Arial" w:cs="Arial"/>
        </w:rPr>
        <w:t>ejer</w:t>
      </w:r>
      <w:r>
        <w:rPr>
          <w:rFonts w:ascii="Arial" w:hAnsi="Arial" w:cs="Arial"/>
        </w:rPr>
        <w:t>zan</w:t>
      </w:r>
      <w:r w:rsidRPr="00DA4AE8">
        <w:rPr>
          <w:rFonts w:ascii="Arial" w:hAnsi="Arial" w:cs="Arial"/>
        </w:rPr>
        <w:t xml:space="preserve"> facultades de comprobación del cumplimiento de obligaciones fiscales.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 Agencia de Administración Fiscal de Yucatán podrá establecer</w:t>
      </w:r>
      <w:r>
        <w:rPr>
          <w:rFonts w:ascii="Arial" w:hAnsi="Arial" w:cs="Arial"/>
        </w:rPr>
        <w:t>,</w:t>
      </w:r>
      <w:r w:rsidRPr="00D93F7E">
        <w:rPr>
          <w:rFonts w:ascii="Arial" w:hAnsi="Arial" w:cs="Arial"/>
        </w:rPr>
        <w:t xml:space="preserve"> en coordinación con organismos descentralizados o desconcentrados de la </w:t>
      </w:r>
      <w:r>
        <w:rPr>
          <w:rFonts w:ascii="Arial" w:hAnsi="Arial" w:cs="Arial"/>
        </w:rPr>
        <w:t>A</w:t>
      </w:r>
      <w:r w:rsidRPr="00D93F7E">
        <w:rPr>
          <w:rFonts w:ascii="Arial" w:hAnsi="Arial" w:cs="Arial"/>
        </w:rPr>
        <w:t xml:space="preserve">dministración </w:t>
      </w:r>
      <w:r>
        <w:rPr>
          <w:rFonts w:ascii="Arial" w:hAnsi="Arial" w:cs="Arial"/>
        </w:rPr>
        <w:t>P</w:t>
      </w:r>
      <w:r w:rsidRPr="00D93F7E">
        <w:rPr>
          <w:rFonts w:ascii="Arial" w:hAnsi="Arial" w:cs="Arial"/>
        </w:rPr>
        <w:t>ública federal, estatal o municipal</w:t>
      </w:r>
      <w:r>
        <w:rPr>
          <w:rFonts w:ascii="Arial" w:hAnsi="Arial" w:cs="Arial"/>
        </w:rPr>
        <w:t>,</w:t>
      </w:r>
      <w:r w:rsidRPr="00D93F7E">
        <w:rPr>
          <w:rFonts w:ascii="Arial" w:hAnsi="Arial" w:cs="Arial"/>
        </w:rPr>
        <w:t xml:space="preserve"> los mecanismos de control, seguimiento y trazabilidad del entero de ingresos vinculados con los actos jurídicos de inmuebles registrados en el </w:t>
      </w:r>
      <w:r>
        <w:rPr>
          <w:rFonts w:ascii="Arial" w:hAnsi="Arial" w:cs="Arial"/>
        </w:rPr>
        <w:t>e</w:t>
      </w:r>
      <w:r w:rsidRPr="00D93F7E">
        <w:rPr>
          <w:rFonts w:ascii="Arial" w:hAnsi="Arial" w:cs="Arial"/>
        </w:rPr>
        <w:t>stado relativos a la publicidad registral. Lo establecido en este párrafo será aplicable para ingresos que provengan de contribuciones estatales, así como federales o municipales que se hayan convenido.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20. Contribuciones no determinadas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No podrá cobrarse ninguna contribución que no esté determinada expresamente en las disposiciones legales aplicables.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21. Concentración de ingresos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ingresos de las entidades de la Administración Pública paraestatal no se concentrarán en la Tesorería General del Estado, excepto cuando se trate de </w:t>
      </w:r>
      <w:r w:rsidRPr="00D93F7E">
        <w:rPr>
          <w:rFonts w:ascii="Arial" w:hAnsi="Arial" w:cs="Arial"/>
        </w:rPr>
        <w:lastRenderedPageBreak/>
        <w:t>contribuciones o ingresos propios por los que se hubiese convenido el cobro a través de convenios de colaboración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entidades paraestatales informarán, dentro de los primeros quince días naturales del mes siguiente al que concluya el trimestre respectivo, a la Secretaría de Administración y Finanzas</w:t>
      </w:r>
      <w:r>
        <w:rPr>
          <w:rFonts w:ascii="Arial" w:hAnsi="Arial" w:cs="Arial"/>
        </w:rPr>
        <w:t>,</w:t>
      </w:r>
      <w:r w:rsidRPr="00D93F7E">
        <w:rPr>
          <w:rFonts w:ascii="Arial" w:hAnsi="Arial" w:cs="Arial"/>
        </w:rPr>
        <w:t xml:space="preserve">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entidades paraestatales deberán conservar la documentación comprobatoria de dichos ingresos y ponerla a disposición de los órganos revisores de la cuenta pública.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contribuciones, productos o aprovechamientos a los que las leyes de carácter no fiscal otorguen una naturaleza distinta a la establecida en las leyes fiscales, tendrán la naturaleza establecida en </w:t>
      </w:r>
      <w:r>
        <w:rPr>
          <w:rFonts w:ascii="Arial" w:hAnsi="Arial" w:cs="Arial"/>
        </w:rPr>
        <w:t>estas últimas.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22. Concentración de ingresos por desincorporación de entidades paraestatales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que se obtengan por la desincorporación de entidades paraestatales s</w:t>
      </w:r>
      <w:r>
        <w:rPr>
          <w:rFonts w:ascii="Arial" w:hAnsi="Arial" w:cs="Arial"/>
        </w:rPr>
        <w:t>erá</w:t>
      </w:r>
      <w:r w:rsidRPr="00D93F7E">
        <w:rPr>
          <w:rFonts w:ascii="Arial" w:hAnsi="Arial" w:cs="Arial"/>
        </w:rPr>
        <w:t>n los recursos remanentes que queden una vez descontadas las erogaciones realizadas</w:t>
      </w:r>
      <w:r>
        <w:rPr>
          <w:rFonts w:ascii="Arial" w:hAnsi="Arial" w:cs="Arial"/>
        </w:rPr>
        <w:t xml:space="preserve"> por concepto de</w:t>
      </w:r>
      <w:r w:rsidRPr="00D93F7E">
        <w:rPr>
          <w:rFonts w:ascii="Arial" w:hAnsi="Arial" w:cs="Arial"/>
        </w:rPr>
        <w:t xml:space="preserve">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w:t>
      </w:r>
      <w:r>
        <w:rPr>
          <w:rFonts w:ascii="Arial" w:hAnsi="Arial" w:cs="Arial"/>
        </w:rPr>
        <w:t xml:space="preserve">, </w:t>
      </w:r>
      <w:r w:rsidRPr="00D93F7E">
        <w:rPr>
          <w:rFonts w:ascii="Arial" w:hAnsi="Arial" w:cs="Arial"/>
        </w:rPr>
        <w:t>asuntos en litigio y demás erogaciones análogas a todas las mencionadas.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ingresos netos se enterarán o concentrarán, según corresponda, en la Tesorería General del Estado y deberán manifestarse tanto en los registros de la propia tesorería como en la cuenta pública del estado.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lastRenderedPageBreak/>
        <w:t xml:space="preserve">Los pasivos a cargo de organismos públicos descentralizados en proceso de extinción y liquidación que tengan como acreedor al </w:t>
      </w:r>
      <w:r>
        <w:rPr>
          <w:rFonts w:ascii="Arial" w:hAnsi="Arial" w:cs="Arial"/>
        </w:rPr>
        <w:t>G</w:t>
      </w:r>
      <w:r w:rsidRPr="00D93F7E">
        <w:rPr>
          <w:rFonts w:ascii="Arial" w:hAnsi="Arial" w:cs="Arial"/>
        </w:rPr>
        <w:t>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16359A" w:rsidRPr="00D93F7E" w:rsidRDefault="0016359A"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23. Remanentes de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Los recursos públicos estatales remanentes </w:t>
      </w:r>
      <w:r>
        <w:rPr>
          <w:rFonts w:ascii="Arial" w:hAnsi="Arial" w:cs="Arial"/>
        </w:rPr>
        <w:t>de</w:t>
      </w:r>
      <w:r w:rsidRPr="00D93F7E">
        <w:rPr>
          <w:rFonts w:ascii="Arial" w:hAnsi="Arial" w:cs="Arial"/>
        </w:rPr>
        <w:t xml:space="preserve"> la extinción o terminación de un fideicomiso, mandato o contrato análogo deberán ser concentrados en la Tesorería General del Estado. En su caso, la Secretaría de Administración y Finanzas determinará el destino de estos recursos, salvo aquellos </w:t>
      </w:r>
      <w:proofErr w:type="gramStart"/>
      <w:r>
        <w:rPr>
          <w:rFonts w:ascii="Arial" w:hAnsi="Arial" w:cs="Arial"/>
        </w:rPr>
        <w:t>que</w:t>
      </w:r>
      <w:proofErr w:type="gramEnd"/>
      <w:r>
        <w:rPr>
          <w:rFonts w:ascii="Arial" w:hAnsi="Arial" w:cs="Arial"/>
        </w:rPr>
        <w:t xml:space="preserve"> </w:t>
      </w:r>
      <w:r w:rsidRPr="00D93F7E">
        <w:rPr>
          <w:rFonts w:ascii="Arial" w:hAnsi="Arial" w:cs="Arial"/>
        </w:rPr>
        <w:t xml:space="preserve">en el instrumento </w:t>
      </w:r>
      <w:r>
        <w:rPr>
          <w:rFonts w:ascii="Arial" w:hAnsi="Arial" w:cs="Arial"/>
        </w:rPr>
        <w:t xml:space="preserve">respectivo, o en la norma de regulación, </w:t>
      </w:r>
      <w:r w:rsidRPr="00D93F7E">
        <w:rPr>
          <w:rFonts w:ascii="Arial" w:hAnsi="Arial" w:cs="Arial"/>
        </w:rPr>
        <w:t xml:space="preserve">se </w:t>
      </w:r>
      <w:r>
        <w:rPr>
          <w:rFonts w:ascii="Arial" w:hAnsi="Arial" w:cs="Arial"/>
        </w:rPr>
        <w:t>establezca un destino diferente.</w:t>
      </w:r>
      <w:r w:rsidRPr="00D93F7E">
        <w:rPr>
          <w:rFonts w:ascii="Arial" w:hAnsi="Arial" w:cs="Arial"/>
        </w:rPr>
        <w:t xml:space="preserve"> </w:t>
      </w:r>
    </w:p>
    <w:p w:rsidR="001B04B6" w:rsidRDefault="001B04B6" w:rsidP="001B04B6">
      <w:pPr>
        <w:jc w:val="center"/>
        <w:rPr>
          <w:rFonts w:ascii="Arial" w:hAnsi="Arial" w:cs="Arial"/>
          <w:b/>
        </w:rPr>
      </w:pPr>
      <w:r w:rsidRPr="00D93F7E">
        <w:rPr>
          <w:rFonts w:ascii="Arial" w:hAnsi="Arial" w:cs="Arial"/>
          <w:b/>
        </w:rPr>
        <w:t>Capítulo III</w:t>
      </w:r>
    </w:p>
    <w:p w:rsidR="001B04B6" w:rsidRPr="00D93F7E" w:rsidRDefault="001B04B6" w:rsidP="001B04B6">
      <w:pPr>
        <w:jc w:val="center"/>
        <w:rPr>
          <w:rFonts w:ascii="Arial" w:hAnsi="Arial" w:cs="Arial"/>
          <w:b/>
        </w:rPr>
      </w:pPr>
      <w:r w:rsidRPr="00D93F7E">
        <w:rPr>
          <w:rFonts w:ascii="Arial" w:hAnsi="Arial" w:cs="Arial"/>
          <w:b/>
        </w:rPr>
        <w:t>Sujetos públicos obligados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24. Sujetos públicos obligados a pagar contribuciones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1B04B6" w:rsidRDefault="001B04B6" w:rsidP="001B04B6">
      <w:pPr>
        <w:jc w:val="center"/>
        <w:rPr>
          <w:rFonts w:ascii="Arial" w:hAnsi="Arial" w:cs="Arial"/>
          <w:b/>
        </w:rPr>
      </w:pPr>
      <w:r w:rsidRPr="00D93F7E">
        <w:rPr>
          <w:rFonts w:ascii="Arial" w:hAnsi="Arial" w:cs="Arial"/>
          <w:b/>
        </w:rPr>
        <w:t>Capítulo IV</w:t>
      </w:r>
    </w:p>
    <w:p w:rsidR="001B04B6" w:rsidRDefault="001B04B6" w:rsidP="001B04B6">
      <w:pPr>
        <w:jc w:val="center"/>
        <w:rPr>
          <w:rFonts w:ascii="Arial" w:hAnsi="Arial" w:cs="Arial"/>
          <w:b/>
        </w:rPr>
      </w:pPr>
      <w:r w:rsidRPr="00D93F7E">
        <w:rPr>
          <w:rFonts w:ascii="Arial" w:hAnsi="Arial" w:cs="Arial"/>
          <w:b/>
        </w:rPr>
        <w:t>Facilidades a los contribuyentes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25. Inscripción al Registro Federal de Contribuyentes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lastRenderedPageBreak/>
        <w:t>Artículo 26. Medios de pago</w:t>
      </w:r>
    </w:p>
    <w:p w:rsidR="001B04B6" w:rsidRDefault="001B04B6" w:rsidP="001B04B6">
      <w:pPr>
        <w:spacing w:before="100" w:beforeAutospacing="1" w:after="100" w:afterAutospacing="1"/>
        <w:jc w:val="both"/>
        <w:rPr>
          <w:rFonts w:ascii="Arial" w:hAnsi="Arial" w:cs="Arial"/>
        </w:rPr>
      </w:pPr>
      <w:r w:rsidRPr="00D93F7E">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Pr>
          <w:rFonts w:ascii="Arial" w:hAnsi="Arial" w:cs="Arial"/>
        </w:rPr>
        <w:t>, así como de aquellos ingresos convenidos con otros entes de gobierno</w:t>
      </w:r>
      <w:r w:rsidRPr="00D93F7E">
        <w:rPr>
          <w:rFonts w:ascii="Arial" w:hAnsi="Arial" w:cs="Arial"/>
        </w:rPr>
        <w:t>.</w:t>
      </w:r>
    </w:p>
    <w:p w:rsidR="001B04B6" w:rsidRPr="00D93F7E" w:rsidRDefault="001B04B6" w:rsidP="001B04B6">
      <w:pPr>
        <w:spacing w:before="100" w:beforeAutospacing="1" w:after="100" w:afterAutospacing="1"/>
        <w:jc w:val="both"/>
        <w:rPr>
          <w:rFonts w:ascii="Arial" w:hAnsi="Arial" w:cs="Arial"/>
        </w:rPr>
      </w:pP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27. Tasa de recargos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28. Tasa de recargos por prórroga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En los casos de prórroga para el pago de créditos fiscales se causarán los siguientes recargos: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 Al 0.98% mensual sobre los saldos insolutos.</w:t>
      </w:r>
    </w:p>
    <w:p w:rsidR="001B04B6" w:rsidRPr="00D93F7E" w:rsidRDefault="001B04B6" w:rsidP="001B04B6">
      <w:pPr>
        <w:spacing w:before="100" w:beforeAutospacing="1" w:after="100" w:afterAutospacing="1"/>
        <w:ind w:firstLine="708"/>
        <w:jc w:val="both"/>
        <w:rPr>
          <w:rFonts w:ascii="Arial" w:hAnsi="Arial" w:cs="Arial"/>
        </w:rPr>
      </w:pPr>
      <w:r w:rsidRPr="00D93F7E">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a) Tratándose de pagos a plazos en parcialidades hasta doce meses, la tasa de recargos será del 1.26%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b) Tratándose de pagos a plazos en parcialidades de más de doce meses y hasta de veinticuatro meses, la tasa de recargos será de 1.53% mensual.</w:t>
      </w:r>
    </w:p>
    <w:p w:rsidR="001B04B6" w:rsidRPr="00D93F7E" w:rsidRDefault="001B04B6" w:rsidP="001B04B6">
      <w:pPr>
        <w:spacing w:before="100" w:beforeAutospacing="1" w:after="100" w:afterAutospacing="1"/>
        <w:ind w:left="708" w:firstLine="708"/>
        <w:jc w:val="both"/>
        <w:rPr>
          <w:rFonts w:ascii="Arial" w:hAnsi="Arial" w:cs="Arial"/>
        </w:rPr>
      </w:pPr>
      <w:r w:rsidRPr="00D93F7E">
        <w:rPr>
          <w:rFonts w:ascii="Arial" w:hAnsi="Arial" w:cs="Arial"/>
        </w:rPr>
        <w:t>c) Tratándose de pagos a plazos en parcialidades superiores a veinticuatro meses o de pagos a plazo diferido, la tasa de recargos será de 1.82% mensual.</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Las tasas de recargos establecidas en la fracción II de este artículo incluyen la actualización realizada conforme a lo establecido por el propio Código Fiscal del Estado de Yucatán.</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29. Programas de apoyo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El titular del Poder Ejecutivo podrá establecer programas de apoyo o incentivos, según sea el caso, para los contribuyentes o los sujetos obligados de esta ley, los cuales deberán publicarse en el Diario Oficial del Gobierno del Estado de Yucatán.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En dichos programas de apoyo o incentivos podrá establecerse, entre otras acciones, la condonación total o parcial de contribuciones, derechos, aprovechamientos </w:t>
      </w:r>
      <w:r>
        <w:rPr>
          <w:rFonts w:ascii="Arial" w:hAnsi="Arial" w:cs="Arial"/>
        </w:rPr>
        <w:t>o</w:t>
      </w:r>
      <w:r w:rsidRPr="00D93F7E">
        <w:rPr>
          <w:rFonts w:ascii="Arial" w:hAnsi="Arial" w:cs="Arial"/>
        </w:rPr>
        <w:t xml:space="preserve"> productos, así como de sus accesorios.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30. Pago en parcialidades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los artículos 89 y 90 del Código Fiscal del Estado de Yucatán, durante el ejercicio fiscal 2022, se podrá autorizar el pago a plazos, ya sea diferido o en parcialidades, de los derechos y de sus accesorios que debieron pagarse en el año en curso o los que se debieron pagar en los seis meses anteriores al mes en el que se solicite la autorización de pago a plazos.</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31. Imposibilidad práctica de cobro</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faculta a las autoridades fiscales para que lleven a cabo la cancelación de los créditos fiscales cuyo cobro les corresponda efectuar</w:t>
      </w:r>
      <w:r>
        <w:rPr>
          <w:rFonts w:ascii="Arial" w:hAnsi="Arial" w:cs="Arial"/>
        </w:rPr>
        <w:t xml:space="preserve"> </w:t>
      </w:r>
      <w:r w:rsidRPr="00D93F7E">
        <w:rPr>
          <w:rFonts w:ascii="Arial" w:hAnsi="Arial" w:cs="Arial"/>
        </w:rPr>
        <w:t xml:space="preserve">en los casos en que exista imposibilidad práctica de cobro.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Se considera que existe imposibilidad práctica de cobro, entre otras circunstancias, cuando los deudores no tengan bienes embargables, el deudor hubie</w:t>
      </w:r>
      <w:r>
        <w:rPr>
          <w:rFonts w:ascii="Arial" w:hAnsi="Arial" w:cs="Arial"/>
        </w:rPr>
        <w:t>se</w:t>
      </w:r>
      <w:r w:rsidRPr="00D93F7E">
        <w:rPr>
          <w:rFonts w:ascii="Arial" w:hAnsi="Arial" w:cs="Arial"/>
        </w:rPr>
        <w:t xml:space="preserve"> fallecido sin dejar bienes a su nombre o cuando por sentencia firme hubie</w:t>
      </w:r>
      <w:r>
        <w:rPr>
          <w:rFonts w:ascii="Arial" w:hAnsi="Arial" w:cs="Arial"/>
        </w:rPr>
        <w:t>se</w:t>
      </w:r>
      <w:r w:rsidRPr="00D93F7E">
        <w:rPr>
          <w:rFonts w:ascii="Arial" w:hAnsi="Arial" w:cs="Arial"/>
        </w:rPr>
        <w:t xml:space="preserve"> sido declarado en quiebra por falta de activos.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Las autoridades, </w:t>
      </w:r>
      <w:r>
        <w:rPr>
          <w:rFonts w:ascii="Arial" w:hAnsi="Arial" w:cs="Arial"/>
        </w:rPr>
        <w:t>de forma previa</w:t>
      </w:r>
      <w:r w:rsidRPr="00D93F7E">
        <w:rPr>
          <w:rFonts w:ascii="Arial" w:hAnsi="Arial" w:cs="Arial"/>
        </w:rPr>
        <w:t xml:space="preserve"> a la cancelación de un crédito fiscal, deberán integrar un expediente que contenga los documentos y constancias que acrediten la imposibilidad práctica de cobro.</w:t>
      </w:r>
    </w:p>
    <w:p w:rsidR="001B04B6" w:rsidRPr="00D93F7E" w:rsidRDefault="001B04B6" w:rsidP="001B04B6">
      <w:pPr>
        <w:spacing w:before="100" w:beforeAutospacing="1" w:after="100" w:afterAutospacing="1"/>
        <w:jc w:val="both"/>
        <w:rPr>
          <w:rFonts w:ascii="Arial" w:hAnsi="Arial" w:cs="Arial"/>
          <w:b/>
        </w:rPr>
      </w:pPr>
      <w:r w:rsidRPr="00D93F7E">
        <w:rPr>
          <w:rFonts w:ascii="Arial" w:hAnsi="Arial" w:cs="Arial"/>
          <w:b/>
        </w:rPr>
        <w:t>Artículo 32. Créditos fiscales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lastRenderedPageBreak/>
        <w:t>Se faculta a las autoridades fiscales para que lleven a cabo la cancelación de los créditos fiscales cuyo cobro les corresponda efectuar en los casos en que aquellos sean incosteables.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1B04B6" w:rsidRDefault="001B04B6" w:rsidP="001B04B6">
      <w:pPr>
        <w:spacing w:before="100" w:beforeAutospacing="1" w:after="100" w:afterAutospacing="1"/>
        <w:jc w:val="both"/>
        <w:rPr>
          <w:rFonts w:ascii="Arial" w:hAnsi="Arial" w:cs="Arial"/>
        </w:rPr>
      </w:pPr>
      <w:r w:rsidRPr="006048F5">
        <w:rPr>
          <w:rFonts w:ascii="Arial" w:hAnsi="Arial" w:cs="Arial"/>
        </w:rPr>
        <w:t>La cancelación de los créditos a que se refiere este artículo no libera de su pago</w:t>
      </w:r>
      <w:r w:rsidRPr="00DA4AE8">
        <w:rPr>
          <w:rFonts w:ascii="Arial" w:hAnsi="Arial" w:cs="Arial"/>
        </w:rPr>
        <w:t>.</w:t>
      </w:r>
    </w:p>
    <w:p w:rsidR="001B04B6" w:rsidRPr="00D93F7E" w:rsidRDefault="000B0F29" w:rsidP="001B04B6">
      <w:pPr>
        <w:spacing w:before="100" w:beforeAutospacing="1" w:after="100" w:afterAutospacing="1"/>
        <w:jc w:val="center"/>
        <w:rPr>
          <w:rFonts w:ascii="Arial" w:hAnsi="Arial" w:cs="Arial"/>
          <w:b/>
        </w:rPr>
      </w:pPr>
      <w:r>
        <w:rPr>
          <w:rFonts w:ascii="Arial" w:hAnsi="Arial" w:cs="Arial"/>
          <w:b/>
        </w:rPr>
        <w:t>T</w:t>
      </w:r>
      <w:r w:rsidR="001B04B6" w:rsidRPr="00D93F7E">
        <w:rPr>
          <w:rFonts w:ascii="Arial" w:hAnsi="Arial" w:cs="Arial"/>
          <w:b/>
        </w:rPr>
        <w:t>ransitorios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Primero. Entrada en vigor</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Este decreto entrará en vigor el 1 de enero de 2022, previa publicación en el Diario Oficial del Gobierno del Estado de Yucatán y tendrá vigencia hasta el 31 de diciembre del mismo año.</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 xml:space="preserve">Segundo. Derogación </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 xml:space="preserve">Se derogan las disposiciones que contengan exenciones, totales o parciales, consideren a personas como no sujetos de contribuciones estatales, </w:t>
      </w:r>
      <w:r>
        <w:rPr>
          <w:rFonts w:ascii="Arial" w:hAnsi="Arial" w:cs="Arial"/>
        </w:rPr>
        <w:t xml:space="preserve">u </w:t>
      </w:r>
      <w:r w:rsidRPr="00D93F7E">
        <w:rPr>
          <w:rFonts w:ascii="Arial" w:hAnsi="Arial" w:cs="Arial"/>
        </w:rPr>
        <w:t>otorguen tratamientos preferenciales o diferenciales en materia de ingresos y contribuciones estatales, distintos de los establecidos en la Ley de Ingresos del Estado de Yucatán para el Ejercicio Fiscal 2022, en el Código Fiscal del Estado de Yucatán, en los decretos expedidos por el Poder Ejecutivo del estado y en las leyes que establecen dichas contribuciones, así como sus reglamentos.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Tercero. Obligación de los entes públicos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Los entes públicos que reciban ingresos de los previstos en la Ley de Ingresos del Estado de Yucatán para el Ejercicio Fiscal 2022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2022.</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Asimismo, los entes públicos deberán difundir, en los términos establecidos en la Ley de Disciplina Financiera de las Entidades Federativas y los Municipios, la información y formatos correspondientes.</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lastRenderedPageBreak/>
        <w:t xml:space="preserve">Artículo </w:t>
      </w:r>
      <w:r w:rsidR="001B04B6" w:rsidRPr="00D93F7E">
        <w:rPr>
          <w:rFonts w:ascii="Arial" w:hAnsi="Arial" w:cs="Arial"/>
          <w:b/>
        </w:rPr>
        <w:t>Cuarto. Modificaciones a la estructura administrativa</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Para los efectos de la Ley de Ingresos del Estado para el Ejercicio Fiscal 2022, cuando, de conformidad con el Código de la Administración Pública de Yucatán, su reglamento o los decretos de creación correspondientes,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1B04B6" w:rsidRPr="00D93F7E" w:rsidRDefault="000B0F29" w:rsidP="001B04B6">
      <w:pPr>
        <w:spacing w:before="100" w:beforeAutospacing="1" w:after="100" w:afterAutospacing="1"/>
        <w:jc w:val="both"/>
        <w:rPr>
          <w:rFonts w:ascii="Arial" w:hAnsi="Arial" w:cs="Arial"/>
          <w:b/>
        </w:rPr>
      </w:pPr>
      <w:r>
        <w:rPr>
          <w:rFonts w:ascii="Arial" w:hAnsi="Arial" w:cs="Arial"/>
          <w:b/>
        </w:rPr>
        <w:t xml:space="preserve">Artículo </w:t>
      </w:r>
      <w:r w:rsidR="001B04B6" w:rsidRPr="00D93F7E">
        <w:rPr>
          <w:rFonts w:ascii="Arial" w:hAnsi="Arial" w:cs="Arial"/>
          <w:b/>
        </w:rPr>
        <w:t>Quinto. Fideicomisos</w:t>
      </w:r>
    </w:p>
    <w:p w:rsidR="001B04B6" w:rsidRPr="00D93F7E" w:rsidRDefault="001B04B6" w:rsidP="001B04B6">
      <w:pPr>
        <w:spacing w:before="100" w:beforeAutospacing="1" w:after="100" w:afterAutospacing="1"/>
        <w:jc w:val="both"/>
        <w:rPr>
          <w:rFonts w:ascii="Arial" w:hAnsi="Arial" w:cs="Arial"/>
        </w:rPr>
      </w:pPr>
      <w:r w:rsidRPr="00D93F7E">
        <w:rPr>
          <w:rFonts w:ascii="Arial" w:hAnsi="Arial" w:cs="Arial"/>
        </w:rPr>
        <w:t>Las dependencias y entidades de la Administración Pública estatal deberán remitir a la Secretaría de Administración y Finanzas, durante el primer trimestre de</w:t>
      </w:r>
      <w:r>
        <w:rPr>
          <w:rFonts w:ascii="Arial" w:hAnsi="Arial" w:cs="Arial"/>
        </w:rPr>
        <w:t>l</w:t>
      </w:r>
      <w:r w:rsidRPr="00D93F7E">
        <w:rPr>
          <w:rFonts w:ascii="Arial" w:hAnsi="Arial" w:cs="Arial"/>
        </w:rPr>
        <w:t xml:space="preserve"> ejercicio fiscal</w:t>
      </w:r>
      <w:r>
        <w:rPr>
          <w:rFonts w:ascii="Arial" w:hAnsi="Arial" w:cs="Arial"/>
        </w:rPr>
        <w:t xml:space="preserve"> 2022</w:t>
      </w:r>
      <w:r w:rsidRPr="00D93F7E">
        <w:rPr>
          <w:rFonts w:ascii="Arial" w:hAnsi="Arial" w:cs="Arial"/>
        </w:rPr>
        <w:t>, un informe de los fideicomisos, mandatos o análogos públicos susceptibles de extinguirse en términos de las disposiciones aplicables. Lo anterior, a efecto de que se lleven a cabo los actos necesarios para la extinción de dichas figuras, conforme a lo establecido en la Ley del Presupuesto y Contabilidad Gubernamental del Estado de Yucatán y su reglamento.</w:t>
      </w:r>
    </w:p>
    <w:p w:rsidR="00104093" w:rsidRPr="00104093" w:rsidRDefault="00104093" w:rsidP="00104093">
      <w:pPr>
        <w:ind w:firstLine="708"/>
        <w:jc w:val="both"/>
        <w:rPr>
          <w:rFonts w:ascii="Arial" w:hAnsi="Arial" w:cs="Arial"/>
          <w:b/>
          <w:caps/>
          <w:sz w:val="22"/>
          <w:szCs w:val="22"/>
        </w:rPr>
      </w:pPr>
      <w:r w:rsidRPr="003D0052">
        <w:rPr>
          <w:rFonts w:ascii="Arial" w:hAnsi="Arial" w:cs="Arial"/>
          <w:b/>
          <w:sz w:val="22"/>
          <w:szCs w:val="22"/>
        </w:rPr>
        <w:t xml:space="preserve">DADO EN LA SALA DE USOS MÚLTIPLES “MAESTRA CONSUELO ZAVALA CASTILLO” DEL RECINTO DEL PODER LEGISLATIVO, EN LA CIUDAD DE MÉRIDA, YUCATÁN, AL </w:t>
      </w:r>
      <w:r w:rsidR="004C14C9">
        <w:rPr>
          <w:rFonts w:ascii="Arial" w:hAnsi="Arial" w:cs="Arial"/>
          <w:b/>
          <w:sz w:val="22"/>
          <w:szCs w:val="22"/>
        </w:rPr>
        <w:t>SEIS</w:t>
      </w:r>
      <w:r w:rsidRPr="003D0052">
        <w:rPr>
          <w:rFonts w:ascii="Arial" w:hAnsi="Arial" w:cs="Arial"/>
          <w:b/>
          <w:sz w:val="22"/>
          <w:szCs w:val="22"/>
        </w:rPr>
        <w:t xml:space="preserve"> DÍA DEL MES DE </w:t>
      </w:r>
      <w:r w:rsidR="001B04B6" w:rsidRPr="003D0052">
        <w:rPr>
          <w:rFonts w:ascii="Arial" w:hAnsi="Arial" w:cs="Arial"/>
          <w:b/>
          <w:sz w:val="22"/>
          <w:szCs w:val="22"/>
        </w:rPr>
        <w:t>DICIEMBRE</w:t>
      </w:r>
      <w:r w:rsidRPr="003D0052">
        <w:rPr>
          <w:rFonts w:ascii="Arial" w:hAnsi="Arial" w:cs="Arial"/>
          <w:b/>
          <w:sz w:val="22"/>
          <w:szCs w:val="22"/>
        </w:rPr>
        <w:t xml:space="preserve"> DEL AÑO DOS MIL VEINTIUNO.</w:t>
      </w:r>
    </w:p>
    <w:p w:rsidR="00104093" w:rsidRPr="00104093" w:rsidRDefault="00104093" w:rsidP="00104093">
      <w:pPr>
        <w:pStyle w:val="Textoindependiente"/>
        <w:ind w:left="10" w:right="62"/>
        <w:jc w:val="center"/>
        <w:rPr>
          <w:rFonts w:ascii="Arial" w:hAnsi="Arial" w:cs="Arial"/>
          <w:b/>
          <w:caps/>
          <w:sz w:val="22"/>
          <w:szCs w:val="22"/>
          <w:lang w:val="es-MX"/>
        </w:rPr>
      </w:pPr>
    </w:p>
    <w:p w:rsidR="00104093" w:rsidRPr="00104093" w:rsidRDefault="00104093" w:rsidP="00104093">
      <w:pPr>
        <w:pStyle w:val="Textoindependiente"/>
        <w:ind w:left="10" w:right="62"/>
        <w:jc w:val="center"/>
        <w:rPr>
          <w:rFonts w:ascii="Arial" w:hAnsi="Arial" w:cs="Arial"/>
          <w:b/>
          <w:caps/>
          <w:sz w:val="22"/>
          <w:szCs w:val="22"/>
        </w:rPr>
      </w:pPr>
      <w:r w:rsidRPr="00104093">
        <w:rPr>
          <w:rFonts w:ascii="Arial" w:hAnsi="Arial" w:cs="Arial"/>
          <w:b/>
          <w:caps/>
          <w:sz w:val="22"/>
          <w:szCs w:val="22"/>
        </w:rPr>
        <w:t xml:space="preserve">COMISIÓN PERMANENTE DE PRESUPUESTO, PATRIMONIO </w:t>
      </w:r>
    </w:p>
    <w:p w:rsidR="00104093" w:rsidRPr="00104093" w:rsidRDefault="00104093" w:rsidP="00104093">
      <w:pPr>
        <w:pStyle w:val="Textoindependiente"/>
        <w:ind w:left="10" w:right="62"/>
        <w:jc w:val="center"/>
        <w:rPr>
          <w:rFonts w:ascii="Arial" w:hAnsi="Arial" w:cs="Arial"/>
          <w:b/>
          <w:caps/>
          <w:sz w:val="22"/>
          <w:szCs w:val="22"/>
        </w:rPr>
      </w:pPr>
      <w:r w:rsidRPr="00104093">
        <w:rPr>
          <w:rFonts w:ascii="Arial" w:hAnsi="Arial" w:cs="Arial"/>
          <w:b/>
          <w:caps/>
          <w:sz w:val="22"/>
          <w:szCs w:val="22"/>
        </w:rPr>
        <w:t>ESTATAL Y MUNICIPAL</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410"/>
        <w:gridCol w:w="1984"/>
        <w:gridCol w:w="2410"/>
      </w:tblGrid>
      <w:tr w:rsidR="00104093" w:rsidRPr="00104093" w:rsidTr="0082297D">
        <w:trPr>
          <w:tblHeader/>
          <w:jc w:val="center"/>
        </w:trPr>
        <w:tc>
          <w:tcPr>
            <w:tcW w:w="2166" w:type="dxa"/>
            <w:shd w:val="clear" w:color="auto" w:fill="A6A6A6"/>
          </w:tcPr>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CARGO</w:t>
            </w:r>
          </w:p>
          <w:p w:rsidR="00104093" w:rsidRPr="00104093" w:rsidRDefault="00104093" w:rsidP="002D1A09">
            <w:pPr>
              <w:contextualSpacing/>
              <w:jc w:val="center"/>
              <w:rPr>
                <w:rFonts w:ascii="Arial" w:hAnsi="Arial" w:cs="Arial"/>
                <w:b/>
                <w:bCs/>
                <w:caps/>
                <w:sz w:val="22"/>
                <w:szCs w:val="22"/>
              </w:rPr>
            </w:pPr>
          </w:p>
        </w:tc>
        <w:tc>
          <w:tcPr>
            <w:tcW w:w="2410" w:type="dxa"/>
            <w:shd w:val="clear" w:color="auto" w:fill="A6A6A6"/>
          </w:tcPr>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 xml:space="preserve">nombre </w:t>
            </w:r>
          </w:p>
        </w:tc>
        <w:tc>
          <w:tcPr>
            <w:tcW w:w="1984" w:type="dxa"/>
            <w:shd w:val="clear" w:color="auto" w:fill="A6A6A6"/>
          </w:tcPr>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VOTO A FAVOR</w:t>
            </w:r>
          </w:p>
        </w:tc>
        <w:tc>
          <w:tcPr>
            <w:tcW w:w="2410" w:type="dxa"/>
            <w:shd w:val="clear" w:color="auto" w:fill="A6A6A6"/>
          </w:tcPr>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VOTO EN CONTRA</w:t>
            </w:r>
          </w:p>
        </w:tc>
      </w:tr>
      <w:tr w:rsidR="00104093" w:rsidRPr="00104093" w:rsidTr="0082297D">
        <w:trPr>
          <w:jc w:val="center"/>
        </w:trPr>
        <w:tc>
          <w:tcPr>
            <w:tcW w:w="2166" w:type="dxa"/>
            <w:shd w:val="clear" w:color="auto" w:fill="auto"/>
          </w:tcPr>
          <w:p w:rsidR="00104093" w:rsidRPr="00104093" w:rsidRDefault="00104093" w:rsidP="002D1A09">
            <w:pPr>
              <w:contextualSpacing/>
              <w:jc w:val="center"/>
              <w:rPr>
                <w:rFonts w:ascii="Arial" w:hAnsi="Arial" w:cs="Arial"/>
                <w:b/>
                <w:bCs/>
                <w:caps/>
                <w:sz w:val="22"/>
                <w:szCs w:val="22"/>
              </w:rPr>
            </w:pPr>
          </w:p>
          <w:p w:rsidR="00104093" w:rsidRDefault="00104093"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PRESIDENTE</w:t>
            </w:r>
          </w:p>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jc w:val="center"/>
              <w:rPr>
                <w:rFonts w:ascii="Arial" w:hAnsi="Arial" w:cs="Arial"/>
                <w:b/>
                <w:bCs/>
                <w:caps/>
                <w:sz w:val="22"/>
                <w:szCs w:val="22"/>
              </w:rPr>
            </w:pPr>
          </w:p>
          <w:p w:rsidR="00104093" w:rsidRDefault="00104093"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DIP. JESÚS EFRÉN PÉREZ BALLOTE.</w:t>
            </w:r>
          </w:p>
        </w:tc>
        <w:tc>
          <w:tcPr>
            <w:tcW w:w="1984" w:type="dxa"/>
            <w:shd w:val="clear" w:color="auto" w:fill="auto"/>
          </w:tcPr>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shd w:val="clear" w:color="auto" w:fill="auto"/>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VICEPRESIDENTE</w:t>
            </w:r>
          </w:p>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p>
        </w:tc>
        <w:tc>
          <w:tcPr>
            <w:tcW w:w="2410" w:type="dxa"/>
            <w:shd w:val="clear" w:color="auto" w:fill="auto"/>
          </w:tcPr>
          <w:p w:rsidR="00104093" w:rsidRDefault="00104093" w:rsidP="002D1A09">
            <w:pPr>
              <w:contextualSpacing/>
              <w:jc w:val="center"/>
              <w:rPr>
                <w:rFonts w:ascii="Arial" w:eastAsia="Calibri" w:hAnsi="Arial" w:cs="Arial"/>
                <w:b/>
                <w:sz w:val="22"/>
                <w:szCs w:val="22"/>
                <w:lang w:eastAsia="en-US"/>
              </w:rPr>
            </w:pPr>
          </w:p>
          <w:p w:rsidR="001B04B6" w:rsidRDefault="001B04B6" w:rsidP="002D1A09">
            <w:pPr>
              <w:contextualSpacing/>
              <w:jc w:val="center"/>
              <w:rPr>
                <w:rFonts w:ascii="Arial" w:eastAsia="Calibri" w:hAnsi="Arial" w:cs="Arial"/>
                <w:b/>
                <w:sz w:val="22"/>
                <w:szCs w:val="22"/>
                <w:lang w:eastAsia="en-US"/>
              </w:rPr>
            </w:pPr>
          </w:p>
          <w:p w:rsidR="001B04B6" w:rsidRPr="00104093" w:rsidRDefault="001B04B6" w:rsidP="002D1A09">
            <w:pPr>
              <w:contextualSpacing/>
              <w:jc w:val="center"/>
              <w:rPr>
                <w:rFonts w:ascii="Arial" w:eastAsia="Calibri" w:hAnsi="Arial" w:cs="Arial"/>
                <w:b/>
                <w:sz w:val="22"/>
                <w:szCs w:val="22"/>
                <w:lang w:eastAsia="en-US"/>
              </w:rPr>
            </w:pPr>
          </w:p>
          <w:p w:rsidR="00104093" w:rsidRPr="00104093" w:rsidRDefault="00104093" w:rsidP="002D1A09">
            <w:pPr>
              <w:contextualSpacing/>
              <w:jc w:val="center"/>
              <w:rPr>
                <w:rFonts w:ascii="Arial" w:eastAsia="Calibri" w:hAnsi="Arial" w:cs="Arial"/>
                <w:b/>
                <w:sz w:val="22"/>
                <w:szCs w:val="22"/>
                <w:lang w:eastAsia="en-US"/>
              </w:rPr>
            </w:pPr>
            <w:r w:rsidRPr="00104093">
              <w:rPr>
                <w:rFonts w:ascii="Arial" w:eastAsia="Calibri" w:hAnsi="Arial" w:cs="Arial"/>
                <w:b/>
                <w:sz w:val="22"/>
                <w:szCs w:val="22"/>
                <w:lang w:eastAsia="en-US"/>
              </w:rPr>
              <w:t>DIP. HARRY GERARDO RODRÍGUEZ BOTELLO FIERRO.</w:t>
            </w:r>
          </w:p>
        </w:tc>
        <w:tc>
          <w:tcPr>
            <w:tcW w:w="1984" w:type="dxa"/>
            <w:shd w:val="clear" w:color="auto" w:fill="auto"/>
          </w:tcPr>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shd w:val="clear" w:color="auto" w:fill="auto"/>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lang w:val="pt-BR"/>
              </w:rPr>
            </w:pPr>
            <w:r w:rsidRPr="00104093">
              <w:rPr>
                <w:rFonts w:ascii="Arial" w:hAnsi="Arial" w:cs="Arial"/>
                <w:b/>
                <w:bCs/>
                <w:caps/>
                <w:sz w:val="22"/>
                <w:szCs w:val="22"/>
                <w:lang w:val="pt-BR"/>
              </w:rPr>
              <w:t>secretariO</w:t>
            </w:r>
          </w:p>
          <w:p w:rsidR="00104093" w:rsidRPr="00104093" w:rsidRDefault="00104093" w:rsidP="002D1A09">
            <w:pPr>
              <w:contextualSpacing/>
              <w:jc w:val="center"/>
              <w:rPr>
                <w:rFonts w:ascii="Arial" w:hAnsi="Arial" w:cs="Arial"/>
                <w:b/>
                <w:bCs/>
                <w:caps/>
                <w:sz w:val="22"/>
                <w:szCs w:val="22"/>
                <w:lang w:val="pt-BR"/>
              </w:rPr>
            </w:pPr>
          </w:p>
          <w:p w:rsidR="00104093" w:rsidRPr="00104093" w:rsidRDefault="00104093" w:rsidP="002D1A09">
            <w:pPr>
              <w:contextualSpacing/>
              <w:jc w:val="center"/>
              <w:rPr>
                <w:rFonts w:ascii="Arial" w:hAnsi="Arial" w:cs="Arial"/>
                <w:b/>
                <w:bCs/>
                <w:caps/>
                <w:sz w:val="22"/>
                <w:szCs w:val="22"/>
                <w:lang w:val="pt-BR"/>
              </w:rPr>
            </w:pPr>
          </w:p>
          <w:p w:rsidR="00104093" w:rsidRPr="00104093" w:rsidRDefault="00104093" w:rsidP="002D1A09">
            <w:pPr>
              <w:contextualSpacing/>
              <w:jc w:val="center"/>
              <w:rPr>
                <w:rFonts w:ascii="Arial" w:hAnsi="Arial" w:cs="Arial"/>
                <w:b/>
                <w:bCs/>
                <w:caps/>
                <w:sz w:val="22"/>
                <w:szCs w:val="22"/>
                <w:lang w:val="pt-BR"/>
              </w:rPr>
            </w:pPr>
          </w:p>
        </w:tc>
        <w:tc>
          <w:tcPr>
            <w:tcW w:w="2410" w:type="dxa"/>
            <w:shd w:val="clear" w:color="auto" w:fill="auto"/>
          </w:tcPr>
          <w:p w:rsidR="00104093" w:rsidRDefault="00104093" w:rsidP="002D1A09">
            <w:pPr>
              <w:contextualSpacing/>
              <w:jc w:val="center"/>
              <w:rPr>
                <w:rFonts w:ascii="Arial" w:eastAsia="Calibri" w:hAnsi="Arial" w:cs="Arial"/>
                <w:b/>
                <w:noProof/>
                <w:sz w:val="22"/>
                <w:szCs w:val="22"/>
              </w:rPr>
            </w:pPr>
          </w:p>
          <w:p w:rsidR="001B04B6" w:rsidRDefault="001B04B6" w:rsidP="002D1A09">
            <w:pPr>
              <w:contextualSpacing/>
              <w:jc w:val="center"/>
              <w:rPr>
                <w:rFonts w:ascii="Arial" w:eastAsia="Calibri" w:hAnsi="Arial" w:cs="Arial"/>
                <w:b/>
                <w:noProof/>
                <w:sz w:val="22"/>
                <w:szCs w:val="22"/>
              </w:rPr>
            </w:pPr>
          </w:p>
          <w:p w:rsidR="001B04B6" w:rsidRPr="00104093" w:rsidRDefault="001B04B6" w:rsidP="002D1A09">
            <w:pPr>
              <w:contextualSpacing/>
              <w:jc w:val="center"/>
              <w:rPr>
                <w:rFonts w:ascii="Arial" w:eastAsia="Calibri" w:hAnsi="Arial" w:cs="Arial"/>
                <w:b/>
                <w:noProof/>
                <w:sz w:val="22"/>
                <w:szCs w:val="22"/>
              </w:rPr>
            </w:pPr>
          </w:p>
          <w:p w:rsidR="00104093" w:rsidRPr="00104093" w:rsidRDefault="00104093" w:rsidP="002D1A09">
            <w:pPr>
              <w:contextualSpacing/>
              <w:jc w:val="center"/>
              <w:rPr>
                <w:rFonts w:ascii="Arial" w:eastAsia="Calibri" w:hAnsi="Arial" w:cs="Arial"/>
                <w:b/>
                <w:noProof/>
                <w:sz w:val="22"/>
                <w:szCs w:val="22"/>
              </w:rPr>
            </w:pPr>
            <w:r w:rsidRPr="00104093">
              <w:rPr>
                <w:rFonts w:ascii="Arial" w:eastAsia="Calibri" w:hAnsi="Arial" w:cs="Arial"/>
                <w:b/>
                <w:noProof/>
                <w:sz w:val="22"/>
                <w:szCs w:val="22"/>
              </w:rPr>
              <w:t>DIP. JOSÉ CRESCENCIO GUTIÉRREZ GONZÁLEZ.</w:t>
            </w:r>
          </w:p>
        </w:tc>
        <w:tc>
          <w:tcPr>
            <w:tcW w:w="1984" w:type="dxa"/>
            <w:shd w:val="clear" w:color="auto" w:fill="auto"/>
          </w:tcPr>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shd w:val="clear" w:color="auto" w:fill="auto"/>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lang w:val="pt-BR"/>
              </w:rPr>
            </w:pPr>
            <w:r w:rsidRPr="00104093">
              <w:rPr>
                <w:rFonts w:ascii="Arial" w:hAnsi="Arial" w:cs="Arial"/>
                <w:b/>
                <w:bCs/>
                <w:caps/>
                <w:sz w:val="22"/>
                <w:szCs w:val="22"/>
                <w:lang w:val="pt-BR"/>
              </w:rPr>
              <w:t>SECRETARIA</w:t>
            </w:r>
          </w:p>
          <w:p w:rsidR="00104093" w:rsidRPr="00104093" w:rsidRDefault="00104093" w:rsidP="002D1A09">
            <w:pPr>
              <w:contextualSpacing/>
              <w:jc w:val="center"/>
              <w:rPr>
                <w:rFonts w:ascii="Arial" w:hAnsi="Arial" w:cs="Arial"/>
                <w:b/>
                <w:bCs/>
                <w:caps/>
                <w:sz w:val="22"/>
                <w:szCs w:val="22"/>
                <w:lang w:val="pt-BR"/>
              </w:rPr>
            </w:pPr>
          </w:p>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Default="00104093" w:rsidP="002D1A09">
            <w:pPr>
              <w:contextualSpacing/>
              <w:jc w:val="center"/>
              <w:rPr>
                <w:rFonts w:ascii="Arial" w:eastAsia="Calibri" w:hAnsi="Arial" w:cs="Arial"/>
                <w:b/>
                <w:sz w:val="22"/>
                <w:szCs w:val="22"/>
                <w:lang w:eastAsia="en-US"/>
              </w:rPr>
            </w:pPr>
          </w:p>
          <w:p w:rsidR="001B04B6" w:rsidRDefault="001B04B6" w:rsidP="002D1A09">
            <w:pPr>
              <w:contextualSpacing/>
              <w:jc w:val="center"/>
              <w:rPr>
                <w:rFonts w:ascii="Arial" w:eastAsia="Calibri" w:hAnsi="Arial" w:cs="Arial"/>
                <w:b/>
                <w:sz w:val="22"/>
                <w:szCs w:val="22"/>
                <w:lang w:eastAsia="en-US"/>
              </w:rPr>
            </w:pPr>
          </w:p>
          <w:p w:rsidR="001B04B6" w:rsidRPr="00104093" w:rsidRDefault="001B04B6" w:rsidP="002D1A09">
            <w:pPr>
              <w:contextualSpacing/>
              <w:jc w:val="center"/>
              <w:rPr>
                <w:rFonts w:ascii="Arial" w:eastAsia="Calibri" w:hAnsi="Arial" w:cs="Arial"/>
                <w:b/>
                <w:sz w:val="22"/>
                <w:szCs w:val="22"/>
                <w:lang w:eastAsia="en-US"/>
              </w:rPr>
            </w:pPr>
          </w:p>
          <w:p w:rsidR="00104093" w:rsidRPr="00104093" w:rsidRDefault="00104093" w:rsidP="002D1A09">
            <w:pPr>
              <w:contextualSpacing/>
              <w:jc w:val="center"/>
              <w:rPr>
                <w:rFonts w:ascii="Arial" w:eastAsia="Calibri" w:hAnsi="Arial" w:cs="Arial"/>
                <w:b/>
                <w:sz w:val="22"/>
                <w:szCs w:val="22"/>
                <w:lang w:eastAsia="en-US"/>
              </w:rPr>
            </w:pPr>
            <w:r w:rsidRPr="00104093">
              <w:rPr>
                <w:rFonts w:ascii="Arial" w:eastAsia="Calibri" w:hAnsi="Arial" w:cs="Arial"/>
                <w:b/>
                <w:sz w:val="22"/>
                <w:szCs w:val="22"/>
                <w:lang w:eastAsia="en-US"/>
              </w:rPr>
              <w:t>DIP. CARMEN GUADALUPE GONZÁLEZ MARTÍN.</w:t>
            </w:r>
          </w:p>
        </w:tc>
        <w:tc>
          <w:tcPr>
            <w:tcW w:w="1984" w:type="dxa"/>
            <w:shd w:val="clear" w:color="auto" w:fill="auto"/>
          </w:tcPr>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shd w:val="clear" w:color="auto" w:fill="auto"/>
            <w:vAlign w:val="center"/>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VOCAL</w:t>
            </w:r>
          </w:p>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Default="00104093" w:rsidP="002D1A09">
            <w:pPr>
              <w:contextualSpacing/>
              <w:jc w:val="center"/>
              <w:rPr>
                <w:rFonts w:ascii="Arial" w:eastAsia="Calibri" w:hAnsi="Arial" w:cs="Arial"/>
                <w:b/>
                <w:caps/>
                <w:sz w:val="22"/>
                <w:szCs w:val="22"/>
                <w:lang w:val="pt-BR" w:eastAsia="en-US"/>
              </w:rPr>
            </w:pPr>
          </w:p>
          <w:p w:rsidR="001B04B6" w:rsidRDefault="001B04B6" w:rsidP="002D1A09">
            <w:pPr>
              <w:contextualSpacing/>
              <w:jc w:val="center"/>
              <w:rPr>
                <w:rFonts w:ascii="Arial" w:eastAsia="Calibri" w:hAnsi="Arial" w:cs="Arial"/>
                <w:b/>
                <w:caps/>
                <w:sz w:val="22"/>
                <w:szCs w:val="22"/>
                <w:lang w:val="pt-BR" w:eastAsia="en-US"/>
              </w:rPr>
            </w:pPr>
          </w:p>
          <w:p w:rsidR="001B04B6" w:rsidRDefault="001B04B6" w:rsidP="002D1A09">
            <w:pPr>
              <w:contextualSpacing/>
              <w:jc w:val="center"/>
              <w:rPr>
                <w:rFonts w:ascii="Arial" w:eastAsia="Calibri" w:hAnsi="Arial" w:cs="Arial"/>
                <w:b/>
                <w:caps/>
                <w:sz w:val="22"/>
                <w:szCs w:val="22"/>
                <w:lang w:val="pt-BR" w:eastAsia="en-US"/>
              </w:rPr>
            </w:pPr>
          </w:p>
          <w:p w:rsidR="00104093" w:rsidRPr="00104093" w:rsidRDefault="00104093" w:rsidP="002D1A09">
            <w:pPr>
              <w:contextualSpacing/>
              <w:jc w:val="center"/>
              <w:rPr>
                <w:rFonts w:ascii="Arial" w:eastAsia="Calibri" w:hAnsi="Arial" w:cs="Arial"/>
                <w:b/>
                <w:caps/>
                <w:sz w:val="22"/>
                <w:szCs w:val="22"/>
                <w:lang w:val="pt-BR" w:eastAsia="en-US"/>
              </w:rPr>
            </w:pPr>
            <w:r w:rsidRPr="00104093">
              <w:rPr>
                <w:rFonts w:ascii="Arial" w:eastAsia="Calibri" w:hAnsi="Arial" w:cs="Arial"/>
                <w:b/>
                <w:caps/>
                <w:sz w:val="22"/>
                <w:szCs w:val="22"/>
                <w:lang w:val="pt-BR" w:eastAsia="en-US"/>
              </w:rPr>
              <w:t>DIP. DAFNE CELINA LÓPEZ OSORIO.</w:t>
            </w:r>
          </w:p>
        </w:tc>
        <w:tc>
          <w:tcPr>
            <w:tcW w:w="1984" w:type="dxa"/>
            <w:shd w:val="clear" w:color="auto" w:fill="auto"/>
          </w:tcPr>
          <w:p w:rsidR="00104093" w:rsidRPr="00104093" w:rsidRDefault="00104093" w:rsidP="002D1A09">
            <w:pPr>
              <w:contextualSpacing/>
              <w:rPr>
                <w:rFonts w:ascii="Arial" w:hAnsi="Arial" w:cs="Arial"/>
                <w:b/>
                <w:bCs/>
                <w:caps/>
                <w:sz w:val="22"/>
                <w:szCs w:val="22"/>
                <w:lang w:val="pt-BR"/>
              </w:rPr>
            </w:pPr>
          </w:p>
        </w:tc>
        <w:tc>
          <w:tcPr>
            <w:tcW w:w="2410" w:type="dxa"/>
            <w:shd w:val="clear" w:color="auto" w:fill="auto"/>
          </w:tcPr>
          <w:p w:rsidR="00104093" w:rsidRPr="00104093" w:rsidRDefault="00104093" w:rsidP="002D1A09">
            <w:pPr>
              <w:contextualSpacing/>
              <w:rPr>
                <w:rFonts w:ascii="Arial" w:hAnsi="Arial" w:cs="Arial"/>
                <w:b/>
                <w:bCs/>
                <w:caps/>
                <w:sz w:val="22"/>
                <w:szCs w:val="22"/>
                <w:lang w:val="pt-BR"/>
              </w:rPr>
            </w:pPr>
          </w:p>
        </w:tc>
      </w:tr>
      <w:tr w:rsidR="00104093" w:rsidRPr="00104093" w:rsidTr="0082297D">
        <w:trPr>
          <w:jc w:val="center"/>
        </w:trPr>
        <w:tc>
          <w:tcPr>
            <w:tcW w:w="2166" w:type="dxa"/>
            <w:shd w:val="clear" w:color="auto" w:fill="auto"/>
            <w:vAlign w:val="center"/>
          </w:tcPr>
          <w:p w:rsidR="00104093" w:rsidRDefault="00104093" w:rsidP="002D1A09">
            <w:pPr>
              <w:contextualSpacing/>
              <w:jc w:val="center"/>
              <w:rPr>
                <w:rFonts w:ascii="Arial" w:hAnsi="Arial" w:cs="Arial"/>
                <w:b/>
                <w:bCs/>
                <w:caps/>
                <w:sz w:val="22"/>
                <w:szCs w:val="22"/>
                <w:lang w:val="pt-BR"/>
              </w:rPr>
            </w:pPr>
          </w:p>
          <w:p w:rsidR="001B04B6" w:rsidRDefault="001B04B6" w:rsidP="002D1A09">
            <w:pPr>
              <w:contextualSpacing/>
              <w:jc w:val="center"/>
              <w:rPr>
                <w:rFonts w:ascii="Arial" w:hAnsi="Arial" w:cs="Arial"/>
                <w:b/>
                <w:bCs/>
                <w:caps/>
                <w:sz w:val="22"/>
                <w:szCs w:val="22"/>
                <w:lang w:val="pt-BR"/>
              </w:rPr>
            </w:pPr>
          </w:p>
          <w:p w:rsidR="001B04B6" w:rsidRPr="00104093" w:rsidRDefault="001B04B6" w:rsidP="002D1A09">
            <w:pPr>
              <w:contextualSpacing/>
              <w:jc w:val="center"/>
              <w:rPr>
                <w:rFonts w:ascii="Arial" w:hAnsi="Arial" w:cs="Arial"/>
                <w:b/>
                <w:bCs/>
                <w:caps/>
                <w:sz w:val="22"/>
                <w:szCs w:val="22"/>
                <w:lang w:val="pt-BR"/>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VOCAL</w:t>
            </w:r>
          </w:p>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Default="00104093" w:rsidP="002D1A09">
            <w:pPr>
              <w:contextualSpacing/>
              <w:jc w:val="center"/>
              <w:rPr>
                <w:rFonts w:ascii="Arial" w:eastAsia="Calibri" w:hAnsi="Arial" w:cs="Arial"/>
                <w:b/>
                <w:caps/>
                <w:sz w:val="22"/>
                <w:szCs w:val="22"/>
                <w:lang w:eastAsia="en-US"/>
              </w:rPr>
            </w:pPr>
          </w:p>
          <w:p w:rsidR="001B04B6" w:rsidRDefault="001B04B6" w:rsidP="002D1A09">
            <w:pPr>
              <w:contextualSpacing/>
              <w:jc w:val="center"/>
              <w:rPr>
                <w:rFonts w:ascii="Arial" w:eastAsia="Calibri" w:hAnsi="Arial" w:cs="Arial"/>
                <w:b/>
                <w:caps/>
                <w:sz w:val="22"/>
                <w:szCs w:val="22"/>
                <w:lang w:eastAsia="en-US"/>
              </w:rPr>
            </w:pPr>
          </w:p>
          <w:p w:rsidR="001B04B6" w:rsidRPr="00104093" w:rsidRDefault="001B04B6" w:rsidP="002D1A09">
            <w:pPr>
              <w:contextualSpacing/>
              <w:jc w:val="center"/>
              <w:rPr>
                <w:rFonts w:ascii="Arial" w:eastAsia="Calibri" w:hAnsi="Arial" w:cs="Arial"/>
                <w:b/>
                <w:caps/>
                <w:sz w:val="22"/>
                <w:szCs w:val="22"/>
                <w:lang w:eastAsia="en-US"/>
              </w:rPr>
            </w:pPr>
          </w:p>
          <w:p w:rsidR="00104093" w:rsidRPr="00104093" w:rsidRDefault="00104093" w:rsidP="002D1A09">
            <w:pPr>
              <w:contextualSpacing/>
              <w:jc w:val="center"/>
              <w:rPr>
                <w:rFonts w:ascii="Arial" w:eastAsia="Calibri" w:hAnsi="Arial" w:cs="Arial"/>
                <w:b/>
                <w:caps/>
                <w:sz w:val="22"/>
                <w:szCs w:val="22"/>
                <w:lang w:eastAsia="en-US"/>
              </w:rPr>
            </w:pPr>
            <w:r w:rsidRPr="00104093">
              <w:rPr>
                <w:rFonts w:ascii="Arial" w:eastAsia="Calibri" w:hAnsi="Arial" w:cs="Arial"/>
                <w:b/>
                <w:caps/>
                <w:sz w:val="22"/>
                <w:szCs w:val="22"/>
                <w:lang w:eastAsia="en-US"/>
              </w:rPr>
              <w:t>DIP. INGRID DEL PILAR SANTOS DÍAZ.</w:t>
            </w:r>
          </w:p>
        </w:tc>
        <w:tc>
          <w:tcPr>
            <w:tcW w:w="1984" w:type="dxa"/>
            <w:shd w:val="clear" w:color="auto" w:fill="auto"/>
          </w:tcPr>
          <w:p w:rsidR="00104093" w:rsidRPr="00104093" w:rsidRDefault="00104093" w:rsidP="002D1A09">
            <w:pPr>
              <w:contextualSpacing/>
              <w:rPr>
                <w:rFonts w:ascii="Arial" w:hAnsi="Arial" w:cs="Arial"/>
                <w:b/>
                <w:bCs/>
                <w:caps/>
                <w:sz w:val="22"/>
                <w:szCs w:val="22"/>
              </w:rPr>
            </w:pPr>
          </w:p>
        </w:tc>
        <w:tc>
          <w:tcPr>
            <w:tcW w:w="2410" w:type="dxa"/>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tcBorders>
              <w:bottom w:val="single" w:sz="4" w:space="0" w:color="auto"/>
            </w:tcBorders>
            <w:shd w:val="clear" w:color="auto" w:fill="auto"/>
            <w:vAlign w:val="center"/>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Pr="00104093"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 xml:space="preserve">VOCAL </w:t>
            </w:r>
          </w:p>
          <w:p w:rsidR="00104093" w:rsidRPr="00104093" w:rsidRDefault="00104093" w:rsidP="002D1A09">
            <w:pPr>
              <w:contextualSpacing/>
              <w:jc w:val="center"/>
              <w:rPr>
                <w:rFonts w:ascii="Arial" w:hAnsi="Arial" w:cs="Arial"/>
                <w:b/>
                <w:bCs/>
                <w:caps/>
                <w:sz w:val="22"/>
                <w:szCs w:val="22"/>
              </w:rPr>
            </w:pPr>
          </w:p>
          <w:p w:rsidR="00104093" w:rsidRPr="00104093" w:rsidRDefault="00104093" w:rsidP="002D1A09">
            <w:pPr>
              <w:contextualSpacing/>
              <w:rPr>
                <w:rFonts w:ascii="Arial" w:hAnsi="Arial" w:cs="Arial"/>
                <w:b/>
                <w:bCs/>
                <w:caps/>
                <w:sz w:val="22"/>
                <w:szCs w:val="22"/>
              </w:rPr>
            </w:pPr>
          </w:p>
        </w:tc>
        <w:tc>
          <w:tcPr>
            <w:tcW w:w="2410" w:type="dxa"/>
            <w:tcBorders>
              <w:bottom w:val="single" w:sz="4" w:space="0" w:color="auto"/>
            </w:tcBorders>
            <w:shd w:val="clear" w:color="auto" w:fill="auto"/>
          </w:tcPr>
          <w:p w:rsidR="00104093" w:rsidRDefault="00104093" w:rsidP="002D1A09">
            <w:pPr>
              <w:contextualSpacing/>
              <w:jc w:val="center"/>
              <w:rPr>
                <w:rFonts w:ascii="Arial" w:eastAsia="Calibri" w:hAnsi="Arial" w:cs="Arial"/>
                <w:b/>
                <w:caps/>
                <w:sz w:val="22"/>
                <w:szCs w:val="22"/>
                <w:lang w:eastAsia="en-US"/>
              </w:rPr>
            </w:pPr>
          </w:p>
          <w:p w:rsidR="001B04B6" w:rsidRDefault="001B04B6" w:rsidP="002D1A09">
            <w:pPr>
              <w:contextualSpacing/>
              <w:jc w:val="center"/>
              <w:rPr>
                <w:rFonts w:ascii="Arial" w:eastAsia="Calibri" w:hAnsi="Arial" w:cs="Arial"/>
                <w:b/>
                <w:caps/>
                <w:sz w:val="22"/>
                <w:szCs w:val="22"/>
                <w:lang w:eastAsia="en-US"/>
              </w:rPr>
            </w:pPr>
          </w:p>
          <w:p w:rsidR="001B04B6" w:rsidRPr="00104093" w:rsidRDefault="001B04B6" w:rsidP="002D1A09">
            <w:pPr>
              <w:contextualSpacing/>
              <w:jc w:val="center"/>
              <w:rPr>
                <w:rFonts w:ascii="Arial" w:eastAsia="Calibri" w:hAnsi="Arial" w:cs="Arial"/>
                <w:b/>
                <w:caps/>
                <w:sz w:val="22"/>
                <w:szCs w:val="22"/>
                <w:lang w:eastAsia="en-US"/>
              </w:rPr>
            </w:pPr>
          </w:p>
          <w:p w:rsidR="00104093" w:rsidRPr="00104093" w:rsidRDefault="00104093" w:rsidP="002D1A09">
            <w:pPr>
              <w:contextualSpacing/>
              <w:jc w:val="center"/>
              <w:rPr>
                <w:rFonts w:ascii="Arial" w:eastAsia="Calibri" w:hAnsi="Arial" w:cs="Arial"/>
                <w:b/>
                <w:caps/>
                <w:sz w:val="22"/>
                <w:szCs w:val="22"/>
                <w:lang w:eastAsia="en-US"/>
              </w:rPr>
            </w:pPr>
            <w:r w:rsidRPr="00104093">
              <w:rPr>
                <w:rFonts w:ascii="Arial" w:eastAsia="Calibri" w:hAnsi="Arial" w:cs="Arial"/>
                <w:b/>
                <w:caps/>
                <w:sz w:val="22"/>
                <w:szCs w:val="22"/>
                <w:lang w:eastAsia="en-US"/>
              </w:rPr>
              <w:t>DIP. ALEJANDRA DE LOS ÁNGELES NOVELO SEGURA.</w:t>
            </w:r>
          </w:p>
        </w:tc>
        <w:tc>
          <w:tcPr>
            <w:tcW w:w="1984" w:type="dxa"/>
            <w:tcBorders>
              <w:bottom w:val="single" w:sz="4" w:space="0" w:color="auto"/>
            </w:tcBorders>
            <w:shd w:val="clear" w:color="auto" w:fill="auto"/>
          </w:tcPr>
          <w:p w:rsidR="00104093" w:rsidRPr="00104093" w:rsidRDefault="00104093" w:rsidP="002D1A09">
            <w:pPr>
              <w:contextualSpacing/>
              <w:rPr>
                <w:rFonts w:ascii="Arial" w:hAnsi="Arial" w:cs="Arial"/>
                <w:b/>
                <w:bCs/>
                <w:caps/>
                <w:sz w:val="22"/>
                <w:szCs w:val="22"/>
              </w:rPr>
            </w:pPr>
          </w:p>
        </w:tc>
        <w:tc>
          <w:tcPr>
            <w:tcW w:w="2410" w:type="dxa"/>
            <w:tcBorders>
              <w:bottom w:val="single" w:sz="4" w:space="0" w:color="auto"/>
            </w:tcBorders>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tcBorders>
              <w:top w:val="nil"/>
            </w:tcBorders>
            <w:shd w:val="clear" w:color="auto" w:fill="auto"/>
            <w:vAlign w:val="center"/>
          </w:tcPr>
          <w:p w:rsidR="00104093" w:rsidRDefault="00104093"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B04B6" w:rsidRDefault="001B04B6" w:rsidP="002D1A09">
            <w:pPr>
              <w:contextualSpacing/>
              <w:jc w:val="center"/>
              <w:rPr>
                <w:rFonts w:ascii="Arial" w:hAnsi="Arial" w:cs="Arial"/>
                <w:b/>
                <w:bCs/>
                <w:caps/>
                <w:sz w:val="22"/>
                <w:szCs w:val="22"/>
              </w:rPr>
            </w:pPr>
          </w:p>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VOCAL</w:t>
            </w:r>
          </w:p>
          <w:p w:rsidR="00104093" w:rsidRPr="00104093" w:rsidRDefault="00104093" w:rsidP="002D1A09">
            <w:pPr>
              <w:contextualSpacing/>
              <w:rPr>
                <w:rFonts w:ascii="Arial" w:hAnsi="Arial" w:cs="Arial"/>
                <w:b/>
                <w:bCs/>
                <w:caps/>
                <w:sz w:val="22"/>
                <w:szCs w:val="22"/>
              </w:rPr>
            </w:pPr>
          </w:p>
        </w:tc>
        <w:tc>
          <w:tcPr>
            <w:tcW w:w="2410" w:type="dxa"/>
            <w:tcBorders>
              <w:top w:val="nil"/>
            </w:tcBorders>
            <w:shd w:val="clear" w:color="auto" w:fill="auto"/>
          </w:tcPr>
          <w:p w:rsidR="00104093" w:rsidRDefault="00104093" w:rsidP="002D1A09">
            <w:pPr>
              <w:contextualSpacing/>
              <w:jc w:val="center"/>
              <w:rPr>
                <w:rFonts w:ascii="Arial" w:eastAsia="Calibri" w:hAnsi="Arial" w:cs="Arial"/>
                <w:b/>
                <w:caps/>
                <w:sz w:val="22"/>
                <w:szCs w:val="22"/>
                <w:lang w:eastAsia="en-US"/>
              </w:rPr>
            </w:pPr>
          </w:p>
          <w:p w:rsidR="001B04B6" w:rsidRDefault="001B04B6" w:rsidP="002D1A09">
            <w:pPr>
              <w:contextualSpacing/>
              <w:jc w:val="center"/>
              <w:rPr>
                <w:rFonts w:ascii="Arial" w:eastAsia="Calibri" w:hAnsi="Arial" w:cs="Arial"/>
                <w:b/>
                <w:caps/>
                <w:sz w:val="22"/>
                <w:szCs w:val="22"/>
                <w:lang w:eastAsia="en-US"/>
              </w:rPr>
            </w:pPr>
          </w:p>
          <w:p w:rsidR="001B04B6" w:rsidRPr="00104093" w:rsidRDefault="001B04B6" w:rsidP="002D1A09">
            <w:pPr>
              <w:contextualSpacing/>
              <w:jc w:val="center"/>
              <w:rPr>
                <w:rFonts w:ascii="Arial" w:eastAsia="Calibri" w:hAnsi="Arial" w:cs="Arial"/>
                <w:b/>
                <w:caps/>
                <w:sz w:val="22"/>
                <w:szCs w:val="22"/>
                <w:lang w:eastAsia="en-US"/>
              </w:rPr>
            </w:pPr>
          </w:p>
          <w:p w:rsidR="00104093" w:rsidRPr="00104093" w:rsidRDefault="00104093" w:rsidP="002D1A09">
            <w:pPr>
              <w:contextualSpacing/>
              <w:jc w:val="center"/>
              <w:rPr>
                <w:rFonts w:ascii="Arial" w:eastAsia="Calibri" w:hAnsi="Arial" w:cs="Arial"/>
                <w:b/>
                <w:caps/>
                <w:sz w:val="22"/>
                <w:szCs w:val="22"/>
                <w:lang w:eastAsia="en-US"/>
              </w:rPr>
            </w:pPr>
            <w:r w:rsidRPr="00104093">
              <w:rPr>
                <w:rFonts w:ascii="Arial" w:eastAsia="Calibri" w:hAnsi="Arial" w:cs="Arial"/>
                <w:b/>
                <w:caps/>
                <w:sz w:val="22"/>
                <w:szCs w:val="22"/>
                <w:lang w:eastAsia="en-US"/>
              </w:rPr>
              <w:t>DIP. VÍCTOR HUGO LOZANO POVEDA.</w:t>
            </w:r>
          </w:p>
        </w:tc>
        <w:tc>
          <w:tcPr>
            <w:tcW w:w="1984" w:type="dxa"/>
            <w:tcBorders>
              <w:top w:val="nil"/>
            </w:tcBorders>
            <w:shd w:val="clear" w:color="auto" w:fill="auto"/>
          </w:tcPr>
          <w:p w:rsidR="00104093" w:rsidRPr="00104093" w:rsidRDefault="00104093" w:rsidP="002D1A09">
            <w:pPr>
              <w:contextualSpacing/>
              <w:rPr>
                <w:rFonts w:ascii="Arial" w:hAnsi="Arial" w:cs="Arial"/>
                <w:b/>
                <w:bCs/>
                <w:caps/>
                <w:sz w:val="22"/>
                <w:szCs w:val="22"/>
              </w:rPr>
            </w:pPr>
          </w:p>
        </w:tc>
        <w:tc>
          <w:tcPr>
            <w:tcW w:w="2410" w:type="dxa"/>
            <w:tcBorders>
              <w:top w:val="nil"/>
            </w:tcBorders>
            <w:shd w:val="clear" w:color="auto" w:fill="auto"/>
          </w:tcPr>
          <w:p w:rsidR="00104093" w:rsidRPr="00104093" w:rsidRDefault="00104093" w:rsidP="002D1A09">
            <w:pPr>
              <w:contextualSpacing/>
              <w:rPr>
                <w:rFonts w:ascii="Arial" w:hAnsi="Arial" w:cs="Arial"/>
                <w:b/>
                <w:bCs/>
                <w:caps/>
                <w:sz w:val="22"/>
                <w:szCs w:val="22"/>
              </w:rPr>
            </w:pPr>
          </w:p>
        </w:tc>
      </w:tr>
      <w:tr w:rsidR="00104093" w:rsidRPr="00104093" w:rsidTr="0082297D">
        <w:trPr>
          <w:jc w:val="center"/>
        </w:trPr>
        <w:tc>
          <w:tcPr>
            <w:tcW w:w="2166" w:type="dxa"/>
            <w:tcBorders>
              <w:bottom w:val="single" w:sz="4" w:space="0" w:color="auto"/>
            </w:tcBorders>
            <w:shd w:val="clear" w:color="auto" w:fill="auto"/>
            <w:vAlign w:val="center"/>
          </w:tcPr>
          <w:p w:rsidR="00104093" w:rsidRPr="00104093" w:rsidRDefault="00104093" w:rsidP="002D1A09">
            <w:pPr>
              <w:contextualSpacing/>
              <w:jc w:val="center"/>
              <w:rPr>
                <w:rFonts w:ascii="Arial" w:hAnsi="Arial" w:cs="Arial"/>
                <w:b/>
                <w:bCs/>
                <w:caps/>
                <w:sz w:val="22"/>
                <w:szCs w:val="22"/>
              </w:rPr>
            </w:pPr>
            <w:r w:rsidRPr="00104093">
              <w:rPr>
                <w:rFonts w:ascii="Arial" w:hAnsi="Arial" w:cs="Arial"/>
                <w:b/>
                <w:bCs/>
                <w:caps/>
                <w:sz w:val="22"/>
                <w:szCs w:val="22"/>
              </w:rPr>
              <w:t>VOCAL</w:t>
            </w:r>
          </w:p>
          <w:p w:rsidR="00104093" w:rsidRPr="00104093" w:rsidRDefault="00104093" w:rsidP="002D1A09">
            <w:pPr>
              <w:contextualSpacing/>
              <w:rPr>
                <w:rFonts w:ascii="Arial" w:hAnsi="Arial" w:cs="Arial"/>
                <w:b/>
                <w:bCs/>
                <w:caps/>
                <w:sz w:val="22"/>
                <w:szCs w:val="22"/>
              </w:rPr>
            </w:pPr>
          </w:p>
        </w:tc>
        <w:tc>
          <w:tcPr>
            <w:tcW w:w="2410" w:type="dxa"/>
            <w:tcBorders>
              <w:bottom w:val="single" w:sz="4" w:space="0" w:color="auto"/>
            </w:tcBorders>
            <w:shd w:val="clear" w:color="auto" w:fill="auto"/>
          </w:tcPr>
          <w:p w:rsidR="00104093" w:rsidRDefault="00104093" w:rsidP="002D1A09">
            <w:pPr>
              <w:contextualSpacing/>
              <w:jc w:val="center"/>
              <w:rPr>
                <w:rFonts w:ascii="Arial" w:eastAsia="Calibri" w:hAnsi="Arial" w:cs="Arial"/>
                <w:b/>
                <w:caps/>
                <w:sz w:val="22"/>
                <w:szCs w:val="22"/>
                <w:lang w:val="pt-BR" w:eastAsia="en-US"/>
              </w:rPr>
            </w:pPr>
          </w:p>
          <w:p w:rsidR="001B04B6" w:rsidRDefault="001B04B6" w:rsidP="002D1A09">
            <w:pPr>
              <w:contextualSpacing/>
              <w:jc w:val="center"/>
              <w:rPr>
                <w:rFonts w:ascii="Arial" w:eastAsia="Calibri" w:hAnsi="Arial" w:cs="Arial"/>
                <w:b/>
                <w:caps/>
                <w:sz w:val="22"/>
                <w:szCs w:val="22"/>
                <w:lang w:val="pt-BR" w:eastAsia="en-US"/>
              </w:rPr>
            </w:pPr>
          </w:p>
          <w:p w:rsidR="001B04B6" w:rsidRDefault="001B04B6" w:rsidP="002D1A09">
            <w:pPr>
              <w:contextualSpacing/>
              <w:jc w:val="center"/>
              <w:rPr>
                <w:rFonts w:ascii="Arial" w:eastAsia="Calibri" w:hAnsi="Arial" w:cs="Arial"/>
                <w:b/>
                <w:caps/>
                <w:sz w:val="22"/>
                <w:szCs w:val="22"/>
                <w:lang w:val="pt-BR" w:eastAsia="en-US"/>
              </w:rPr>
            </w:pPr>
          </w:p>
          <w:p w:rsidR="00104093" w:rsidRPr="00104093" w:rsidRDefault="00104093" w:rsidP="002D1A09">
            <w:pPr>
              <w:contextualSpacing/>
              <w:jc w:val="center"/>
              <w:rPr>
                <w:rFonts w:ascii="Arial" w:eastAsia="Calibri" w:hAnsi="Arial" w:cs="Arial"/>
                <w:b/>
                <w:caps/>
                <w:sz w:val="22"/>
                <w:szCs w:val="22"/>
                <w:lang w:val="pt-BR" w:eastAsia="en-US"/>
              </w:rPr>
            </w:pPr>
            <w:r w:rsidRPr="00104093">
              <w:rPr>
                <w:rFonts w:ascii="Arial" w:eastAsia="Calibri" w:hAnsi="Arial" w:cs="Arial"/>
                <w:b/>
                <w:caps/>
                <w:sz w:val="22"/>
                <w:szCs w:val="22"/>
                <w:lang w:val="pt-BR" w:eastAsia="en-US"/>
              </w:rPr>
              <w:t>DIP. FABIOLA LOEZA NOVELO.</w:t>
            </w:r>
          </w:p>
        </w:tc>
        <w:tc>
          <w:tcPr>
            <w:tcW w:w="1984" w:type="dxa"/>
            <w:tcBorders>
              <w:bottom w:val="single" w:sz="4" w:space="0" w:color="auto"/>
            </w:tcBorders>
            <w:shd w:val="clear" w:color="auto" w:fill="auto"/>
          </w:tcPr>
          <w:p w:rsidR="00104093" w:rsidRPr="00104093" w:rsidRDefault="00104093" w:rsidP="002D1A09">
            <w:pPr>
              <w:contextualSpacing/>
              <w:rPr>
                <w:rFonts w:ascii="Arial" w:hAnsi="Arial" w:cs="Arial"/>
                <w:b/>
                <w:bCs/>
                <w:caps/>
                <w:sz w:val="22"/>
                <w:szCs w:val="22"/>
              </w:rPr>
            </w:pPr>
          </w:p>
        </w:tc>
        <w:tc>
          <w:tcPr>
            <w:tcW w:w="2410" w:type="dxa"/>
            <w:tcBorders>
              <w:bottom w:val="single" w:sz="4" w:space="0" w:color="auto"/>
            </w:tcBorders>
            <w:shd w:val="clear" w:color="auto" w:fill="auto"/>
          </w:tcPr>
          <w:p w:rsidR="00104093" w:rsidRPr="00104093" w:rsidRDefault="00104093" w:rsidP="002D1A09">
            <w:pPr>
              <w:contextualSpacing/>
              <w:rPr>
                <w:rFonts w:ascii="Arial" w:hAnsi="Arial" w:cs="Arial"/>
                <w:b/>
                <w:bCs/>
                <w:caps/>
                <w:sz w:val="22"/>
                <w:szCs w:val="22"/>
              </w:rPr>
            </w:pPr>
          </w:p>
        </w:tc>
      </w:tr>
    </w:tbl>
    <w:p w:rsidR="00104093" w:rsidRPr="0082297D" w:rsidRDefault="0082297D" w:rsidP="0082297D">
      <w:pPr>
        <w:tabs>
          <w:tab w:val="right" w:pos="8498"/>
        </w:tabs>
        <w:jc w:val="both"/>
        <w:rPr>
          <w:rFonts w:ascii="Arial" w:hAnsi="Arial" w:cs="Arial"/>
          <w:i/>
          <w:sz w:val="22"/>
          <w:szCs w:val="22"/>
        </w:rPr>
      </w:pPr>
      <w:r w:rsidRPr="0082297D">
        <w:rPr>
          <w:rFonts w:ascii="Arial" w:hAnsi="Arial" w:cs="Arial"/>
          <w:i/>
          <w:sz w:val="16"/>
          <w:szCs w:val="16"/>
          <w:lang w:val="es-MX"/>
        </w:rPr>
        <w:t>Esta hoja contiene las firmas del Dictamen de Decreto por el que se expide la Ley de Ingresos Estado de Yucatán para el Ejercicio Fiscal 2022.</w:t>
      </w:r>
    </w:p>
    <w:p w:rsidR="00AA5131" w:rsidRPr="005E6466" w:rsidRDefault="00AA5131" w:rsidP="00905CC7">
      <w:pPr>
        <w:tabs>
          <w:tab w:val="right" w:pos="8498"/>
        </w:tabs>
        <w:jc w:val="both"/>
        <w:rPr>
          <w:rFonts w:ascii="Arial" w:hAnsi="Arial" w:cs="Arial"/>
          <w:b/>
          <w:bCs/>
          <w:sz w:val="22"/>
          <w:szCs w:val="22"/>
          <w:lang w:val="es-MX"/>
        </w:rPr>
      </w:pPr>
    </w:p>
    <w:p w:rsidR="00AB0C80" w:rsidRPr="005E6466" w:rsidRDefault="00AB0C80" w:rsidP="00A13588">
      <w:pPr>
        <w:adjustRightInd w:val="0"/>
        <w:jc w:val="both"/>
        <w:rPr>
          <w:rFonts w:ascii="Arial" w:hAnsi="Arial" w:cs="Arial"/>
          <w:sz w:val="16"/>
          <w:szCs w:val="16"/>
          <w:lang w:val="es-MX"/>
        </w:rPr>
        <w:sectPr w:rsidR="00AB0C80" w:rsidRPr="005E6466" w:rsidSect="001D46D3">
          <w:headerReference w:type="default" r:id="rId8"/>
          <w:footerReference w:type="even" r:id="rId9"/>
          <w:footerReference w:type="default" r:id="rId10"/>
          <w:pgSz w:w="12242" w:h="15842" w:code="1"/>
          <w:pgMar w:top="2694" w:right="1610" w:bottom="1417" w:left="2268" w:header="709" w:footer="905" w:gutter="0"/>
          <w:cols w:space="708"/>
          <w:docGrid w:linePitch="360"/>
        </w:sectPr>
      </w:pPr>
    </w:p>
    <w:p w:rsidR="0082297D" w:rsidRDefault="0082297D" w:rsidP="0082297D">
      <w:pPr>
        <w:jc w:val="center"/>
        <w:rPr>
          <w:rFonts w:ascii="Arial" w:hAnsi="Arial" w:cs="Arial"/>
          <w:b/>
        </w:rPr>
      </w:pPr>
    </w:p>
    <w:p w:rsidR="0082297D" w:rsidRDefault="0082297D" w:rsidP="0082297D">
      <w:pPr>
        <w:jc w:val="center"/>
        <w:rPr>
          <w:rFonts w:ascii="Arial" w:hAnsi="Arial" w:cs="Arial"/>
          <w:b/>
        </w:rPr>
      </w:pPr>
    </w:p>
    <w:p w:rsidR="0082297D" w:rsidRDefault="0082297D" w:rsidP="0082297D">
      <w:pPr>
        <w:jc w:val="center"/>
        <w:rPr>
          <w:rFonts w:ascii="Arial" w:hAnsi="Arial" w:cs="Arial"/>
          <w:b/>
        </w:rPr>
      </w:pP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w:t>
      </w:r>
      <w:r w:rsidRPr="0016359A">
        <w:rPr>
          <w:rFonts w:ascii="Arial" w:hAnsi="Arial" w:cs="Arial"/>
          <w:b/>
          <w:sz w:val="22"/>
          <w:szCs w:val="22"/>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4337"/>
        <w:gridCol w:w="1675"/>
        <w:gridCol w:w="1675"/>
        <w:gridCol w:w="1675"/>
        <w:gridCol w:w="1675"/>
        <w:gridCol w:w="1675"/>
        <w:gridCol w:w="1678"/>
      </w:tblGrid>
      <w:tr w:rsidR="0082297D" w:rsidRPr="00AA30C3" w:rsidTr="0016359A">
        <w:trPr>
          <w:trHeight w:val="506"/>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Proyecciones de Ingresos - LDF</w:t>
            </w:r>
            <w:r w:rsidRPr="00AA30C3">
              <w:rPr>
                <w:rFonts w:ascii="Barlow" w:hAnsi="Barlow"/>
                <w:b/>
                <w:bCs/>
                <w:color w:val="000000"/>
                <w:sz w:val="12"/>
                <w:szCs w:val="12"/>
              </w:rPr>
              <w:br/>
              <w:t>(Pesos)</w:t>
            </w:r>
            <w:r w:rsidRPr="00AA30C3">
              <w:rPr>
                <w:rFonts w:ascii="Barlow" w:hAnsi="Barlow"/>
                <w:b/>
                <w:bCs/>
                <w:color w:val="000000"/>
                <w:sz w:val="12"/>
                <w:szCs w:val="12"/>
              </w:rPr>
              <w:br/>
              <w:t>(Cifras Nominales)</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82"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2022</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2023</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2024</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2025</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2026</w:t>
            </w:r>
          </w:p>
        </w:tc>
        <w:tc>
          <w:tcPr>
            <w:tcW w:w="582"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22,398,355,804.00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23,279,978,710.70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24,924,852,141.22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26,357,190,710.50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28,011,962,474.60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30,315,968,827.20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2,785,616,196.00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2,969,606,145.75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3,159,601,546.95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3,351,942,291.12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3,555,991,778.09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3,772,462,777.58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1,722,038,175.00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1,482,957,634.78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1,577,837,264.26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1,673,888,107.72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1,775,786,046.28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1,883,887,021.84</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323,996,640.00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345,396,618.07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367,495,093.70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389,866,357.53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413,599,472.04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438,777,339.90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279,105,662.00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297,540,590.98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316,577,237.99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335,848,877.35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356,293,677.76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377,983,055.39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16,718,685,276.00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17,577,987,106.00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18,858,047,113.65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19,921,068,926.88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21,184,041,777.40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23,072,398,457.56</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568,913,855.00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606,490,615.12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645,293,884.68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684,576,149.91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726,249,723.03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770,460,174.92</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20,237,380,255.00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21,507,215,655.54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22,667,717,889.13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23,901,064,143.03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25,181,355,363.70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26,543,820,603.88</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15,061,319,925.00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16,171,544,876.79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17,167,329,174.26</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18,230,680,696.02</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19,335,525,288.65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20,516,910,910.40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3,001,965,784.00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3,079,233,451.37</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3,158,489,913.03</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3,239,786,358.61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3,323,175,295.29</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3,408,710,581.77</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2,174,094,546.00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2,256,437,327.38</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2,341,898,801.85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2,430,597,088.41</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2,522,654,779.75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2,618,199,111.71</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42,635,736,059.00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44,787,194,366.24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47,592,570,030.35</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50,258,254,853.54</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53,193,317,838.30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56,859,789,431.09</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16359A">
        <w:trPr>
          <w:trHeight w:val="24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480"/>
          <w:jc w:val="center"/>
        </w:trPr>
        <w:tc>
          <w:tcPr>
            <w:tcW w:w="1507"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82"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16359A">
        <w:trPr>
          <w:trHeight w:val="240"/>
          <w:jc w:val="center"/>
        </w:trPr>
        <w:tc>
          <w:tcPr>
            <w:tcW w:w="1507"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82"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82" w:type="pct"/>
            <w:tcBorders>
              <w:top w:val="nil"/>
              <w:left w:val="nil"/>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rPr>
          <w:rFonts w:ascii="Arial" w:hAnsi="Arial" w:cs="Arial"/>
          <w:i/>
          <w:sz w:val="16"/>
          <w:szCs w:val="16"/>
        </w:rPr>
      </w:pPr>
      <w:r w:rsidRPr="0016359A">
        <w:rPr>
          <w:rFonts w:ascii="Arial" w:hAnsi="Arial" w:cs="Arial"/>
          <w:i/>
          <w:sz w:val="16"/>
          <w:szCs w:val="16"/>
        </w:rPr>
        <w:t>Esta hoja pertenece a la Iniciativa para expedir la Ley de Ingresos Estado de Yucatán para el Ejercicio Fiscal 2022.</w:t>
      </w:r>
    </w:p>
    <w:p w:rsidR="0082297D" w:rsidRDefault="0082297D" w:rsidP="0082297D">
      <w:pPr>
        <w:rPr>
          <w:rFonts w:ascii="Arial" w:hAnsi="Arial" w:cs="Arial"/>
          <w:sz w:val="20"/>
        </w:rPr>
      </w:pPr>
      <w:r>
        <w:rPr>
          <w:rFonts w:ascii="Arial" w:hAnsi="Arial" w:cs="Arial"/>
          <w:sz w:val="20"/>
        </w:rPr>
        <w:br w:type="page"/>
      </w:r>
    </w:p>
    <w:p w:rsidR="0082297D" w:rsidRPr="00DB70CE" w:rsidRDefault="0082297D" w:rsidP="0082297D"/>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II</w:t>
      </w: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Resultados de ingresos de cinco años anteriores</w:t>
      </w:r>
    </w:p>
    <w:p w:rsidR="0082297D" w:rsidRPr="0016359A" w:rsidRDefault="0082297D" w:rsidP="0082297D">
      <w:pPr>
        <w:jc w:val="center"/>
        <w:rPr>
          <w:rFonts w:ascii="Arial" w:hAnsi="Arial" w:cs="Arial"/>
          <w:b/>
          <w:sz w:val="22"/>
          <w:szCs w:val="22"/>
        </w:rPr>
      </w:pPr>
    </w:p>
    <w:tbl>
      <w:tblPr>
        <w:tblW w:w="5000" w:type="pct"/>
        <w:jc w:val="center"/>
        <w:tblCellMar>
          <w:left w:w="70" w:type="dxa"/>
          <w:right w:w="70" w:type="dxa"/>
        </w:tblCellMar>
        <w:tblLook w:val="04A0" w:firstRow="1" w:lastRow="0" w:firstColumn="1" w:lastColumn="0" w:noHBand="0" w:noVBand="1"/>
      </w:tblPr>
      <w:tblGrid>
        <w:gridCol w:w="4841"/>
        <w:gridCol w:w="1557"/>
        <w:gridCol w:w="1632"/>
        <w:gridCol w:w="1583"/>
        <w:gridCol w:w="1620"/>
        <w:gridCol w:w="1577"/>
        <w:gridCol w:w="1580"/>
      </w:tblGrid>
      <w:tr w:rsidR="0082297D" w:rsidRPr="00AA30C3" w:rsidTr="0082297D">
        <w:trPr>
          <w:trHeight w:val="75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Yucatán</w:t>
            </w:r>
            <w:r w:rsidRPr="00AA30C3">
              <w:rPr>
                <w:rFonts w:ascii="Barlow" w:hAnsi="Barlow"/>
                <w:b/>
                <w:bCs/>
                <w:color w:val="000000"/>
                <w:sz w:val="12"/>
                <w:szCs w:val="12"/>
              </w:rPr>
              <w:br/>
              <w:t>Resultado de Ingresos - LDF</w:t>
            </w:r>
            <w:r w:rsidRPr="00AA30C3">
              <w:rPr>
                <w:rFonts w:ascii="Barlow" w:hAnsi="Barlow"/>
                <w:b/>
                <w:bCs/>
                <w:color w:val="000000"/>
                <w:sz w:val="12"/>
                <w:szCs w:val="12"/>
              </w:rPr>
              <w:br/>
              <w:t>(Pesos)</w:t>
            </w:r>
          </w:p>
        </w:tc>
      </w:tr>
      <w:tr w:rsidR="0082297D" w:rsidRPr="00AA30C3" w:rsidTr="0082297D">
        <w:trPr>
          <w:trHeight w:val="270"/>
          <w:jc w:val="center"/>
        </w:trPr>
        <w:tc>
          <w:tcPr>
            <w:tcW w:w="1682" w:type="pct"/>
            <w:tcBorders>
              <w:top w:val="nil"/>
              <w:left w:val="single" w:sz="4" w:space="0" w:color="auto"/>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Concepto</w:t>
            </w:r>
          </w:p>
        </w:tc>
        <w:tc>
          <w:tcPr>
            <w:tcW w:w="541"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2016</w:t>
            </w:r>
            <w:r w:rsidRPr="00AA30C3">
              <w:rPr>
                <w:rFonts w:ascii="Barlow" w:hAnsi="Barlow"/>
                <w:b/>
                <w:bCs/>
                <w:color w:val="000000"/>
                <w:sz w:val="12"/>
                <w:szCs w:val="12"/>
                <w:vertAlign w:val="superscript"/>
              </w:rPr>
              <w:t>1</w:t>
            </w:r>
          </w:p>
        </w:tc>
        <w:tc>
          <w:tcPr>
            <w:tcW w:w="567"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2017</w:t>
            </w:r>
            <w:r w:rsidRPr="00AA30C3">
              <w:rPr>
                <w:rFonts w:ascii="Barlow" w:hAnsi="Barlow"/>
                <w:b/>
                <w:bCs/>
                <w:color w:val="000000"/>
                <w:sz w:val="12"/>
                <w:szCs w:val="12"/>
                <w:vertAlign w:val="superscript"/>
              </w:rPr>
              <w:t>1</w:t>
            </w:r>
          </w:p>
        </w:tc>
        <w:tc>
          <w:tcPr>
            <w:tcW w:w="550"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2018</w:t>
            </w:r>
            <w:r w:rsidRPr="00AA30C3">
              <w:rPr>
                <w:rFonts w:ascii="Barlow" w:hAnsi="Barlow"/>
                <w:b/>
                <w:bCs/>
                <w:color w:val="000000"/>
                <w:sz w:val="12"/>
                <w:szCs w:val="12"/>
                <w:vertAlign w:val="superscript"/>
              </w:rPr>
              <w:t>1</w:t>
            </w:r>
          </w:p>
        </w:tc>
        <w:tc>
          <w:tcPr>
            <w:tcW w:w="563" w:type="pct"/>
            <w:tcBorders>
              <w:top w:val="nil"/>
              <w:left w:val="nil"/>
              <w:bottom w:val="single" w:sz="4" w:space="0" w:color="auto"/>
              <w:right w:val="nil"/>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2019</w:t>
            </w:r>
            <w:r w:rsidRPr="00AA30C3">
              <w:rPr>
                <w:rFonts w:ascii="Barlow" w:hAnsi="Barlow"/>
                <w:b/>
                <w:bCs/>
                <w:color w:val="000000"/>
                <w:sz w:val="12"/>
                <w:szCs w:val="12"/>
                <w:vertAlign w:val="superscript"/>
              </w:rPr>
              <w:t>1</w:t>
            </w:r>
          </w:p>
        </w:tc>
        <w:tc>
          <w:tcPr>
            <w:tcW w:w="548" w:type="pct"/>
            <w:tcBorders>
              <w:top w:val="nil"/>
              <w:left w:val="single" w:sz="4" w:space="0" w:color="auto"/>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2020</w:t>
            </w:r>
            <w:r w:rsidRPr="00AA30C3">
              <w:rPr>
                <w:rFonts w:ascii="Barlow" w:hAnsi="Barlow"/>
                <w:b/>
                <w:bCs/>
                <w:color w:val="000000"/>
                <w:sz w:val="12"/>
                <w:szCs w:val="12"/>
                <w:vertAlign w:val="superscript"/>
              </w:rPr>
              <w:t>1</w:t>
            </w:r>
          </w:p>
        </w:tc>
        <w:tc>
          <w:tcPr>
            <w:tcW w:w="549" w:type="pct"/>
            <w:tcBorders>
              <w:top w:val="nil"/>
              <w:left w:val="nil"/>
              <w:bottom w:val="single" w:sz="4" w:space="0" w:color="auto"/>
              <w:right w:val="single" w:sz="4" w:space="0" w:color="auto"/>
            </w:tcBorders>
            <w:shd w:val="clear" w:color="000000" w:fill="D9D9D9"/>
            <w:vAlign w:val="bottom"/>
            <w:hideMark/>
          </w:tcPr>
          <w:p w:rsidR="0082297D" w:rsidRPr="00AA30C3" w:rsidRDefault="0082297D" w:rsidP="0082297D">
            <w:pPr>
              <w:jc w:val="center"/>
              <w:rPr>
                <w:rFonts w:ascii="Barlow" w:hAnsi="Barlow"/>
                <w:b/>
                <w:bCs/>
                <w:color w:val="000000"/>
                <w:sz w:val="12"/>
                <w:szCs w:val="12"/>
              </w:rPr>
            </w:pPr>
            <w:r w:rsidRPr="00AA30C3">
              <w:rPr>
                <w:rFonts w:ascii="Barlow" w:hAnsi="Barlow"/>
                <w:b/>
                <w:bCs/>
                <w:color w:val="000000"/>
                <w:sz w:val="12"/>
                <w:szCs w:val="12"/>
              </w:rPr>
              <w:t>2021</w:t>
            </w:r>
            <w:r w:rsidRPr="00AA30C3">
              <w:rPr>
                <w:rFonts w:ascii="Barlow" w:hAnsi="Barlow"/>
                <w:b/>
                <w:bCs/>
                <w:color w:val="000000"/>
                <w:sz w:val="12"/>
                <w:szCs w:val="12"/>
                <w:vertAlign w:val="superscript"/>
              </w:rPr>
              <w:t>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 xml:space="preserve">1. Ingresos de Libre Disposición (1=A+B+C+D+E+F+G+H+I+J+K+L) </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14,745,541,759.73</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16,810,135,971.94</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18,716,987,371.84</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19,334,420,199.44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18,725,980,414.92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19,100,184,083.72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Impuestos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1,730,407,440.47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1,847,773,499.65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1,912,884,611.10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2,141,174,680.60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1,852,494,186.33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2,200,459,708.00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Cuotas y Aportaciones de Seguridad Social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Contribuciones de Mejoras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Derechos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870,907,888.52</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1,299,332,443.47</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1,015,702,760.17</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1,347,895,991.02</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846,373,461.13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1,170,213,885.95</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Productos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176,778,403.96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392,541,346.75</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849,802,159.38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122,870,389.87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94,364,035.88</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136,379,328.68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F. Aprovechamientos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110,216,311.80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199,959,376.56</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190,335,457.31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172,003,240.37</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112,270,059.92</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118,545,160.09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G. Ingresos por Venta de Bienes y Prestación de Servicios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H. Participaciones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11,488,026,060.03</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12,608,152,543.21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14,291,031,626.01</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14,988,596,542.39</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15,431,424,773.14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14,930,313,007.78</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I. Incentivos Derivados de la Colaboración Fiscal</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369,205,654.95</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462,376,762.30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457,230,757.87</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561,879,355.19</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389,053,898.52</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544,272,993.22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J. Transferencias y Asignaciones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K. Convenios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L. Otros Ingresos de Libre Disposición</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2. Transferencias Federales Etiquetadas (2=A+B+C+D+E)</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19,755,289,501.01</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20,563,110,584.51</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20,175,826,600.02</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18,729,216,032.40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19,739,532,677.64</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19,202,481,108.52</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Aportaciones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11,250,412,604.97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11,975,616,866.11</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12,752,309,665.28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13,550,628,926.01</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13,975,622,844.34</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14,031,380,887.96</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B. Convenios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6,732,879,620.57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6,712,995,153.08</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5,461,093,428.88</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3,151,398,729.23</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3,670,494,897.17</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3,059,786,090.17</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C. Fondos Distintos de Aportaciones</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D. Transferencias, Asignaciones, Subsidios y Subvenciones, y Pensiones y Jubilaciones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1,739,439,520.00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1,831,614,709.00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1,915,110,847.00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2,005,174,504.50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2,084,097,524.00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2,111,314,130.39</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E. Otras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32,557,755.47</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42,883,856.32</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47,312,658.86</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22,013,872.66</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9,317,412.13</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3. Ingresos Derivados de Financiamientos (3=A)</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880,113,620.36</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2,187,200,000.00</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784,088,270.44</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4,504,620,000.00</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A. Ingresos Derivados de Financiamientos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4. Total de Ingresos Proyectados (4=1+2+3)</w:t>
            </w:r>
          </w:p>
        </w:tc>
        <w:tc>
          <w:tcPr>
            <w:tcW w:w="541"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35,380,944,881.10</w:t>
            </w:r>
          </w:p>
        </w:tc>
        <w:tc>
          <w:tcPr>
            <w:tcW w:w="567"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39,560,446,556.45</w:t>
            </w:r>
          </w:p>
        </w:tc>
        <w:tc>
          <w:tcPr>
            <w:tcW w:w="550"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38,892,813,971.86</w:t>
            </w:r>
          </w:p>
        </w:tc>
        <w:tc>
          <w:tcPr>
            <w:tcW w:w="563" w:type="pct"/>
            <w:tcBorders>
              <w:top w:val="nil"/>
              <w:left w:val="nil"/>
              <w:bottom w:val="nil"/>
              <w:right w:val="nil"/>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38,847,724,502.28</w:t>
            </w:r>
          </w:p>
        </w:tc>
        <w:tc>
          <w:tcPr>
            <w:tcW w:w="548" w:type="pct"/>
            <w:tcBorders>
              <w:top w:val="nil"/>
              <w:left w:val="single" w:sz="4" w:space="0" w:color="auto"/>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42,970,133,092.56</w:t>
            </w:r>
          </w:p>
        </w:tc>
        <w:tc>
          <w:tcPr>
            <w:tcW w:w="549" w:type="pct"/>
            <w:tcBorders>
              <w:top w:val="nil"/>
              <w:left w:val="nil"/>
              <w:bottom w:val="nil"/>
              <w:right w:val="single" w:sz="4" w:space="0" w:color="auto"/>
            </w:tcBorders>
            <w:shd w:val="clear" w:color="auto" w:fill="auto"/>
            <w:vAlign w:val="bottom"/>
            <w:hideMark/>
          </w:tcPr>
          <w:p w:rsidR="0082297D" w:rsidRPr="00AA30C3" w:rsidRDefault="0082297D" w:rsidP="0082297D">
            <w:pPr>
              <w:jc w:val="right"/>
              <w:rPr>
                <w:rFonts w:ascii="Barlow" w:hAnsi="Barlow"/>
                <w:b/>
                <w:bCs/>
                <w:color w:val="000000"/>
                <w:sz w:val="12"/>
                <w:szCs w:val="12"/>
              </w:rPr>
            </w:pPr>
            <w:r w:rsidRPr="00AA30C3">
              <w:rPr>
                <w:rFonts w:ascii="Barlow" w:hAnsi="Barlow"/>
                <w:b/>
                <w:bCs/>
                <w:color w:val="000000"/>
                <w:sz w:val="12"/>
                <w:szCs w:val="12"/>
              </w:rPr>
              <w:t>38,302,665,192.24</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b/>
                <w:bCs/>
                <w:color w:val="000000"/>
                <w:sz w:val="12"/>
                <w:szCs w:val="12"/>
              </w:rPr>
            </w:pPr>
            <w:r w:rsidRPr="00AA30C3">
              <w:rPr>
                <w:rFonts w:ascii="Barlow" w:hAnsi="Barlow"/>
                <w:b/>
                <w:bCs/>
                <w:color w:val="000000"/>
                <w:sz w:val="12"/>
                <w:szCs w:val="12"/>
              </w:rPr>
              <w:t>Datos Informativos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rPr>
                <w:rFonts w:ascii="Barlow" w:hAnsi="Barlow"/>
                <w:color w:val="000000"/>
                <w:sz w:val="12"/>
                <w:szCs w:val="12"/>
              </w:rPr>
            </w:pP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 </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1. Ingresos Derivados de Financiamientos con Fuente de Pago de Recursos de Libre Disposición</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450,000,000.00</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1,387,200,000.00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nil"/>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2. Ingresos Derivados de Financiamientos con Fuente de Pago de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430,113,620.36</w:t>
            </w:r>
          </w:p>
        </w:tc>
        <w:tc>
          <w:tcPr>
            <w:tcW w:w="567"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800,000,000.00</w:t>
            </w:r>
          </w:p>
        </w:tc>
        <w:tc>
          <w:tcPr>
            <w:tcW w:w="550"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nil"/>
              <w:right w:val="nil"/>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8" w:type="pct"/>
            <w:tcBorders>
              <w:top w:val="nil"/>
              <w:left w:val="single" w:sz="4" w:space="0" w:color="auto"/>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49" w:type="pct"/>
            <w:tcBorders>
              <w:top w:val="nil"/>
              <w:left w:val="nil"/>
              <w:bottom w:val="nil"/>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r w:rsidR="0082297D" w:rsidRPr="00AA30C3" w:rsidTr="0082297D">
        <w:trPr>
          <w:trHeight w:val="240"/>
          <w:jc w:val="center"/>
        </w:trPr>
        <w:tc>
          <w:tcPr>
            <w:tcW w:w="1682" w:type="pct"/>
            <w:tcBorders>
              <w:top w:val="nil"/>
              <w:left w:val="single" w:sz="4" w:space="0" w:color="auto"/>
              <w:bottom w:val="single" w:sz="4" w:space="0" w:color="auto"/>
              <w:right w:val="nil"/>
            </w:tcBorders>
            <w:shd w:val="clear" w:color="auto" w:fill="auto"/>
            <w:vAlign w:val="bottom"/>
            <w:hideMark/>
          </w:tcPr>
          <w:p w:rsidR="0082297D" w:rsidRPr="00AA30C3" w:rsidRDefault="0082297D" w:rsidP="0082297D">
            <w:pPr>
              <w:rPr>
                <w:rFonts w:ascii="Barlow" w:hAnsi="Barlow"/>
                <w:color w:val="000000"/>
                <w:sz w:val="12"/>
                <w:szCs w:val="12"/>
              </w:rPr>
            </w:pPr>
            <w:r w:rsidRPr="00AA30C3">
              <w:rPr>
                <w:rFonts w:ascii="Barlow" w:hAnsi="Barlow"/>
                <w:color w:val="000000"/>
                <w:sz w:val="12"/>
                <w:szCs w:val="12"/>
              </w:rPr>
              <w:t>3. Ingresos Derivados de Financiamiento (3 = 1 + 2)</w:t>
            </w:r>
          </w:p>
        </w:tc>
        <w:tc>
          <w:tcPr>
            <w:tcW w:w="541"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880,113,620.36</w:t>
            </w:r>
          </w:p>
        </w:tc>
        <w:tc>
          <w:tcPr>
            <w:tcW w:w="567"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2,187,200,000.00</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c>
          <w:tcPr>
            <w:tcW w:w="563" w:type="pct"/>
            <w:tcBorders>
              <w:top w:val="nil"/>
              <w:left w:val="nil"/>
              <w:bottom w:val="single" w:sz="4" w:space="0" w:color="auto"/>
              <w:right w:val="nil"/>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784,088,270.44</w:t>
            </w:r>
          </w:p>
        </w:tc>
        <w:tc>
          <w:tcPr>
            <w:tcW w:w="548" w:type="pct"/>
            <w:tcBorders>
              <w:top w:val="nil"/>
              <w:left w:val="single" w:sz="4" w:space="0" w:color="auto"/>
              <w:bottom w:val="single" w:sz="4" w:space="0" w:color="auto"/>
              <w:right w:val="single" w:sz="4" w:space="0" w:color="auto"/>
            </w:tcBorders>
            <w:shd w:val="clear" w:color="auto" w:fill="auto"/>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4,504,620,000.00</w:t>
            </w:r>
          </w:p>
        </w:tc>
        <w:tc>
          <w:tcPr>
            <w:tcW w:w="549" w:type="pct"/>
            <w:tcBorders>
              <w:top w:val="nil"/>
              <w:left w:val="nil"/>
              <w:bottom w:val="single" w:sz="4" w:space="0" w:color="auto"/>
              <w:right w:val="single" w:sz="4" w:space="0" w:color="auto"/>
            </w:tcBorders>
            <w:shd w:val="clear" w:color="auto" w:fill="auto"/>
            <w:noWrap/>
            <w:vAlign w:val="bottom"/>
            <w:hideMark/>
          </w:tcPr>
          <w:p w:rsidR="0082297D" w:rsidRPr="00AA30C3" w:rsidRDefault="0082297D" w:rsidP="0082297D">
            <w:pPr>
              <w:jc w:val="right"/>
              <w:rPr>
                <w:rFonts w:ascii="Barlow" w:hAnsi="Barlow"/>
                <w:color w:val="000000"/>
                <w:sz w:val="12"/>
                <w:szCs w:val="12"/>
              </w:rPr>
            </w:pPr>
            <w:r w:rsidRPr="00AA30C3">
              <w:rPr>
                <w:rFonts w:ascii="Barlow" w:hAnsi="Barlow"/>
                <w:color w:val="000000"/>
                <w:sz w:val="12"/>
                <w:szCs w:val="12"/>
              </w:rPr>
              <w:t>0.00</w:t>
            </w:r>
          </w:p>
        </w:tc>
      </w:tr>
    </w:tbl>
    <w:p w:rsidR="0082297D" w:rsidRPr="0016359A" w:rsidRDefault="0082297D" w:rsidP="0082297D">
      <w:pPr>
        <w:jc w:val="both"/>
        <w:rPr>
          <w:rFonts w:ascii="Arial" w:hAnsi="Arial" w:cs="Arial"/>
          <w:i/>
          <w:sz w:val="14"/>
          <w:szCs w:val="14"/>
        </w:rPr>
      </w:pPr>
      <w:r w:rsidRPr="0016359A">
        <w:rPr>
          <w:rFonts w:ascii="Arial" w:hAnsi="Arial" w:cs="Arial"/>
          <w:i/>
          <w:sz w:val="14"/>
          <w:szCs w:val="14"/>
        </w:rPr>
        <w:t>1. Los importes corresponden al momento contable de los ingresos devengados.</w:t>
      </w:r>
    </w:p>
    <w:p w:rsidR="0082297D" w:rsidRPr="0016359A" w:rsidRDefault="0082297D" w:rsidP="0082297D">
      <w:pPr>
        <w:jc w:val="both"/>
        <w:rPr>
          <w:rFonts w:ascii="Arial" w:hAnsi="Arial" w:cs="Arial"/>
          <w:b/>
          <w:i/>
          <w:sz w:val="14"/>
          <w:szCs w:val="14"/>
        </w:rPr>
      </w:pPr>
      <w:r w:rsidRPr="0016359A">
        <w:rPr>
          <w:rFonts w:ascii="Arial" w:hAnsi="Arial" w:cs="Arial"/>
          <w:i/>
          <w:sz w:val="14"/>
          <w:szCs w:val="14"/>
        </w:rPr>
        <w:t>2. Los importes corresponden a los ingresos devengados al cierre trimestral más reciente disponible y estimados para el resto del ejercicio</w:t>
      </w:r>
      <w:r w:rsidRPr="0016359A">
        <w:rPr>
          <w:rFonts w:ascii="Arial" w:hAnsi="Arial" w:cs="Arial"/>
          <w:b/>
          <w:i/>
          <w:sz w:val="14"/>
          <w:szCs w:val="14"/>
        </w:rPr>
        <w:t>.</w:t>
      </w:r>
    </w:p>
    <w:p w:rsidR="0082297D" w:rsidRPr="0016359A" w:rsidRDefault="0082297D" w:rsidP="0082297D">
      <w:pPr>
        <w:jc w:val="both"/>
        <w:rPr>
          <w:rFonts w:ascii="Arial" w:hAnsi="Arial" w:cs="Arial"/>
          <w:i/>
          <w:sz w:val="14"/>
          <w:szCs w:val="14"/>
        </w:rPr>
      </w:pPr>
      <w:r w:rsidRPr="0016359A">
        <w:rPr>
          <w:rFonts w:ascii="Arial" w:hAnsi="Arial" w:cs="Arial"/>
          <w:i/>
          <w:sz w:val="14"/>
          <w:szCs w:val="14"/>
        </w:rPr>
        <w:t>Esta hoja pertenece a la Iniciativa para expedir la Ley de Ingresos Estado de Yucatán para el Ejercicio Fiscal 2022.</w:t>
      </w:r>
      <w:r w:rsidRPr="0016359A">
        <w:rPr>
          <w:rFonts w:ascii="Arial" w:hAnsi="Arial" w:cs="Arial"/>
          <w:i/>
          <w:sz w:val="14"/>
          <w:szCs w:val="14"/>
        </w:rPr>
        <w:br w:type="page"/>
      </w:r>
    </w:p>
    <w:p w:rsidR="0016359A" w:rsidRDefault="0016359A" w:rsidP="0082297D">
      <w:pPr>
        <w:jc w:val="center"/>
        <w:rPr>
          <w:rFonts w:ascii="Arial" w:hAnsi="Arial" w:cs="Arial"/>
          <w:b/>
        </w:rPr>
      </w:pPr>
    </w:p>
    <w:p w:rsidR="0082297D" w:rsidRPr="0016359A" w:rsidRDefault="0082297D" w:rsidP="0082297D">
      <w:pPr>
        <w:jc w:val="center"/>
        <w:rPr>
          <w:rFonts w:ascii="Arial" w:hAnsi="Arial" w:cs="Arial"/>
          <w:b/>
          <w:sz w:val="22"/>
          <w:szCs w:val="22"/>
        </w:rPr>
      </w:pPr>
      <w:r w:rsidRPr="0016359A">
        <w:rPr>
          <w:rFonts w:ascii="Arial" w:hAnsi="Arial" w:cs="Arial"/>
          <w:b/>
          <w:sz w:val="22"/>
          <w:szCs w:val="22"/>
        </w:rPr>
        <w:t>Anexo III</w:t>
      </w:r>
      <w:r w:rsidRPr="0016359A">
        <w:rPr>
          <w:rFonts w:ascii="Arial" w:hAnsi="Arial" w:cs="Arial"/>
          <w:b/>
          <w:sz w:val="22"/>
          <w:szCs w:val="22"/>
        </w:rPr>
        <w:br/>
        <w:t xml:space="preserve">Calendarización de amortizaciones de los siguientes ejercicios fiscales </w:t>
      </w:r>
    </w:p>
    <w:p w:rsidR="0082297D" w:rsidRDefault="0082297D" w:rsidP="0082297D">
      <w:pPr>
        <w:jc w:val="center"/>
      </w:pPr>
    </w:p>
    <w:tbl>
      <w:tblPr>
        <w:tblW w:w="14033" w:type="dxa"/>
        <w:jc w:val="center"/>
        <w:tblCellMar>
          <w:left w:w="70" w:type="dxa"/>
          <w:right w:w="70" w:type="dxa"/>
        </w:tblCellMar>
        <w:tblLook w:val="04A0" w:firstRow="1" w:lastRow="0" w:firstColumn="1" w:lastColumn="0" w:noHBand="0" w:noVBand="1"/>
      </w:tblPr>
      <w:tblGrid>
        <w:gridCol w:w="1129"/>
        <w:gridCol w:w="2685"/>
        <w:gridCol w:w="2386"/>
        <w:gridCol w:w="2678"/>
        <w:gridCol w:w="2320"/>
        <w:gridCol w:w="2835"/>
      </w:tblGrid>
      <w:tr w:rsidR="0082297D" w:rsidRPr="00D93F7E" w:rsidTr="0082297D">
        <w:trPr>
          <w:trHeight w:val="682"/>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Año</w:t>
            </w:r>
          </w:p>
        </w:tc>
        <w:tc>
          <w:tcPr>
            <w:tcW w:w="1006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Deuda pública con garantía</w:t>
            </w:r>
          </w:p>
        </w:tc>
      </w:tr>
      <w:tr w:rsidR="0082297D" w:rsidRPr="00D93F7E" w:rsidTr="0082297D">
        <w:trPr>
          <w:trHeight w:val="502"/>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82297D" w:rsidRPr="00D93F7E" w:rsidRDefault="0082297D" w:rsidP="0082297D">
            <w:pPr>
              <w:rPr>
                <w:rFonts w:ascii="Arial" w:hAnsi="Arial" w:cs="Arial"/>
                <w:b/>
                <w:bCs/>
                <w:sz w:val="20"/>
                <w:szCs w:val="20"/>
              </w:rPr>
            </w:pPr>
          </w:p>
        </w:tc>
        <w:tc>
          <w:tcPr>
            <w:tcW w:w="268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r w:rsidRPr="00D93F7E">
              <w:rPr>
                <w:rFonts w:ascii="Arial" w:hAnsi="Arial" w:cs="Arial"/>
                <w:b/>
                <w:bCs/>
                <w:sz w:val="20"/>
                <w:szCs w:val="20"/>
              </w:rPr>
              <w:t>Banamex 2,620mdp</w:t>
            </w:r>
          </w:p>
        </w:tc>
        <w:tc>
          <w:tcPr>
            <w:tcW w:w="2386"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800 </w:t>
            </w:r>
            <w:proofErr w:type="spellStart"/>
            <w:r w:rsidRPr="00D93F7E">
              <w:rPr>
                <w:rFonts w:ascii="Arial" w:hAnsi="Arial" w:cs="Arial"/>
                <w:b/>
                <w:bCs/>
                <w:sz w:val="20"/>
                <w:szCs w:val="20"/>
              </w:rPr>
              <w:t>mdp</w:t>
            </w:r>
            <w:proofErr w:type="spellEnd"/>
          </w:p>
        </w:tc>
        <w:tc>
          <w:tcPr>
            <w:tcW w:w="2678"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1,200cmdp</w:t>
            </w:r>
          </w:p>
        </w:tc>
        <w:tc>
          <w:tcPr>
            <w:tcW w:w="2320"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1,420 </w:t>
            </w:r>
            <w:proofErr w:type="spellStart"/>
            <w:r w:rsidRPr="00D93F7E">
              <w:rPr>
                <w:rFonts w:ascii="Arial" w:hAnsi="Arial" w:cs="Arial"/>
                <w:b/>
                <w:bCs/>
                <w:sz w:val="20"/>
                <w:szCs w:val="20"/>
              </w:rPr>
              <w:t>mdp</w:t>
            </w:r>
            <w:proofErr w:type="spellEnd"/>
          </w:p>
        </w:tc>
        <w:tc>
          <w:tcPr>
            <w:tcW w:w="2835" w:type="dxa"/>
            <w:tcBorders>
              <w:top w:val="nil"/>
              <w:left w:val="nil"/>
              <w:bottom w:val="single" w:sz="4" w:space="0" w:color="auto"/>
              <w:right w:val="single" w:sz="4" w:space="0" w:color="auto"/>
            </w:tcBorders>
            <w:shd w:val="clear" w:color="000000" w:fill="D9D9D9"/>
            <w:noWrap/>
            <w:vAlign w:val="center"/>
            <w:hideMark/>
          </w:tcPr>
          <w:p w:rsidR="0082297D" w:rsidRPr="00D93F7E" w:rsidRDefault="0082297D" w:rsidP="0082297D">
            <w:pPr>
              <w:jc w:val="center"/>
              <w:rPr>
                <w:rFonts w:ascii="Arial" w:hAnsi="Arial" w:cs="Arial"/>
                <w:b/>
                <w:bCs/>
                <w:sz w:val="20"/>
                <w:szCs w:val="20"/>
              </w:rPr>
            </w:pPr>
            <w:proofErr w:type="spellStart"/>
            <w:r w:rsidRPr="00D93F7E">
              <w:rPr>
                <w:rFonts w:ascii="Arial" w:hAnsi="Arial" w:cs="Arial"/>
                <w:b/>
                <w:bCs/>
                <w:sz w:val="20"/>
                <w:szCs w:val="20"/>
              </w:rPr>
              <w:t>Banobras</w:t>
            </w:r>
            <w:proofErr w:type="spellEnd"/>
            <w:r w:rsidRPr="00D93F7E">
              <w:rPr>
                <w:rFonts w:ascii="Arial" w:hAnsi="Arial" w:cs="Arial"/>
                <w:b/>
                <w:bCs/>
                <w:sz w:val="20"/>
                <w:szCs w:val="20"/>
              </w:rPr>
              <w:t xml:space="preserve"> (PROFISE)</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30,965,486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8,278,990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12,413,555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14,288,254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35,943,328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9,609,876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14,409,093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16,585,158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41,721,380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11,154,707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16,725,420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19,251,298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48,428,281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12,947,876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19,414,105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22,346,030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56,213,346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15,029,306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22,535,010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25,938,255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65,249,895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17,445,334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26,157,615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30,107,946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75,739,110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20,249,750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30,362,569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34,947,934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2029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87,914,514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23,504,990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35,243,490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40,565,973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102,047,170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27,283,522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40,909,040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47,087,136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2031</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118,451,713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31,669,471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47,485,352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54,656,605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2032</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137,493,361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36,760,481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55,118,835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63,442,899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2033</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159,596,040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42,669,896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63,979,439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73,641,635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306,931,762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2034</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185,251,825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49,529,274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74,264,422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85,479,859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2035</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215,031,892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57,491,329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86,202,764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99,221,133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2036</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249,599,241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66,733,319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100,060,247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115,171,378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2037</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289,723,446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77,461,002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116,145,384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133,685,697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2038</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336,297,799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89,913,206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134,816,277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155,176,275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2039</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355,561,005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104,367,162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156,488,605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180,121,564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r w:rsidR="0082297D" w:rsidRPr="00D93F7E" w:rsidTr="0082297D">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2297D" w:rsidRPr="00D93F7E" w:rsidRDefault="0082297D" w:rsidP="0082297D">
            <w:pPr>
              <w:jc w:val="center"/>
              <w:rPr>
                <w:rFonts w:ascii="Arial" w:hAnsi="Arial" w:cs="Arial"/>
                <w:sz w:val="20"/>
                <w:szCs w:val="20"/>
              </w:rPr>
            </w:pPr>
            <w:r w:rsidRPr="00D93F7E">
              <w:rPr>
                <w:rFonts w:ascii="Arial" w:hAnsi="Arial" w:cs="Arial"/>
                <w:sz w:val="20"/>
                <w:szCs w:val="20"/>
              </w:rPr>
              <w:t>2040</w:t>
            </w:r>
          </w:p>
        </w:tc>
        <w:tc>
          <w:tcPr>
            <w:tcW w:w="268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c>
          <w:tcPr>
            <w:tcW w:w="2386"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89,679,334 </w:t>
            </w:r>
          </w:p>
        </w:tc>
        <w:tc>
          <w:tcPr>
            <w:tcW w:w="2678"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135,276,779 </w:t>
            </w:r>
          </w:p>
        </w:tc>
        <w:tc>
          <w:tcPr>
            <w:tcW w:w="2320"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154,772,647 </w:t>
            </w:r>
          </w:p>
        </w:tc>
        <w:tc>
          <w:tcPr>
            <w:tcW w:w="2835" w:type="dxa"/>
            <w:tcBorders>
              <w:top w:val="nil"/>
              <w:left w:val="nil"/>
              <w:bottom w:val="single" w:sz="4" w:space="0" w:color="auto"/>
              <w:right w:val="single" w:sz="4" w:space="0" w:color="auto"/>
            </w:tcBorders>
            <w:shd w:val="clear" w:color="auto" w:fill="auto"/>
            <w:noWrap/>
            <w:vAlign w:val="center"/>
            <w:hideMark/>
          </w:tcPr>
          <w:p w:rsidR="0082297D" w:rsidRPr="00D93F7E" w:rsidRDefault="0082297D" w:rsidP="0082297D">
            <w:pPr>
              <w:jc w:val="right"/>
              <w:rPr>
                <w:rFonts w:ascii="Arial" w:hAnsi="Arial" w:cs="Arial"/>
                <w:sz w:val="20"/>
                <w:szCs w:val="20"/>
              </w:rPr>
            </w:pPr>
            <w:r w:rsidRPr="00D93F7E">
              <w:rPr>
                <w:rFonts w:ascii="Arial" w:hAnsi="Arial" w:cs="Arial"/>
                <w:sz w:val="20"/>
                <w:szCs w:val="20"/>
              </w:rPr>
              <w:t xml:space="preserve">                                               - </w:t>
            </w:r>
          </w:p>
        </w:tc>
      </w:tr>
    </w:tbl>
    <w:p w:rsidR="0082297D" w:rsidRDefault="0082297D" w:rsidP="0082297D">
      <w:pPr>
        <w:rPr>
          <w:rFonts w:ascii="Arial" w:hAnsi="Arial" w:cs="Arial"/>
          <w:sz w:val="20"/>
        </w:rPr>
      </w:pPr>
    </w:p>
    <w:p w:rsidR="0082297D" w:rsidRPr="0016359A" w:rsidRDefault="0082297D" w:rsidP="0082297D">
      <w:pPr>
        <w:rPr>
          <w:rFonts w:ascii="Arial" w:hAnsi="Arial"/>
          <w:i/>
          <w:sz w:val="16"/>
          <w:szCs w:val="16"/>
        </w:rPr>
      </w:pPr>
      <w:r w:rsidRPr="0016359A">
        <w:rPr>
          <w:rFonts w:ascii="Arial" w:hAnsi="Arial" w:cs="Arial"/>
          <w:i/>
          <w:sz w:val="16"/>
          <w:szCs w:val="16"/>
        </w:rPr>
        <w:t xml:space="preserve">  Esta hoja pertenece a la Iniciativa para expedir la Ley de Ingresos Estado de Yucatán para el Ejercicio Fiscal 2022.</w:t>
      </w:r>
    </w:p>
    <w:p w:rsidR="000A14B2" w:rsidRDefault="000A14B2" w:rsidP="00104093">
      <w:pPr>
        <w:jc w:val="center"/>
        <w:rPr>
          <w:rFonts w:ascii="Arial" w:hAnsi="Arial" w:cs="Arial"/>
          <w:sz w:val="16"/>
          <w:szCs w:val="16"/>
        </w:rPr>
      </w:pPr>
    </w:p>
    <w:sectPr w:rsidR="000A14B2" w:rsidSect="0082297D">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A0" w:rsidRDefault="007C1CA0">
      <w:r>
        <w:separator/>
      </w:r>
    </w:p>
  </w:endnote>
  <w:endnote w:type="continuationSeparator" w:id="0">
    <w:p w:rsidR="007C1CA0" w:rsidRDefault="007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w:altName w:val="Courier New"/>
    <w:charset w:val="00"/>
    <w:family w:val="auto"/>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Default="00BA643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BA6439" w:rsidRDefault="00BA6439"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Pr="00552BCE" w:rsidRDefault="00BA6439"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5B0664">
      <w:rPr>
        <w:rFonts w:ascii="Arial" w:hAnsi="Arial" w:cs="Arial"/>
        <w:noProof/>
        <w:sz w:val="20"/>
        <w:szCs w:val="20"/>
      </w:rPr>
      <w:t>47</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A0" w:rsidRDefault="007C1CA0">
      <w:r>
        <w:separator/>
      </w:r>
    </w:p>
  </w:footnote>
  <w:footnote w:type="continuationSeparator" w:id="0">
    <w:p w:rsidR="007C1CA0" w:rsidRDefault="007C1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39" w:rsidRDefault="00EC189C">
    <w:pPr>
      <w:pStyle w:val="Encabezado"/>
    </w:pPr>
    <w:r>
      <w:rPr>
        <w:noProof/>
        <w:lang w:val="es-MX" w:eastAsia="es-MX"/>
      </w:rPr>
      <mc:AlternateContent>
        <mc:Choice Requires="wps">
          <w:drawing>
            <wp:anchor distT="0" distB="0" distL="114300" distR="114300" simplePos="0" relativeHeight="251657216" behindDoc="1" locked="0" layoutInCell="1" allowOverlap="1">
              <wp:simplePos x="0" y="0"/>
              <wp:positionH relativeFrom="column">
                <wp:posOffset>-652145</wp:posOffset>
              </wp:positionH>
              <wp:positionV relativeFrom="paragraph">
                <wp:posOffset>699135</wp:posOffset>
              </wp:positionV>
              <wp:extent cx="2302510" cy="504190"/>
              <wp:effectExtent l="0" t="0" r="0" b="0"/>
              <wp:wrapTight wrapText="bothSides">
                <wp:wrapPolygon edited="0">
                  <wp:start x="0" y="0"/>
                  <wp:lineTo x="0" y="20403"/>
                  <wp:lineTo x="21445" y="20403"/>
                  <wp:lineTo x="2144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5pt;margin-top:55.05pt;width:181.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LR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" stroked="f">
              <v:textbox>
                <w:txbxContent>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LXIII LEGISLATURA DEL ESTADO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LIBRE Y SOBERANO</w:t>
                    </w:r>
                  </w:p>
                  <w:p w:rsidR="00BA6439" w:rsidRPr="001B04B6" w:rsidRDefault="00BA6439" w:rsidP="001B04B6">
                    <w:pPr>
                      <w:ind w:left="284"/>
                      <w:jc w:val="center"/>
                      <w:rPr>
                        <w:rFonts w:ascii="Tahoma" w:hAnsi="Tahoma" w:cs="Tahoma"/>
                        <w:sz w:val="16"/>
                        <w:szCs w:val="16"/>
                        <w:lang w:val="es-MX"/>
                      </w:rPr>
                    </w:pPr>
                    <w:r w:rsidRPr="001B04B6">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192" behindDoc="1" locked="0" layoutInCell="1" allowOverlap="1">
              <wp:simplePos x="0" y="0"/>
              <wp:positionH relativeFrom="column">
                <wp:posOffset>1288415</wp:posOffset>
              </wp:positionH>
              <wp:positionV relativeFrom="paragraph">
                <wp:posOffset>-28575</wp:posOffset>
              </wp:positionV>
              <wp:extent cx="387604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Default="00BA6439" w:rsidP="000418DA">
                          <w:pPr>
                            <w:pStyle w:val="Encabezado"/>
                            <w:jc w:val="center"/>
                          </w:pPr>
                          <w:r>
                            <w:t xml:space="preserve">GOBIERNO DEL ESTADO </w:t>
                          </w:r>
                          <w:proofErr w:type="gramStart"/>
                          <w:r>
                            <w:t>DE  YUCATÁN</w:t>
                          </w:r>
                          <w:proofErr w:type="gramEnd"/>
                        </w:p>
                        <w:p w:rsidR="00BA6439" w:rsidRDefault="00BA6439" w:rsidP="000418DA">
                          <w:pPr>
                            <w:pStyle w:val="Ttulo5"/>
                            <w:spacing w:line="240" w:lineRule="auto"/>
                            <w:rPr>
                              <w:rFonts w:ascii="Times New Roman" w:hAnsi="Times New Roman"/>
                              <w:bCs/>
                              <w:sz w:val="24"/>
                            </w:rPr>
                          </w:pPr>
                          <w:r>
                            <w:rPr>
                              <w:rFonts w:ascii="Times New Roman" w:hAnsi="Times New Roman"/>
                              <w:bCs/>
                              <w:sz w:val="24"/>
                            </w:rPr>
                            <w:t>PODER LEGISLATIVO</w:t>
                          </w:r>
                        </w:p>
                        <w:p w:rsidR="00BA6439" w:rsidRDefault="00BA6439" w:rsidP="008A663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1.45pt;margin-top:-2.25pt;width:305.2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" stroked="f">
              <v:textbox>
                <w:txbxContent>
                  <w:p w:rsidR="00BA6439" w:rsidRDefault="00BA6439" w:rsidP="000418DA">
                    <w:pPr>
                      <w:pStyle w:val="Encabezado"/>
                      <w:jc w:val="center"/>
                    </w:pPr>
                    <w:r>
                      <w:t xml:space="preserve">GOBIERNO DEL ESTADO </w:t>
                    </w:r>
                    <w:proofErr w:type="gramStart"/>
                    <w:r>
                      <w:t>DE  YUCATÁN</w:t>
                    </w:r>
                    <w:proofErr w:type="gramEnd"/>
                  </w:p>
                  <w:p w:rsidR="00BA6439" w:rsidRDefault="00BA6439" w:rsidP="000418DA">
                    <w:pPr>
                      <w:pStyle w:val="Ttulo5"/>
                      <w:spacing w:line="240" w:lineRule="auto"/>
                      <w:rPr>
                        <w:rFonts w:ascii="Times New Roman" w:hAnsi="Times New Roman"/>
                        <w:bCs/>
                        <w:sz w:val="24"/>
                      </w:rPr>
                    </w:pPr>
                    <w:r>
                      <w:rPr>
                        <w:rFonts w:ascii="Times New Roman" w:hAnsi="Times New Roman"/>
                        <w:bCs/>
                        <w:sz w:val="24"/>
                      </w:rPr>
                      <w:t>PODER LEGISLATIVO</w:t>
                    </w:r>
                  </w:p>
                  <w:p w:rsidR="00BA6439" w:rsidRDefault="00BA6439" w:rsidP="008A6636">
                    <w:pPr>
                      <w:rPr>
                        <w:lang w:val="es-ES_tradnl"/>
                      </w:rPr>
                    </w:pPr>
                  </w:p>
                </w:txbxContent>
              </v:textbox>
            </v:shape>
          </w:pict>
        </mc:Fallback>
      </mc:AlternateContent>
    </w:r>
    <w:r>
      <w:rPr>
        <w:noProof/>
        <w:lang w:val="es-MX" w:eastAsia="es-MX"/>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-340995</wp:posOffset>
          </wp:positionV>
          <wp:extent cx="1482090" cy="10401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82090" cy="10401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-4917440</wp:posOffset>
              </wp:positionH>
              <wp:positionV relativeFrom="paragraph">
                <wp:posOffset>-98425</wp:posOffset>
              </wp:positionV>
              <wp:extent cx="2044700"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78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39" w:rsidRDefault="00EC189C"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2pt;margin-top:-7.75pt;width:161pt;height:61.55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" stroked="f">
              <v:fill opacity="0"/>
              <v:textbox style="mso-fit-shape-to-text:t" inset="0,0,0,0">
                <w:txbxContent>
                  <w:p w:rsidR="00BA6439" w:rsidRDefault="00EC189C" w:rsidP="0082297D">
                    <w:pPr>
                      <w:ind w:left="1418"/>
                    </w:pPr>
                    <w:r w:rsidRPr="00AD68D9">
                      <w:rPr>
                        <w:noProof/>
                        <w:lang w:val="es-MX" w:eastAsia="es-MX"/>
                      </w:rPr>
                      <w:drawing>
                        <wp:inline distT="0" distB="0" distL="0" distR="0">
                          <wp:extent cx="1144270" cy="781685"/>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44270" cy="78168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7"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15:restartNumberingAfterBreak="0">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9"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1"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20"/>
  </w:num>
  <w:num w:numId="2">
    <w:abstractNumId w:val="2"/>
  </w:num>
  <w:num w:numId="3">
    <w:abstractNumId w:val="30"/>
  </w:num>
  <w:num w:numId="4">
    <w:abstractNumId w:val="29"/>
  </w:num>
  <w:num w:numId="5">
    <w:abstractNumId w:val="0"/>
  </w:num>
  <w:num w:numId="6">
    <w:abstractNumId w:val="4"/>
  </w:num>
  <w:num w:numId="7">
    <w:abstractNumId w:val="1"/>
  </w:num>
  <w:num w:numId="8">
    <w:abstractNumId w:val="17"/>
  </w:num>
  <w:num w:numId="9">
    <w:abstractNumId w:val="13"/>
  </w:num>
  <w:num w:numId="10">
    <w:abstractNumId w:val="15"/>
  </w:num>
  <w:num w:numId="11">
    <w:abstractNumId w:val="22"/>
  </w:num>
  <w:num w:numId="12">
    <w:abstractNumId w:val="10"/>
  </w:num>
  <w:num w:numId="13">
    <w:abstractNumId w:val="25"/>
  </w:num>
  <w:num w:numId="14">
    <w:abstractNumId w:val="31"/>
  </w:num>
  <w:num w:numId="15">
    <w:abstractNumId w:val="27"/>
  </w:num>
  <w:num w:numId="16">
    <w:abstractNumId w:val="28"/>
  </w:num>
  <w:num w:numId="17">
    <w:abstractNumId w:val="3"/>
  </w:num>
  <w:num w:numId="18">
    <w:abstractNumId w:val="21"/>
  </w:num>
  <w:num w:numId="19">
    <w:abstractNumId w:val="11"/>
  </w:num>
  <w:num w:numId="20">
    <w:abstractNumId w:val="23"/>
  </w:num>
  <w:num w:numId="21">
    <w:abstractNumId w:val="7"/>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6"/>
  </w:num>
  <w:num w:numId="28">
    <w:abstractNumId w:val="9"/>
  </w:num>
  <w:num w:numId="29">
    <w:abstractNumId w:val="5"/>
  </w:num>
  <w:num w:numId="30">
    <w:abstractNumId w:val="24"/>
  </w:num>
  <w:num w:numId="31">
    <w:abstractNumId w:val="16"/>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4D95"/>
    <w:rsid w:val="0003540C"/>
    <w:rsid w:val="00037C6C"/>
    <w:rsid w:val="00040644"/>
    <w:rsid w:val="000409E6"/>
    <w:rsid w:val="00040A6F"/>
    <w:rsid w:val="00041752"/>
    <w:rsid w:val="000418DA"/>
    <w:rsid w:val="000431E0"/>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110F"/>
    <w:rsid w:val="000E3C00"/>
    <w:rsid w:val="000E5AE1"/>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F92"/>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603FD"/>
    <w:rsid w:val="0026042C"/>
    <w:rsid w:val="00260F55"/>
    <w:rsid w:val="0026211B"/>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A09"/>
    <w:rsid w:val="002D1C5D"/>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520A"/>
    <w:rsid w:val="00465D0F"/>
    <w:rsid w:val="00466B4D"/>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65C7"/>
    <w:rsid w:val="005204A7"/>
    <w:rsid w:val="00520D6A"/>
    <w:rsid w:val="0052106D"/>
    <w:rsid w:val="00522684"/>
    <w:rsid w:val="00522F2E"/>
    <w:rsid w:val="005236FD"/>
    <w:rsid w:val="00523783"/>
    <w:rsid w:val="00524629"/>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7524"/>
    <w:rsid w:val="005B066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415A"/>
    <w:rsid w:val="006A4686"/>
    <w:rsid w:val="006A4ED5"/>
    <w:rsid w:val="006A6197"/>
    <w:rsid w:val="006A6F7E"/>
    <w:rsid w:val="006B1552"/>
    <w:rsid w:val="006B1568"/>
    <w:rsid w:val="006B2536"/>
    <w:rsid w:val="006B2C9C"/>
    <w:rsid w:val="006B2EEC"/>
    <w:rsid w:val="006B4513"/>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1A8F"/>
    <w:rsid w:val="007321E1"/>
    <w:rsid w:val="00732E8F"/>
    <w:rsid w:val="0073327A"/>
    <w:rsid w:val="0073392A"/>
    <w:rsid w:val="00734B74"/>
    <w:rsid w:val="00734B93"/>
    <w:rsid w:val="00735BD3"/>
    <w:rsid w:val="00735F70"/>
    <w:rsid w:val="007365B5"/>
    <w:rsid w:val="00736E95"/>
    <w:rsid w:val="00736EBD"/>
    <w:rsid w:val="00736EF7"/>
    <w:rsid w:val="00737181"/>
    <w:rsid w:val="007371F1"/>
    <w:rsid w:val="00737794"/>
    <w:rsid w:val="00737E06"/>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7936"/>
    <w:rsid w:val="008725EC"/>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B1B67"/>
    <w:rsid w:val="009B1CF2"/>
    <w:rsid w:val="009B4B06"/>
    <w:rsid w:val="009B4BEA"/>
    <w:rsid w:val="009B54FD"/>
    <w:rsid w:val="009B6484"/>
    <w:rsid w:val="009C6F3F"/>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7371"/>
    <w:rsid w:val="00AE7E68"/>
    <w:rsid w:val="00AF160A"/>
    <w:rsid w:val="00AF2449"/>
    <w:rsid w:val="00AF2790"/>
    <w:rsid w:val="00AF3265"/>
    <w:rsid w:val="00AF389A"/>
    <w:rsid w:val="00AF3CB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B9A"/>
    <w:rsid w:val="00BE5F00"/>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E8"/>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251C"/>
    <w:rsid w:val="00CB3DA0"/>
    <w:rsid w:val="00CB4E2C"/>
    <w:rsid w:val="00CC0BBB"/>
    <w:rsid w:val="00CC188E"/>
    <w:rsid w:val="00CC4B90"/>
    <w:rsid w:val="00CC4DF9"/>
    <w:rsid w:val="00CC550B"/>
    <w:rsid w:val="00CC71D9"/>
    <w:rsid w:val="00CD02E3"/>
    <w:rsid w:val="00CD0CC7"/>
    <w:rsid w:val="00CD157A"/>
    <w:rsid w:val="00CD3241"/>
    <w:rsid w:val="00CD4173"/>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E28"/>
    <w:rsid w:val="00D50427"/>
    <w:rsid w:val="00D52F8D"/>
    <w:rsid w:val="00D53E9F"/>
    <w:rsid w:val="00D54AFB"/>
    <w:rsid w:val="00D54F75"/>
    <w:rsid w:val="00D55565"/>
    <w:rsid w:val="00D56848"/>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959"/>
    <w:rsid w:val="00D73B8D"/>
    <w:rsid w:val="00D73F23"/>
    <w:rsid w:val="00D753D5"/>
    <w:rsid w:val="00D75B1F"/>
    <w:rsid w:val="00D75E5F"/>
    <w:rsid w:val="00D760F1"/>
    <w:rsid w:val="00D76C36"/>
    <w:rsid w:val="00D7759A"/>
    <w:rsid w:val="00D809BB"/>
    <w:rsid w:val="00D83C50"/>
    <w:rsid w:val="00D846A2"/>
    <w:rsid w:val="00D847E3"/>
    <w:rsid w:val="00D84F49"/>
    <w:rsid w:val="00D85888"/>
    <w:rsid w:val="00D871BD"/>
    <w:rsid w:val="00D9166C"/>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60CA5"/>
    <w:rsid w:val="00E610AB"/>
    <w:rsid w:val="00E61334"/>
    <w:rsid w:val="00E61A88"/>
    <w:rsid w:val="00E628B4"/>
    <w:rsid w:val="00E64C05"/>
    <w:rsid w:val="00E652E2"/>
    <w:rsid w:val="00E6627E"/>
    <w:rsid w:val="00E6657A"/>
    <w:rsid w:val="00E667C2"/>
    <w:rsid w:val="00E70353"/>
    <w:rsid w:val="00E723D9"/>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189C"/>
    <w:rsid w:val="00EC2646"/>
    <w:rsid w:val="00EC283C"/>
    <w:rsid w:val="00EC2F23"/>
    <w:rsid w:val="00EC36CB"/>
    <w:rsid w:val="00EC3763"/>
    <w:rsid w:val="00EC38DC"/>
    <w:rsid w:val="00EC47BC"/>
    <w:rsid w:val="00EC5414"/>
    <w:rsid w:val="00EC57FD"/>
    <w:rsid w:val="00EC6489"/>
    <w:rsid w:val="00EC7E36"/>
    <w:rsid w:val="00ED04BF"/>
    <w:rsid w:val="00ED1827"/>
    <w:rsid w:val="00ED4A36"/>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FB8"/>
    <w:rsid w:val="00F046B4"/>
    <w:rsid w:val="00F069BC"/>
    <w:rsid w:val="00F07008"/>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2823"/>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3E4FE09"/>
  <w15:chartTrackingRefBased/>
  <w15:docId w15:val="{93D4D89B-D1F3-4014-8CAD-FE48C5C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basedOn w:val="Normal"/>
    <w:link w:val="TextoCar"/>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D9F6-B2D2-4111-9206-20E1ABB7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13541</Words>
  <Characters>81508</Characters>
  <Application>Microsoft Office Word</Application>
  <DocSecurity>0</DocSecurity>
  <Lines>679</Lines>
  <Paragraphs>189</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3</cp:revision>
  <cp:lastPrinted>2021-12-05T16:51:00Z</cp:lastPrinted>
  <dcterms:created xsi:type="dcterms:W3CDTF">2021-12-15T19:51:00Z</dcterms:created>
  <dcterms:modified xsi:type="dcterms:W3CDTF">2021-12-15T19:52:00Z</dcterms:modified>
</cp:coreProperties>
</file>