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83" w:rsidRDefault="00B37983" w:rsidP="00B37983">
      <w:pPr>
        <w:tabs>
          <w:tab w:val="left" w:pos="7084"/>
        </w:tabs>
        <w:spacing w:before="52" w:line="240" w:lineRule="auto"/>
        <w:ind w:left="1173" w:right="2973" w:hanging="250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LEY DE INGRESOS DEL MUNICIPIO DE TEKOM, YUCATAN PARA EL EJERCICIO 2022</w:t>
      </w:r>
    </w:p>
    <w:p w:rsidR="005D376F" w:rsidRPr="005D376F" w:rsidRDefault="005D376F" w:rsidP="005D376F">
      <w:pPr>
        <w:spacing w:after="200"/>
        <w:ind w:left="426" w:hanging="426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TÍTULO PRIMERO DISPOSICIONES GENERALES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CAPÍTULO 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 la Naturaleza y el Objeto de la Ley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1</w:t>
      </w:r>
      <w:r w:rsidRPr="005D376F">
        <w:rPr>
          <w:rFonts w:ascii="Calibri" w:eastAsia="Calibri" w:hAnsi="Calibri"/>
          <w:lang w:val="es-ES_tradnl" w:eastAsia="en-US"/>
        </w:rPr>
        <w:t>.- La presente Ley es de orden público y de interés social, y tiene por objeto establecer los ingresos que percibirá la Hacienda Pública del Ayuntamiento de Tekóm, Yucatán, a través de su Tesorería Municipal, durante el Ejercicio Fiscal 2022.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2</w:t>
      </w:r>
      <w:r w:rsidRPr="005D376F">
        <w:rPr>
          <w:rFonts w:ascii="Calibri" w:eastAsia="Calibri" w:hAnsi="Calibri"/>
          <w:lang w:val="es-ES_tradnl" w:eastAsia="en-US"/>
        </w:rPr>
        <w:t>.- Las personas domiciliadas dentro del Municipio de Tekóm, Yucatán, que tuvieren bienes en su territorio o celebren actos que surtan efectos en el mismo, están obligados a contribuir para los gastos públicos de la manera que disponga la presente Ley, Ley de Hacienda Municipal del Estado de Yucatán, el Código Fiscal del Estado y los demás ordenamientos Fiscales de carácter Local y Federal.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3</w:t>
      </w:r>
      <w:r w:rsidRPr="005D376F">
        <w:rPr>
          <w:rFonts w:ascii="Calibri" w:eastAsia="Calibri" w:hAnsi="Calibri"/>
          <w:lang w:val="es-ES_tradnl" w:eastAsia="en-US"/>
        </w:rPr>
        <w:t>.- Los ingresos que se recauden por los conceptos señalados en la presente Ley, se destinarán a sufragar los gastos públicos establecidos y autorizados en el Presupuesto de Egresos del Municipio de Tekóm, Yucatán, así como en lo dispuesto en los convenios de Coordinación Fiscal y en las Leyes en que se fundamenten.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CAPÍTULO II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 los Conceptos de Ingresos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4</w:t>
      </w:r>
      <w:r w:rsidRPr="005D376F">
        <w:rPr>
          <w:rFonts w:ascii="Calibri" w:eastAsia="Calibri" w:hAnsi="Calibri"/>
          <w:lang w:val="es-ES_tradnl" w:eastAsia="en-US"/>
        </w:rPr>
        <w:t>.- Los conceptos por los que la Hacienda Pública del Ayuntamiento de Tekóm, Yucatán, percibirá ingresos, serán los siguientes: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I.- Impuestos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II.- Derechos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III.- Contribuciones de mejoras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IV.- Productos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V.- Aprovechamientos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VI.-Participaciones y Aportaciones, Federales y Estatales 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VII.- Ingresos extraordinarios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5</w:t>
      </w:r>
      <w:r w:rsidRPr="005D376F">
        <w:rPr>
          <w:rFonts w:ascii="Calibri" w:eastAsia="Calibri" w:hAnsi="Calibri"/>
          <w:lang w:val="es-ES_tradnl" w:eastAsia="en-US"/>
        </w:rPr>
        <w:t>.-Los impuestos que el municipio percibirá se clasificarán como sigue: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369"/>
      </w:tblGrid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los Impuestos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 55,000.00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Impuestos sobre los ingresos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10,000.00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Impuesto sobre Espectáculos y Diversiones Públicas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10,000.00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Impuestos sobre el patrimonio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12,000.00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Impuesto Predial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12,000.00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Impuestos sobre la producción, el consumo y las transacciones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33,000.00</w:t>
            </w:r>
          </w:p>
        </w:tc>
      </w:tr>
      <w:tr w:rsidR="005D376F" w:rsidRPr="005D376F" w:rsidTr="00D2344B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Impuesto sobre Adquisición de Inmuebles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33,000.00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6</w:t>
      </w:r>
      <w:r w:rsidRPr="005D376F">
        <w:rPr>
          <w:rFonts w:ascii="Calibri" w:eastAsia="Calibri" w:hAnsi="Calibri"/>
          <w:lang w:val="es-ES_tradnl" w:eastAsia="en-US"/>
        </w:rPr>
        <w:t>.- Los derechos que el municipio percibirá se causarán por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2"/>
        <w:gridCol w:w="1482"/>
      </w:tblGrid>
      <w:tr w:rsidR="005D376F" w:rsidRPr="005D376F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$ 355,000.00</w:t>
            </w:r>
          </w:p>
        </w:tc>
      </w:tr>
      <w:tr w:rsidR="005D376F" w:rsidRPr="005D376F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Derechos por el uso, goce, aprovechamiento o explotación de bienes de dominio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25,000.00</w:t>
            </w:r>
          </w:p>
        </w:tc>
      </w:tr>
      <w:tr w:rsidR="005D376F" w:rsidRPr="005D376F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Por el uso de locales o pisos de mercados, espacios en la vía o parques públicos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15,000.00</w:t>
            </w:r>
          </w:p>
        </w:tc>
      </w:tr>
      <w:tr w:rsidR="005D376F" w:rsidRPr="005D376F" w:rsidTr="00D2344B">
        <w:trPr>
          <w:trHeight w:val="51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Por el uso y aprovechamiento de los bienes de dominio público del patrimonio municipal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Derechos por prestación de servicios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250,000.00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Servicios de Agua potable, drenaje y alcantarillado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6,000.00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Servicio de Alumbrado público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240,000.00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Servicio de Panteones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4,000.00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Otros Derechos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80,000.00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Licencias de funcionamiento y Permisos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30,000.00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Servicios que presta la Dirección de Obras Públicas y Desarrollo Urbano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13,000.00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Expedición de certificados, constancias, copias, fotografías y formas oficiales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10,000.00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Servicio de Supervisión Sanitaria de Matanza de Ganado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7,000.00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Otros Derechos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20,000.00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7</w:t>
      </w:r>
      <w:r w:rsidRPr="005D376F">
        <w:rPr>
          <w:rFonts w:ascii="Calibri" w:eastAsia="Calibri" w:hAnsi="Calibri"/>
          <w:lang w:val="es-ES_tradnl" w:eastAsia="en-US"/>
        </w:rPr>
        <w:t>.- Los ingresos que la Hacienda Pública Municipal percibirá por concepto de productos, serán las siguientes: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5D376F" w:rsidRPr="005D376F" w:rsidTr="00D2344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los Productos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3,000.00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Productos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3,000.00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&gt;Derivados de Productos Financieros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3,000.00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8</w:t>
      </w:r>
      <w:r w:rsidRPr="005D376F">
        <w:rPr>
          <w:rFonts w:ascii="Calibri" w:eastAsia="Calibri" w:hAnsi="Calibri"/>
          <w:lang w:val="es-ES_tradnl" w:eastAsia="en-US"/>
        </w:rPr>
        <w:t>.- Los ingresos que la Hacienda Pública Municipal percibirá por concepto de Aprovechamientos, se clasificaran de la siguiente manera: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94"/>
      </w:tblGrid>
      <w:tr w:rsidR="005D376F" w:rsidRPr="005D376F" w:rsidTr="00D2344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los Aprovechamientos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$ 16,000.00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200" w:firstLine="44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Aprovechamientos de tipo corriente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16,000.00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Infracciones por faltas administrativas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8,000.00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Sanciones por faltas al reglamento de tránsito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8,000.00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9</w:t>
      </w:r>
      <w:r w:rsidRPr="005D376F">
        <w:rPr>
          <w:rFonts w:ascii="Calibri" w:eastAsia="Calibri" w:hAnsi="Calibri"/>
          <w:lang w:val="es-ES_tradnl" w:eastAsia="en-US"/>
        </w:rPr>
        <w:t>.- Los ingresos por Participaciones que percibirá la Hacienda Pública Municipal se integrarán por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5D376F" w:rsidRPr="005D376F" w:rsidTr="00D2344B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las Participaciones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15,061,000.00</w:t>
            </w:r>
          </w:p>
        </w:tc>
      </w:tr>
      <w:tr w:rsidR="005D376F" w:rsidRPr="005D376F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Participaciones Federales y Estatales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15,061,000.00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10</w:t>
      </w:r>
      <w:r w:rsidRPr="005D376F">
        <w:rPr>
          <w:rFonts w:ascii="Calibri" w:eastAsia="Calibri" w:hAnsi="Calibri"/>
          <w:lang w:val="es-ES_tradnl" w:eastAsia="en-US"/>
        </w:rPr>
        <w:t>.- Las aportaciones que recaudara la Hacienda Pública Municipal se integrarán con los siguientes conceptos: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843"/>
      </w:tblGrid>
      <w:tr w:rsidR="005D376F" w:rsidRPr="005D376F" w:rsidTr="00D2344B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las Aportaciones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 12,234,078.00</w:t>
            </w:r>
          </w:p>
        </w:tc>
      </w:tr>
      <w:tr w:rsidR="005D376F" w:rsidRPr="005D376F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9,928,004.00</w:t>
            </w:r>
          </w:p>
        </w:tc>
      </w:tr>
      <w:tr w:rsidR="005D376F" w:rsidRPr="005D376F" w:rsidTr="00D2344B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2,306,074.00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11</w:t>
      </w:r>
      <w:r w:rsidRPr="005D376F">
        <w:rPr>
          <w:rFonts w:ascii="Calibri" w:eastAsia="Calibri" w:hAnsi="Calibri"/>
          <w:lang w:val="es-ES_tradnl" w:eastAsia="en-US"/>
        </w:rPr>
        <w:t>.- Los ingresos extraordinarios que podrá percibir la Hacienda Pública Municipal serán los siguientes: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5D376F" w:rsidRPr="005D376F" w:rsidTr="00D2344B">
        <w:trPr>
          <w:trHeight w:val="3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Total de los 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3,240,000.00</w:t>
            </w:r>
          </w:p>
        </w:tc>
      </w:tr>
      <w:tr w:rsidR="005D376F" w:rsidRPr="005D376F" w:rsidTr="00D2344B">
        <w:trPr>
          <w:trHeight w:val="480"/>
        </w:trPr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ind w:firstLineChars="400" w:firstLine="880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&gt; Con la Federación o el Estado: Hábitat, Tu</w:t>
            </w:r>
            <w:r>
              <w:rPr>
                <w:rFonts w:ascii="Calibri" w:eastAsia="Times New Roman" w:hAnsi="Calibri"/>
                <w:bCs/>
                <w:color w:val="000000"/>
              </w:rPr>
              <w:t xml:space="preserve"> </w:t>
            </w:r>
            <w:r w:rsidRPr="005D376F">
              <w:rPr>
                <w:rFonts w:ascii="Calibri" w:eastAsia="Times New Roman" w:hAnsi="Calibri"/>
                <w:bCs/>
                <w:color w:val="000000"/>
              </w:rPr>
              <w:t>Casa, 3x1 migrantes, Rescate de Espacios Públicos, Subsemun,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Cs/>
                <w:color w:val="000000"/>
              </w:rPr>
              <w:t>3,240,000.00</w:t>
            </w:r>
          </w:p>
        </w:tc>
      </w:tr>
    </w:tbl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5D376F" w:rsidRPr="005D376F" w:rsidTr="00D2344B">
        <w:trPr>
          <w:trHeight w:val="480"/>
        </w:trPr>
        <w:tc>
          <w:tcPr>
            <w:tcW w:w="7433" w:type="dxa"/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EL TOTAL DE INGRESOS QUE EL AYUNTAMIENTO DE TEKOM, PERCIBIRA EN EL EJERCICIO FISCAL 2022 ASCENDERA A: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376F" w:rsidRPr="005D376F" w:rsidRDefault="005D376F" w:rsidP="005D376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376F">
              <w:rPr>
                <w:rFonts w:ascii="Calibri" w:eastAsia="Times New Roman" w:hAnsi="Calibri"/>
                <w:b/>
                <w:bCs/>
                <w:color w:val="000000"/>
              </w:rPr>
              <w:t>$  30,964,078.00</w:t>
            </w:r>
          </w:p>
        </w:tc>
      </w:tr>
    </w:tbl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right="2918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  <w:r w:rsidRPr="005D376F">
        <w:rPr>
          <w:rFonts w:ascii="Calibri" w:eastAsia="Calibri" w:hAnsi="Calibri"/>
          <w:b/>
          <w:bCs/>
          <w:lang w:eastAsia="en-US"/>
        </w:rPr>
        <w:t>TITULO SEGUNDO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before="6" w:line="110" w:lineRule="exact"/>
        <w:rPr>
          <w:rFonts w:ascii="Calibri" w:eastAsia="Calibri" w:hAnsi="Calibri"/>
          <w:lang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  <w:r w:rsidRPr="005D376F">
        <w:rPr>
          <w:rFonts w:ascii="Calibri" w:eastAsia="Calibri" w:hAnsi="Calibri"/>
          <w:b/>
          <w:bCs/>
          <w:lang w:eastAsia="en-US"/>
        </w:rPr>
        <w:t>IMPUESTOS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  <w:r w:rsidRPr="005D376F">
        <w:rPr>
          <w:rFonts w:ascii="Calibri" w:eastAsia="Calibri" w:hAnsi="Calibri"/>
          <w:b/>
          <w:bCs/>
          <w:lang w:eastAsia="en-US"/>
        </w:rPr>
        <w:t>CAPITULO I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lang w:eastAsia="en-US"/>
        </w:rPr>
      </w:pPr>
      <w:r w:rsidRPr="005D376F">
        <w:rPr>
          <w:rFonts w:ascii="Calibri" w:eastAsia="Calibri" w:hAnsi="Calibri"/>
          <w:b/>
          <w:bCs/>
          <w:lang w:eastAsia="en-US"/>
        </w:rPr>
        <w:t>Impuesto Predial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Articulo 12</w:t>
      </w:r>
      <w:r w:rsidRPr="005D376F">
        <w:rPr>
          <w:rFonts w:ascii="Calibri" w:eastAsia="Calibri" w:hAnsi="Calibri"/>
          <w:lang w:val="es-ES_tradnl" w:eastAsia="en-US"/>
        </w:rPr>
        <w:t>.- El impuesto Predial se causará de acuerdo con la siguiente tarifa: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left="3339" w:right="2918"/>
        <w:jc w:val="center"/>
        <w:rPr>
          <w:rFonts w:ascii="Calibri" w:eastAsia="Calibri" w:hAnsi="Calibri"/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392"/>
        <w:gridCol w:w="1228"/>
        <w:gridCol w:w="1404"/>
        <w:gridCol w:w="1206"/>
        <w:gridCol w:w="1276"/>
        <w:gridCol w:w="1276"/>
      </w:tblGrid>
      <w:tr w:rsidR="005D376F" w:rsidRPr="005D376F" w:rsidTr="00D2344B">
        <w:tc>
          <w:tcPr>
            <w:tcW w:w="0" w:type="auto"/>
            <w:gridSpan w:val="3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Valor de terreno unitario por m2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Tipo de Construcción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Calidad</w:t>
            </w:r>
          </w:p>
        </w:tc>
      </w:tr>
      <w:tr w:rsidR="005D376F" w:rsidRPr="005D376F" w:rsidTr="00D2344B">
        <w:tc>
          <w:tcPr>
            <w:tcW w:w="0" w:type="auto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Centro</w:t>
            </w:r>
          </w:p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(considerar 10 manzanas)</w:t>
            </w:r>
          </w:p>
        </w:tc>
        <w:tc>
          <w:tcPr>
            <w:tcW w:w="0" w:type="auto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Resto de la localidad</w:t>
            </w:r>
          </w:p>
        </w:tc>
        <w:tc>
          <w:tcPr>
            <w:tcW w:w="0" w:type="auto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Sub-urbano o rural</w:t>
            </w:r>
          </w:p>
        </w:tc>
        <w:tc>
          <w:tcPr>
            <w:tcW w:w="1404" w:type="dxa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Malo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Regular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Bueno</w:t>
            </w:r>
          </w:p>
        </w:tc>
      </w:tr>
      <w:tr w:rsidR="005D376F" w:rsidRPr="005D376F" w:rsidTr="00D2344B">
        <w:tc>
          <w:tcPr>
            <w:tcW w:w="0" w:type="auto"/>
            <w:gridSpan w:val="3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(A)</w:t>
            </w:r>
          </w:p>
        </w:tc>
        <w:tc>
          <w:tcPr>
            <w:tcW w:w="5162" w:type="dxa"/>
            <w:gridSpan w:val="4"/>
            <w:shd w:val="clear" w:color="auto" w:fill="auto"/>
          </w:tcPr>
          <w:p w:rsidR="005D376F" w:rsidRPr="005D376F" w:rsidRDefault="005D376F" w:rsidP="005D376F">
            <w:pPr>
              <w:spacing w:after="200"/>
              <w:jc w:val="center"/>
              <w:rPr>
                <w:rFonts w:ascii="Calibri" w:eastAsia="Calibri" w:hAnsi="Calibri" w:cs="Times New Roman"/>
                <w:b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b/>
                <w:lang w:val="es-ES_tradnl" w:eastAsia="en-US"/>
              </w:rPr>
              <w:t>(B)</w:t>
            </w:r>
          </w:p>
        </w:tc>
      </w:tr>
      <w:tr w:rsidR="005D376F" w:rsidRPr="005D376F" w:rsidTr="00D2344B">
        <w:tc>
          <w:tcPr>
            <w:tcW w:w="0" w:type="auto"/>
            <w:vMerge w:val="restart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$ 300.00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$ 150.00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$ 15.00</w:t>
            </w:r>
          </w:p>
        </w:tc>
        <w:tc>
          <w:tcPr>
            <w:tcW w:w="1404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Paja</w:t>
            </w: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$ 200.00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</w:tr>
      <w:tr w:rsidR="005D376F" w:rsidRPr="005D376F" w:rsidTr="00D2344B"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Lamina (incluye volados)</w:t>
            </w: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$ 250.00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$ 350.00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$ 550.00</w:t>
            </w:r>
          </w:p>
        </w:tc>
      </w:tr>
      <w:tr w:rsidR="005D376F" w:rsidRPr="005D376F" w:rsidTr="00D2344B"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Cartón (incluye volados)</w:t>
            </w: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$ 150.00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$ 200.00</w:t>
            </w:r>
          </w:p>
        </w:tc>
      </w:tr>
      <w:tr w:rsidR="005D376F" w:rsidRPr="005D376F" w:rsidTr="00D2344B"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Concreto</w:t>
            </w: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$ 1,500.00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$ 2,500.00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$ 3,500.00</w:t>
            </w:r>
          </w:p>
        </w:tc>
      </w:tr>
      <w:tr w:rsidR="005D376F" w:rsidRPr="005D376F" w:rsidTr="00D2344B"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</w:p>
        </w:tc>
        <w:tc>
          <w:tcPr>
            <w:tcW w:w="1404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Volado de concreto</w:t>
            </w:r>
          </w:p>
        </w:tc>
        <w:tc>
          <w:tcPr>
            <w:tcW w:w="120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$ 800.00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$ 1,000.00</w:t>
            </w:r>
          </w:p>
        </w:tc>
        <w:tc>
          <w:tcPr>
            <w:tcW w:w="1276" w:type="dxa"/>
            <w:shd w:val="clear" w:color="auto" w:fill="auto"/>
          </w:tcPr>
          <w:p w:rsidR="005D376F" w:rsidRPr="005D376F" w:rsidRDefault="005D376F" w:rsidP="005D376F">
            <w:pPr>
              <w:spacing w:after="200"/>
              <w:rPr>
                <w:rFonts w:ascii="Calibri" w:eastAsia="Calibri" w:hAnsi="Calibri" w:cs="Times New Roman"/>
                <w:lang w:val="es-ES_tradnl" w:eastAsia="en-US"/>
              </w:rPr>
            </w:pPr>
            <w:r w:rsidRPr="005D376F">
              <w:rPr>
                <w:rFonts w:ascii="Calibri" w:eastAsia="Calibri" w:hAnsi="Calibri" w:cs="Times New Roman"/>
                <w:lang w:val="es-ES_tradnl" w:eastAsia="en-US"/>
              </w:rPr>
              <w:t>$ 1,500.00</w:t>
            </w:r>
          </w:p>
        </w:tc>
      </w:tr>
    </w:tbl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El cálculo de la cantidad a pagar se realizará de la siguiente manera: </w:t>
      </w:r>
    </w:p>
    <w:p w:rsidR="005D376F" w:rsidRPr="005D376F" w:rsidRDefault="005D376F" w:rsidP="005D376F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Se determina el valor por M2 unitario del terreno correspondiente a su ubicación. </w:t>
      </w:r>
    </w:p>
    <w:p w:rsidR="005D376F" w:rsidRDefault="005D376F" w:rsidP="005D376F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Se clasifica el tipo de construcción de acuerdo a los materiales de las construcciones techadas en paja, lamina, cartón y volado-concreto y se vincula a su estado actual en malo, regular o bueno.</w:t>
      </w: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Al sumarse ambos puntos anteriores se obtiene el valor catastral del inmueble o terreno.</w:t>
      </w:r>
    </w:p>
    <w:p w:rsidR="005D376F" w:rsidRPr="005D376F" w:rsidRDefault="005D376F" w:rsidP="005D376F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Finalmente, la tarifa del impuesto predial (C) se propone sea el 0.10 % del valor catastral actualizado. C=(A+B) (.10) / 100</w:t>
      </w:r>
    </w:p>
    <w:p w:rsidR="005D376F" w:rsidRPr="005D376F" w:rsidRDefault="005D376F" w:rsidP="005D376F">
      <w:pPr>
        <w:numPr>
          <w:ilvl w:val="0"/>
          <w:numId w:val="5"/>
        </w:num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B=todas las construcciones existentes (tipo y calidad). En caso de no estar clasificadas las construcciones se propone usar un valor genérico de $ 2,800.00 pesos.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CAPITULO ll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Impuesto Sobre Adquisición de Inmuebles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Articulo 13</w:t>
      </w:r>
      <w:r w:rsidRPr="005D376F">
        <w:rPr>
          <w:rFonts w:ascii="Calibri" w:eastAsia="Calibri" w:hAnsi="Calibri"/>
          <w:lang w:val="es-ES_tradnl" w:eastAsia="en-US"/>
        </w:rPr>
        <w:t>.- El impuesto que se refiere este capítulo, se calculará aplicando la tasa del 2% a la base gravable señalada en el artículo 33 de la Ley de Hacienda Municipal del Estado de Yucatán.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CAPITULO III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Impuesto a Espectáculos y Diversiones Públicas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Articulo 14</w:t>
      </w:r>
      <w:r w:rsidRPr="005D376F">
        <w:rPr>
          <w:rFonts w:ascii="Calibri" w:eastAsia="Calibri" w:hAnsi="Calibri"/>
          <w:lang w:val="es-ES_tradnl" w:eastAsia="en-US"/>
        </w:rPr>
        <w:t>.- La cuota del impuesto a espectáculos y diversiones públicas se calculará sobre el monto total de los ingresos percibidos. El impuesto se determinará aplicando a la base antes referida, la tasa que para cada evento se establece a continuación.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 l.- Funciones de circo.............................................. 8%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ll.- Funciones de lucha libre..................................... 8%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lll.- Espectáculos taurinos………………………………........8%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IV.- Box…………………………………………………….…….……..8%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V.- Béisbol……………………………………………..…………..… 8%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 VI.- Bailes Populares................................................ 8%</w:t>
      </w:r>
    </w:p>
    <w:p w:rsidR="005D376F" w:rsidRPr="005D376F" w:rsidRDefault="00DA3D3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>
        <w:rPr>
          <w:rFonts w:ascii="Calibri" w:eastAsia="Calibri" w:hAnsi="Calibri"/>
          <w:lang w:val="es-ES_tradnl" w:eastAsia="en-US"/>
        </w:rPr>
        <w:t xml:space="preserve"> V</w:t>
      </w:r>
      <w:r w:rsidR="005D376F" w:rsidRPr="005D376F">
        <w:rPr>
          <w:rFonts w:ascii="Calibri" w:eastAsia="Calibri" w:hAnsi="Calibri"/>
          <w:lang w:val="es-ES_tradnl" w:eastAsia="en-US"/>
        </w:rPr>
        <w:t>ll.- Otros permitidos por la Ley de la Materia........ 8%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No se causará el impuesto sobre espectáculos y diversiones públicas por funciones de teatro, ballet, ópera y otros eventos culturales.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TITULO TERCERO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DERECHOS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CAPITULO I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ind w:right="4061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 xml:space="preserve"> </w:t>
      </w:r>
      <w:r w:rsidRPr="005D376F">
        <w:rPr>
          <w:rFonts w:ascii="Calibri" w:eastAsia="Calibri" w:hAnsi="Calibri"/>
          <w:lang w:val="es-ES_tradnl" w:eastAsia="en-US"/>
        </w:rPr>
        <w:t xml:space="preserve">                         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Derechos por Licencias y Permisos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15</w:t>
      </w:r>
      <w:r w:rsidRPr="005D376F">
        <w:rPr>
          <w:rFonts w:ascii="Calibri" w:eastAsia="Calibri" w:hAnsi="Calibri"/>
          <w:lang w:val="es-ES_tradnl" w:eastAsia="en-US"/>
        </w:rPr>
        <w:t>.- Por el otorgamiento de las licencias o permisos a que hace referencia la Ley de Hacienda Municipal del Estado de Yucatán, se causarán y pagarán derechos de conformidad con las tarifas establecidas en los siguientes artículos.</w:t>
      </w: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16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En el otorgamiento de las licencias para el funcionamiento de giros relacionados con la venta de bebidas alcohólicas se cobrará una cuota de acuerdo a la siguiente tarifa: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l.- Vinaterías o licorerías................................................................. $ 5.000.00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ll.- Expendios de cerveza................................................................ $ 2.500.00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 Supermercados y minisúper con departamento de licores…....$ 5,000.00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IV.- Cantinas o bares....................................................................... $ 3,000.00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V.- Restaurante-bar………………………………………………………….……...... $ 3,000.00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 xml:space="preserve">Artículo 17.- </w:t>
      </w:r>
      <w:r w:rsidRPr="005D376F">
        <w:rPr>
          <w:rFonts w:ascii="Calibri" w:eastAsia="Calibri" w:hAnsi="Calibri" w:cs="Times New Roman"/>
          <w:lang w:val="es-ES_tradnl" w:eastAsia="en-US"/>
        </w:rPr>
        <w:t>Por el otorgamiento de la revalidación de licencias para el funcionamiento de los establecimientos que se relacionan en el artículo 16 de esta ley, se pagará un derecho conforme a la siguiente tarifa: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l.- Vinaterías o licorerías……………………………………………………………..$5,000.00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Expendios de cerveza................................................................ $2,500.00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 Supermercados y minisúper con departamento de licores..... $ 3,000.00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IV.- Cantinas o bares...................................................................... $ 3,000.00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V.- Restaurante-bar………………………………………………………………..…..$2,500.00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18</w:t>
      </w:r>
      <w:r w:rsidRPr="005D376F">
        <w:rPr>
          <w:rFonts w:ascii="Calibri" w:eastAsia="Calibri" w:hAnsi="Calibri" w:cs="Times New Roman"/>
          <w:lang w:val="es-ES_tradnl" w:eastAsia="en-US"/>
        </w:rPr>
        <w:t>.- Por los permisos eventuales para el funcionamiento de giros relacionados con la venta de bebidas alcohólicas se les aplicara la cuota de $ 1,000.00 diarios.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19</w:t>
      </w:r>
      <w:r w:rsidRPr="005D376F">
        <w:rPr>
          <w:rFonts w:ascii="Calibri" w:eastAsia="Calibri" w:hAnsi="Calibri" w:cs="Times New Roman"/>
          <w:lang w:val="es-ES_tradnl" w:eastAsia="en-US"/>
        </w:rPr>
        <w:t>.- Para el otorgamiento de las licencias, permisos o autorizaciones para el funcionamiento de establecimientos o locales comerciales o de servicios, distintos, al de los giros que sean por enajenación de bebidas alcohólicas o la prestación de servicios que incluyan el expendio de dichas bebidas. Se pagará un derecho por expedición y revalidación de acuerdo a las siguientes tarifas.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l.- Licencia comercial, autorización………………………………………………$ 115.00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Revalidación de licencia.............................................................$ 115.00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20</w:t>
      </w:r>
      <w:r w:rsidRPr="005D376F">
        <w:rPr>
          <w:rFonts w:ascii="Calibri" w:eastAsia="Calibri" w:hAnsi="Calibri" w:cs="Times New Roman"/>
          <w:lang w:val="es-ES_tradnl" w:eastAsia="en-US"/>
        </w:rPr>
        <w:t>.- Por el otorgamiento de los permisos a que hace referencia el artículo 53 fracción lll de la Ley de Hacienda Municipal del Estado de Yucatán. Se causarán y pagarán derechos de acuerdo con las siguientes tarifas: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Articulo 21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Por el otorgamiento de los permisos para luz y sonido, bailes populares, verbenas y otros similares se causarán y pagarán derechos de $ 500.00 por día.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22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Por el permiso para el cierre de calles por fiestas o cualquier evento o espectáculo en la vía pública, se pagará la cantidad de $ 500.00 por día. </w:t>
      </w: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Articulo 23</w:t>
      </w:r>
      <w:r w:rsidRPr="005D376F">
        <w:rPr>
          <w:rFonts w:ascii="Calibri" w:eastAsia="Calibri" w:hAnsi="Calibri" w:cs="Times New Roman"/>
          <w:lang w:val="es-ES_tradnl" w:eastAsia="en-US"/>
        </w:rPr>
        <w:t>.- Por el otorgamiento de los permisos para cosos taurinos, se causarán y pagarán derechos de $ 50.00 por día por cada uno de los palqueros.</w:t>
      </w: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CAPITULO II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Derechos por Servicios de Vigilancia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24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Por servicios de vigilancia que preste el Ayuntamiento se pagara por cada elemento de vigilancia asignado, una cuota de acuerdo a la Siguiente tarifa: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l.- Día por agente......................................................... $ 250.00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Hora por agente ...................................................... $ 50.00</w:t>
      </w:r>
    </w:p>
    <w:p w:rsidR="005D376F" w:rsidRPr="005D376F" w:rsidRDefault="005D376F" w:rsidP="005D376F">
      <w:pPr>
        <w:spacing w:after="200"/>
        <w:rPr>
          <w:rFonts w:ascii="Calibri" w:eastAsia="Calibri" w:hAnsi="Calibri" w:cs="Times New Roman"/>
          <w:b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CAPITULO lll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 xml:space="preserve">Derechos por Servicios de Limpia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25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Por los derechos correspondientes al servicio de limpia, mensualmente se causará y pagará la cuota de: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l.-Por predio habitacional…………. $ 100.00 mensual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ll.-Por predio comercial .............. $ 200.00 mensual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lll.-Por predio Industrial…………… $ 400.00 mensual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Articulo 26</w:t>
      </w:r>
      <w:r w:rsidRPr="005D376F">
        <w:rPr>
          <w:rFonts w:ascii="Calibri" w:eastAsia="Calibri" w:hAnsi="Calibri" w:cs="Times New Roman"/>
          <w:lang w:val="es-ES_tradnl" w:eastAsia="en-US"/>
        </w:rPr>
        <w:t xml:space="preserve">.- El derecho por el uso de basurero propiedad del Municipio se causará y cobrará de acuerdo a la siguiente clasificación: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l.-  Basura domiciliaria……………..$ 100.00 por viaje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Desechos orgánicos…………...$ 500.00 por viaje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 Desechos industriales ……...$ 600.00 por viaje</w:t>
      </w:r>
    </w:p>
    <w:p w:rsidR="005D376F" w:rsidRPr="005D376F" w:rsidRDefault="00DA3D3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>
        <w:rPr>
          <w:rFonts w:ascii="Calibri" w:eastAsia="Calibri" w:hAnsi="Calibri" w:cs="Times New Roman"/>
          <w:b/>
          <w:lang w:val="es-ES_tradnl" w:eastAsia="en-US"/>
        </w:rPr>
        <w:t>CAPITULO IV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 xml:space="preserve">Derechos por Servicios de Agua Potable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27</w:t>
      </w:r>
      <w:r w:rsidRPr="005D376F">
        <w:rPr>
          <w:rFonts w:ascii="Calibri" w:eastAsia="Calibri" w:hAnsi="Calibri" w:cs="Times New Roman"/>
          <w:lang w:val="es-ES_tradnl" w:eastAsia="en-US"/>
        </w:rPr>
        <w:t>.- Por los servicios de agua potable que preste el Municipio se pagarán bimestralmente las siguientes cuotas: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l.- Por toma doméstica………………………………………………………$ 10.00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Por toma comercial………………………………………………........$ 20.00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 Por toma industrial………………………………………………........$ 50.00</w:t>
      </w:r>
    </w:p>
    <w:p w:rsidR="005D376F" w:rsidRPr="005D376F" w:rsidRDefault="00DA3D3F" w:rsidP="005D376F">
      <w:pPr>
        <w:spacing w:after="200"/>
        <w:rPr>
          <w:rFonts w:ascii="Calibri" w:eastAsia="Calibri" w:hAnsi="Calibri"/>
          <w:lang w:val="es-ES_tradnl" w:eastAsia="en-US"/>
        </w:rPr>
      </w:pPr>
      <w:r>
        <w:rPr>
          <w:rFonts w:ascii="Calibri" w:eastAsia="Calibri" w:hAnsi="Calibri"/>
          <w:lang w:val="es-ES_tradnl" w:eastAsia="en-US"/>
        </w:rPr>
        <w:t>IV</w:t>
      </w:r>
      <w:r w:rsidR="005D376F" w:rsidRPr="005D376F">
        <w:rPr>
          <w:rFonts w:ascii="Calibri" w:eastAsia="Calibri" w:hAnsi="Calibri"/>
          <w:lang w:val="es-ES_tradnl" w:eastAsia="en-US"/>
        </w:rPr>
        <w:t>.- Por contrato de toma nueva doméstica y comercial…..$ 150.00</w:t>
      </w:r>
    </w:p>
    <w:p w:rsidR="005D376F" w:rsidRPr="005D376F" w:rsidRDefault="005D376F" w:rsidP="005D376F">
      <w:pPr>
        <w:spacing w:after="200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V.- Por contrato de toma nueva industrial………………………..$ 350.00</w:t>
      </w: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CAPITULO V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Derechos por Certificados y Constancias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28</w:t>
      </w:r>
      <w:r w:rsidRPr="005D376F">
        <w:rPr>
          <w:rFonts w:ascii="Calibri" w:eastAsia="Calibri" w:hAnsi="Calibri" w:cs="Times New Roman"/>
          <w:lang w:val="es-ES_tradnl" w:eastAsia="en-US"/>
        </w:rPr>
        <w:t>.- Por los certificados y constancias que expida la autoridad municipal, se pagarán las cuotas siguientes:</w:t>
      </w:r>
    </w:p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l.-Por cada certificado que expida el Ayuntamiento…………………….$ 100.00 </w:t>
      </w:r>
    </w:p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ll.-Por cada copia certificada que expida el Ayuntamiento……………. $ 5.00 </w:t>
      </w:r>
    </w:p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lll.-Por cada constancia que expida el ayuntamiento………………….. $ 100.00</w:t>
      </w:r>
    </w:p>
    <w:p w:rsidR="005D376F" w:rsidRPr="005D376F" w:rsidRDefault="005D376F" w:rsidP="005D376F">
      <w:pPr>
        <w:spacing w:after="200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lV.-</w:t>
      </w:r>
      <w:r w:rsidRPr="005D376F">
        <w:rPr>
          <w:rFonts w:eastAsia="Calibri"/>
          <w:lang w:val="es-ES_tradnl" w:eastAsia="en-US"/>
        </w:rPr>
        <w:t xml:space="preserve"> </w:t>
      </w:r>
      <w:r w:rsidRPr="005D376F">
        <w:rPr>
          <w:rFonts w:ascii="Calibri" w:eastAsia="Calibri" w:hAnsi="Calibri" w:cs="Times New Roman"/>
          <w:lang w:val="es-ES_tradnl" w:eastAsia="en-US"/>
        </w:rPr>
        <w:t>Por paquete de lineamiento para concurso de obra</w:t>
      </w:r>
      <w:r w:rsidRPr="005D376F">
        <w:rPr>
          <w:rFonts w:eastAsia="Calibri"/>
          <w:lang w:val="es-ES_tradnl" w:eastAsia="en-US"/>
        </w:rPr>
        <w:t xml:space="preserve"> </w:t>
      </w:r>
      <w:r w:rsidRPr="005D376F">
        <w:rPr>
          <w:rFonts w:ascii="Calibri" w:eastAsia="Calibri" w:hAnsi="Calibri" w:cs="Times New Roman"/>
          <w:lang w:val="es-ES_tradnl" w:eastAsia="en-US"/>
        </w:rPr>
        <w:t>……………$2,500.00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</w:p>
    <w:p w:rsidR="005D376F" w:rsidRPr="005D376F" w:rsidRDefault="00DA3D3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>
        <w:rPr>
          <w:rFonts w:ascii="Calibri" w:eastAsia="Calibri" w:hAnsi="Calibri" w:cs="Times New Roman"/>
          <w:b/>
          <w:lang w:val="es-ES_tradnl" w:eastAsia="en-US"/>
        </w:rPr>
        <w:t>CAPITULO VI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Derechos por Servicios de Cementerios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Articulo 29</w:t>
      </w:r>
      <w:r w:rsidRPr="005D376F">
        <w:rPr>
          <w:rFonts w:ascii="Calibri" w:eastAsia="Calibri" w:hAnsi="Calibri" w:cs="Times New Roman"/>
          <w:lang w:val="es-ES_tradnl" w:eastAsia="en-US"/>
        </w:rPr>
        <w:t>.-Los derechos a que se refiere este capítulo. Se causarán y pagarán conforme a las siguientes cuotas: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 l.- Inhumaciones en fosas y criptas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ADULTOS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a) Por temporalidad de 2 años…………..………………….$ 300.00 m2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b) Adquirida a perpetuidad…………………………………..$1,000.00 m2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c) Refrendo por depósitos de restos a 1 año…………$ 100.00 m2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En las fosas o criptas para niños, las tarifas aplicadas a cada uno de los conceptos serán el 50% de las aplicadas por los adultos.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ll.- Permiso de mantenimiento o construcción de cripta o gaveta en cualquiera de las clases de los panteones municipales...... $ 250.00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lll.- Exhumación después de transcurrido término de ley $ 500.00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>
        <w:rPr>
          <w:rFonts w:ascii="Calibri" w:eastAsia="Calibri" w:hAnsi="Calibri" w:cs="Times New Roman"/>
          <w:b/>
          <w:lang w:val="es-ES_tradnl" w:eastAsia="en-US"/>
        </w:rPr>
        <w:t>CAPITULO VII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Derechos por Servicio de Alumbrado Público</w:t>
      </w: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30</w:t>
      </w:r>
      <w:r w:rsidRPr="005D376F">
        <w:rPr>
          <w:rFonts w:ascii="Calibri" w:eastAsia="Calibri" w:hAnsi="Calibri" w:cs="Times New Roman"/>
          <w:lang w:val="es-ES_tradnl" w:eastAsia="en-US"/>
        </w:rPr>
        <w:t>.- El derecho por el servicio de alumbrado público será el que resulte de aplicar la tarifa que se describe en la Ley de Hacienda Municipal del Estado de Yucatán.</w:t>
      </w: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CAPÍTULO XIII</w:t>
      </w: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Derechos por Servicios de la Unidad de Acceso a la Información</w:t>
      </w: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 xml:space="preserve">Artículo 31.- </w:t>
      </w:r>
      <w:r w:rsidRPr="005D376F">
        <w:rPr>
          <w:rFonts w:ascii="Calibri" w:eastAsia="Calibri" w:hAnsi="Calibri"/>
          <w:lang w:val="es-ES_tradnl" w:eastAsia="en-US"/>
        </w:rPr>
        <w:t>Son sujetos obligados al pago de derechos por los servicios que presta la unidad de Acceso a la Información Pública del Municipio de Tekóm, Yucatán, las personas físicas o morales que soliciten los servicios a que se refiere este capítulo.</w:t>
      </w: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tabs>
          <w:tab w:val="left" w:pos="7144"/>
          <w:tab w:val="left" w:pos="7761"/>
        </w:tabs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Los pagos se efectuarán de acuerdo a la siguiente tabla o clasificación: </w:t>
      </w:r>
    </w:p>
    <w:p w:rsidR="005D376F" w:rsidRPr="005D376F" w:rsidRDefault="005D376F" w:rsidP="005D376F">
      <w:pPr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Copia simple tamaño carta   </w:t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  <w:t>$    1.00</w:t>
      </w:r>
    </w:p>
    <w:p w:rsidR="005D376F" w:rsidRPr="005D376F" w:rsidRDefault="005D376F" w:rsidP="005D376F">
      <w:pPr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Copia simple tamaño oficio </w:t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  <w:t>$    1.00</w:t>
      </w:r>
    </w:p>
    <w:p w:rsidR="005D376F" w:rsidRPr="005D376F" w:rsidRDefault="005D376F" w:rsidP="005D376F">
      <w:pPr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Copia certificada tamaño carta    </w:t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  <w:t>$    3.00</w:t>
      </w:r>
    </w:p>
    <w:p w:rsidR="005D376F" w:rsidRPr="005D376F" w:rsidRDefault="005D376F" w:rsidP="005D376F">
      <w:pPr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Información en disco magnético  </w:t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  <w:t>$  10.00</w:t>
      </w:r>
    </w:p>
    <w:p w:rsidR="005D376F" w:rsidRPr="005D376F" w:rsidRDefault="005D376F" w:rsidP="005D376F">
      <w:pPr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Información en DVD</w:t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</w:r>
      <w:r w:rsidRPr="005D376F">
        <w:rPr>
          <w:rFonts w:ascii="Calibri" w:eastAsia="Calibri" w:hAnsi="Calibri"/>
          <w:lang w:val="es-ES_tradnl" w:eastAsia="en-US"/>
        </w:rPr>
        <w:tab/>
        <w:t>$  30.00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CAPITULO IX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Derechos por Servicios de Supervisión Sanitaria de Matanza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Artículo 32</w:t>
      </w:r>
      <w:r w:rsidRPr="005D376F">
        <w:rPr>
          <w:rFonts w:ascii="Calibri" w:eastAsia="Calibri" w:hAnsi="Calibri" w:cs="Times New Roman"/>
          <w:lang w:val="es-ES_tradnl" w:eastAsia="en-US"/>
        </w:rPr>
        <w:t>.- Los derechos por la autorización de la matanza de ganado se pagarán de acuerdo a la siguiente tarifa.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 xml:space="preserve">l.- Ganado vacuno....................................... $ 150.00 por cabeza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 w:cs="Times New Roman"/>
          <w:lang w:val="es-ES_tradnl" w:eastAsia="en-US"/>
        </w:rPr>
      </w:pPr>
      <w:r w:rsidRPr="005D376F">
        <w:rPr>
          <w:rFonts w:ascii="Calibri" w:eastAsia="Calibri" w:hAnsi="Calibri" w:cs="Times New Roman"/>
          <w:lang w:val="es-ES_tradnl" w:eastAsia="en-US"/>
        </w:rPr>
        <w:t>ll.- Ganado porcino…………..……………………... $ 150.00 por cabeza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TITULO CUARTO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PRODUCTOS FINANCIEROS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 xml:space="preserve">Artículo 33.- </w:t>
      </w:r>
      <w:r w:rsidRPr="005D376F">
        <w:rPr>
          <w:rFonts w:ascii="Calibri" w:eastAsia="Calibri" w:hAnsi="Calibri"/>
          <w:lang w:val="es-ES_tradnl" w:eastAsia="en-US"/>
        </w:rPr>
        <w:t>El Municipio percibirá productos derivados de las inversiones financieras que realice transitoriamente con motivo de la percepción de ingresos extraordinarios o periodos de alta recaudación. Dichos depósitos deberán hacerse eligiendo la alternativa de mayor rendimiento financiero siempre y cuando, no se limite la disponibilidad inmediata de los recursos conforme las fechas en que éstos serán requeridos por la administración.</w:t>
      </w: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TITULO CUARTO</w:t>
      </w:r>
    </w:p>
    <w:p w:rsidR="005D376F" w:rsidRPr="005D376F" w:rsidRDefault="005D376F" w:rsidP="005D376F">
      <w:pPr>
        <w:spacing w:after="200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APROVECHAMIENTOS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 xml:space="preserve">Articulo 34.- </w:t>
      </w:r>
      <w:r w:rsidRPr="005D376F">
        <w:rPr>
          <w:rFonts w:ascii="Calibri" w:eastAsia="Calibri" w:hAnsi="Calibri"/>
          <w:lang w:val="es-ES_tradnl" w:eastAsia="en-US"/>
        </w:rPr>
        <w:t>Son aprovechamientos los ingresos que percibe el Estado por funciones de derecho público distintos de las contribuciones. Los ingresos derivados de financiamiento y de los que obtengan los organismos descentralizados las empresas de participación estatal.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El Municipio percibirá aprovechamientos derivados de.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 xml:space="preserve">l.- Infracciones por faltas administrativas: 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Por violación a las disposiciones contenidas en los reglamentos municipales, se cobrarán las multas establecidas en cada uno de dichos ordenamientos.</w:t>
      </w:r>
    </w:p>
    <w:p w:rsidR="005D376F" w:rsidRPr="005D376F" w:rsidRDefault="005D376F" w:rsidP="005D376F">
      <w:pPr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II.-Infracciones por faltas de carácter "fiscal:</w:t>
      </w:r>
    </w:p>
    <w:p w:rsidR="005D376F" w:rsidRPr="005D376F" w:rsidRDefault="005D376F" w:rsidP="005D376F">
      <w:pPr>
        <w:tabs>
          <w:tab w:val="left" w:pos="360"/>
        </w:tabs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a)</w:t>
      </w:r>
      <w:r w:rsidRPr="005D376F">
        <w:rPr>
          <w:rFonts w:ascii="Calibri" w:eastAsia="Calibri" w:hAnsi="Calibri"/>
          <w:lang w:val="es-ES_tradnl" w:eastAsia="en-US"/>
        </w:rPr>
        <w:tab/>
        <w:t>Por pagarse en forma extemporánea y a requerimiento de la autoridad municipal cualquiera de las contribuciones a que se refiere esta Ley, la multa se impondrá de 1.25 a 3.75 veces la Unidad de Medida y Actualización.</w:t>
      </w:r>
    </w:p>
    <w:p w:rsidR="005D376F" w:rsidRPr="005D376F" w:rsidRDefault="005D376F" w:rsidP="005D376F">
      <w:pPr>
        <w:tabs>
          <w:tab w:val="left" w:pos="360"/>
        </w:tabs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b)</w:t>
      </w:r>
      <w:r w:rsidRPr="005D376F">
        <w:rPr>
          <w:rFonts w:ascii="Calibri" w:eastAsia="Calibri" w:hAnsi="Calibri"/>
          <w:lang w:val="es-ES_tradnl" w:eastAsia="en-US"/>
        </w:rPr>
        <w:tab/>
        <w:t>Por no presentar o proporcionar el contribuyente los datos e informes que exijan las leyes fiscales o proporcionarlos extemporáneamente, hacerlo con información alterada se impondrá Multa de 1.25 a 3.75 veces la Unidad de Medida y Actualización.</w:t>
      </w:r>
    </w:p>
    <w:p w:rsidR="005D376F" w:rsidRPr="005D376F" w:rsidRDefault="005D376F" w:rsidP="005D376F">
      <w:pPr>
        <w:tabs>
          <w:tab w:val="left" w:pos="360"/>
        </w:tabs>
        <w:spacing w:after="200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c)</w:t>
      </w:r>
      <w:r w:rsidRPr="005D376F">
        <w:rPr>
          <w:rFonts w:ascii="Calibri" w:eastAsia="Calibri" w:hAnsi="Calibri"/>
          <w:lang w:val="es-ES_tradnl" w:eastAsia="en-US"/>
        </w:rPr>
        <w:tab/>
        <w:t>Por no comparecer el contribuyente ante la autoridad municipal para presentar, comprobar o aclarar cualquier asunto, para el que dicha autoridad esté facultada por las leyes fiscales vigentes se impondrá Multa de 2.25 a 4.75 veces la Unidad de Medida y Actualización.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TITULO QUINTO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 w:cs="Times New Roman"/>
          <w:b/>
          <w:lang w:val="es-ES_tradnl" w:eastAsia="en-US"/>
        </w:rPr>
      </w:pPr>
      <w:r w:rsidRPr="005D376F">
        <w:rPr>
          <w:rFonts w:ascii="Calibri" w:eastAsia="Calibri" w:hAnsi="Calibri" w:cs="Times New Roman"/>
          <w:b/>
          <w:lang w:val="es-ES_tradnl" w:eastAsia="en-US"/>
        </w:rPr>
        <w:t>PARTICIPACIONES Y APORTACIONES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 xml:space="preserve">Articulo 35.- </w:t>
      </w:r>
      <w:r w:rsidRPr="005D376F">
        <w:rPr>
          <w:rFonts w:ascii="Calibri" w:eastAsia="Calibri" w:hAnsi="Calibri"/>
          <w:lang w:val="es-ES_tradnl" w:eastAsia="en-US"/>
        </w:rPr>
        <w:t>Son participaciones y aportaciones.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La Hacienda Pública Municipal percibirá las participaciones estatales y federales determinadas en los convenios relativos y en la Ley de Coordinación Fiscal del Estado de Yucatán.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CAPÍTULO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UNICO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b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De los Empréstitos, Subsidios y los Provenientes del Estado o la Federación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lang w:val="es-ES_tradnl" w:eastAsia="en-US"/>
        </w:rPr>
        <w:t>De los Empréstitos, Subsidios y los Provenientes del Estado o la Federación. Son ingresos extraordinarios los empréstitos, los subsidios o aquellos que el Municipio reciba de la Federación o del Estado. Por conceptos diferentes a participaciones o aportaciones y los decretos excepcionalmente.</w:t>
      </w:r>
    </w:p>
    <w:p w:rsid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b/>
          <w:lang w:val="es-ES_tradnl" w:eastAsia="en-US"/>
        </w:rPr>
      </w:pPr>
    </w:p>
    <w:p w:rsid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b/>
          <w:lang w:val="en-US" w:eastAsia="en-US"/>
        </w:rPr>
      </w:pPr>
      <w:r w:rsidRPr="005D376F">
        <w:rPr>
          <w:rFonts w:ascii="Calibri" w:eastAsia="Calibri" w:hAnsi="Calibri"/>
          <w:b/>
          <w:lang w:val="en-US" w:eastAsia="en-US"/>
        </w:rPr>
        <w:t>T R A N S I T O R I O: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/>
          <w:lang w:val="en-US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lang w:val="es-ES_tradnl" w:eastAsia="en-US"/>
        </w:rPr>
      </w:pPr>
      <w:r w:rsidRPr="005D376F">
        <w:rPr>
          <w:rFonts w:ascii="Calibri" w:eastAsia="Calibri" w:hAnsi="Calibri"/>
          <w:b/>
          <w:lang w:val="es-ES_tradnl" w:eastAsia="en-US"/>
        </w:rPr>
        <w:t>ARTÍCULO UNICO</w:t>
      </w:r>
      <w:r w:rsidRPr="005D376F">
        <w:rPr>
          <w:rFonts w:ascii="Calibri" w:eastAsia="Calibri" w:hAnsi="Calibri"/>
          <w:lang w:val="es-ES_tradnl" w:eastAsia="en-US"/>
        </w:rPr>
        <w:t>. - Para poder percibir aprovechamientos vía infracciones por faltas administrativas, el Ayuntamiento deberá contar con los reglamentos municipales respectivos, los que establecerán los montos de las sanciones correspondientes.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b/>
          <w:lang w:val="es-ES_tradnl" w:eastAsia="en-US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/>
          <w:b/>
          <w:lang w:val="es-ES_tradnl" w:eastAsia="en-US"/>
        </w:rPr>
      </w:pPr>
    </w:p>
    <w:p w:rsidR="004A6703" w:rsidRDefault="004A6703" w:rsidP="00C52437">
      <w:pPr>
        <w:pStyle w:val="Sinespaciado"/>
        <w:rPr>
          <w:rFonts w:ascii="Arial" w:hAnsi="Arial" w:cs="Arial"/>
        </w:rPr>
      </w:pPr>
    </w:p>
    <w:sectPr w:rsidR="004A6703" w:rsidSect="004A6703">
      <w:headerReference w:type="default" r:id="rId8"/>
      <w:pgSz w:w="12240" w:h="20160" w:code="5"/>
      <w:pgMar w:top="1440" w:right="1325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22" w:rsidRDefault="00C60322">
      <w:pPr>
        <w:spacing w:line="240" w:lineRule="auto"/>
      </w:pPr>
      <w:r>
        <w:separator/>
      </w:r>
    </w:p>
  </w:endnote>
  <w:endnote w:type="continuationSeparator" w:id="0">
    <w:p w:rsidR="00C60322" w:rsidRDefault="00C60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22" w:rsidRDefault="00C60322">
      <w:pPr>
        <w:spacing w:line="240" w:lineRule="auto"/>
      </w:pPr>
      <w:r>
        <w:separator/>
      </w:r>
    </w:p>
  </w:footnote>
  <w:footnote w:type="continuationSeparator" w:id="0">
    <w:p w:rsidR="00C60322" w:rsidRDefault="00C60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3B" w:rsidRDefault="006341A9">
    <w:pPr>
      <w:spacing w:line="240" w:lineRule="auto"/>
      <w:jc w:val="center"/>
      <w:rPr>
        <w:rFonts w:ascii="Montserrat" w:eastAsia="Montserrat" w:hAnsi="Montserrat" w:cs="Montserrat"/>
        <w:b/>
        <w:sz w:val="26"/>
        <w:szCs w:val="2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3B3B449" wp14:editId="50183C25">
          <wp:simplePos x="0" y="0"/>
          <wp:positionH relativeFrom="column">
            <wp:posOffset>5191125</wp:posOffset>
          </wp:positionH>
          <wp:positionV relativeFrom="paragraph">
            <wp:posOffset>-132715</wp:posOffset>
          </wp:positionV>
          <wp:extent cx="914400" cy="10382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587" t="11290" r="7339" b="12096"/>
                  <a:stretch>
                    <a:fillRect/>
                  </a:stretch>
                </pic:blipFill>
                <pic:spPr>
                  <a:xfrm>
                    <a:off x="0" y="0"/>
                    <a:ext cx="9144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738C">
      <w:rPr>
        <w:rFonts w:ascii="Montserrat" w:eastAsia="Montserrat" w:hAnsi="Montserrat" w:cs="Montserrat"/>
        <w:b/>
        <w:noProof/>
        <w:sz w:val="26"/>
        <w:szCs w:val="26"/>
      </w:rPr>
      <w:drawing>
        <wp:anchor distT="114300" distB="114300" distL="114300" distR="114300" simplePos="0" relativeHeight="251661312" behindDoc="1" locked="0" layoutInCell="1" hidden="0" allowOverlap="1" wp14:anchorId="4CC8395F" wp14:editId="384DDADD">
          <wp:simplePos x="0" y="0"/>
          <wp:positionH relativeFrom="page">
            <wp:posOffset>914400</wp:posOffset>
          </wp:positionH>
          <wp:positionV relativeFrom="page">
            <wp:posOffset>323850</wp:posOffset>
          </wp:positionV>
          <wp:extent cx="745909" cy="1038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909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738C">
      <w:rPr>
        <w:rFonts w:ascii="Montserrat" w:eastAsia="Montserrat" w:hAnsi="Montserrat" w:cs="Montserrat"/>
        <w:b/>
        <w:sz w:val="26"/>
        <w:szCs w:val="26"/>
      </w:rPr>
      <w:t>H. AYUNTAMIENTO DE TEKOM</w:t>
    </w:r>
  </w:p>
  <w:p w:rsidR="00592B3B" w:rsidRDefault="0044738C">
    <w:pPr>
      <w:spacing w:line="240" w:lineRule="auto"/>
      <w:jc w:val="center"/>
      <w:rPr>
        <w:rFonts w:ascii="Montserrat" w:eastAsia="Montserrat" w:hAnsi="Montserrat" w:cs="Montserrat"/>
        <w:b/>
        <w:sz w:val="26"/>
        <w:szCs w:val="26"/>
      </w:rPr>
    </w:pPr>
    <w:r>
      <w:rPr>
        <w:rFonts w:ascii="Montserrat" w:eastAsia="Montserrat" w:hAnsi="Montserrat" w:cs="Montserrat"/>
        <w:b/>
        <w:sz w:val="26"/>
        <w:szCs w:val="26"/>
      </w:rPr>
      <w:t>ADMINISTRACIÓN 2021-2024</w:t>
    </w:r>
  </w:p>
  <w:p w:rsidR="00592B3B" w:rsidRDefault="0044738C">
    <w:pPr>
      <w:spacing w:line="240" w:lineRule="auto"/>
      <w:jc w:val="center"/>
      <w:rPr>
        <w:rFonts w:ascii="Montserrat" w:eastAsia="Montserrat" w:hAnsi="Montserrat" w:cs="Montserrat"/>
        <w:b/>
        <w:sz w:val="26"/>
        <w:szCs w:val="26"/>
      </w:rPr>
    </w:pPr>
    <w:r>
      <w:rPr>
        <w:rFonts w:ascii="Montserrat" w:eastAsia="Montserrat" w:hAnsi="Montserrat" w:cs="Montserrat"/>
        <w:b/>
        <w:sz w:val="26"/>
        <w:szCs w:val="26"/>
      </w:rPr>
      <w:t>MUNICIPIO DE TEKOM, YUCATÁN.</w:t>
    </w:r>
  </w:p>
  <w:p w:rsidR="00592B3B" w:rsidRDefault="0044738C">
    <w:pPr>
      <w:spacing w:line="240" w:lineRule="auto"/>
      <w:jc w:val="center"/>
      <w:rPr>
        <w:rFonts w:ascii="Montserrat" w:eastAsia="Montserrat" w:hAnsi="Montserrat" w:cs="Montserrat"/>
        <w:b/>
        <w:sz w:val="26"/>
        <w:szCs w:val="26"/>
      </w:rPr>
    </w:pPr>
    <w:r>
      <w:rPr>
        <w:rFonts w:ascii="Montserrat" w:eastAsia="Montserrat" w:hAnsi="Montserrat" w:cs="Montserrat"/>
        <w:b/>
        <w:sz w:val="26"/>
        <w:szCs w:val="26"/>
      </w:rPr>
      <w:t>CALLE 11 X 8 S/N PALACIO MUNICIPAL</w:t>
    </w:r>
  </w:p>
  <w:p w:rsidR="00592B3B" w:rsidRDefault="004A6703">
    <w:pPr>
      <w:spacing w:line="240" w:lineRule="auto"/>
      <w:jc w:val="center"/>
      <w:rPr>
        <w:rFonts w:ascii="Montserrat" w:eastAsia="Montserrat" w:hAnsi="Montserrat" w:cs="Montserrat"/>
        <w:b/>
        <w:sz w:val="26"/>
        <w:szCs w:val="2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4735E55" wp14:editId="48F6AE8E">
          <wp:simplePos x="0" y="0"/>
          <wp:positionH relativeFrom="page">
            <wp:align>right</wp:align>
          </wp:positionH>
          <wp:positionV relativeFrom="paragraph">
            <wp:posOffset>1895137</wp:posOffset>
          </wp:positionV>
          <wp:extent cx="7434263" cy="9614503"/>
          <wp:effectExtent l="0" t="0" r="0" b="635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4263" cy="9614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738C">
      <w:rPr>
        <w:rFonts w:ascii="Montserrat" w:eastAsia="Montserrat" w:hAnsi="Montserrat" w:cs="Montserrat"/>
        <w:b/>
        <w:sz w:val="26"/>
        <w:szCs w:val="26"/>
      </w:rPr>
      <w:t>C.P. 97768 R.F.C. MTY-850101-Q19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BD4"/>
    <w:multiLevelType w:val="hybridMultilevel"/>
    <w:tmpl w:val="4558B5AE"/>
    <w:name w:val="WW8Num23222222222222222222222222222222223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A55B5"/>
    <w:multiLevelType w:val="hybridMultilevel"/>
    <w:tmpl w:val="6F86D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7D11"/>
    <w:multiLevelType w:val="hybridMultilevel"/>
    <w:tmpl w:val="39E43DA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6EBA"/>
    <w:multiLevelType w:val="hybridMultilevel"/>
    <w:tmpl w:val="3716BD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1DB1"/>
    <w:multiLevelType w:val="hybridMultilevel"/>
    <w:tmpl w:val="1DDA7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7481"/>
    <w:multiLevelType w:val="hybridMultilevel"/>
    <w:tmpl w:val="8E0A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3B"/>
    <w:rsid w:val="000418C9"/>
    <w:rsid w:val="000575E8"/>
    <w:rsid w:val="000635E0"/>
    <w:rsid w:val="000F08EF"/>
    <w:rsid w:val="00103A8C"/>
    <w:rsid w:val="001277E8"/>
    <w:rsid w:val="00180C6D"/>
    <w:rsid w:val="002E67A6"/>
    <w:rsid w:val="00322DF3"/>
    <w:rsid w:val="003E50E6"/>
    <w:rsid w:val="00447045"/>
    <w:rsid w:val="0044738C"/>
    <w:rsid w:val="004A6703"/>
    <w:rsid w:val="004D0887"/>
    <w:rsid w:val="004D2139"/>
    <w:rsid w:val="00505E5A"/>
    <w:rsid w:val="00512B1B"/>
    <w:rsid w:val="00592B3B"/>
    <w:rsid w:val="005D376F"/>
    <w:rsid w:val="006341A9"/>
    <w:rsid w:val="006A5D2E"/>
    <w:rsid w:val="007A7001"/>
    <w:rsid w:val="00812D6F"/>
    <w:rsid w:val="00814F7E"/>
    <w:rsid w:val="00827017"/>
    <w:rsid w:val="008663D6"/>
    <w:rsid w:val="008F6A7D"/>
    <w:rsid w:val="0090630D"/>
    <w:rsid w:val="00930EF8"/>
    <w:rsid w:val="009967CE"/>
    <w:rsid w:val="00A06534"/>
    <w:rsid w:val="00A175AC"/>
    <w:rsid w:val="00AF06D2"/>
    <w:rsid w:val="00B37983"/>
    <w:rsid w:val="00B708CC"/>
    <w:rsid w:val="00BD3553"/>
    <w:rsid w:val="00C03DC2"/>
    <w:rsid w:val="00C25EAF"/>
    <w:rsid w:val="00C27A9F"/>
    <w:rsid w:val="00C52437"/>
    <w:rsid w:val="00C60322"/>
    <w:rsid w:val="00CD2D02"/>
    <w:rsid w:val="00CE55D6"/>
    <w:rsid w:val="00CF3B1C"/>
    <w:rsid w:val="00D3233A"/>
    <w:rsid w:val="00D53361"/>
    <w:rsid w:val="00D646F3"/>
    <w:rsid w:val="00DA3D3F"/>
    <w:rsid w:val="00E04A35"/>
    <w:rsid w:val="00E50C7C"/>
    <w:rsid w:val="00F04032"/>
    <w:rsid w:val="00F30604"/>
    <w:rsid w:val="00F836CF"/>
    <w:rsid w:val="00FA0852"/>
    <w:rsid w:val="00FC3D1F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37E84F-326F-4991-B55F-1858356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04A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A35"/>
  </w:style>
  <w:style w:type="paragraph" w:styleId="Piedepgina">
    <w:name w:val="footer"/>
    <w:basedOn w:val="Normal"/>
    <w:link w:val="PiedepginaCar"/>
    <w:uiPriority w:val="99"/>
    <w:unhideWhenUsed/>
    <w:rsid w:val="00E04A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35"/>
  </w:style>
  <w:style w:type="table" w:styleId="Tablaconcuadrcula">
    <w:name w:val="Table Grid"/>
    <w:basedOn w:val="Tablanormal"/>
    <w:uiPriority w:val="59"/>
    <w:rsid w:val="00CE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55D6"/>
    <w:pPr>
      <w:ind w:left="720"/>
      <w:contextualSpacing/>
    </w:pPr>
  </w:style>
  <w:style w:type="paragraph" w:styleId="Sinespaciado">
    <w:name w:val="No Spacing"/>
    <w:uiPriority w:val="1"/>
    <w:qFormat/>
    <w:rsid w:val="00814F7E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0F08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D213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2139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52437"/>
    <w:pPr>
      <w:suppressAutoHyphens/>
      <w:autoSpaceDE w:val="0"/>
      <w:autoSpaceDN w:val="0"/>
      <w:spacing w:line="240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8DBA-9838-4FBC-906C-F2F089F9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Estefany Can Tzum</dc:creator>
  <cp:lastModifiedBy>Lesly Pantoja</cp:lastModifiedBy>
  <cp:revision>2</cp:revision>
  <cp:lastPrinted>2021-11-23T15:57:00Z</cp:lastPrinted>
  <dcterms:created xsi:type="dcterms:W3CDTF">2021-11-24T18:36:00Z</dcterms:created>
  <dcterms:modified xsi:type="dcterms:W3CDTF">2021-11-24T18:36:00Z</dcterms:modified>
</cp:coreProperties>
</file>