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24" w:rsidRPr="00B76624" w:rsidRDefault="00B46AF3" w:rsidP="00B76624">
      <w:pPr>
        <w:widowControl w:val="0"/>
        <w:tabs>
          <w:tab w:val="left" w:pos="828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XLI.- </w:t>
      </w:r>
      <w:r w:rsidR="00B76624" w:rsidRPr="00B76624">
        <w:rPr>
          <w:rFonts w:ascii="Arial" w:hAnsi="Arial"/>
          <w:b/>
          <w:sz w:val="20"/>
          <w:szCs w:val="20"/>
        </w:rPr>
        <w:t>LEY DE INGRESOS DEL MUNICIPIO DE KANASÍN, YUCATÁN, PARA EL EJERCICIO FISCAL 2024</w:t>
      </w:r>
      <w:r w:rsidR="00DB7566">
        <w:rPr>
          <w:rFonts w:ascii="Arial" w:hAnsi="Arial"/>
          <w:b/>
          <w:sz w:val="20"/>
          <w:szCs w:val="20"/>
        </w:rPr>
        <w:t>:</w:t>
      </w:r>
    </w:p>
    <w:p w:rsidR="00B76624" w:rsidRPr="00B76624" w:rsidRDefault="00B76624" w:rsidP="00B76624">
      <w:pPr>
        <w:widowControl w:val="0"/>
        <w:tabs>
          <w:tab w:val="left" w:pos="8280"/>
        </w:tabs>
        <w:autoSpaceDE w:val="0"/>
        <w:autoSpaceDN w:val="0"/>
        <w:adjustRightInd w:val="0"/>
        <w:spacing w:after="0" w:line="360" w:lineRule="auto"/>
        <w:rPr>
          <w:rFonts w:ascii="Arial" w:hAnsi="Arial"/>
          <w:b/>
          <w:sz w:val="20"/>
          <w:szCs w:val="20"/>
        </w:rPr>
      </w:pPr>
    </w:p>
    <w:p w:rsidR="00B76624" w:rsidRPr="00B76624" w:rsidRDefault="00B76624" w:rsidP="00B76624">
      <w:pPr>
        <w:widowControl w:val="0"/>
        <w:tabs>
          <w:tab w:val="left" w:pos="8280"/>
        </w:tabs>
        <w:autoSpaceDE w:val="0"/>
        <w:autoSpaceDN w:val="0"/>
        <w:adjustRightInd w:val="0"/>
        <w:spacing w:after="0" w:line="360" w:lineRule="auto"/>
        <w:jc w:val="center"/>
        <w:rPr>
          <w:rFonts w:ascii="Arial" w:hAnsi="Arial"/>
          <w:b/>
          <w:sz w:val="20"/>
          <w:szCs w:val="20"/>
        </w:rPr>
      </w:pPr>
      <w:r w:rsidRPr="00B76624">
        <w:rPr>
          <w:rFonts w:ascii="Arial" w:hAnsi="Arial"/>
          <w:b/>
          <w:sz w:val="20"/>
          <w:szCs w:val="20"/>
        </w:rPr>
        <w:t>TÍTULO PRIMERO</w:t>
      </w:r>
    </w:p>
    <w:p w:rsidR="00B76624" w:rsidRPr="00B76624" w:rsidRDefault="00B76624" w:rsidP="00B76624">
      <w:pPr>
        <w:spacing w:after="0" w:line="360" w:lineRule="auto"/>
        <w:jc w:val="center"/>
        <w:rPr>
          <w:rFonts w:ascii="Arial" w:hAnsi="Arial"/>
          <w:b/>
          <w:snapToGrid w:val="0"/>
          <w:sz w:val="20"/>
          <w:szCs w:val="20"/>
        </w:rPr>
      </w:pPr>
      <w:r w:rsidRPr="00B76624">
        <w:rPr>
          <w:rFonts w:ascii="Arial" w:hAnsi="Arial"/>
          <w:b/>
          <w:snapToGrid w:val="0"/>
          <w:sz w:val="20"/>
          <w:szCs w:val="20"/>
        </w:rPr>
        <w:t>DISPOSICIONES GENERALES</w:t>
      </w:r>
    </w:p>
    <w:p w:rsidR="00B76624" w:rsidRPr="00B76624" w:rsidRDefault="00B76624" w:rsidP="00B76624">
      <w:pPr>
        <w:spacing w:after="0" w:line="360" w:lineRule="auto"/>
        <w:jc w:val="center"/>
        <w:rPr>
          <w:rFonts w:ascii="Arial" w:hAnsi="Arial"/>
          <w:b/>
          <w:snapToGrid w:val="0"/>
          <w:sz w:val="20"/>
          <w:szCs w:val="20"/>
        </w:rPr>
      </w:pPr>
    </w:p>
    <w:p w:rsidR="00B76624" w:rsidRPr="00B76624" w:rsidRDefault="00B76624" w:rsidP="00B76624">
      <w:pPr>
        <w:spacing w:after="0" w:line="360" w:lineRule="auto"/>
        <w:jc w:val="center"/>
        <w:rPr>
          <w:rFonts w:ascii="Arial" w:hAnsi="Arial"/>
          <w:snapToGrid w:val="0"/>
          <w:sz w:val="20"/>
          <w:szCs w:val="20"/>
        </w:rPr>
      </w:pPr>
      <w:r w:rsidRPr="00B76624">
        <w:rPr>
          <w:rFonts w:ascii="Arial" w:hAnsi="Arial"/>
          <w:b/>
          <w:snapToGrid w:val="0"/>
          <w:sz w:val="20"/>
          <w:szCs w:val="20"/>
        </w:rPr>
        <w:t>CAPÍTULO I</w:t>
      </w:r>
    </w:p>
    <w:p w:rsidR="00B76624" w:rsidRPr="00B76624" w:rsidRDefault="00B76624" w:rsidP="00B76624">
      <w:pPr>
        <w:spacing w:after="0" w:line="360" w:lineRule="auto"/>
        <w:jc w:val="center"/>
        <w:rPr>
          <w:rFonts w:ascii="Arial" w:hAnsi="Arial"/>
          <w:b/>
          <w:snapToGrid w:val="0"/>
          <w:sz w:val="20"/>
          <w:szCs w:val="20"/>
        </w:rPr>
      </w:pPr>
      <w:r w:rsidRPr="00B76624">
        <w:rPr>
          <w:rFonts w:ascii="Arial" w:hAnsi="Arial"/>
          <w:b/>
          <w:snapToGrid w:val="0"/>
          <w:sz w:val="20"/>
          <w:szCs w:val="20"/>
        </w:rPr>
        <w:t>De la Naturaleza y Objeto de la Ley</w:t>
      </w:r>
    </w:p>
    <w:p w:rsidR="00B76624" w:rsidRPr="00B76624" w:rsidRDefault="00B76624" w:rsidP="00B76624">
      <w:pPr>
        <w:spacing w:after="0" w:line="360" w:lineRule="auto"/>
        <w:rPr>
          <w:rFonts w:ascii="Arial" w:hAnsi="Arial"/>
          <w:b/>
          <w:snapToGrid w:val="0"/>
          <w:sz w:val="20"/>
          <w:szCs w:val="20"/>
          <w:highlight w:val="yellow"/>
        </w:rPr>
      </w:pPr>
    </w:p>
    <w:p w:rsidR="00B76624" w:rsidRPr="00B76624" w:rsidRDefault="00B76624" w:rsidP="00B76624">
      <w:pPr>
        <w:spacing w:after="0" w:line="360" w:lineRule="auto"/>
        <w:jc w:val="both"/>
        <w:rPr>
          <w:rFonts w:ascii="Arial" w:hAnsi="Arial"/>
          <w:snapToGrid w:val="0"/>
          <w:sz w:val="20"/>
          <w:szCs w:val="20"/>
        </w:rPr>
      </w:pPr>
      <w:r w:rsidRPr="00B76624">
        <w:rPr>
          <w:rFonts w:ascii="Arial" w:hAnsi="Arial"/>
          <w:b/>
          <w:snapToGrid w:val="0"/>
          <w:sz w:val="20"/>
          <w:szCs w:val="20"/>
        </w:rPr>
        <w:t xml:space="preserve">Artículo 1.- </w:t>
      </w:r>
      <w:r w:rsidRPr="00B76624">
        <w:rPr>
          <w:rFonts w:ascii="Arial" w:hAnsi="Arial"/>
          <w:snapToGrid w:val="0"/>
          <w:sz w:val="20"/>
          <w:szCs w:val="20"/>
        </w:rPr>
        <w:t xml:space="preserve">Esta </w:t>
      </w:r>
      <w:r w:rsidR="002A3CAC">
        <w:rPr>
          <w:rFonts w:ascii="Arial" w:hAnsi="Arial"/>
          <w:snapToGrid w:val="0"/>
          <w:sz w:val="20"/>
          <w:szCs w:val="20"/>
        </w:rPr>
        <w:t>L</w:t>
      </w:r>
      <w:r w:rsidRPr="00B76624">
        <w:rPr>
          <w:rFonts w:ascii="Arial" w:hAnsi="Arial"/>
          <w:snapToGrid w:val="0"/>
          <w:sz w:val="20"/>
          <w:szCs w:val="20"/>
        </w:rPr>
        <w:t xml:space="preserve">ey es de orden público y de interés social, y tiene por objeto establecer los ingresos que permitan el financiamiento de los gastos públicos establecidos y autorizados en el Presupuesto de Egresos del Municipio de Kanasín, </w:t>
      </w:r>
      <w:r w:rsidR="002A3CAC">
        <w:rPr>
          <w:rFonts w:ascii="Arial" w:hAnsi="Arial"/>
          <w:snapToGrid w:val="0"/>
          <w:sz w:val="20"/>
          <w:szCs w:val="20"/>
        </w:rPr>
        <w:t xml:space="preserve">Yucatán, </w:t>
      </w:r>
      <w:r w:rsidRPr="00B76624">
        <w:rPr>
          <w:rFonts w:ascii="Arial" w:hAnsi="Arial"/>
          <w:snapToGrid w:val="0"/>
          <w:sz w:val="20"/>
          <w:szCs w:val="20"/>
        </w:rPr>
        <w:t>así como en lo dispuesto en los convenios de coordinación y en las leyes en que se fundamenten.</w:t>
      </w:r>
    </w:p>
    <w:p w:rsidR="00B76624" w:rsidRPr="00B76624" w:rsidRDefault="00B76624" w:rsidP="00B76624">
      <w:pPr>
        <w:spacing w:after="0" w:line="360" w:lineRule="auto"/>
        <w:rPr>
          <w:rFonts w:ascii="Arial" w:hAnsi="Arial"/>
          <w:snapToGrid w:val="0"/>
          <w:sz w:val="20"/>
          <w:szCs w:val="20"/>
        </w:rPr>
      </w:pPr>
    </w:p>
    <w:p w:rsidR="00B76624" w:rsidRPr="00B76624" w:rsidRDefault="00B76624" w:rsidP="00B76624">
      <w:pPr>
        <w:spacing w:after="0" w:line="360" w:lineRule="auto"/>
        <w:jc w:val="both"/>
        <w:rPr>
          <w:rFonts w:ascii="Arial" w:hAnsi="Arial"/>
          <w:snapToGrid w:val="0"/>
          <w:sz w:val="20"/>
          <w:szCs w:val="20"/>
        </w:rPr>
      </w:pPr>
      <w:r w:rsidRPr="00B76624">
        <w:rPr>
          <w:rFonts w:ascii="Arial" w:hAnsi="Arial"/>
          <w:b/>
          <w:snapToGrid w:val="0"/>
          <w:sz w:val="20"/>
          <w:szCs w:val="20"/>
        </w:rPr>
        <w:t xml:space="preserve">Artículo 2.- </w:t>
      </w:r>
      <w:r w:rsidRPr="00B76624">
        <w:rPr>
          <w:rFonts w:ascii="Arial" w:hAnsi="Arial"/>
          <w:snapToGrid w:val="0"/>
          <w:sz w:val="20"/>
          <w:szCs w:val="20"/>
        </w:rPr>
        <w:t>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Kanasín, tuvieren bienes o celebren actos que surtan efectos en el mismo, están obligadas a contribuir para los gastos públicos de la manera que se determina en esta ley, en la Ley de Hacienda del Municipio de Kanasín,</w:t>
      </w:r>
      <w:r w:rsidR="002A3CAC">
        <w:rPr>
          <w:rFonts w:ascii="Arial" w:hAnsi="Arial"/>
          <w:snapToGrid w:val="0"/>
          <w:sz w:val="20"/>
          <w:szCs w:val="20"/>
        </w:rPr>
        <w:t xml:space="preserve"> Yucatán,</w:t>
      </w:r>
      <w:r w:rsidRPr="00B76624">
        <w:rPr>
          <w:rFonts w:ascii="Arial" w:hAnsi="Arial"/>
          <w:snapToGrid w:val="0"/>
          <w:sz w:val="20"/>
          <w:szCs w:val="20"/>
        </w:rPr>
        <w:t xml:space="preserve"> el Código Fiscal del Estado de Yucatán y en los demás ordenamientos fiscales de carácter local y federal.</w:t>
      </w:r>
    </w:p>
    <w:p w:rsidR="00B76624" w:rsidRPr="00B76624" w:rsidRDefault="00B76624" w:rsidP="00B76624">
      <w:pPr>
        <w:spacing w:after="0" w:line="360" w:lineRule="auto"/>
        <w:rPr>
          <w:rFonts w:ascii="Arial" w:hAnsi="Arial"/>
          <w:snapToGrid w:val="0"/>
          <w:sz w:val="20"/>
          <w:szCs w:val="20"/>
        </w:rPr>
      </w:pPr>
    </w:p>
    <w:p w:rsidR="00B76624" w:rsidRPr="00B76624" w:rsidRDefault="00B76624" w:rsidP="00B76624">
      <w:pPr>
        <w:spacing w:after="0" w:line="360" w:lineRule="auto"/>
        <w:jc w:val="center"/>
        <w:rPr>
          <w:rFonts w:ascii="Arial" w:hAnsi="Arial"/>
          <w:b/>
          <w:snapToGrid w:val="0"/>
          <w:sz w:val="20"/>
          <w:szCs w:val="20"/>
        </w:rPr>
      </w:pPr>
      <w:r w:rsidRPr="00B76624">
        <w:rPr>
          <w:rFonts w:ascii="Arial" w:hAnsi="Arial"/>
          <w:b/>
          <w:snapToGrid w:val="0"/>
          <w:sz w:val="20"/>
          <w:szCs w:val="20"/>
        </w:rPr>
        <w:t>CAPÍTULO II</w:t>
      </w:r>
    </w:p>
    <w:p w:rsidR="00B76624" w:rsidRPr="00B76624" w:rsidRDefault="00B76624" w:rsidP="00B76624">
      <w:pPr>
        <w:spacing w:after="0" w:line="360" w:lineRule="auto"/>
        <w:jc w:val="center"/>
        <w:rPr>
          <w:rFonts w:ascii="Arial" w:hAnsi="Arial"/>
          <w:b/>
          <w:snapToGrid w:val="0"/>
          <w:sz w:val="20"/>
          <w:szCs w:val="20"/>
        </w:rPr>
      </w:pPr>
      <w:r w:rsidRPr="00B76624">
        <w:rPr>
          <w:rFonts w:ascii="Arial" w:hAnsi="Arial"/>
          <w:b/>
          <w:snapToGrid w:val="0"/>
          <w:sz w:val="20"/>
          <w:szCs w:val="20"/>
        </w:rPr>
        <w:t>De los Conceptos de Ingreso y su Pronóstico</w:t>
      </w:r>
    </w:p>
    <w:p w:rsidR="00B76624" w:rsidRPr="00B76624" w:rsidRDefault="00B76624" w:rsidP="00B76624">
      <w:pPr>
        <w:spacing w:after="0" w:line="360" w:lineRule="auto"/>
        <w:jc w:val="center"/>
        <w:rPr>
          <w:rFonts w:ascii="Arial" w:hAnsi="Arial"/>
          <w:b/>
          <w:snapToGrid w:val="0"/>
          <w:sz w:val="20"/>
          <w:szCs w:val="20"/>
        </w:rPr>
      </w:pPr>
    </w:p>
    <w:p w:rsidR="00B76624" w:rsidRPr="00B76624" w:rsidRDefault="00B76624" w:rsidP="002A3CAC">
      <w:pPr>
        <w:spacing w:after="0" w:line="360" w:lineRule="auto"/>
        <w:jc w:val="both"/>
        <w:rPr>
          <w:rFonts w:ascii="Arial" w:hAnsi="Arial"/>
          <w:snapToGrid w:val="0"/>
          <w:sz w:val="20"/>
          <w:szCs w:val="20"/>
        </w:rPr>
      </w:pPr>
      <w:r w:rsidRPr="00B76624">
        <w:rPr>
          <w:rFonts w:ascii="Arial" w:hAnsi="Arial"/>
          <w:b/>
          <w:snapToGrid w:val="0"/>
          <w:sz w:val="20"/>
          <w:szCs w:val="20"/>
        </w:rPr>
        <w:t>A</w:t>
      </w:r>
      <w:r w:rsidR="00A46746" w:rsidRPr="00B76624">
        <w:rPr>
          <w:rFonts w:ascii="Arial" w:hAnsi="Arial"/>
          <w:b/>
          <w:snapToGrid w:val="0"/>
          <w:sz w:val="20"/>
          <w:szCs w:val="20"/>
        </w:rPr>
        <w:t>rtículo</w:t>
      </w:r>
      <w:r w:rsidRPr="00B76624">
        <w:rPr>
          <w:rFonts w:ascii="Arial" w:hAnsi="Arial"/>
          <w:b/>
          <w:snapToGrid w:val="0"/>
          <w:sz w:val="20"/>
          <w:szCs w:val="20"/>
        </w:rPr>
        <w:t xml:space="preserve"> 3.-</w:t>
      </w:r>
      <w:r w:rsidRPr="00B76624">
        <w:rPr>
          <w:rFonts w:ascii="Arial" w:hAnsi="Arial"/>
          <w:snapToGrid w:val="0"/>
          <w:sz w:val="20"/>
          <w:szCs w:val="20"/>
        </w:rPr>
        <w:t xml:space="preserve"> Los ingresos que el Municipio de Kanasín percibirá durante el ejercicio fiscal 2024 serán los provenientes de los rubros, tipos y en las cantidades estimadas que a continuación se enumeran:</w:t>
      </w:r>
    </w:p>
    <w:p w:rsidR="00B76624" w:rsidRPr="00B76624" w:rsidRDefault="002A3CAC" w:rsidP="00B76624">
      <w:pPr>
        <w:spacing w:after="0" w:line="360" w:lineRule="auto"/>
        <w:rPr>
          <w:rFonts w:ascii="Arial" w:hAnsi="Arial"/>
          <w:snapToGrid w:val="0"/>
          <w:sz w:val="20"/>
          <w:szCs w:val="20"/>
        </w:rPr>
      </w:pPr>
      <w:r>
        <w:rPr>
          <w:rFonts w:ascii="Arial" w:hAnsi="Arial"/>
          <w:snapToGrid w:val="0"/>
          <w:sz w:val="20"/>
          <w:szCs w:val="20"/>
        </w:rPr>
        <w:br w:type="column"/>
      </w:r>
    </w:p>
    <w:tbl>
      <w:tblPr>
        <w:tblStyle w:val="Tablaconcuadrcula"/>
        <w:tblW w:w="5000" w:type="pct"/>
        <w:tblLayout w:type="fixed"/>
        <w:tblLook w:val="04A0" w:firstRow="1" w:lastRow="0" w:firstColumn="1" w:lastColumn="0" w:noHBand="0" w:noVBand="1"/>
      </w:tblPr>
      <w:tblGrid>
        <w:gridCol w:w="562"/>
        <w:gridCol w:w="709"/>
        <w:gridCol w:w="851"/>
        <w:gridCol w:w="4819"/>
        <w:gridCol w:w="425"/>
        <w:gridCol w:w="1745"/>
      </w:tblGrid>
      <w:tr w:rsidR="002A3CAC" w:rsidRPr="00B76624" w:rsidTr="00DB7566">
        <w:trPr>
          <w:trHeight w:val="352"/>
        </w:trPr>
        <w:tc>
          <w:tcPr>
            <w:tcW w:w="6941" w:type="dxa"/>
            <w:gridSpan w:val="4"/>
            <w:noWrap/>
            <w:hideMark/>
          </w:tcPr>
          <w:p w:rsidR="002A3CAC" w:rsidRPr="00057457" w:rsidRDefault="002A3CAC" w:rsidP="00B76624">
            <w:pPr>
              <w:spacing w:after="0" w:line="360" w:lineRule="auto"/>
              <w:rPr>
                <w:rFonts w:ascii="Arial" w:hAnsi="Arial"/>
                <w:b/>
                <w:bCs/>
                <w:snapToGrid w:val="0"/>
                <w:sz w:val="20"/>
                <w:szCs w:val="20"/>
              </w:rPr>
            </w:pPr>
            <w:r w:rsidRPr="00057457">
              <w:rPr>
                <w:rFonts w:ascii="Arial" w:hAnsi="Arial"/>
                <w:b/>
                <w:bCs/>
                <w:snapToGrid w:val="0"/>
                <w:sz w:val="20"/>
                <w:szCs w:val="20"/>
              </w:rPr>
              <w:t>TOTAL (1+2+3+4+5+6+7+8+9)</w:t>
            </w:r>
          </w:p>
        </w:tc>
        <w:tc>
          <w:tcPr>
            <w:tcW w:w="425" w:type="dxa"/>
            <w:tcBorders>
              <w:right w:val="nil"/>
            </w:tcBorders>
          </w:tcPr>
          <w:p w:rsidR="000E6F2F" w:rsidRPr="00B76624" w:rsidRDefault="000E6F2F"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noWrap/>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473,565,300.00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p>
        </w:tc>
        <w:tc>
          <w:tcPr>
            <w:tcW w:w="709" w:type="dxa"/>
            <w:noWrap/>
            <w:hideMark/>
          </w:tcPr>
          <w:p w:rsidR="002A3CAC" w:rsidRPr="00B76624" w:rsidRDefault="002A3CAC" w:rsidP="00B76624">
            <w:pPr>
              <w:spacing w:after="0" w:line="360" w:lineRule="auto"/>
              <w:rPr>
                <w:rFonts w:ascii="Arial" w:hAnsi="Arial"/>
                <w:snapToGrid w:val="0"/>
                <w:sz w:val="20"/>
                <w:szCs w:val="20"/>
              </w:rPr>
            </w:pPr>
          </w:p>
        </w:tc>
        <w:tc>
          <w:tcPr>
            <w:tcW w:w="851" w:type="dxa"/>
            <w:noWrap/>
            <w:hideMark/>
          </w:tcPr>
          <w:p w:rsidR="002A3CAC" w:rsidRPr="00B76624" w:rsidRDefault="002A3CAC" w:rsidP="00B76624">
            <w:pPr>
              <w:spacing w:after="0" w:line="360" w:lineRule="auto"/>
              <w:rPr>
                <w:rFonts w:ascii="Arial" w:hAnsi="Arial"/>
                <w:snapToGrid w:val="0"/>
                <w:sz w:val="20"/>
                <w:szCs w:val="20"/>
              </w:rPr>
            </w:pPr>
          </w:p>
        </w:tc>
        <w:tc>
          <w:tcPr>
            <w:tcW w:w="4819" w:type="dxa"/>
            <w:noWrap/>
            <w:hideMark/>
          </w:tcPr>
          <w:p w:rsidR="002A3CAC" w:rsidRPr="00B76624" w:rsidRDefault="002A3CAC" w:rsidP="00B76624">
            <w:pPr>
              <w:spacing w:after="0" w:line="360" w:lineRule="auto"/>
              <w:rPr>
                <w:rFonts w:ascii="Arial" w:hAnsi="Arial"/>
                <w:snapToGrid w:val="0"/>
                <w:sz w:val="20"/>
                <w:szCs w:val="20"/>
              </w:rPr>
            </w:pP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noWrap/>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1</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Impuestos </w:t>
            </w:r>
          </w:p>
        </w:tc>
        <w:tc>
          <w:tcPr>
            <w:tcW w:w="425" w:type="dxa"/>
            <w:tcBorders>
              <w:right w:val="nil"/>
            </w:tcBorders>
          </w:tcPr>
          <w:p w:rsidR="002A3CAC" w:rsidRPr="00B76624" w:rsidRDefault="000E6F2F"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44,620,000.00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Impuestos Sobre el Patrimonio</w:t>
            </w:r>
          </w:p>
        </w:tc>
        <w:tc>
          <w:tcPr>
            <w:tcW w:w="425" w:type="dxa"/>
            <w:tcBorders>
              <w:right w:val="nil"/>
            </w:tcBorders>
          </w:tcPr>
          <w:p w:rsidR="002A3CAC" w:rsidRPr="00B76624" w:rsidRDefault="000E6F2F"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15,900,000.00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1.1.1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 Predial</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15,900,000.00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Impuesto Sobre la producción, el consumo y las transacciones</w:t>
            </w:r>
          </w:p>
        </w:tc>
        <w:tc>
          <w:tcPr>
            <w:tcW w:w="425" w:type="dxa"/>
            <w:tcBorders>
              <w:right w:val="nil"/>
            </w:tcBorders>
          </w:tcPr>
          <w:p w:rsidR="002A3CAC" w:rsidRPr="00B76624" w:rsidRDefault="00172CBA"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28,600,000.00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1.2.1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 sobre Adquisición de Inmuebles</w:t>
            </w:r>
          </w:p>
        </w:tc>
        <w:tc>
          <w:tcPr>
            <w:tcW w:w="425" w:type="dxa"/>
            <w:tcBorders>
              <w:right w:val="nil"/>
            </w:tcBorders>
          </w:tcPr>
          <w:p w:rsidR="002A3CAC" w:rsidRPr="00B76624" w:rsidRDefault="00172CBA"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28,600,000.00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1.3</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Impuestos sobre los Ingresos</w:t>
            </w:r>
          </w:p>
        </w:tc>
        <w:tc>
          <w:tcPr>
            <w:tcW w:w="425" w:type="dxa"/>
            <w:tcBorders>
              <w:right w:val="nil"/>
            </w:tcBorders>
          </w:tcPr>
          <w:p w:rsidR="002A3CAC" w:rsidRPr="00B76624" w:rsidRDefault="007E5FF6"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1.3.1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 sobre sobre Espectáculos y Diversiones Públicas</w:t>
            </w:r>
          </w:p>
        </w:tc>
        <w:tc>
          <w:tcPr>
            <w:tcW w:w="425" w:type="dxa"/>
            <w:tcBorders>
              <w:right w:val="nil"/>
            </w:tcBorders>
          </w:tcPr>
          <w:p w:rsidR="002A3CAC" w:rsidRPr="00B76624" w:rsidRDefault="007E5FF6"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1.4</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Accesorios de Impuestos</w:t>
            </w:r>
          </w:p>
        </w:tc>
        <w:tc>
          <w:tcPr>
            <w:tcW w:w="425" w:type="dxa"/>
            <w:tcBorders>
              <w:right w:val="nil"/>
            </w:tcBorders>
          </w:tcPr>
          <w:p w:rsidR="002A3CAC" w:rsidRPr="00B76624" w:rsidRDefault="007E5FF6"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1.4.1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Actualización de Impuestos</w:t>
            </w:r>
          </w:p>
        </w:tc>
        <w:tc>
          <w:tcPr>
            <w:tcW w:w="425" w:type="dxa"/>
            <w:tcBorders>
              <w:right w:val="nil"/>
            </w:tcBorders>
          </w:tcPr>
          <w:p w:rsidR="002A3CAC" w:rsidRPr="00B76624" w:rsidRDefault="007E5FF6"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1.4.2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Recargos de Impuestos</w:t>
            </w:r>
          </w:p>
        </w:tc>
        <w:tc>
          <w:tcPr>
            <w:tcW w:w="425" w:type="dxa"/>
            <w:tcBorders>
              <w:right w:val="nil"/>
            </w:tcBorders>
          </w:tcPr>
          <w:p w:rsidR="002A3CAC" w:rsidRPr="00B76624" w:rsidRDefault="007E5FF6"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1.4.3</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Multas de Impuestos</w:t>
            </w:r>
          </w:p>
        </w:tc>
        <w:tc>
          <w:tcPr>
            <w:tcW w:w="425" w:type="dxa"/>
            <w:tcBorders>
              <w:right w:val="nil"/>
            </w:tcBorders>
          </w:tcPr>
          <w:p w:rsidR="002A3CAC" w:rsidRPr="00B76624" w:rsidRDefault="007E5FF6"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1.4.4</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Gastos de Ejecución de Impuestos</w:t>
            </w:r>
          </w:p>
        </w:tc>
        <w:tc>
          <w:tcPr>
            <w:tcW w:w="425" w:type="dxa"/>
            <w:tcBorders>
              <w:right w:val="nil"/>
            </w:tcBorders>
          </w:tcPr>
          <w:p w:rsidR="002A3CAC" w:rsidRPr="00B76624" w:rsidRDefault="007E5FF6"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1.5</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Otros Impuestos</w:t>
            </w:r>
          </w:p>
        </w:tc>
        <w:tc>
          <w:tcPr>
            <w:tcW w:w="425" w:type="dxa"/>
            <w:tcBorders>
              <w:right w:val="nil"/>
            </w:tcBorders>
          </w:tcPr>
          <w:p w:rsidR="002A3CAC" w:rsidRPr="00B76624" w:rsidRDefault="007E5FF6"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1.6</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Impuestos de ejercicios no comprendidos en la Ley de Ingresos Vigente, causados en ejercicios fiscales anteriores pendientes de pago</w:t>
            </w:r>
          </w:p>
        </w:tc>
        <w:tc>
          <w:tcPr>
            <w:tcW w:w="425" w:type="dxa"/>
            <w:tcBorders>
              <w:right w:val="nil"/>
            </w:tcBorders>
          </w:tcPr>
          <w:p w:rsidR="002A3CAC" w:rsidRPr="00B76624" w:rsidRDefault="006E7ED3"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2</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Derechos </w:t>
            </w:r>
          </w:p>
        </w:tc>
        <w:tc>
          <w:tcPr>
            <w:tcW w:w="425" w:type="dxa"/>
            <w:tcBorders>
              <w:right w:val="nil"/>
            </w:tcBorders>
          </w:tcPr>
          <w:p w:rsidR="002A3CAC" w:rsidRPr="00B76624" w:rsidRDefault="006E7ED3"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24,856,000.00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los servicios que presta la Dirección de Desarrollo Urbano</w:t>
            </w:r>
            <w:r w:rsidRPr="00B76624">
              <w:rPr>
                <w:rFonts w:ascii="Arial" w:hAnsi="Arial"/>
                <w:snapToGrid w:val="0"/>
                <w:sz w:val="20"/>
                <w:szCs w:val="20"/>
              </w:rPr>
              <w:t>.</w:t>
            </w:r>
          </w:p>
        </w:tc>
        <w:tc>
          <w:tcPr>
            <w:tcW w:w="425" w:type="dxa"/>
            <w:tcBorders>
              <w:right w:val="nil"/>
            </w:tcBorders>
          </w:tcPr>
          <w:p w:rsidR="002A3CAC" w:rsidRPr="00B76624" w:rsidRDefault="006E7ED3"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7,200,000.00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6E7ED3">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los servicios a que se refiere e</w:t>
            </w:r>
            <w:r w:rsidR="00057457">
              <w:rPr>
                <w:rFonts w:ascii="Arial" w:hAnsi="Arial"/>
                <w:b/>
                <w:bCs/>
                <w:snapToGrid w:val="0"/>
                <w:sz w:val="20"/>
                <w:szCs w:val="20"/>
              </w:rPr>
              <w:t xml:space="preserve">l </w:t>
            </w:r>
            <w:r w:rsidRPr="00B76624">
              <w:rPr>
                <w:rFonts w:ascii="Arial" w:hAnsi="Arial"/>
                <w:b/>
                <w:bCs/>
                <w:snapToGrid w:val="0"/>
                <w:sz w:val="20"/>
                <w:szCs w:val="20"/>
              </w:rPr>
              <w:t xml:space="preserve">artículo 86 de la </w:t>
            </w:r>
            <w:r w:rsidR="006E7ED3">
              <w:rPr>
                <w:rFonts w:ascii="Arial" w:hAnsi="Arial"/>
                <w:b/>
                <w:bCs/>
                <w:snapToGrid w:val="0"/>
                <w:sz w:val="20"/>
                <w:szCs w:val="20"/>
              </w:rPr>
              <w:t>L</w:t>
            </w:r>
            <w:r w:rsidRPr="00B76624">
              <w:rPr>
                <w:rFonts w:ascii="Arial" w:hAnsi="Arial"/>
                <w:b/>
                <w:bCs/>
                <w:snapToGrid w:val="0"/>
                <w:sz w:val="20"/>
                <w:szCs w:val="20"/>
              </w:rPr>
              <w:t>ey de Hacienda del Municipio de Kanasín, Yucatán.</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2.3</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Por la expedición de certificados y constancias.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2.4</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los servicios que presta la Dirección de Catastro Municipal.</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lastRenderedPageBreak/>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2.5</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el Uso y Aprovechamiento de los Bienes de Dominio Público del Patrimonio Municipal</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2.5.1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Por el uso de locales en el mercado municipal</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2.5.2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Por el uso de espacios en la vía o parques públicos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2.6</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el Servicio Público de Panteones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2.7</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Servicio de Alumbrado Público</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2.8</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Licencias de Funcionamiento y Permisos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14,640,000.00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2.9</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los Servicios de Vigilancia y los Relativos a Vialidad</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2.10</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los Servicios de Depósito de Vehículos y Grúa</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el uso de Estacionamientos y Baños Públicos, propiedad del Municipio</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Recolección y Traslado de Residuos Sólidos no Peligrosos o Basura</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2.13</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por Permisos otorgados a Oferentes en Programas para la Promoción Económica, Turística y Cultural</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2.14</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 los Derechos por el Servicio de Agua Potable y Drenaje</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2,171,000.00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2.15</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 los Derechos por los Servicios de Limpia de Bienes Inmuebles en Desuso</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2.16</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 los Derechos por la Prestación de Servicios en Materia de Protección Civil</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2.17</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 los derechos por los servicios que presta el Rastro Municipal</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2.18</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Padrón de Proveedores y Contratistas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65,000.00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2.19</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Accesorios de Derechos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60,000.00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2.19.1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Actualización de derechos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20,000.00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2.19.2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Recargos de derechos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20,000.00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lastRenderedPageBreak/>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2.19.3</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Multas de derechos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2.19.4</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Gastos de ejecución de derechos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2.20</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Derechos no comprendidos en la Ley de Ingresos vigente, causados en ejercicios fiscales anteriores pendientes de liquidación o pago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2.20.1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Derechos no comprendidos en las fracciones de la Ley de Ingresos causados en ejercicios fiscales anteriores pendientes de liquidación o pago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noWrap/>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3</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Contribuciones de mejoras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7D1158">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3.1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Contribuciones de mejoras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3.1.1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Contribuciones de mejoras por obras públicas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3.1.2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Contribuciones de Mejoras no comprendidas en la Ley de Ingresos vigente causadas en ejercicios fiscales anteriores pendientes de liquidación o pago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noWrap/>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4</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Productos </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375,000.00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Por arrendamiento, explotación, o aprovechamiento de bienes muebles e inmuebles, del patrimonio municipal, en actividades distintas a la prestación directa por parte del Municipio de un servicio público. </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30,000.00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DB7566">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 Por la enajenación de bienes muebles e inmuebles del dominio privado del patrimonio municipal</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30,000.00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4.3</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Por la venta de formas oficiales impresas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4.4</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Por los daños que sufrieren las vías públicas o los bienes del patrimonio municipal afectados a la prestación de un servicio público, causados por cualquier persona.</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lastRenderedPageBreak/>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4.5</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7D1158">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 Por copias simples o impresas de documentos diversos o en medios magnéticos de información, por los cuales no se causen derechos en términos del Título segundo de la </w:t>
            </w:r>
            <w:r w:rsidR="007D1158">
              <w:rPr>
                <w:rFonts w:ascii="Arial" w:hAnsi="Arial"/>
                <w:b/>
                <w:bCs/>
                <w:snapToGrid w:val="0"/>
                <w:sz w:val="20"/>
                <w:szCs w:val="20"/>
              </w:rPr>
              <w:t>L</w:t>
            </w:r>
            <w:r w:rsidRPr="00B76624">
              <w:rPr>
                <w:rFonts w:ascii="Arial" w:hAnsi="Arial"/>
                <w:b/>
                <w:bCs/>
                <w:snapToGrid w:val="0"/>
                <w:sz w:val="20"/>
                <w:szCs w:val="20"/>
              </w:rPr>
              <w:t>ey de Hacienda del Municipio de Kanasín, Yucatán.</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4.6</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Por la enajenación y venta de bases para participar en procedimientos de licitación pública.</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4.7</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Del remate de bienes mostrencos y abandonados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4.8</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Productos no comprendidos en la Ley de Ingresos vigente causados en ejercicios fiscales anteriores pendientes de liquidación o pago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4.8.1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Productos no comprendidos en las fracciones de la Ley de Ingresos vigente, causados en ejercicios fiscales anteriores pendientes de liquidación o pago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noWrap/>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5</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Aprovechamientos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Aprovechamientos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5.1.1</w:t>
            </w:r>
          </w:p>
        </w:tc>
        <w:tc>
          <w:tcPr>
            <w:tcW w:w="4819" w:type="dxa"/>
            <w:hideMark/>
          </w:tcPr>
          <w:p w:rsidR="002A3CAC" w:rsidRPr="00B76624" w:rsidRDefault="007D1158" w:rsidP="007D1158">
            <w:pPr>
              <w:spacing w:after="0" w:line="360" w:lineRule="auto"/>
              <w:jc w:val="both"/>
              <w:rPr>
                <w:rFonts w:ascii="Arial" w:hAnsi="Arial"/>
                <w:snapToGrid w:val="0"/>
                <w:sz w:val="20"/>
                <w:szCs w:val="20"/>
              </w:rPr>
            </w:pPr>
            <w:r>
              <w:rPr>
                <w:rFonts w:ascii="Arial" w:hAnsi="Arial"/>
                <w:snapToGrid w:val="0"/>
                <w:sz w:val="20"/>
                <w:szCs w:val="20"/>
              </w:rPr>
              <w:t>Multas por infracciones a las L</w:t>
            </w:r>
            <w:r w:rsidR="002A3CAC" w:rsidRPr="00B76624">
              <w:rPr>
                <w:rFonts w:ascii="Arial" w:hAnsi="Arial"/>
                <w:snapToGrid w:val="0"/>
                <w:sz w:val="20"/>
                <w:szCs w:val="20"/>
              </w:rPr>
              <w:t xml:space="preserve">eyes y </w:t>
            </w:r>
            <w:r>
              <w:rPr>
                <w:rFonts w:ascii="Arial" w:hAnsi="Arial"/>
                <w:snapToGrid w:val="0"/>
                <w:sz w:val="20"/>
                <w:szCs w:val="20"/>
              </w:rPr>
              <w:t>R</w:t>
            </w:r>
            <w:r w:rsidR="002A3CAC" w:rsidRPr="00B76624">
              <w:rPr>
                <w:rFonts w:ascii="Arial" w:hAnsi="Arial"/>
                <w:snapToGrid w:val="0"/>
                <w:sz w:val="20"/>
                <w:szCs w:val="20"/>
              </w:rPr>
              <w:t xml:space="preserve">eglamentos </w:t>
            </w:r>
            <w:r>
              <w:rPr>
                <w:rFonts w:ascii="Arial" w:hAnsi="Arial"/>
                <w:snapToGrid w:val="0"/>
                <w:sz w:val="20"/>
                <w:szCs w:val="20"/>
              </w:rPr>
              <w:t>M</w:t>
            </w:r>
            <w:r w:rsidR="002A3CAC" w:rsidRPr="00B76624">
              <w:rPr>
                <w:rFonts w:ascii="Arial" w:hAnsi="Arial"/>
                <w:snapToGrid w:val="0"/>
                <w:sz w:val="20"/>
                <w:szCs w:val="20"/>
              </w:rPr>
              <w:t>unicipales y otros ordenamientos aplicables.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5.1.2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Gastos de ejecución e indemnizaciones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5.1.3</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Multas federales no fiscales.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5.1.4</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Honorarios por notificación.</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5.1.5</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xml:space="preserve">Multas impuestas a servidores públicos o a personas físicas o morales, públicas o privadas, como medios de apremio para hacer cumplir las determinaciones de la autoridad investigadora, sustanciadora o resolutora, durante el Procedimiento de probable Responsabilidad </w:t>
            </w:r>
            <w:r w:rsidRPr="00B76624">
              <w:rPr>
                <w:rFonts w:ascii="Arial" w:hAnsi="Arial"/>
                <w:snapToGrid w:val="0"/>
                <w:sz w:val="20"/>
                <w:szCs w:val="20"/>
              </w:rPr>
              <w:lastRenderedPageBreak/>
              <w:t>Administrativa, o por otros ordenamientos aplicables.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lastRenderedPageBreak/>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lastRenderedPageBreak/>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Accesorios de Aprovechamientos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5.2.1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xml:space="preserve">Gastos de ejecución </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5.2.2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Recargos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5.2.3</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Aprovechamientos diversos de tipo corriente</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5,000.00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5.3</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Aprovechamientos no comprendidos en la Ley de Ingresos vigente, causados en ejercicios fiscales anteriores pendientes de liquidación o pago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noWrap/>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6</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Otros ingresos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6.1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Ingresos Financieros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150,000.00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6.2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Donativos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noWrap/>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7</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Participaciones, Aportaciones, Convenios, Incentivos Derivados de la Colaboración Fiscal y Fondos Distintos de Aportaciones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403,439,300.00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Participaciones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242,000,000.00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General de Participaciones</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de Fiscalización y Recaudación</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7.1.3</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de Fomento Municipal</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7.1.4</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 Especial sobre Producción y Servicios</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7.1.5</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 Especial sobre la venta final de gasolina y diésel</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7.1.6</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Tenencia o uso de vehículos</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7.1.7</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Impuestos Estatales</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7.1.8</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ISR</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7.1.9</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de Estabilización de los Ingresos de las Entidades   Federativas (FEIEF)</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Aportaciones </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161,439,300.00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lastRenderedPageBreak/>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7.2.1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de Aportaciones para la Infraestructura Social Municipal</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36,095,400.00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7.2.2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de Aportaciones para el Fortalecimiento de los Municipios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125,343,900.00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7.3</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Convenios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7.3.1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Con la Federación o el Estado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7.4</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Incentivos Derivados de la Colaboración Fiscal</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7.4.1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Impuesto sobre Automóviles Nuevos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7.4.2</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Fondo de compensación del Impuesto sobre Automóviles Nuevos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7.4.3</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Multas impuestas por autoridades federales, no fiscales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noWrap/>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8</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Transferencias, Asignaciones, Subsidios y Subvenciones, y Pensiones y Jubilaciones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8.1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Transferencias y Asignaciones </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8.1.1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Transferencias y Asignaciones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8.2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 xml:space="preserve">Subsidios y Subvenciones  </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8.2.1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Subsidios y Subvenciones</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w:t>
            </w:r>
          </w:p>
        </w:tc>
        <w:tc>
          <w:tcPr>
            <w:tcW w:w="425" w:type="dxa"/>
            <w:tcBorders>
              <w:right w:val="nil"/>
            </w:tcBorders>
          </w:tcPr>
          <w:p w:rsidR="002A3CAC" w:rsidRPr="00B76624" w:rsidRDefault="002A3CAC" w:rsidP="00B76624">
            <w:pPr>
              <w:spacing w:after="0" w:line="360" w:lineRule="auto"/>
              <w:jc w:val="right"/>
              <w:rPr>
                <w:rFonts w:ascii="Arial" w:hAnsi="Arial"/>
                <w:snapToGrid w:val="0"/>
                <w:sz w:val="20"/>
                <w:szCs w:val="20"/>
              </w:rPr>
            </w:pP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9</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Ingresos derivados de Financiamientos</w:t>
            </w:r>
          </w:p>
        </w:tc>
        <w:tc>
          <w:tcPr>
            <w:tcW w:w="425" w:type="dxa"/>
            <w:tcBorders>
              <w:right w:val="nil"/>
            </w:tcBorders>
          </w:tcPr>
          <w:p w:rsidR="002A3CAC" w:rsidRPr="00B76624" w:rsidRDefault="007D1158" w:rsidP="00B76624">
            <w:pPr>
              <w:spacing w:after="0" w:line="360" w:lineRule="auto"/>
              <w:jc w:val="right"/>
              <w:rPr>
                <w:rFonts w:ascii="Arial" w:hAnsi="Arial"/>
                <w:b/>
                <w:bCs/>
                <w:snapToGrid w:val="0"/>
                <w:sz w:val="20"/>
                <w:szCs w:val="20"/>
              </w:rPr>
            </w:pPr>
            <w:r>
              <w:rPr>
                <w:rFonts w:ascii="Arial" w:hAnsi="Arial"/>
                <w:b/>
                <w:bCs/>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b/>
                <w:bCs/>
                <w:snapToGrid w:val="0"/>
                <w:sz w:val="20"/>
                <w:szCs w:val="20"/>
              </w:rPr>
            </w:pPr>
            <w:r w:rsidRPr="00B76624">
              <w:rPr>
                <w:rFonts w:ascii="Arial" w:hAnsi="Arial"/>
                <w:b/>
                <w:bCs/>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9.1</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Endeudamiento interno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9.1.1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xml:space="preserve">      Endeudamiento interno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9.2</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4819" w:type="dxa"/>
            <w:hideMark/>
          </w:tcPr>
          <w:p w:rsidR="002A3CAC" w:rsidRPr="00B76624" w:rsidRDefault="002A3CAC" w:rsidP="002A3CAC">
            <w:pPr>
              <w:spacing w:after="0" w:line="360" w:lineRule="auto"/>
              <w:jc w:val="both"/>
              <w:rPr>
                <w:rFonts w:ascii="Arial" w:hAnsi="Arial"/>
                <w:b/>
                <w:bCs/>
                <w:snapToGrid w:val="0"/>
                <w:sz w:val="20"/>
                <w:szCs w:val="20"/>
              </w:rPr>
            </w:pPr>
            <w:r w:rsidRPr="00B76624">
              <w:rPr>
                <w:rFonts w:ascii="Arial" w:hAnsi="Arial"/>
                <w:b/>
                <w:bCs/>
                <w:snapToGrid w:val="0"/>
                <w:sz w:val="20"/>
                <w:szCs w:val="20"/>
              </w:rPr>
              <w:t>Financiamiento Interno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r w:rsidR="002A3CAC" w:rsidRPr="00B76624" w:rsidTr="00DB7566">
        <w:trPr>
          <w:trHeight w:val="20"/>
        </w:trPr>
        <w:tc>
          <w:tcPr>
            <w:tcW w:w="562" w:type="dxa"/>
            <w:noWrap/>
            <w:hideMark/>
          </w:tcPr>
          <w:p w:rsidR="002A3CAC" w:rsidRPr="00B76624" w:rsidRDefault="002A3CAC" w:rsidP="00B76624">
            <w:pPr>
              <w:spacing w:after="0" w:line="360" w:lineRule="auto"/>
              <w:rPr>
                <w:rFonts w:ascii="Arial" w:hAnsi="Arial"/>
                <w:b/>
                <w:bCs/>
                <w:snapToGrid w:val="0"/>
                <w:sz w:val="20"/>
                <w:szCs w:val="20"/>
              </w:rPr>
            </w:pPr>
            <w:r w:rsidRPr="00B76624">
              <w:rPr>
                <w:rFonts w:ascii="Arial" w:hAnsi="Arial"/>
                <w:b/>
                <w:bCs/>
                <w:snapToGrid w:val="0"/>
                <w:sz w:val="20"/>
                <w:szCs w:val="20"/>
              </w:rPr>
              <w:t> </w:t>
            </w:r>
          </w:p>
        </w:tc>
        <w:tc>
          <w:tcPr>
            <w:tcW w:w="709"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 </w:t>
            </w:r>
          </w:p>
        </w:tc>
        <w:tc>
          <w:tcPr>
            <w:tcW w:w="851" w:type="dxa"/>
            <w:noWrap/>
            <w:hideMark/>
          </w:tcPr>
          <w:p w:rsidR="002A3CAC" w:rsidRPr="00B76624" w:rsidRDefault="002A3CAC" w:rsidP="00B76624">
            <w:pPr>
              <w:spacing w:after="0" w:line="360" w:lineRule="auto"/>
              <w:rPr>
                <w:rFonts w:ascii="Arial" w:hAnsi="Arial"/>
                <w:snapToGrid w:val="0"/>
                <w:sz w:val="20"/>
                <w:szCs w:val="20"/>
              </w:rPr>
            </w:pPr>
            <w:r w:rsidRPr="00B76624">
              <w:rPr>
                <w:rFonts w:ascii="Arial" w:hAnsi="Arial"/>
                <w:snapToGrid w:val="0"/>
                <w:sz w:val="20"/>
                <w:szCs w:val="20"/>
              </w:rPr>
              <w:t>9.2.1</w:t>
            </w:r>
          </w:p>
        </w:tc>
        <w:tc>
          <w:tcPr>
            <w:tcW w:w="4819" w:type="dxa"/>
            <w:hideMark/>
          </w:tcPr>
          <w:p w:rsidR="002A3CAC" w:rsidRPr="00B76624" w:rsidRDefault="002A3CAC" w:rsidP="002A3CAC">
            <w:pPr>
              <w:spacing w:after="0" w:line="360" w:lineRule="auto"/>
              <w:jc w:val="both"/>
              <w:rPr>
                <w:rFonts w:ascii="Arial" w:hAnsi="Arial"/>
                <w:snapToGrid w:val="0"/>
                <w:sz w:val="20"/>
                <w:szCs w:val="20"/>
              </w:rPr>
            </w:pPr>
            <w:r w:rsidRPr="00B76624">
              <w:rPr>
                <w:rFonts w:ascii="Arial" w:hAnsi="Arial"/>
                <w:snapToGrid w:val="0"/>
                <w:sz w:val="20"/>
                <w:szCs w:val="20"/>
              </w:rPr>
              <w:t xml:space="preserve"> Financiamiento interno</w:t>
            </w:r>
          </w:p>
        </w:tc>
        <w:tc>
          <w:tcPr>
            <w:tcW w:w="425" w:type="dxa"/>
            <w:tcBorders>
              <w:right w:val="nil"/>
            </w:tcBorders>
          </w:tcPr>
          <w:p w:rsidR="002A3CAC" w:rsidRPr="00B76624" w:rsidRDefault="007D1158" w:rsidP="00B76624">
            <w:pPr>
              <w:spacing w:after="0" w:line="360" w:lineRule="auto"/>
              <w:jc w:val="right"/>
              <w:rPr>
                <w:rFonts w:ascii="Arial" w:hAnsi="Arial"/>
                <w:snapToGrid w:val="0"/>
                <w:sz w:val="20"/>
                <w:szCs w:val="20"/>
              </w:rPr>
            </w:pPr>
            <w:r>
              <w:rPr>
                <w:rFonts w:ascii="Arial" w:hAnsi="Arial"/>
                <w:snapToGrid w:val="0"/>
                <w:sz w:val="20"/>
                <w:szCs w:val="20"/>
              </w:rPr>
              <w:t>$</w:t>
            </w:r>
          </w:p>
        </w:tc>
        <w:tc>
          <w:tcPr>
            <w:tcW w:w="1745" w:type="dxa"/>
            <w:tcBorders>
              <w:left w:val="nil"/>
            </w:tcBorders>
            <w:hideMark/>
          </w:tcPr>
          <w:p w:rsidR="002A3CAC" w:rsidRPr="00B76624" w:rsidRDefault="002A3CAC" w:rsidP="00172CBA">
            <w:pPr>
              <w:spacing w:after="0" w:line="360" w:lineRule="auto"/>
              <w:jc w:val="right"/>
              <w:rPr>
                <w:rFonts w:ascii="Arial" w:hAnsi="Arial"/>
                <w:snapToGrid w:val="0"/>
                <w:sz w:val="20"/>
                <w:szCs w:val="20"/>
              </w:rPr>
            </w:pPr>
            <w:r w:rsidRPr="00B76624">
              <w:rPr>
                <w:rFonts w:ascii="Arial" w:hAnsi="Arial"/>
                <w:snapToGrid w:val="0"/>
                <w:sz w:val="20"/>
                <w:szCs w:val="20"/>
              </w:rPr>
              <w:t xml:space="preserve">0.00 </w:t>
            </w:r>
          </w:p>
        </w:tc>
      </w:tr>
    </w:tbl>
    <w:p w:rsidR="00B76624" w:rsidRPr="00B76624" w:rsidRDefault="00B76624" w:rsidP="00B76624">
      <w:pPr>
        <w:spacing w:after="0" w:line="360" w:lineRule="auto"/>
        <w:jc w:val="center"/>
        <w:rPr>
          <w:rFonts w:ascii="Arial" w:hAnsi="Arial"/>
          <w:snapToGrid w:val="0"/>
          <w:sz w:val="20"/>
          <w:szCs w:val="20"/>
        </w:rPr>
      </w:pPr>
    </w:p>
    <w:p w:rsidR="00B76624" w:rsidRPr="00B76624" w:rsidRDefault="00B76624" w:rsidP="00B76624">
      <w:pPr>
        <w:widowControl w:val="0"/>
        <w:autoSpaceDE w:val="0"/>
        <w:autoSpaceDN w:val="0"/>
        <w:adjustRightInd w:val="0"/>
        <w:spacing w:after="0" w:line="360" w:lineRule="auto"/>
        <w:jc w:val="both"/>
        <w:rPr>
          <w:rFonts w:ascii="Arial" w:hAnsi="Arial"/>
          <w:b/>
          <w:snapToGrid w:val="0"/>
          <w:sz w:val="20"/>
          <w:szCs w:val="20"/>
        </w:rPr>
      </w:pPr>
      <w:r w:rsidRPr="00B76624">
        <w:rPr>
          <w:rFonts w:ascii="Arial" w:hAnsi="Arial"/>
          <w:b/>
          <w:snapToGrid w:val="0"/>
          <w:sz w:val="20"/>
          <w:szCs w:val="20"/>
        </w:rPr>
        <w:t xml:space="preserve">Artículo 4.- </w:t>
      </w:r>
      <w:r w:rsidRPr="00B76624">
        <w:rPr>
          <w:rFonts w:ascii="Arial" w:hAnsi="Arial"/>
          <w:snapToGrid w:val="0"/>
          <w:sz w:val="20"/>
          <w:szCs w:val="20"/>
        </w:rPr>
        <w:t>El total de ingresos para el ejercicio fiscal 2024 será de $</w:t>
      </w:r>
      <w:r w:rsidRPr="00B76624">
        <w:rPr>
          <w:rFonts w:ascii="Arial" w:eastAsia="Times New Roman" w:hAnsi="Arial"/>
          <w:b/>
          <w:bCs/>
          <w:color w:val="000000"/>
          <w:sz w:val="20"/>
          <w:szCs w:val="20"/>
          <w:lang w:eastAsia="es-ES"/>
        </w:rPr>
        <w:t xml:space="preserve"> </w:t>
      </w:r>
      <w:r w:rsidRPr="00B76624">
        <w:rPr>
          <w:rFonts w:ascii="Arial" w:hAnsi="Arial"/>
          <w:b/>
          <w:bCs/>
          <w:snapToGrid w:val="0"/>
          <w:sz w:val="20"/>
          <w:szCs w:val="20"/>
        </w:rPr>
        <w:t>473,565,300.00</w:t>
      </w:r>
      <w:r w:rsidRPr="00B76624">
        <w:rPr>
          <w:rFonts w:ascii="Arial" w:hAnsi="Arial"/>
          <w:b/>
          <w:snapToGrid w:val="0"/>
          <w:sz w:val="20"/>
          <w:szCs w:val="20"/>
        </w:rPr>
        <w:t>, son: (CUATROCIENTOS SETENTA Y TRES MILLONES QUINIENTOS SESENTA Y CINCO MIL TRESCIENTOS PESOS 00/100 MONEDA NACIONAL).</w:t>
      </w:r>
    </w:p>
    <w:p w:rsidR="00B76624" w:rsidRPr="00B76624" w:rsidRDefault="00B76624" w:rsidP="00B76624">
      <w:pPr>
        <w:spacing w:after="0" w:line="360" w:lineRule="auto"/>
        <w:jc w:val="center"/>
        <w:rPr>
          <w:rFonts w:ascii="Arial" w:hAnsi="Arial"/>
          <w:b/>
          <w:snapToGrid w:val="0"/>
          <w:sz w:val="20"/>
          <w:szCs w:val="20"/>
        </w:rPr>
      </w:pPr>
    </w:p>
    <w:p w:rsidR="00B76624" w:rsidRPr="00B76624" w:rsidRDefault="00B76624" w:rsidP="00B76624">
      <w:pPr>
        <w:spacing w:after="0" w:line="360" w:lineRule="auto"/>
        <w:jc w:val="center"/>
        <w:rPr>
          <w:rFonts w:ascii="Arial" w:hAnsi="Arial"/>
          <w:b/>
          <w:snapToGrid w:val="0"/>
          <w:sz w:val="20"/>
          <w:szCs w:val="20"/>
        </w:rPr>
      </w:pPr>
      <w:r w:rsidRPr="00B76624">
        <w:rPr>
          <w:rFonts w:ascii="Arial" w:hAnsi="Arial"/>
          <w:b/>
          <w:snapToGrid w:val="0"/>
          <w:sz w:val="20"/>
          <w:szCs w:val="20"/>
        </w:rPr>
        <w:lastRenderedPageBreak/>
        <w:t>CAPÍTULO III</w:t>
      </w:r>
    </w:p>
    <w:p w:rsidR="00B76624" w:rsidRPr="00B76624" w:rsidRDefault="00B76624" w:rsidP="00B76624">
      <w:pPr>
        <w:spacing w:after="0" w:line="360" w:lineRule="auto"/>
        <w:jc w:val="center"/>
        <w:rPr>
          <w:rFonts w:ascii="Arial" w:hAnsi="Arial"/>
          <w:b/>
          <w:snapToGrid w:val="0"/>
          <w:sz w:val="20"/>
          <w:szCs w:val="20"/>
        </w:rPr>
      </w:pPr>
      <w:r w:rsidRPr="00B76624">
        <w:rPr>
          <w:rFonts w:ascii="Arial" w:hAnsi="Arial"/>
          <w:b/>
          <w:snapToGrid w:val="0"/>
          <w:sz w:val="20"/>
          <w:szCs w:val="20"/>
        </w:rPr>
        <w:t xml:space="preserve">De las </w:t>
      </w:r>
      <w:r w:rsidR="005C6261">
        <w:rPr>
          <w:rFonts w:ascii="Arial" w:hAnsi="Arial"/>
          <w:b/>
          <w:snapToGrid w:val="0"/>
          <w:sz w:val="20"/>
          <w:szCs w:val="20"/>
        </w:rPr>
        <w:t>D</w:t>
      </w:r>
      <w:r w:rsidRPr="00B76624">
        <w:rPr>
          <w:rFonts w:ascii="Arial" w:hAnsi="Arial"/>
          <w:b/>
          <w:snapToGrid w:val="0"/>
          <w:sz w:val="20"/>
          <w:szCs w:val="20"/>
        </w:rPr>
        <w:t xml:space="preserve">isposiciones </w:t>
      </w:r>
      <w:r w:rsidR="005C6261">
        <w:rPr>
          <w:rFonts w:ascii="Arial" w:hAnsi="Arial"/>
          <w:b/>
          <w:snapToGrid w:val="0"/>
          <w:sz w:val="20"/>
          <w:szCs w:val="20"/>
        </w:rPr>
        <w:t>G</w:t>
      </w:r>
      <w:r w:rsidRPr="00B76624">
        <w:rPr>
          <w:rFonts w:ascii="Arial" w:hAnsi="Arial"/>
          <w:b/>
          <w:snapToGrid w:val="0"/>
          <w:sz w:val="20"/>
          <w:szCs w:val="20"/>
        </w:rPr>
        <w:t>enerales</w:t>
      </w:r>
    </w:p>
    <w:p w:rsidR="00B76624" w:rsidRPr="00B76624" w:rsidRDefault="00B76624" w:rsidP="00B76624">
      <w:pPr>
        <w:spacing w:after="0" w:line="360" w:lineRule="auto"/>
        <w:jc w:val="center"/>
        <w:rPr>
          <w:rFonts w:ascii="Arial" w:hAnsi="Arial"/>
          <w:b/>
          <w:snapToGrid w:val="0"/>
          <w:sz w:val="20"/>
          <w:szCs w:val="20"/>
        </w:rPr>
      </w:pPr>
    </w:p>
    <w:p w:rsidR="00B76624" w:rsidRPr="00B76624" w:rsidRDefault="00B76624" w:rsidP="00B76624">
      <w:pPr>
        <w:spacing w:after="0" w:line="360" w:lineRule="auto"/>
        <w:jc w:val="both"/>
        <w:rPr>
          <w:rFonts w:ascii="Arial" w:hAnsi="Arial"/>
          <w:snapToGrid w:val="0"/>
          <w:sz w:val="20"/>
          <w:szCs w:val="20"/>
        </w:rPr>
      </w:pPr>
      <w:r w:rsidRPr="00B76624">
        <w:rPr>
          <w:rFonts w:ascii="Arial" w:hAnsi="Arial"/>
          <w:b/>
          <w:snapToGrid w:val="0"/>
          <w:sz w:val="20"/>
          <w:szCs w:val="20"/>
        </w:rPr>
        <w:t>Artículo 5.-</w:t>
      </w:r>
      <w:r w:rsidRPr="00B76624">
        <w:rPr>
          <w:rFonts w:ascii="Arial" w:hAnsi="Arial"/>
          <w:snapToGrid w:val="0"/>
          <w:sz w:val="20"/>
          <w:szCs w:val="20"/>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rsidR="00B76624" w:rsidRPr="00B76624" w:rsidRDefault="00B76624" w:rsidP="00B76624">
      <w:pPr>
        <w:spacing w:after="0" w:line="360" w:lineRule="auto"/>
        <w:jc w:val="both"/>
        <w:rPr>
          <w:rFonts w:ascii="Arial" w:hAnsi="Arial"/>
          <w:snapToGrid w:val="0"/>
          <w:sz w:val="20"/>
          <w:szCs w:val="20"/>
        </w:rPr>
      </w:pPr>
    </w:p>
    <w:p w:rsidR="00B76624" w:rsidRPr="00B76624" w:rsidRDefault="00B76624" w:rsidP="00B76624">
      <w:pPr>
        <w:spacing w:after="0" w:line="360" w:lineRule="auto"/>
        <w:jc w:val="both"/>
        <w:rPr>
          <w:rFonts w:ascii="Arial" w:hAnsi="Arial"/>
          <w:snapToGrid w:val="0"/>
          <w:sz w:val="20"/>
          <w:szCs w:val="20"/>
        </w:rPr>
      </w:pPr>
      <w:r w:rsidRPr="00B76624">
        <w:rPr>
          <w:rFonts w:ascii="Arial" w:hAnsi="Arial"/>
          <w:snapToGrid w:val="0"/>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B76624" w:rsidRPr="00B76624" w:rsidRDefault="00B76624" w:rsidP="00B76624">
      <w:pPr>
        <w:spacing w:after="0" w:line="360" w:lineRule="auto"/>
        <w:jc w:val="both"/>
        <w:rPr>
          <w:rFonts w:ascii="Arial" w:hAnsi="Arial"/>
          <w:snapToGrid w:val="0"/>
          <w:sz w:val="20"/>
          <w:szCs w:val="20"/>
        </w:rPr>
      </w:pPr>
    </w:p>
    <w:p w:rsidR="00B76624" w:rsidRPr="00B76624" w:rsidRDefault="00B76624" w:rsidP="00B76624">
      <w:pPr>
        <w:spacing w:after="0" w:line="360" w:lineRule="auto"/>
        <w:jc w:val="both"/>
        <w:rPr>
          <w:rFonts w:ascii="Arial" w:eastAsia="Times New Roman" w:hAnsi="Arial"/>
          <w:snapToGrid w:val="0"/>
          <w:sz w:val="20"/>
          <w:szCs w:val="20"/>
          <w:lang w:eastAsia="es-ES"/>
        </w:rPr>
      </w:pPr>
      <w:r w:rsidRPr="00B76624">
        <w:rPr>
          <w:rFonts w:ascii="Arial" w:eastAsia="Times New Roman" w:hAnsi="Arial"/>
          <w:b/>
          <w:snapToGrid w:val="0"/>
          <w:sz w:val="20"/>
          <w:szCs w:val="20"/>
          <w:lang w:eastAsia="es-ES"/>
        </w:rPr>
        <w:t xml:space="preserve">Artículo 6.- </w:t>
      </w:r>
      <w:r w:rsidRPr="00B76624">
        <w:rPr>
          <w:rFonts w:ascii="Arial" w:eastAsia="Times New Roman" w:hAnsi="Arial"/>
          <w:snapToGrid w:val="0"/>
          <w:sz w:val="20"/>
          <w:szCs w:val="20"/>
          <w:lang w:eastAsia="es-ES"/>
        </w:rPr>
        <w:t>Las contribuciones causadas en ejercicios fiscales anteriores, pendientes de liquidación o pago se determinarán de conformidad con las disposiciones legales que rigieron en la época en que se causaron.</w:t>
      </w:r>
    </w:p>
    <w:p w:rsidR="00B76624" w:rsidRPr="00B76624" w:rsidRDefault="00B76624" w:rsidP="00B76624">
      <w:pPr>
        <w:spacing w:after="0" w:line="360" w:lineRule="auto"/>
        <w:jc w:val="both"/>
        <w:rPr>
          <w:rFonts w:ascii="Arial" w:eastAsia="Times New Roman" w:hAnsi="Arial"/>
          <w:snapToGrid w:val="0"/>
          <w:sz w:val="20"/>
          <w:szCs w:val="20"/>
          <w:lang w:eastAsia="es-ES"/>
        </w:rPr>
      </w:pPr>
    </w:p>
    <w:p w:rsidR="00B76624" w:rsidRPr="00B76624" w:rsidRDefault="00B76624" w:rsidP="00B76624">
      <w:pPr>
        <w:spacing w:after="0" w:line="360" w:lineRule="auto"/>
        <w:jc w:val="both"/>
        <w:rPr>
          <w:rFonts w:ascii="Arial" w:eastAsia="Times New Roman" w:hAnsi="Arial"/>
          <w:snapToGrid w:val="0"/>
          <w:sz w:val="20"/>
          <w:szCs w:val="20"/>
          <w:lang w:eastAsia="es-ES"/>
        </w:rPr>
      </w:pPr>
      <w:r w:rsidRPr="00B76624">
        <w:rPr>
          <w:rFonts w:ascii="Arial" w:eastAsia="Times New Roman" w:hAnsi="Arial"/>
          <w:b/>
          <w:snapToGrid w:val="0"/>
          <w:sz w:val="20"/>
          <w:szCs w:val="20"/>
          <w:lang w:eastAsia="es-ES"/>
        </w:rPr>
        <w:t>Artículo 7.-</w:t>
      </w:r>
      <w:r w:rsidRPr="00B76624">
        <w:rPr>
          <w:rFonts w:ascii="Arial" w:eastAsia="Times New Roman" w:hAnsi="Arial"/>
          <w:snapToGrid w:val="0"/>
          <w:sz w:val="20"/>
          <w:szCs w:val="20"/>
          <w:lang w:eastAsia="es-ES"/>
        </w:rPr>
        <w:t xml:space="preserve"> El pago de las contribuciones, aprovechamientos y demás ingresos señalados en esta Ley se acreditará con el recibo oficial expedido por la Coordinación de Administración y Finanzas o la Tesorería del Municipio de Kanasín,</w:t>
      </w:r>
      <w:r w:rsidR="005C6261">
        <w:rPr>
          <w:rFonts w:ascii="Arial" w:eastAsia="Times New Roman" w:hAnsi="Arial"/>
          <w:snapToGrid w:val="0"/>
          <w:sz w:val="20"/>
          <w:szCs w:val="20"/>
          <w:lang w:eastAsia="es-ES"/>
        </w:rPr>
        <w:t xml:space="preserve"> Yucatán,</w:t>
      </w:r>
      <w:r w:rsidRPr="00B76624">
        <w:rPr>
          <w:rFonts w:ascii="Arial" w:eastAsia="Times New Roman" w:hAnsi="Arial"/>
          <w:snapToGrid w:val="0"/>
          <w:sz w:val="20"/>
          <w:szCs w:val="20"/>
          <w:lang w:eastAsia="es-ES"/>
        </w:rPr>
        <w:t xml:space="preserve"> o con los formatos de declaración sellados y tarjados por la misma Coordinación o Dirección. Si el pago se realiza en las instituciones de crédito o establecimiento de personas morales autorizadas, se podrá acreditar el pago mediante el formato que emita o autorice la propia Coordinación o Dirección para tal efecto, siempre que ostente el sello o tarjado de la máquina registradora de aquellas instituciones o personas morales.</w:t>
      </w:r>
    </w:p>
    <w:p w:rsidR="00B76624" w:rsidRPr="00B76624" w:rsidRDefault="00B76624" w:rsidP="00B76624">
      <w:pPr>
        <w:spacing w:after="0" w:line="360" w:lineRule="auto"/>
        <w:jc w:val="both"/>
        <w:rPr>
          <w:rFonts w:ascii="Arial" w:eastAsia="Times New Roman" w:hAnsi="Arial"/>
          <w:snapToGrid w:val="0"/>
          <w:sz w:val="20"/>
          <w:szCs w:val="20"/>
          <w:lang w:eastAsia="es-ES"/>
        </w:rPr>
      </w:pPr>
    </w:p>
    <w:p w:rsidR="00B76624" w:rsidRPr="00B76624" w:rsidRDefault="00B76624" w:rsidP="00B76624">
      <w:pPr>
        <w:spacing w:after="0" w:line="360" w:lineRule="auto"/>
        <w:jc w:val="both"/>
        <w:rPr>
          <w:rFonts w:ascii="Arial" w:eastAsia="Times New Roman" w:hAnsi="Arial"/>
          <w:snapToGrid w:val="0"/>
          <w:sz w:val="20"/>
          <w:szCs w:val="20"/>
          <w:lang w:eastAsia="es-ES"/>
        </w:rPr>
      </w:pPr>
      <w:r w:rsidRPr="00B76624">
        <w:rPr>
          <w:rFonts w:ascii="Arial" w:eastAsia="Times New Roman" w:hAnsi="Arial"/>
          <w:snapToGrid w:val="0"/>
          <w:sz w:val="20"/>
          <w:szCs w:val="20"/>
          <w:lang w:eastAsia="es-ES"/>
        </w:rPr>
        <w:t xml:space="preserve">En caso de que el pago sea realizado mediante transferencia electrónica de fondos y efectuado a través del uso del portal de internet del Ayuntamiento, el recibo oficial electrónico que se emita mediante el uso de las aplicaciones establecidas en el mencionado portal, podrá ser impreso en el momento del pago y servirá como comprobante del mismo. </w:t>
      </w:r>
    </w:p>
    <w:p w:rsidR="00B76624" w:rsidRPr="00B76624" w:rsidRDefault="00B76624" w:rsidP="00B76624">
      <w:pPr>
        <w:spacing w:after="0" w:line="360" w:lineRule="auto"/>
        <w:rPr>
          <w:rFonts w:ascii="Arial" w:eastAsia="Times New Roman" w:hAnsi="Arial"/>
          <w:snapToGrid w:val="0"/>
          <w:sz w:val="20"/>
          <w:szCs w:val="20"/>
          <w:lang w:eastAsia="es-ES"/>
        </w:rPr>
      </w:pPr>
    </w:p>
    <w:p w:rsidR="00B76624" w:rsidRPr="00B76624" w:rsidRDefault="00B76624" w:rsidP="00B76624">
      <w:pPr>
        <w:spacing w:after="0" w:line="360" w:lineRule="auto"/>
        <w:jc w:val="both"/>
        <w:rPr>
          <w:rFonts w:ascii="Arial" w:eastAsia="Times New Roman" w:hAnsi="Arial"/>
          <w:snapToGrid w:val="0"/>
          <w:sz w:val="20"/>
          <w:szCs w:val="20"/>
          <w:lang w:eastAsia="es-ES"/>
        </w:rPr>
      </w:pPr>
      <w:r w:rsidRPr="00B76624">
        <w:rPr>
          <w:rFonts w:ascii="Arial" w:eastAsia="Times New Roman" w:hAnsi="Arial"/>
          <w:snapToGrid w:val="0"/>
          <w:sz w:val="20"/>
          <w:szCs w:val="20"/>
          <w:lang w:eastAsia="es-ES"/>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rsidR="00B76624" w:rsidRPr="00B76624" w:rsidRDefault="00B76624" w:rsidP="00B76624">
      <w:pPr>
        <w:spacing w:after="0" w:line="360" w:lineRule="auto"/>
        <w:jc w:val="both"/>
        <w:rPr>
          <w:rFonts w:ascii="Arial" w:eastAsia="Times New Roman" w:hAnsi="Arial"/>
          <w:sz w:val="20"/>
          <w:szCs w:val="20"/>
          <w:lang w:eastAsia="es-ES"/>
        </w:rPr>
      </w:pPr>
    </w:p>
    <w:p w:rsidR="00B76624" w:rsidRPr="00B76624" w:rsidRDefault="00B76624" w:rsidP="00B76624">
      <w:pPr>
        <w:spacing w:after="0" w:line="360" w:lineRule="auto"/>
        <w:jc w:val="both"/>
        <w:rPr>
          <w:rFonts w:ascii="Arial" w:eastAsia="Times New Roman" w:hAnsi="Arial"/>
          <w:sz w:val="20"/>
          <w:szCs w:val="20"/>
          <w:lang w:val="es-ES_tradnl" w:eastAsia="es-ES"/>
        </w:rPr>
      </w:pPr>
      <w:r w:rsidRPr="00B76624">
        <w:rPr>
          <w:rFonts w:ascii="Arial" w:eastAsia="Times New Roman" w:hAnsi="Arial"/>
          <w:sz w:val="20"/>
          <w:szCs w:val="20"/>
          <w:lang w:val="es-ES_tradnl" w:eastAsia="es-ES"/>
        </w:rPr>
        <w:lastRenderedPageBreak/>
        <w:t>Para el caso de pago por los servicios públicos que presta la Administración Pública Municipal a través de sus organismos descentralizados o paramunicipales, servirá como medio para acreditar el pago, los recibos que dichos organismos emitan.</w:t>
      </w:r>
    </w:p>
    <w:p w:rsidR="00B76624" w:rsidRPr="00B76624" w:rsidRDefault="00B76624" w:rsidP="00B76624">
      <w:pPr>
        <w:spacing w:after="0" w:line="360" w:lineRule="auto"/>
        <w:jc w:val="both"/>
        <w:rPr>
          <w:rFonts w:ascii="Arial" w:eastAsia="Times New Roman" w:hAnsi="Arial"/>
          <w:sz w:val="20"/>
          <w:szCs w:val="20"/>
          <w:lang w:val="es-ES_tradnl" w:eastAsia="es-ES"/>
        </w:rPr>
      </w:pPr>
    </w:p>
    <w:p w:rsidR="00B76624" w:rsidRPr="00B76624" w:rsidRDefault="00B76624" w:rsidP="00B76624">
      <w:pPr>
        <w:spacing w:after="0" w:line="360" w:lineRule="auto"/>
        <w:jc w:val="both"/>
        <w:rPr>
          <w:rFonts w:ascii="Arial" w:eastAsia="Times New Roman" w:hAnsi="Arial"/>
          <w:snapToGrid w:val="0"/>
          <w:sz w:val="20"/>
          <w:szCs w:val="20"/>
          <w:lang w:eastAsia="es-ES"/>
        </w:rPr>
      </w:pPr>
      <w:r w:rsidRPr="00B76624">
        <w:rPr>
          <w:rFonts w:ascii="Arial" w:eastAsia="Times New Roman" w:hAnsi="Arial"/>
          <w:b/>
          <w:snapToGrid w:val="0"/>
          <w:sz w:val="20"/>
          <w:szCs w:val="20"/>
          <w:lang w:eastAsia="es-ES"/>
        </w:rPr>
        <w:t xml:space="preserve">Artículo 8.- </w:t>
      </w:r>
      <w:r w:rsidRPr="00B76624">
        <w:rPr>
          <w:rFonts w:ascii="Arial" w:eastAsia="Times New Roman" w:hAnsi="Arial"/>
          <w:snapToGrid w:val="0"/>
          <w:sz w:val="20"/>
          <w:szCs w:val="20"/>
          <w:lang w:eastAsia="es-ES"/>
        </w:rPr>
        <w:t>Las contribuciones se causarán, liquidarán y recaudarán en los términos de la Ley de Hacienda del Municipio de Kanasín, Yucatán y a falta de disposición expresa acerca del procedimiento, se aplicarán supletoriamente el Código Fiscal del Estado de Yucatán, y el Código Fiscal de la Federación.</w:t>
      </w:r>
    </w:p>
    <w:p w:rsidR="00B76624" w:rsidRPr="00B76624" w:rsidRDefault="00B76624" w:rsidP="00B76624">
      <w:pPr>
        <w:spacing w:after="0" w:line="360" w:lineRule="auto"/>
        <w:jc w:val="both"/>
        <w:rPr>
          <w:rFonts w:ascii="Arial" w:eastAsia="Times New Roman" w:hAnsi="Arial"/>
          <w:snapToGrid w:val="0"/>
          <w:sz w:val="20"/>
          <w:szCs w:val="20"/>
          <w:lang w:eastAsia="es-ES"/>
        </w:rPr>
      </w:pPr>
    </w:p>
    <w:p w:rsidR="00B76624" w:rsidRPr="00B76624" w:rsidRDefault="00B76624" w:rsidP="00B76624">
      <w:pPr>
        <w:autoSpaceDE w:val="0"/>
        <w:autoSpaceDN w:val="0"/>
        <w:adjustRightInd w:val="0"/>
        <w:spacing w:after="0" w:line="360" w:lineRule="auto"/>
        <w:jc w:val="both"/>
        <w:rPr>
          <w:rFonts w:ascii="Arial" w:eastAsia="Times New Roman" w:hAnsi="Arial"/>
          <w:snapToGrid w:val="0"/>
          <w:sz w:val="20"/>
          <w:szCs w:val="20"/>
          <w:lang w:eastAsia="es-ES"/>
        </w:rPr>
      </w:pPr>
      <w:r w:rsidRPr="00B76624">
        <w:rPr>
          <w:rFonts w:ascii="Arial" w:eastAsia="Times New Roman" w:hAnsi="Arial"/>
          <w:b/>
          <w:snapToGrid w:val="0"/>
          <w:sz w:val="20"/>
          <w:szCs w:val="20"/>
          <w:lang w:eastAsia="es-ES"/>
        </w:rPr>
        <w:t>Artículo 9.-</w:t>
      </w:r>
      <w:r w:rsidRPr="00B76624">
        <w:rPr>
          <w:rFonts w:ascii="Arial" w:eastAsia="Times New Roman" w:hAnsi="Arial"/>
          <w:snapToGrid w:val="0"/>
          <w:sz w:val="20"/>
          <w:szCs w:val="20"/>
          <w:lang w:eastAsia="es-ES"/>
        </w:rPr>
        <w:t xml:space="preserve"> El Ayuntamiento de Kanasín</w:t>
      </w:r>
      <w:r w:rsidR="005C6261">
        <w:rPr>
          <w:rFonts w:ascii="Arial" w:eastAsia="Times New Roman" w:hAnsi="Arial"/>
          <w:snapToGrid w:val="0"/>
          <w:sz w:val="20"/>
          <w:szCs w:val="20"/>
          <w:lang w:eastAsia="es-ES"/>
        </w:rPr>
        <w:t>, Yucatán,</w:t>
      </w:r>
      <w:r w:rsidRPr="00B76624">
        <w:rPr>
          <w:rFonts w:ascii="Arial" w:eastAsia="Times New Roman" w:hAnsi="Arial"/>
          <w:snapToGrid w:val="0"/>
          <w:sz w:val="20"/>
          <w:szCs w:val="20"/>
          <w:lang w:eastAsia="es-ES"/>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B76624" w:rsidRPr="00B76624" w:rsidRDefault="00B76624" w:rsidP="00B76624">
      <w:pPr>
        <w:spacing w:after="0" w:line="360" w:lineRule="auto"/>
        <w:jc w:val="both"/>
        <w:rPr>
          <w:rFonts w:ascii="Arial" w:hAnsi="Arial"/>
          <w:b/>
          <w:sz w:val="20"/>
          <w:szCs w:val="20"/>
          <w:lang w:val="pt-BR"/>
        </w:rPr>
      </w:pPr>
    </w:p>
    <w:p w:rsidR="00B76624" w:rsidRPr="00B76624" w:rsidRDefault="00B76624" w:rsidP="00B76624">
      <w:pPr>
        <w:spacing w:after="0" w:line="360" w:lineRule="auto"/>
        <w:jc w:val="both"/>
        <w:rPr>
          <w:rFonts w:ascii="Arial" w:eastAsia="Times New Roman" w:hAnsi="Arial"/>
          <w:snapToGrid w:val="0"/>
          <w:sz w:val="20"/>
          <w:szCs w:val="20"/>
          <w:lang w:eastAsia="es-ES"/>
        </w:rPr>
      </w:pPr>
      <w:r w:rsidRPr="00B76624">
        <w:rPr>
          <w:rFonts w:ascii="Arial" w:eastAsia="Times New Roman" w:hAnsi="Arial"/>
          <w:b/>
          <w:snapToGrid w:val="0"/>
          <w:sz w:val="20"/>
          <w:szCs w:val="20"/>
          <w:lang w:eastAsia="es-ES"/>
        </w:rPr>
        <w:t xml:space="preserve">Artículo 10.- </w:t>
      </w:r>
      <w:r w:rsidRPr="00B76624">
        <w:rPr>
          <w:rFonts w:ascii="Arial" w:eastAsia="Times New Roman" w:hAnsi="Arial"/>
          <w:snapToGrid w:val="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B76624" w:rsidRPr="00B76624" w:rsidRDefault="00B76624" w:rsidP="00B76624">
      <w:pPr>
        <w:spacing w:after="0" w:line="360" w:lineRule="auto"/>
        <w:jc w:val="both"/>
        <w:rPr>
          <w:rFonts w:ascii="Arial" w:eastAsia="Times New Roman" w:hAnsi="Arial"/>
          <w:snapToGrid w:val="0"/>
          <w:sz w:val="20"/>
          <w:szCs w:val="20"/>
          <w:lang w:eastAsia="es-ES"/>
        </w:rPr>
      </w:pPr>
    </w:p>
    <w:p w:rsidR="00B76624" w:rsidRPr="00B76624" w:rsidRDefault="00B76624" w:rsidP="00B76624">
      <w:pPr>
        <w:spacing w:after="0" w:line="360" w:lineRule="auto"/>
        <w:jc w:val="center"/>
        <w:rPr>
          <w:rFonts w:ascii="Arial" w:hAnsi="Arial"/>
          <w:b/>
          <w:color w:val="000000"/>
          <w:sz w:val="20"/>
          <w:szCs w:val="20"/>
          <w:lang w:val="pt-BR" w:eastAsia="es-MX"/>
        </w:rPr>
      </w:pPr>
      <w:r w:rsidRPr="00B76624">
        <w:rPr>
          <w:rFonts w:ascii="Arial" w:hAnsi="Arial"/>
          <w:b/>
          <w:color w:val="000000"/>
          <w:sz w:val="20"/>
          <w:szCs w:val="20"/>
          <w:lang w:val="pt-BR" w:eastAsia="es-MX"/>
        </w:rPr>
        <w:t xml:space="preserve">T </w:t>
      </w:r>
      <w:r w:rsidR="0059715F">
        <w:rPr>
          <w:rFonts w:ascii="Arial" w:hAnsi="Arial"/>
          <w:b/>
          <w:color w:val="000000"/>
          <w:sz w:val="20"/>
          <w:szCs w:val="20"/>
          <w:lang w:val="pt-BR" w:eastAsia="es-MX"/>
        </w:rPr>
        <w:t xml:space="preserve">r a n s i t o r i o </w:t>
      </w:r>
    </w:p>
    <w:p w:rsidR="00296467" w:rsidRPr="008A5254" w:rsidRDefault="00296467" w:rsidP="00296467">
      <w:pPr>
        <w:spacing w:line="360" w:lineRule="auto"/>
        <w:jc w:val="both"/>
        <w:rPr>
          <w:rFonts w:ascii="Arial" w:hAnsi="Arial"/>
          <w:lang w:val="en-US"/>
        </w:rPr>
      </w:pPr>
    </w:p>
    <w:p w:rsidR="00296467" w:rsidRPr="00CA11C1" w:rsidRDefault="00296467" w:rsidP="00296467">
      <w:pPr>
        <w:spacing w:line="360" w:lineRule="auto"/>
        <w:jc w:val="both"/>
        <w:rPr>
          <w:rFonts w:ascii="Arial" w:eastAsia="Arial" w:hAnsi="Arial"/>
        </w:rPr>
      </w:pPr>
      <w:r w:rsidRPr="00CA11C1">
        <w:rPr>
          <w:rFonts w:ascii="Arial" w:eastAsia="Arial" w:hAnsi="Arial"/>
          <w:b/>
        </w:rPr>
        <w:t xml:space="preserve">Artículo </w:t>
      </w:r>
      <w:r w:rsidR="00A46746">
        <w:rPr>
          <w:rFonts w:ascii="Arial" w:eastAsia="Arial" w:hAnsi="Arial"/>
          <w:b/>
        </w:rPr>
        <w:t>ú</w:t>
      </w:r>
      <w:r w:rsidRPr="00CA11C1">
        <w:rPr>
          <w:rFonts w:ascii="Arial" w:eastAsia="Arial" w:hAnsi="Arial"/>
          <w:b/>
        </w:rPr>
        <w:t>nico</w:t>
      </w:r>
      <w:bookmarkStart w:id="0" w:name="_GoBack"/>
      <w:bookmarkEnd w:id="0"/>
      <w:r w:rsidRPr="00CA11C1">
        <w:rPr>
          <w:rFonts w:ascii="Arial" w:eastAsia="Arial" w:hAnsi="Arial"/>
          <w:b/>
        </w:rPr>
        <w:t xml:space="preserve">.- </w:t>
      </w:r>
      <w:r w:rsidRPr="00CA11C1">
        <w:rPr>
          <w:rFonts w:ascii="Arial" w:eastAsia="Arial" w:hAnsi="Arial"/>
        </w:rPr>
        <w:t>Para poder percibir Aprovechamientos vía Infracciones por Faltas Administrativas, el Ayuntamiento deberá contar con los reglamentos municipales respectivos, los que establecerán los montos de las sanciones correspondientes.</w:t>
      </w:r>
    </w:p>
    <w:p w:rsidR="00B67D6D" w:rsidRPr="00057457" w:rsidRDefault="00B67D6D" w:rsidP="00296467">
      <w:pPr>
        <w:spacing w:after="0" w:line="360" w:lineRule="auto"/>
        <w:jc w:val="both"/>
        <w:rPr>
          <w:rFonts w:ascii="Arial" w:hAnsi="Arial"/>
          <w:color w:val="000000"/>
          <w:sz w:val="20"/>
          <w:szCs w:val="20"/>
          <w:lang w:eastAsia="es-MX"/>
        </w:rPr>
      </w:pPr>
    </w:p>
    <w:sectPr w:rsidR="00B67D6D" w:rsidRPr="00057457" w:rsidSect="001E34E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93" w:rsidRDefault="005B4293">
      <w:pPr>
        <w:spacing w:after="0" w:line="240" w:lineRule="auto"/>
      </w:pPr>
      <w:r>
        <w:separator/>
      </w:r>
    </w:p>
  </w:endnote>
  <w:endnote w:type="continuationSeparator" w:id="0">
    <w:p w:rsidR="005B4293" w:rsidRDefault="005B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48" w:rsidRPr="009C3E88" w:rsidRDefault="00840A4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46746" w:rsidRPr="00A46746">
      <w:rPr>
        <w:rFonts w:ascii="Arial" w:hAnsi="Arial"/>
        <w:noProof/>
        <w:sz w:val="20"/>
        <w:szCs w:val="20"/>
        <w:lang w:val="es-ES"/>
      </w:rPr>
      <w:t>8</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93" w:rsidRDefault="005B4293">
      <w:pPr>
        <w:spacing w:after="0" w:line="240" w:lineRule="auto"/>
      </w:pPr>
      <w:r>
        <w:separator/>
      </w:r>
    </w:p>
  </w:footnote>
  <w:footnote w:type="continuationSeparator" w:id="0">
    <w:p w:rsidR="005B4293" w:rsidRDefault="005B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48" w:rsidRDefault="005C0C96">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A48" w:rsidRPr="001E34E0" w:rsidRDefault="00840A48"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840A48" w:rsidRDefault="00840A48"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A48" w:rsidRDefault="00840A48"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840A48" w:rsidRDefault="00840A48"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840A48" w:rsidRPr="00603AF2" w:rsidRDefault="00840A48"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840A48" w:rsidRPr="001E34E0" w:rsidRDefault="00840A48"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840A48" w:rsidRDefault="00840A48"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40A48" w:rsidRDefault="00840A48"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840A48" w:rsidRDefault="00840A48"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840A48" w:rsidRPr="00603AF2" w:rsidRDefault="00840A48"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6"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2"/>
  </w:num>
  <w:num w:numId="8">
    <w:abstractNumId w:val="1"/>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57457"/>
    <w:rsid w:val="00060E11"/>
    <w:rsid w:val="00060E8A"/>
    <w:rsid w:val="0006366B"/>
    <w:rsid w:val="000700DE"/>
    <w:rsid w:val="00070EE9"/>
    <w:rsid w:val="00081D8B"/>
    <w:rsid w:val="00090B12"/>
    <w:rsid w:val="000A0BC3"/>
    <w:rsid w:val="000B1BCA"/>
    <w:rsid w:val="000C6AA7"/>
    <w:rsid w:val="000C6B69"/>
    <w:rsid w:val="000E6F2F"/>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2CBA"/>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2D52"/>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6467"/>
    <w:rsid w:val="00297926"/>
    <w:rsid w:val="002A236D"/>
    <w:rsid w:val="002A3CAC"/>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9715F"/>
    <w:rsid w:val="005A16BB"/>
    <w:rsid w:val="005A32B3"/>
    <w:rsid w:val="005A6F86"/>
    <w:rsid w:val="005A7F65"/>
    <w:rsid w:val="005B3826"/>
    <w:rsid w:val="005B3D33"/>
    <w:rsid w:val="005B4293"/>
    <w:rsid w:val="005B4AEA"/>
    <w:rsid w:val="005C0C96"/>
    <w:rsid w:val="005C6261"/>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3653"/>
    <w:rsid w:val="006C022F"/>
    <w:rsid w:val="006D364C"/>
    <w:rsid w:val="006E53FC"/>
    <w:rsid w:val="006E5FFF"/>
    <w:rsid w:val="006E7ED3"/>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66B7"/>
    <w:rsid w:val="007D1158"/>
    <w:rsid w:val="007D3C2B"/>
    <w:rsid w:val="007D6679"/>
    <w:rsid w:val="007D7E52"/>
    <w:rsid w:val="007E391C"/>
    <w:rsid w:val="007E4376"/>
    <w:rsid w:val="007E5EFF"/>
    <w:rsid w:val="007E5FF6"/>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D7E8D"/>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49E6"/>
    <w:rsid w:val="00A25193"/>
    <w:rsid w:val="00A273AF"/>
    <w:rsid w:val="00A3046D"/>
    <w:rsid w:val="00A31DF9"/>
    <w:rsid w:val="00A35464"/>
    <w:rsid w:val="00A35D71"/>
    <w:rsid w:val="00A46746"/>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46AF3"/>
    <w:rsid w:val="00B53C51"/>
    <w:rsid w:val="00B63C82"/>
    <w:rsid w:val="00B67D6D"/>
    <w:rsid w:val="00B70DF2"/>
    <w:rsid w:val="00B710A4"/>
    <w:rsid w:val="00B7662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24988"/>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B7566"/>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69D5"/>
    <w:rsid w:val="00ED24B5"/>
    <w:rsid w:val="00EF1343"/>
    <w:rsid w:val="00EF3EF7"/>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AD00A"/>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73BA-8708-4561-85AB-364DA49C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2071</Words>
  <Characters>11393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4</cp:revision>
  <cp:lastPrinted>2021-10-22T17:09:00Z</cp:lastPrinted>
  <dcterms:created xsi:type="dcterms:W3CDTF">2023-12-03T23:36:00Z</dcterms:created>
  <dcterms:modified xsi:type="dcterms:W3CDTF">2023-12-05T15:48:00Z</dcterms:modified>
</cp:coreProperties>
</file>