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53EF" w14:textId="77777777" w:rsidR="00C02473" w:rsidRDefault="00C02473" w:rsidP="00C8332A">
      <w:pPr>
        <w:jc w:val="both"/>
      </w:pPr>
    </w:p>
    <w:p w14:paraId="43C7E7DD" w14:textId="2B47E820" w:rsidR="007121BB" w:rsidRPr="007121BB" w:rsidRDefault="007121BB" w:rsidP="00C8332A">
      <w:pPr>
        <w:spacing w:after="0" w:line="240" w:lineRule="auto"/>
        <w:jc w:val="both"/>
        <w:rPr>
          <w:rFonts w:ascii="Arial" w:eastAsia="Calibri" w:hAnsi="Arial" w:cs="Arial"/>
          <w:b/>
          <w:kern w:val="0"/>
          <w:sz w:val="20"/>
          <w:szCs w:val="20"/>
          <w14:ligatures w14:val="none"/>
        </w:rPr>
      </w:pPr>
      <w:r w:rsidRPr="00C8332A">
        <w:rPr>
          <w:rFonts w:ascii="Arial" w:eastAsia="Calibri" w:hAnsi="Arial" w:cs="Arial"/>
          <w:b/>
          <w:kern w:val="0"/>
          <w:sz w:val="20"/>
          <w:szCs w:val="20"/>
          <w14:ligatures w14:val="none"/>
        </w:rPr>
        <w:t xml:space="preserve">INICIATIVA DE </w:t>
      </w:r>
      <w:r w:rsidRPr="007121BB">
        <w:rPr>
          <w:rFonts w:ascii="Arial" w:eastAsia="Calibri" w:hAnsi="Arial" w:cs="Arial"/>
          <w:b/>
          <w:kern w:val="0"/>
          <w:sz w:val="20"/>
          <w:szCs w:val="20"/>
          <w14:ligatures w14:val="none"/>
        </w:rPr>
        <w:t xml:space="preserve">REFORMAS A LA LEY DE HACIENDA DEL MUNICIPIO DE </w:t>
      </w:r>
      <w:r w:rsidRPr="00C8332A">
        <w:rPr>
          <w:rFonts w:ascii="Arial" w:eastAsia="Calibri" w:hAnsi="Arial" w:cs="Arial"/>
          <w:b/>
          <w:kern w:val="0"/>
          <w:sz w:val="20"/>
          <w:szCs w:val="20"/>
          <w14:ligatures w14:val="none"/>
        </w:rPr>
        <w:t>TELCHAC PUEBLO</w:t>
      </w:r>
      <w:r w:rsidRPr="007121BB">
        <w:rPr>
          <w:rFonts w:ascii="Arial" w:eastAsia="Calibri" w:hAnsi="Arial" w:cs="Arial"/>
          <w:b/>
          <w:kern w:val="0"/>
          <w:sz w:val="20"/>
          <w:szCs w:val="20"/>
          <w14:ligatures w14:val="none"/>
        </w:rPr>
        <w:t>, YUCATÁN</w:t>
      </w:r>
    </w:p>
    <w:p w14:paraId="6716DF4D" w14:textId="77777777" w:rsidR="007121BB" w:rsidRPr="007121BB" w:rsidRDefault="007121BB" w:rsidP="007121BB">
      <w:pPr>
        <w:spacing w:after="0" w:line="240" w:lineRule="auto"/>
        <w:jc w:val="both"/>
        <w:rPr>
          <w:rFonts w:ascii="Arial" w:eastAsia="Calibri" w:hAnsi="Arial" w:cs="Arial"/>
          <w:bCs/>
          <w:kern w:val="0"/>
          <w:sz w:val="20"/>
          <w:szCs w:val="20"/>
          <w14:ligatures w14:val="none"/>
        </w:rPr>
      </w:pPr>
    </w:p>
    <w:p w14:paraId="49546893" w14:textId="77777777" w:rsidR="007121BB" w:rsidRPr="007121BB" w:rsidRDefault="007121BB" w:rsidP="007121BB">
      <w:pPr>
        <w:spacing w:after="0" w:line="240" w:lineRule="auto"/>
        <w:jc w:val="both"/>
        <w:rPr>
          <w:rFonts w:ascii="Arial" w:eastAsia="Calibri" w:hAnsi="Arial" w:cs="Arial"/>
          <w:bCs/>
          <w:kern w:val="0"/>
          <w:sz w:val="20"/>
          <w:szCs w:val="20"/>
          <w14:ligatures w14:val="none"/>
        </w:rPr>
      </w:pPr>
    </w:p>
    <w:p w14:paraId="463CB109" w14:textId="581B5063" w:rsidR="007121BB" w:rsidRPr="007121BB" w:rsidRDefault="007121BB" w:rsidP="00C8332A">
      <w:pPr>
        <w:spacing w:after="0" w:line="360" w:lineRule="auto"/>
        <w:jc w:val="both"/>
        <w:rPr>
          <w:rFonts w:ascii="Arial" w:eastAsia="Calibri" w:hAnsi="Arial" w:cs="Arial"/>
          <w:bCs/>
          <w:kern w:val="0"/>
          <w:sz w:val="20"/>
          <w:szCs w:val="20"/>
          <w14:ligatures w14:val="none"/>
        </w:rPr>
      </w:pPr>
      <w:r w:rsidRPr="007121BB">
        <w:rPr>
          <w:rFonts w:ascii="Arial" w:eastAsia="Calibri" w:hAnsi="Arial" w:cs="Arial"/>
          <w:b/>
          <w:kern w:val="0"/>
          <w:sz w:val="20"/>
          <w:szCs w:val="20"/>
          <w14:ligatures w14:val="none"/>
        </w:rPr>
        <w:t xml:space="preserve">Artículo </w:t>
      </w:r>
      <w:r w:rsidRPr="00C8332A">
        <w:rPr>
          <w:rFonts w:ascii="Arial" w:eastAsia="Calibri" w:hAnsi="Arial" w:cs="Arial"/>
          <w:b/>
          <w:kern w:val="0"/>
          <w:sz w:val="20"/>
          <w:szCs w:val="20"/>
          <w14:ligatures w14:val="none"/>
        </w:rPr>
        <w:t>Único. -</w:t>
      </w:r>
      <w:r w:rsidRPr="007121BB">
        <w:rPr>
          <w:rFonts w:ascii="Arial" w:eastAsia="Calibri" w:hAnsi="Arial" w:cs="Arial"/>
          <w:bCs/>
          <w:kern w:val="0"/>
          <w:sz w:val="20"/>
          <w:szCs w:val="20"/>
          <w14:ligatures w14:val="none"/>
        </w:rPr>
        <w:t xml:space="preserve"> Se modifica</w:t>
      </w:r>
      <w:r w:rsidR="00D02347" w:rsidRPr="00C8332A">
        <w:rPr>
          <w:rFonts w:ascii="Arial" w:eastAsia="Calibri" w:hAnsi="Arial" w:cs="Arial"/>
          <w:bCs/>
          <w:kern w:val="0"/>
          <w:sz w:val="20"/>
          <w:szCs w:val="20"/>
          <w14:ligatures w14:val="none"/>
        </w:rPr>
        <w:t>n</w:t>
      </w:r>
      <w:r w:rsidRPr="007121BB">
        <w:rPr>
          <w:rFonts w:ascii="Arial" w:eastAsia="Calibri" w:hAnsi="Arial" w:cs="Arial"/>
          <w:bCs/>
          <w:kern w:val="0"/>
          <w:sz w:val="20"/>
          <w:szCs w:val="20"/>
          <w14:ligatures w14:val="none"/>
        </w:rPr>
        <w:t xml:space="preserve"> </w:t>
      </w:r>
      <w:r w:rsidR="00D02347" w:rsidRPr="00C8332A">
        <w:rPr>
          <w:rFonts w:ascii="Arial" w:eastAsia="Calibri" w:hAnsi="Arial" w:cs="Arial"/>
          <w:bCs/>
          <w:kern w:val="0"/>
          <w:sz w:val="20"/>
          <w:szCs w:val="20"/>
          <w14:ligatures w14:val="none"/>
        </w:rPr>
        <w:t>los artículos 66, 67, 68, 69, 70 y se agregan los artículos 70 Bis, 70 Ter y 70 Quater</w:t>
      </w:r>
      <w:r w:rsidRPr="007121BB">
        <w:rPr>
          <w:rFonts w:ascii="Arial" w:eastAsia="Calibri" w:hAnsi="Arial" w:cs="Arial"/>
          <w:bCs/>
          <w:kern w:val="0"/>
          <w:sz w:val="20"/>
          <w:szCs w:val="20"/>
          <w14:ligatures w14:val="none"/>
        </w:rPr>
        <w:t>; se modifica</w:t>
      </w:r>
      <w:r w:rsidR="00D02347" w:rsidRPr="00C8332A">
        <w:rPr>
          <w:rFonts w:ascii="Arial" w:eastAsia="Calibri" w:hAnsi="Arial" w:cs="Arial"/>
          <w:bCs/>
          <w:kern w:val="0"/>
          <w:sz w:val="20"/>
          <w:szCs w:val="20"/>
          <w14:ligatures w14:val="none"/>
        </w:rPr>
        <w:t>n los artículos 93, 94, 95, 96 y 97</w:t>
      </w:r>
      <w:r w:rsidRPr="007121BB">
        <w:rPr>
          <w:rFonts w:ascii="Arial" w:eastAsia="Calibri" w:hAnsi="Arial" w:cs="Arial"/>
          <w:bCs/>
          <w:kern w:val="0"/>
          <w:sz w:val="20"/>
          <w:szCs w:val="20"/>
          <w14:ligatures w14:val="none"/>
        </w:rPr>
        <w:t xml:space="preserve">, todos de la Ley de Hacienda del Municipio de </w:t>
      </w:r>
      <w:r w:rsidR="00D02347" w:rsidRPr="00C8332A">
        <w:rPr>
          <w:rFonts w:ascii="Arial" w:eastAsia="Calibri" w:hAnsi="Arial" w:cs="Arial"/>
          <w:bCs/>
          <w:kern w:val="0"/>
          <w:sz w:val="20"/>
          <w:szCs w:val="20"/>
          <w14:ligatures w14:val="none"/>
        </w:rPr>
        <w:t>Telchac Pueblo</w:t>
      </w:r>
      <w:r w:rsidRPr="007121BB">
        <w:rPr>
          <w:rFonts w:ascii="Arial" w:eastAsia="Calibri" w:hAnsi="Arial" w:cs="Arial"/>
          <w:bCs/>
          <w:kern w:val="0"/>
          <w:sz w:val="20"/>
          <w:szCs w:val="20"/>
          <w14:ligatures w14:val="none"/>
        </w:rPr>
        <w:t>, Yucatán, para quedar en los términos siguientes:</w:t>
      </w:r>
    </w:p>
    <w:p w14:paraId="216073BF" w14:textId="77777777" w:rsidR="007121BB" w:rsidRPr="007121BB" w:rsidRDefault="007121BB" w:rsidP="007121BB">
      <w:pPr>
        <w:spacing w:after="0" w:line="240" w:lineRule="auto"/>
        <w:jc w:val="both"/>
        <w:rPr>
          <w:rFonts w:ascii="Arial" w:eastAsia="Calibri" w:hAnsi="Arial" w:cs="Arial"/>
          <w:bCs/>
          <w:kern w:val="0"/>
          <w:sz w:val="20"/>
          <w:szCs w:val="20"/>
          <w14:ligatures w14:val="none"/>
        </w:rPr>
      </w:pPr>
    </w:p>
    <w:p w14:paraId="68C00F59" w14:textId="77777777" w:rsidR="00D02347" w:rsidRPr="00D02347" w:rsidRDefault="00D02347" w:rsidP="00D02347">
      <w:pPr>
        <w:tabs>
          <w:tab w:val="left" w:pos="660"/>
        </w:tabs>
        <w:spacing w:after="0" w:line="360" w:lineRule="auto"/>
        <w:jc w:val="center"/>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De los Servicios que Presta la Dirección de Desarrollo Urbano</w:t>
      </w:r>
    </w:p>
    <w:p w14:paraId="2B19BEF9" w14:textId="77777777" w:rsidR="00D02347" w:rsidRPr="00D02347" w:rsidRDefault="00D02347" w:rsidP="00D02347">
      <w:pPr>
        <w:tabs>
          <w:tab w:val="left" w:pos="660"/>
        </w:tabs>
        <w:spacing w:after="0" w:line="360" w:lineRule="auto"/>
        <w:jc w:val="center"/>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DE LOS SUJETOS</w:t>
      </w:r>
    </w:p>
    <w:p w14:paraId="15C010AE" w14:textId="77777777" w:rsidR="00D02347" w:rsidRPr="00D02347" w:rsidRDefault="00D02347" w:rsidP="00D02347">
      <w:pPr>
        <w:tabs>
          <w:tab w:val="left" w:pos="660"/>
        </w:tabs>
        <w:spacing w:after="0" w:line="360" w:lineRule="auto"/>
        <w:jc w:val="center"/>
        <w:rPr>
          <w:rFonts w:ascii="Arial" w:eastAsia="Arial" w:hAnsi="Arial" w:cs="Arial"/>
          <w:b/>
          <w:kern w:val="0"/>
          <w:sz w:val="20"/>
          <w:szCs w:val="20"/>
          <w:lang w:eastAsia="es-MX"/>
          <w14:ligatures w14:val="none"/>
        </w:rPr>
      </w:pPr>
    </w:p>
    <w:p w14:paraId="044C9BDC" w14:textId="77777777" w:rsidR="00D02347" w:rsidRPr="00D02347" w:rsidRDefault="00D02347" w:rsidP="00D02347">
      <w:pPr>
        <w:tabs>
          <w:tab w:val="left" w:pos="660"/>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kern w:val="0"/>
          <w:sz w:val="20"/>
          <w:szCs w:val="20"/>
          <w:lang w:eastAsia="es-MX"/>
          <w14:ligatures w14:val="none"/>
        </w:rPr>
        <w:t xml:space="preserve">Artículo 66.- </w:t>
      </w:r>
      <w:r w:rsidRPr="00D02347">
        <w:rPr>
          <w:rFonts w:ascii="Arial" w:eastAsia="Arial" w:hAnsi="Arial" w:cs="Arial"/>
          <w:kern w:val="0"/>
          <w:sz w:val="20"/>
          <w:szCs w:val="20"/>
          <w:lang w:eastAsia="es-MX"/>
          <w14:ligatures w14:val="none"/>
        </w:rPr>
        <w:t>Son sujetos obligados al pago de derechos, por los servicios que</w:t>
      </w:r>
      <w:r w:rsidRPr="00D02347">
        <w:rPr>
          <w:rFonts w:ascii="Arial" w:eastAsia="Arial" w:hAnsi="Arial" w:cs="Arial"/>
          <w:b/>
          <w:kern w:val="0"/>
          <w:sz w:val="20"/>
          <w:szCs w:val="20"/>
          <w:lang w:eastAsia="es-MX"/>
          <w14:ligatures w14:val="none"/>
        </w:rPr>
        <w:t xml:space="preserve"> </w:t>
      </w:r>
      <w:r w:rsidRPr="00D02347">
        <w:rPr>
          <w:rFonts w:ascii="Arial" w:eastAsia="Arial" w:hAnsi="Arial" w:cs="Arial"/>
          <w:kern w:val="0"/>
          <w:sz w:val="20"/>
          <w:szCs w:val="20"/>
          <w:lang w:eastAsia="es-MX"/>
          <w14:ligatures w14:val="none"/>
        </w:rPr>
        <w:t>presta la Dirección de Desarrollo Urbano o la Dependencia Municipal que realice las funciones de regulación de uso del suelo o construcciones cualquiera que sea el nombre que se le dé, las personas físicas o morales que soliciten, cualesquiera de los servicios a que se refiere este capítulo.</w:t>
      </w:r>
    </w:p>
    <w:p w14:paraId="0A0406B1" w14:textId="77777777" w:rsidR="00D02347" w:rsidRPr="00D02347" w:rsidRDefault="00D02347" w:rsidP="00D02347">
      <w:pPr>
        <w:tabs>
          <w:tab w:val="left" w:pos="660"/>
        </w:tabs>
        <w:spacing w:after="0" w:line="360" w:lineRule="auto"/>
        <w:jc w:val="both"/>
        <w:rPr>
          <w:rFonts w:ascii="Arial" w:eastAsia="Arial" w:hAnsi="Arial" w:cs="Arial"/>
          <w:b/>
          <w:kern w:val="0"/>
          <w:sz w:val="20"/>
          <w:szCs w:val="20"/>
          <w:lang w:eastAsia="es-MX"/>
          <w14:ligatures w14:val="none"/>
        </w:rPr>
      </w:pPr>
    </w:p>
    <w:p w14:paraId="57815784" w14:textId="77777777" w:rsidR="00D02347" w:rsidRPr="00D02347" w:rsidRDefault="00D02347" w:rsidP="00D02347">
      <w:pPr>
        <w:tabs>
          <w:tab w:val="left" w:pos="660"/>
        </w:tabs>
        <w:spacing w:after="0" w:line="360" w:lineRule="auto"/>
        <w:jc w:val="center"/>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DE LA CLASIFICACIÓN</w:t>
      </w:r>
    </w:p>
    <w:p w14:paraId="18074B08" w14:textId="77777777" w:rsidR="00D02347" w:rsidRPr="00D02347" w:rsidRDefault="00D02347" w:rsidP="00D02347">
      <w:pPr>
        <w:tabs>
          <w:tab w:val="left" w:pos="660"/>
        </w:tabs>
        <w:spacing w:after="0" w:line="360" w:lineRule="auto"/>
        <w:jc w:val="center"/>
        <w:rPr>
          <w:rFonts w:ascii="Arial" w:eastAsia="Arial" w:hAnsi="Arial" w:cs="Arial"/>
          <w:b/>
          <w:kern w:val="0"/>
          <w:sz w:val="20"/>
          <w:szCs w:val="20"/>
          <w:lang w:eastAsia="es-MX"/>
          <w14:ligatures w14:val="none"/>
        </w:rPr>
      </w:pPr>
    </w:p>
    <w:p w14:paraId="6AD630D8" w14:textId="77777777" w:rsidR="00D02347" w:rsidRPr="00D02347" w:rsidRDefault="00D02347" w:rsidP="00D02347">
      <w:pPr>
        <w:tabs>
          <w:tab w:val="left" w:pos="660"/>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 xml:space="preserve">Artículo 67.- </w:t>
      </w:r>
      <w:r w:rsidRPr="00D02347">
        <w:rPr>
          <w:rFonts w:ascii="Arial" w:eastAsia="Arial" w:hAnsi="Arial" w:cs="Arial"/>
          <w:kern w:val="0"/>
          <w:sz w:val="20"/>
          <w:szCs w:val="20"/>
          <w:lang w:eastAsia="es-MX"/>
          <w14:ligatures w14:val="none"/>
        </w:rPr>
        <w:t>Los sujetos pagarán los derechos por los servicios que soliciten a la</w:t>
      </w:r>
      <w:r w:rsidRPr="00D02347">
        <w:rPr>
          <w:rFonts w:ascii="Arial" w:eastAsia="Arial" w:hAnsi="Arial" w:cs="Arial"/>
          <w:b/>
          <w:kern w:val="0"/>
          <w:sz w:val="20"/>
          <w:szCs w:val="20"/>
          <w:lang w:eastAsia="es-MX"/>
          <w14:ligatures w14:val="none"/>
        </w:rPr>
        <w:t xml:space="preserve"> </w:t>
      </w:r>
      <w:r w:rsidRPr="00D02347">
        <w:rPr>
          <w:rFonts w:ascii="Arial" w:eastAsia="Arial" w:hAnsi="Arial" w:cs="Arial"/>
          <w:kern w:val="0"/>
          <w:sz w:val="20"/>
          <w:szCs w:val="20"/>
          <w:lang w:eastAsia="es-MX"/>
          <w14:ligatures w14:val="none"/>
        </w:rPr>
        <w:t>Dirección de Desarrollo Urbano, consistentes en:</w:t>
      </w:r>
    </w:p>
    <w:p w14:paraId="361CBE7D" w14:textId="77777777" w:rsidR="00D02347" w:rsidRPr="00D02347" w:rsidRDefault="00D02347" w:rsidP="00D02347">
      <w:pPr>
        <w:spacing w:after="0" w:line="360" w:lineRule="auto"/>
        <w:jc w:val="both"/>
        <w:rPr>
          <w:rFonts w:ascii="Arial" w:eastAsia="Times New Roman" w:hAnsi="Arial" w:cs="Arial"/>
          <w:kern w:val="0"/>
          <w:sz w:val="20"/>
          <w:szCs w:val="20"/>
          <w:lang w:eastAsia="es-MX"/>
          <w14:ligatures w14:val="none"/>
        </w:rPr>
      </w:pPr>
    </w:p>
    <w:p w14:paraId="07C48A2B"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Licencia de construcción.</w:t>
      </w:r>
    </w:p>
    <w:p w14:paraId="19F55569"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Constancia de terminación de obra.</w:t>
      </w:r>
    </w:p>
    <w:p w14:paraId="73DA630D"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Licencia para realización de una demolición.</w:t>
      </w:r>
      <w:bookmarkStart w:id="0" w:name="page50"/>
      <w:bookmarkEnd w:id="0"/>
    </w:p>
    <w:p w14:paraId="1C16D59F"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Constancia de Alineamiento.</w:t>
      </w:r>
    </w:p>
    <w:p w14:paraId="330DFDD1"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Sellado de planos.</w:t>
      </w:r>
    </w:p>
    <w:p w14:paraId="3ACF1896"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Certificado de seguridad para el uso de explosivos.</w:t>
      </w:r>
    </w:p>
    <w:p w14:paraId="35EF0E48"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Licencia para hacer cortes en banquetas, pavimento y guarniciones.</w:t>
      </w:r>
    </w:p>
    <w:p w14:paraId="2F03A731"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Otorgamiento de constancia a que se refiere la Ley Sobre el Régimen de Propiedad y Condominio Inmobiliario del Estado de Yucatán.</w:t>
      </w:r>
    </w:p>
    <w:p w14:paraId="3A31BDC5"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Constancia para obras de urbanización.</w:t>
      </w:r>
    </w:p>
    <w:p w14:paraId="214A0689"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Constancia de uso de suelo.</w:t>
      </w:r>
    </w:p>
    <w:p w14:paraId="2FE972B0"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Constancia de unión y división de inmuebles.</w:t>
      </w:r>
    </w:p>
    <w:p w14:paraId="29E19744"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Licencia para efectuar excavaciones o para la construcción de pozos o albercas.</w:t>
      </w:r>
    </w:p>
    <w:p w14:paraId="4E74D090"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Licencia para construir bardas o colocar pisos.</w:t>
      </w:r>
    </w:p>
    <w:p w14:paraId="7271FB60" w14:textId="77777777" w:rsidR="00D02347" w:rsidRPr="00D02347" w:rsidRDefault="00D02347" w:rsidP="00D02347">
      <w:pPr>
        <w:numPr>
          <w:ilvl w:val="0"/>
          <w:numId w:val="1"/>
        </w:numPr>
        <w:tabs>
          <w:tab w:val="left" w:pos="504"/>
        </w:tabs>
        <w:spacing w:after="0" w:line="360" w:lineRule="auto"/>
        <w:ind w:left="0" w:firstLine="0"/>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 xml:space="preserve">Verificación de obra. </w:t>
      </w:r>
    </w:p>
    <w:p w14:paraId="19C594A1" w14:textId="77777777" w:rsidR="00D02347" w:rsidRPr="00D02347" w:rsidRDefault="00D02347" w:rsidP="00D02347">
      <w:pPr>
        <w:tabs>
          <w:tab w:val="left" w:pos="504"/>
        </w:tabs>
        <w:spacing w:after="0" w:line="360" w:lineRule="auto"/>
        <w:jc w:val="both"/>
        <w:rPr>
          <w:rFonts w:ascii="Times New Roman" w:eastAsia="MS Mincho" w:hAnsi="Times New Roman" w:cs="Times New Roman"/>
          <w:i/>
          <w:iCs/>
          <w:color w:val="0000FF"/>
          <w:kern w:val="0"/>
          <w:sz w:val="18"/>
          <w:szCs w:val="18"/>
          <w:lang w:eastAsia="es-MX"/>
          <w14:ligatures w14:val="none"/>
        </w:rPr>
      </w:pPr>
      <w:r w:rsidRPr="00D02347">
        <w:rPr>
          <w:rFonts w:ascii="Arial" w:eastAsia="Arial" w:hAnsi="Arial" w:cs="Arial"/>
          <w:b/>
          <w:kern w:val="0"/>
          <w:sz w:val="20"/>
          <w:szCs w:val="20"/>
          <w:lang w:eastAsia="es-MX"/>
          <w14:ligatures w14:val="none"/>
        </w:rPr>
        <w:t>ñ)</w:t>
      </w:r>
      <w:r w:rsidRPr="00D02347">
        <w:rPr>
          <w:rFonts w:ascii="Arial" w:eastAsia="Arial" w:hAnsi="Arial" w:cs="Arial"/>
          <w:b/>
          <w:kern w:val="0"/>
          <w:sz w:val="20"/>
          <w:szCs w:val="20"/>
          <w:lang w:eastAsia="es-MX"/>
          <w14:ligatures w14:val="none"/>
        </w:rPr>
        <w:tab/>
      </w:r>
      <w:r w:rsidRPr="00D02347">
        <w:rPr>
          <w:rFonts w:ascii="Arial" w:eastAsia="Arial" w:hAnsi="Arial" w:cs="Arial"/>
          <w:kern w:val="0"/>
          <w:sz w:val="20"/>
          <w:szCs w:val="20"/>
          <w:lang w:eastAsia="es-MX"/>
          <w14:ligatures w14:val="none"/>
        </w:rPr>
        <w:t xml:space="preserve">Renovación de licencia de obra. </w:t>
      </w:r>
    </w:p>
    <w:p w14:paraId="4BE3969D" w14:textId="77777777" w:rsidR="00D02347" w:rsidRPr="00D02347" w:rsidRDefault="00D02347" w:rsidP="00D02347">
      <w:pPr>
        <w:tabs>
          <w:tab w:val="left" w:pos="50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o)</w:t>
      </w:r>
      <w:r w:rsidRPr="00D02347">
        <w:rPr>
          <w:rFonts w:ascii="Arial" w:eastAsia="Arial" w:hAnsi="Arial" w:cs="Arial"/>
          <w:b/>
          <w:kern w:val="0"/>
          <w:sz w:val="20"/>
          <w:szCs w:val="20"/>
          <w:lang w:eastAsia="es-MX"/>
          <w14:ligatures w14:val="none"/>
        </w:rPr>
        <w:tab/>
      </w:r>
      <w:r w:rsidRPr="00D02347">
        <w:rPr>
          <w:rFonts w:ascii="Arial" w:eastAsia="Arial" w:hAnsi="Arial" w:cs="Arial"/>
          <w:kern w:val="0"/>
          <w:sz w:val="20"/>
          <w:szCs w:val="20"/>
          <w:lang w:eastAsia="es-MX"/>
          <w14:ligatures w14:val="none"/>
        </w:rPr>
        <w:t xml:space="preserve">Permiso de ampliación. </w:t>
      </w:r>
    </w:p>
    <w:p w14:paraId="7515F2BA" w14:textId="77777777" w:rsidR="00D02347" w:rsidRPr="00D02347" w:rsidRDefault="00D02347" w:rsidP="00D02347">
      <w:pPr>
        <w:tabs>
          <w:tab w:val="left" w:pos="50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lastRenderedPageBreak/>
        <w:t>p)</w:t>
      </w:r>
      <w:r w:rsidRPr="00D02347">
        <w:rPr>
          <w:rFonts w:ascii="Arial" w:eastAsia="Arial" w:hAnsi="Arial" w:cs="Arial"/>
          <w:b/>
          <w:kern w:val="0"/>
          <w:sz w:val="20"/>
          <w:szCs w:val="20"/>
          <w:lang w:eastAsia="es-MX"/>
          <w14:ligatures w14:val="none"/>
        </w:rPr>
        <w:tab/>
      </w:r>
      <w:r w:rsidRPr="00D02347">
        <w:rPr>
          <w:rFonts w:ascii="Arial" w:eastAsia="Arial" w:hAnsi="Arial" w:cs="Arial"/>
          <w:kern w:val="0"/>
          <w:sz w:val="20"/>
          <w:szCs w:val="20"/>
          <w:lang w:eastAsia="es-MX"/>
          <w14:ligatures w14:val="none"/>
        </w:rPr>
        <w:t>Licencia de urbanización.</w:t>
      </w:r>
      <w:r w:rsidRPr="00D02347">
        <w:rPr>
          <w:rFonts w:ascii="Arial" w:eastAsia="Arial" w:hAnsi="Arial" w:cs="Arial"/>
          <w:b/>
          <w:kern w:val="0"/>
          <w:sz w:val="20"/>
          <w:szCs w:val="20"/>
          <w:lang w:eastAsia="es-MX"/>
          <w14:ligatures w14:val="none"/>
        </w:rPr>
        <w:t xml:space="preserve"> </w:t>
      </w:r>
    </w:p>
    <w:p w14:paraId="660DC6C6" w14:textId="77777777" w:rsidR="00D02347" w:rsidRPr="00D02347" w:rsidRDefault="00D02347" w:rsidP="00D02347">
      <w:pPr>
        <w:tabs>
          <w:tab w:val="left" w:pos="50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q)</w:t>
      </w:r>
      <w:r w:rsidRPr="00D02347">
        <w:rPr>
          <w:rFonts w:ascii="Arial" w:eastAsia="Arial" w:hAnsi="Arial" w:cs="Arial"/>
          <w:b/>
          <w:kern w:val="0"/>
          <w:sz w:val="20"/>
          <w:szCs w:val="20"/>
          <w:lang w:eastAsia="es-MX"/>
          <w14:ligatures w14:val="none"/>
        </w:rPr>
        <w:tab/>
      </w:r>
      <w:r w:rsidRPr="00D02347">
        <w:rPr>
          <w:rFonts w:ascii="Arial" w:eastAsia="Arial" w:hAnsi="Arial" w:cs="Arial"/>
          <w:kern w:val="0"/>
          <w:sz w:val="20"/>
          <w:szCs w:val="20"/>
          <w:lang w:eastAsia="es-MX"/>
          <w14:ligatures w14:val="none"/>
        </w:rPr>
        <w:t>Licencia de uso de suelo.</w:t>
      </w:r>
      <w:r w:rsidRPr="00D02347">
        <w:rPr>
          <w:rFonts w:ascii="Arial" w:eastAsia="Arial" w:hAnsi="Arial" w:cs="Arial"/>
          <w:b/>
          <w:kern w:val="0"/>
          <w:sz w:val="20"/>
          <w:szCs w:val="20"/>
          <w:lang w:eastAsia="es-MX"/>
          <w14:ligatures w14:val="none"/>
        </w:rPr>
        <w:t xml:space="preserve"> </w:t>
      </w:r>
    </w:p>
    <w:p w14:paraId="398F87DA" w14:textId="77777777" w:rsidR="00D02347" w:rsidRPr="00D02347" w:rsidRDefault="00D02347" w:rsidP="00D02347">
      <w:pPr>
        <w:tabs>
          <w:tab w:val="left" w:pos="50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r)</w:t>
      </w:r>
      <w:r w:rsidRPr="00D02347">
        <w:rPr>
          <w:rFonts w:ascii="Arial" w:eastAsia="Arial" w:hAnsi="Arial" w:cs="Arial"/>
          <w:b/>
          <w:kern w:val="0"/>
          <w:sz w:val="20"/>
          <w:szCs w:val="20"/>
          <w:lang w:eastAsia="es-MX"/>
          <w14:ligatures w14:val="none"/>
        </w:rPr>
        <w:tab/>
      </w:r>
      <w:r w:rsidRPr="00D02347">
        <w:rPr>
          <w:rFonts w:ascii="Arial" w:eastAsia="Arial" w:hAnsi="Arial" w:cs="Arial"/>
          <w:kern w:val="0"/>
          <w:sz w:val="20"/>
          <w:szCs w:val="20"/>
          <w:lang w:eastAsia="es-MX"/>
          <w14:ligatures w14:val="none"/>
        </w:rPr>
        <w:t>Licencia para uso de andamios o tapiales.</w:t>
      </w:r>
      <w:r w:rsidRPr="00D02347">
        <w:rPr>
          <w:rFonts w:ascii="Times New Roman" w:eastAsia="MS Mincho" w:hAnsi="Times New Roman" w:cs="Times New Roman"/>
          <w:i/>
          <w:iCs/>
          <w:color w:val="0000FF"/>
          <w:kern w:val="0"/>
          <w:sz w:val="18"/>
          <w:szCs w:val="18"/>
          <w:lang w:eastAsia="es-MX"/>
          <w14:ligatures w14:val="none"/>
        </w:rPr>
        <w:t xml:space="preserve"> </w:t>
      </w:r>
    </w:p>
    <w:p w14:paraId="525B7B94" w14:textId="77777777" w:rsidR="00D02347" w:rsidRPr="00D02347" w:rsidRDefault="00D02347" w:rsidP="00D02347">
      <w:pPr>
        <w:tabs>
          <w:tab w:val="left" w:pos="50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s)</w:t>
      </w:r>
      <w:r w:rsidRPr="00D02347">
        <w:rPr>
          <w:rFonts w:ascii="Arial" w:eastAsia="Arial" w:hAnsi="Arial" w:cs="Arial"/>
          <w:b/>
          <w:kern w:val="0"/>
          <w:sz w:val="20"/>
          <w:szCs w:val="20"/>
          <w:lang w:eastAsia="es-MX"/>
          <w14:ligatures w14:val="none"/>
        </w:rPr>
        <w:tab/>
      </w:r>
      <w:r w:rsidRPr="00D02347">
        <w:rPr>
          <w:rFonts w:ascii="Arial" w:eastAsia="Arial" w:hAnsi="Arial" w:cs="Arial"/>
          <w:kern w:val="0"/>
          <w:sz w:val="20"/>
          <w:szCs w:val="20"/>
          <w:lang w:eastAsia="es-MX"/>
          <w14:ligatures w14:val="none"/>
        </w:rPr>
        <w:t>Factibilidad de uso de suelo, construcción, urbanización, medios de publicidad, anuncios de propaganda, agua potable, alumbrado público, servicios de vigilancia y tránsito municipal.</w:t>
      </w:r>
      <w:r w:rsidRPr="00D02347">
        <w:rPr>
          <w:rFonts w:ascii="Arial" w:eastAsia="Arial" w:hAnsi="Arial" w:cs="Arial"/>
          <w:b/>
          <w:kern w:val="0"/>
          <w:sz w:val="20"/>
          <w:szCs w:val="20"/>
          <w:lang w:eastAsia="es-MX"/>
          <w14:ligatures w14:val="none"/>
        </w:rPr>
        <w:t xml:space="preserve"> </w:t>
      </w:r>
    </w:p>
    <w:p w14:paraId="1AA0BE40" w14:textId="77777777" w:rsidR="00D02347" w:rsidRPr="00D02347" w:rsidRDefault="00D02347" w:rsidP="00D02347">
      <w:pPr>
        <w:tabs>
          <w:tab w:val="left" w:pos="50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t)</w:t>
      </w:r>
      <w:r w:rsidRPr="00D02347">
        <w:rPr>
          <w:rFonts w:ascii="Arial" w:eastAsia="Arial" w:hAnsi="Arial" w:cs="Arial"/>
          <w:b/>
          <w:kern w:val="0"/>
          <w:sz w:val="20"/>
          <w:szCs w:val="20"/>
          <w:lang w:eastAsia="es-MX"/>
          <w14:ligatures w14:val="none"/>
        </w:rPr>
        <w:tab/>
      </w:r>
      <w:r w:rsidRPr="00D02347">
        <w:rPr>
          <w:rFonts w:ascii="Arial" w:eastAsia="Arial" w:hAnsi="Arial" w:cs="Arial"/>
          <w:kern w:val="0"/>
          <w:sz w:val="20"/>
          <w:szCs w:val="20"/>
          <w:lang w:eastAsia="es-MX"/>
          <w14:ligatures w14:val="none"/>
        </w:rPr>
        <w:t>Constancia de concesión en zona federal- marítima.</w:t>
      </w:r>
      <w:r w:rsidRPr="00D02347">
        <w:rPr>
          <w:rFonts w:ascii="Times New Roman" w:eastAsia="MS Mincho" w:hAnsi="Times New Roman" w:cs="Times New Roman"/>
          <w:i/>
          <w:iCs/>
          <w:color w:val="0000FF"/>
          <w:kern w:val="0"/>
          <w:sz w:val="18"/>
          <w:szCs w:val="18"/>
          <w:lang w:eastAsia="es-MX"/>
          <w14:ligatures w14:val="none"/>
        </w:rPr>
        <w:t xml:space="preserve"> </w:t>
      </w:r>
    </w:p>
    <w:p w14:paraId="19878C6C" w14:textId="77777777" w:rsidR="00D02347" w:rsidRPr="00D02347" w:rsidRDefault="00D02347" w:rsidP="00D02347">
      <w:pPr>
        <w:tabs>
          <w:tab w:val="left" w:pos="504"/>
        </w:tabs>
        <w:spacing w:after="0" w:line="360" w:lineRule="auto"/>
        <w:jc w:val="center"/>
        <w:rPr>
          <w:rFonts w:ascii="Arial" w:eastAsia="Arial" w:hAnsi="Arial" w:cs="Arial"/>
          <w:b/>
          <w:kern w:val="0"/>
          <w:sz w:val="20"/>
          <w:szCs w:val="20"/>
          <w:lang w:eastAsia="es-MX"/>
          <w14:ligatures w14:val="none"/>
        </w:rPr>
      </w:pPr>
    </w:p>
    <w:p w14:paraId="0022D950" w14:textId="77777777" w:rsidR="00D02347" w:rsidRPr="00D02347" w:rsidRDefault="00D02347" w:rsidP="00D02347">
      <w:pPr>
        <w:tabs>
          <w:tab w:val="left" w:pos="504"/>
        </w:tabs>
        <w:spacing w:after="0" w:line="360" w:lineRule="auto"/>
        <w:jc w:val="center"/>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DE LAS BASES</w:t>
      </w:r>
    </w:p>
    <w:p w14:paraId="53F78FE1" w14:textId="77777777" w:rsidR="00D02347" w:rsidRPr="00D02347" w:rsidRDefault="00D02347" w:rsidP="00D02347">
      <w:pPr>
        <w:tabs>
          <w:tab w:val="left" w:pos="504"/>
        </w:tabs>
        <w:spacing w:after="0" w:line="360" w:lineRule="auto"/>
        <w:jc w:val="center"/>
        <w:rPr>
          <w:rFonts w:ascii="Arial" w:eastAsia="Arial" w:hAnsi="Arial" w:cs="Arial"/>
          <w:b/>
          <w:kern w:val="0"/>
          <w:sz w:val="20"/>
          <w:szCs w:val="20"/>
          <w:lang w:eastAsia="es-MX"/>
          <w14:ligatures w14:val="none"/>
        </w:rPr>
      </w:pPr>
    </w:p>
    <w:p w14:paraId="5B577EF5" w14:textId="77777777" w:rsidR="00D02347" w:rsidRPr="00D02347" w:rsidRDefault="00D02347" w:rsidP="00D02347">
      <w:pPr>
        <w:tabs>
          <w:tab w:val="left" w:pos="50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kern w:val="0"/>
          <w:sz w:val="20"/>
          <w:szCs w:val="20"/>
          <w:lang w:eastAsia="es-MX"/>
          <w14:ligatures w14:val="none"/>
        </w:rPr>
        <w:t xml:space="preserve">Artículo 68.- </w:t>
      </w:r>
      <w:r w:rsidRPr="00D02347">
        <w:rPr>
          <w:rFonts w:ascii="Arial" w:eastAsia="Arial" w:hAnsi="Arial" w:cs="Arial"/>
          <w:kern w:val="0"/>
          <w:sz w:val="20"/>
          <w:szCs w:val="20"/>
          <w:lang w:eastAsia="es-MX"/>
          <w14:ligatures w14:val="none"/>
        </w:rPr>
        <w:t>Las bases para el cobro de los derechos mencionados en el Artículo</w:t>
      </w:r>
      <w:r w:rsidRPr="00D02347">
        <w:rPr>
          <w:rFonts w:ascii="Arial" w:eastAsia="Arial" w:hAnsi="Arial" w:cs="Arial"/>
          <w:b/>
          <w:kern w:val="0"/>
          <w:sz w:val="20"/>
          <w:szCs w:val="20"/>
          <w:lang w:eastAsia="es-MX"/>
          <w14:ligatures w14:val="none"/>
        </w:rPr>
        <w:t xml:space="preserve"> </w:t>
      </w:r>
      <w:r w:rsidRPr="00D02347">
        <w:rPr>
          <w:rFonts w:ascii="Arial" w:eastAsia="Arial" w:hAnsi="Arial" w:cs="Arial"/>
          <w:kern w:val="0"/>
          <w:sz w:val="20"/>
          <w:szCs w:val="20"/>
          <w:lang w:eastAsia="es-MX"/>
          <w14:ligatures w14:val="none"/>
        </w:rPr>
        <w:t>que antecede, serán:</w:t>
      </w:r>
    </w:p>
    <w:p w14:paraId="46AE6B86" w14:textId="77777777" w:rsidR="00D02347" w:rsidRPr="00D02347" w:rsidRDefault="00D02347" w:rsidP="00D02347">
      <w:pPr>
        <w:tabs>
          <w:tab w:val="left" w:pos="504"/>
        </w:tabs>
        <w:spacing w:after="0" w:line="360" w:lineRule="auto"/>
        <w:jc w:val="both"/>
        <w:rPr>
          <w:rFonts w:ascii="Arial" w:eastAsia="Arial" w:hAnsi="Arial" w:cs="Arial"/>
          <w:b/>
          <w:kern w:val="0"/>
          <w:sz w:val="20"/>
          <w:szCs w:val="20"/>
          <w:lang w:eastAsia="es-MX"/>
          <w14:ligatures w14:val="none"/>
        </w:rPr>
      </w:pPr>
    </w:p>
    <w:p w14:paraId="2C5FCA73" w14:textId="77777777" w:rsidR="00D02347" w:rsidRPr="00D02347" w:rsidRDefault="00D02347" w:rsidP="00D02347">
      <w:pPr>
        <w:numPr>
          <w:ilvl w:val="0"/>
          <w:numId w:val="2"/>
        </w:num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El número de metros lineales.</w:t>
      </w:r>
    </w:p>
    <w:p w14:paraId="71E65E4A" w14:textId="77777777" w:rsidR="00D02347" w:rsidRPr="00D02347" w:rsidRDefault="00D02347" w:rsidP="00D02347">
      <w:pPr>
        <w:numPr>
          <w:ilvl w:val="0"/>
          <w:numId w:val="2"/>
        </w:numPr>
        <w:tabs>
          <w:tab w:val="left" w:pos="40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El número de metros cuadrados.</w:t>
      </w:r>
    </w:p>
    <w:p w14:paraId="2DBC25C9" w14:textId="77777777" w:rsidR="00D02347" w:rsidRPr="00D02347" w:rsidRDefault="00D02347" w:rsidP="00D02347">
      <w:pPr>
        <w:numPr>
          <w:ilvl w:val="0"/>
          <w:numId w:val="2"/>
        </w:num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El número de metros cúbicos.</w:t>
      </w:r>
    </w:p>
    <w:p w14:paraId="26024EE3" w14:textId="77777777" w:rsidR="00D02347" w:rsidRPr="00D02347" w:rsidRDefault="00D02347" w:rsidP="00D02347">
      <w:pPr>
        <w:numPr>
          <w:ilvl w:val="0"/>
          <w:numId w:val="2"/>
        </w:numPr>
        <w:tabs>
          <w:tab w:val="left" w:pos="40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El número de predios, departamentos o locales resultantes.</w:t>
      </w:r>
    </w:p>
    <w:p w14:paraId="41991D27" w14:textId="77777777" w:rsidR="00D02347" w:rsidRPr="00D02347" w:rsidRDefault="00D02347" w:rsidP="00D02347">
      <w:pPr>
        <w:numPr>
          <w:ilvl w:val="0"/>
          <w:numId w:val="2"/>
        </w:num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El servicio prestado.</w:t>
      </w:r>
    </w:p>
    <w:p w14:paraId="2A002DF9" w14:textId="77777777" w:rsidR="00D02347" w:rsidRPr="00D02347" w:rsidRDefault="00D02347" w:rsidP="00D02347">
      <w:pPr>
        <w:tabs>
          <w:tab w:val="left" w:pos="384"/>
        </w:tabs>
        <w:spacing w:after="0" w:line="360" w:lineRule="auto"/>
        <w:jc w:val="center"/>
        <w:rPr>
          <w:rFonts w:ascii="Arial" w:eastAsia="Arial" w:hAnsi="Arial" w:cs="Arial"/>
          <w:b/>
          <w:kern w:val="0"/>
          <w:sz w:val="20"/>
          <w:szCs w:val="20"/>
          <w:lang w:eastAsia="es-MX"/>
          <w14:ligatures w14:val="none"/>
        </w:rPr>
      </w:pPr>
    </w:p>
    <w:p w14:paraId="63F063E6" w14:textId="77777777" w:rsidR="00D02347" w:rsidRPr="00D02347" w:rsidRDefault="00D02347" w:rsidP="00D02347">
      <w:pPr>
        <w:tabs>
          <w:tab w:val="left" w:pos="384"/>
        </w:tabs>
        <w:spacing w:after="0" w:line="360" w:lineRule="auto"/>
        <w:jc w:val="center"/>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DE LA CLASIFICACIÓN DE LAS CONSTRUCCIONES</w:t>
      </w:r>
    </w:p>
    <w:p w14:paraId="18356279" w14:textId="77777777" w:rsidR="00D02347" w:rsidRPr="00D02347" w:rsidRDefault="00D02347" w:rsidP="00D02347">
      <w:pPr>
        <w:tabs>
          <w:tab w:val="left" w:pos="384"/>
        </w:tabs>
        <w:spacing w:after="0" w:line="240" w:lineRule="auto"/>
        <w:jc w:val="center"/>
        <w:rPr>
          <w:rFonts w:ascii="Arial" w:eastAsia="Arial" w:hAnsi="Arial" w:cs="Arial"/>
          <w:b/>
          <w:kern w:val="0"/>
          <w:sz w:val="20"/>
          <w:szCs w:val="20"/>
          <w:lang w:eastAsia="es-MX"/>
          <w14:ligatures w14:val="none"/>
        </w:rPr>
      </w:pPr>
    </w:p>
    <w:p w14:paraId="530F6F5B"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kern w:val="0"/>
          <w:sz w:val="20"/>
          <w:szCs w:val="20"/>
          <w:lang w:eastAsia="es-MX"/>
          <w14:ligatures w14:val="none"/>
        </w:rPr>
        <w:t>Artículo 69.-</w:t>
      </w:r>
      <w:r w:rsidRPr="00D02347">
        <w:rPr>
          <w:rFonts w:ascii="Arial" w:eastAsia="Arial" w:hAnsi="Arial" w:cs="Arial"/>
          <w:kern w:val="0"/>
          <w:sz w:val="20"/>
          <w:szCs w:val="20"/>
          <w:lang w:eastAsia="es-MX"/>
          <w14:ligatures w14:val="none"/>
        </w:rPr>
        <w:t>Para los efectos de este capítulo, las construcciones se clasificarán</w:t>
      </w:r>
      <w:r w:rsidRPr="00D02347">
        <w:rPr>
          <w:rFonts w:ascii="Arial" w:eastAsia="Arial" w:hAnsi="Arial" w:cs="Arial"/>
          <w:b/>
          <w:kern w:val="0"/>
          <w:sz w:val="20"/>
          <w:szCs w:val="20"/>
          <w:lang w:eastAsia="es-MX"/>
          <w14:ligatures w14:val="none"/>
        </w:rPr>
        <w:t xml:space="preserve"> </w:t>
      </w:r>
      <w:r w:rsidRPr="00D02347">
        <w:rPr>
          <w:rFonts w:ascii="Arial" w:eastAsia="Arial" w:hAnsi="Arial" w:cs="Arial"/>
          <w:kern w:val="0"/>
          <w:sz w:val="20"/>
          <w:szCs w:val="20"/>
          <w:lang w:eastAsia="es-MX"/>
          <w14:ligatures w14:val="none"/>
        </w:rPr>
        <w:t>en dos tipos:</w:t>
      </w:r>
      <w:bookmarkStart w:id="1" w:name="page51"/>
      <w:bookmarkEnd w:id="1"/>
    </w:p>
    <w:p w14:paraId="122FE721"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p>
    <w:p w14:paraId="52C29422"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Construcción Tipo A:</w:t>
      </w:r>
    </w:p>
    <w:p w14:paraId="0DB9D092"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Es aquella construcción estructurada, cubierta con concreto armado o cualquier otro elemento especial, con excepción de las señaladas como tipo B.</w:t>
      </w:r>
    </w:p>
    <w:p w14:paraId="2C8319F4"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p>
    <w:p w14:paraId="3C875FDC"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Construcción tipo B:</w:t>
      </w:r>
    </w:p>
    <w:p w14:paraId="307559EF"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Es aquella construcción estructurada cubierta de madera, cartón, paja, lámina metálica, lámina de asbesto o lámina de cartón.</w:t>
      </w:r>
    </w:p>
    <w:p w14:paraId="2107E597"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p>
    <w:p w14:paraId="46FF9B6F"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kern w:val="0"/>
          <w:sz w:val="20"/>
          <w:szCs w:val="20"/>
          <w:lang w:eastAsia="es-MX"/>
          <w14:ligatures w14:val="none"/>
        </w:rPr>
        <w:t>Ambos tipos de construcción podrán ser:</w:t>
      </w:r>
    </w:p>
    <w:p w14:paraId="56FAD966"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p>
    <w:p w14:paraId="7073035B"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 xml:space="preserve">Clase 1: </w:t>
      </w:r>
      <w:r w:rsidRPr="00D02347">
        <w:rPr>
          <w:rFonts w:ascii="Arial" w:eastAsia="Arial" w:hAnsi="Arial" w:cs="Arial"/>
          <w:kern w:val="0"/>
          <w:sz w:val="20"/>
          <w:szCs w:val="20"/>
          <w:lang w:eastAsia="es-MX"/>
          <w14:ligatures w14:val="none"/>
        </w:rPr>
        <w:t>Con construcción hasta de 60.00 metros cuadrados.</w:t>
      </w:r>
    </w:p>
    <w:p w14:paraId="0754AA15"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 xml:space="preserve">Clase 2: </w:t>
      </w:r>
      <w:r w:rsidRPr="00D02347">
        <w:rPr>
          <w:rFonts w:ascii="Arial" w:eastAsia="Arial" w:hAnsi="Arial" w:cs="Arial"/>
          <w:kern w:val="0"/>
          <w:sz w:val="20"/>
          <w:szCs w:val="20"/>
          <w:lang w:eastAsia="es-MX"/>
          <w14:ligatures w14:val="none"/>
        </w:rPr>
        <w:t>Con construcción desde 61.00 hasta 120.00 metros cuadrados.</w:t>
      </w:r>
    </w:p>
    <w:p w14:paraId="560D8A05"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 xml:space="preserve">Clase 3: </w:t>
      </w:r>
      <w:r w:rsidRPr="00D02347">
        <w:rPr>
          <w:rFonts w:ascii="Arial" w:eastAsia="Arial" w:hAnsi="Arial" w:cs="Arial"/>
          <w:kern w:val="0"/>
          <w:sz w:val="20"/>
          <w:szCs w:val="20"/>
          <w:lang w:eastAsia="es-MX"/>
          <w14:ligatures w14:val="none"/>
        </w:rPr>
        <w:t>Con construcción desde 121.00 hasta 240.00 metros cuadrados.</w:t>
      </w:r>
    </w:p>
    <w:p w14:paraId="6074C9F7"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 xml:space="preserve">Clase 4: </w:t>
      </w:r>
      <w:r w:rsidRPr="00D02347">
        <w:rPr>
          <w:rFonts w:ascii="Arial" w:eastAsia="Arial" w:hAnsi="Arial" w:cs="Arial"/>
          <w:kern w:val="0"/>
          <w:sz w:val="20"/>
          <w:szCs w:val="20"/>
          <w:lang w:eastAsia="es-MX"/>
          <w14:ligatures w14:val="none"/>
        </w:rPr>
        <w:t>Con construcción desde 241.00 metros cuadrados en adelante.</w:t>
      </w:r>
    </w:p>
    <w:p w14:paraId="7B74F500" w14:textId="77777777" w:rsidR="00D02347" w:rsidRDefault="00D02347" w:rsidP="00D02347">
      <w:pPr>
        <w:tabs>
          <w:tab w:val="left" w:pos="384"/>
        </w:tabs>
        <w:spacing w:after="0" w:line="360" w:lineRule="auto"/>
        <w:jc w:val="center"/>
        <w:rPr>
          <w:rFonts w:ascii="Arial" w:eastAsia="Arial" w:hAnsi="Arial" w:cs="Arial"/>
          <w:b/>
          <w:kern w:val="0"/>
          <w:sz w:val="20"/>
          <w:szCs w:val="20"/>
          <w:lang w:eastAsia="es-MX"/>
          <w14:ligatures w14:val="none"/>
        </w:rPr>
      </w:pPr>
    </w:p>
    <w:p w14:paraId="7E724103" w14:textId="77777777" w:rsidR="00C8332A" w:rsidRDefault="00C8332A" w:rsidP="00D02347">
      <w:pPr>
        <w:tabs>
          <w:tab w:val="left" w:pos="384"/>
        </w:tabs>
        <w:spacing w:after="0" w:line="360" w:lineRule="auto"/>
        <w:jc w:val="center"/>
        <w:rPr>
          <w:rFonts w:ascii="Arial" w:eastAsia="Arial" w:hAnsi="Arial" w:cs="Arial"/>
          <w:b/>
          <w:kern w:val="0"/>
          <w:sz w:val="20"/>
          <w:szCs w:val="20"/>
          <w:lang w:eastAsia="es-MX"/>
          <w14:ligatures w14:val="none"/>
        </w:rPr>
      </w:pPr>
    </w:p>
    <w:p w14:paraId="10CCE768" w14:textId="77777777" w:rsidR="00C8332A" w:rsidRPr="00D02347" w:rsidRDefault="00C8332A" w:rsidP="00D02347">
      <w:pPr>
        <w:tabs>
          <w:tab w:val="left" w:pos="384"/>
        </w:tabs>
        <w:spacing w:after="0" w:line="360" w:lineRule="auto"/>
        <w:jc w:val="center"/>
        <w:rPr>
          <w:rFonts w:ascii="Arial" w:eastAsia="Arial" w:hAnsi="Arial" w:cs="Arial"/>
          <w:b/>
          <w:kern w:val="0"/>
          <w:sz w:val="20"/>
          <w:szCs w:val="20"/>
          <w:lang w:eastAsia="es-MX"/>
          <w14:ligatures w14:val="none"/>
        </w:rPr>
      </w:pPr>
    </w:p>
    <w:p w14:paraId="50E7ECE5" w14:textId="77777777" w:rsidR="00D02347" w:rsidRPr="00D02347" w:rsidRDefault="00D02347" w:rsidP="00D02347">
      <w:pPr>
        <w:tabs>
          <w:tab w:val="left" w:pos="384"/>
        </w:tabs>
        <w:spacing w:after="0" w:line="360" w:lineRule="auto"/>
        <w:jc w:val="center"/>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DE LA TARIFA</w:t>
      </w:r>
    </w:p>
    <w:p w14:paraId="6C77FC9B" w14:textId="77777777" w:rsidR="00D02347" w:rsidRPr="00D02347" w:rsidRDefault="00D02347" w:rsidP="00D02347">
      <w:pPr>
        <w:tabs>
          <w:tab w:val="left" w:pos="384"/>
        </w:tabs>
        <w:spacing w:after="0" w:line="360" w:lineRule="auto"/>
        <w:jc w:val="center"/>
        <w:rPr>
          <w:rFonts w:ascii="Arial" w:eastAsia="Arial" w:hAnsi="Arial" w:cs="Arial"/>
          <w:b/>
          <w:kern w:val="0"/>
          <w:sz w:val="20"/>
          <w:szCs w:val="20"/>
          <w:lang w:eastAsia="es-MX"/>
          <w14:ligatures w14:val="none"/>
        </w:rPr>
      </w:pPr>
    </w:p>
    <w:p w14:paraId="5222CA55"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kern w:val="0"/>
          <w:sz w:val="20"/>
          <w:szCs w:val="20"/>
          <w:lang w:eastAsia="es-MX"/>
          <w14:ligatures w14:val="none"/>
        </w:rPr>
        <w:t xml:space="preserve">Artículo 70.- </w:t>
      </w:r>
      <w:r w:rsidRPr="00D02347">
        <w:rPr>
          <w:rFonts w:ascii="Arial" w:eastAsia="Arial" w:hAnsi="Arial" w:cs="Arial"/>
          <w:kern w:val="0"/>
          <w:sz w:val="20"/>
          <w:szCs w:val="20"/>
          <w:lang w:eastAsia="es-MX"/>
          <w14:ligatures w14:val="none"/>
        </w:rPr>
        <w:t>La tarifa del derecho por el servicio mencionado, se pagará conforme a lo estipulado en la Ley de Ingresos del Municipio de Telchac Pueblo.</w:t>
      </w:r>
    </w:p>
    <w:p w14:paraId="1BB8FAD2"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p>
    <w:p w14:paraId="227AF8E6" w14:textId="77777777" w:rsidR="00D02347" w:rsidRPr="00D02347" w:rsidRDefault="00D02347" w:rsidP="00D02347">
      <w:pPr>
        <w:tabs>
          <w:tab w:val="left" w:pos="384"/>
        </w:tabs>
        <w:spacing w:after="0" w:line="360" w:lineRule="auto"/>
        <w:jc w:val="center"/>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DE LAS EXENCIONES</w:t>
      </w:r>
    </w:p>
    <w:p w14:paraId="62AB4248" w14:textId="77777777" w:rsidR="00D02347" w:rsidRPr="00D02347" w:rsidRDefault="00D02347" w:rsidP="00D02347">
      <w:pPr>
        <w:tabs>
          <w:tab w:val="left" w:pos="384"/>
        </w:tabs>
        <w:spacing w:after="0" w:line="240" w:lineRule="auto"/>
        <w:jc w:val="center"/>
        <w:rPr>
          <w:rFonts w:ascii="Arial" w:eastAsia="Arial" w:hAnsi="Arial" w:cs="Arial"/>
          <w:b/>
          <w:kern w:val="0"/>
          <w:sz w:val="20"/>
          <w:szCs w:val="20"/>
          <w:lang w:eastAsia="es-MX"/>
          <w14:ligatures w14:val="none"/>
        </w:rPr>
      </w:pPr>
    </w:p>
    <w:p w14:paraId="5F1A9CDF"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kern w:val="0"/>
          <w:sz w:val="20"/>
          <w:szCs w:val="20"/>
          <w:lang w:eastAsia="es-MX"/>
          <w14:ligatures w14:val="none"/>
        </w:rPr>
        <w:t xml:space="preserve">Artículo 70 </w:t>
      </w:r>
      <w:proofErr w:type="gramStart"/>
      <w:r w:rsidRPr="00D02347">
        <w:rPr>
          <w:rFonts w:ascii="Arial" w:eastAsia="Arial" w:hAnsi="Arial" w:cs="Arial"/>
          <w:b/>
          <w:kern w:val="0"/>
          <w:sz w:val="20"/>
          <w:szCs w:val="20"/>
          <w:lang w:eastAsia="es-MX"/>
          <w14:ligatures w14:val="none"/>
        </w:rPr>
        <w:t>Bis.-</w:t>
      </w:r>
      <w:proofErr w:type="gramEnd"/>
      <w:r w:rsidRPr="00D02347">
        <w:rPr>
          <w:rFonts w:ascii="Arial" w:eastAsia="Arial" w:hAnsi="Arial" w:cs="Arial"/>
          <w:b/>
          <w:kern w:val="0"/>
          <w:sz w:val="20"/>
          <w:szCs w:val="20"/>
          <w:lang w:eastAsia="es-MX"/>
          <w14:ligatures w14:val="none"/>
        </w:rPr>
        <w:t xml:space="preserve"> </w:t>
      </w:r>
      <w:r w:rsidRPr="00D02347">
        <w:rPr>
          <w:rFonts w:ascii="Arial" w:eastAsia="Arial" w:hAnsi="Arial" w:cs="Arial"/>
          <w:kern w:val="0"/>
          <w:sz w:val="20"/>
          <w:szCs w:val="20"/>
          <w:lang w:eastAsia="es-MX"/>
          <w14:ligatures w14:val="none"/>
        </w:rPr>
        <w:t>Quedará exenta de pago, la inspección para el otorgamiento de la</w:t>
      </w:r>
      <w:r w:rsidRPr="00D02347">
        <w:rPr>
          <w:rFonts w:ascii="Arial" w:eastAsia="Arial" w:hAnsi="Arial" w:cs="Arial"/>
          <w:b/>
          <w:kern w:val="0"/>
          <w:sz w:val="20"/>
          <w:szCs w:val="20"/>
          <w:lang w:eastAsia="es-MX"/>
          <w14:ligatures w14:val="none"/>
        </w:rPr>
        <w:t xml:space="preserve"> </w:t>
      </w:r>
      <w:r w:rsidRPr="00D02347">
        <w:rPr>
          <w:rFonts w:ascii="Arial" w:eastAsia="Arial" w:hAnsi="Arial" w:cs="Arial"/>
          <w:kern w:val="0"/>
          <w:sz w:val="20"/>
          <w:szCs w:val="20"/>
          <w:lang w:eastAsia="es-MX"/>
          <w14:ligatures w14:val="none"/>
        </w:rPr>
        <w:t>licencia que se requiera, por los siguientes conceptos:</w:t>
      </w:r>
    </w:p>
    <w:p w14:paraId="1B00F340"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p>
    <w:p w14:paraId="0E80A8BB"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 xml:space="preserve">I.- </w:t>
      </w:r>
      <w:r w:rsidRPr="00D02347">
        <w:rPr>
          <w:rFonts w:ascii="Arial" w:eastAsia="Arial" w:hAnsi="Arial" w:cs="Arial"/>
          <w:kern w:val="0"/>
          <w:sz w:val="20"/>
          <w:szCs w:val="20"/>
          <w:lang w:eastAsia="es-MX"/>
          <w14:ligatures w14:val="none"/>
        </w:rPr>
        <w:t>Las construcciones que sean edificadas físicamente por sus propietarios.</w:t>
      </w:r>
    </w:p>
    <w:p w14:paraId="78D5D689"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 xml:space="preserve">II.- </w:t>
      </w:r>
      <w:r w:rsidRPr="00D02347">
        <w:rPr>
          <w:rFonts w:ascii="Arial" w:eastAsia="Arial" w:hAnsi="Arial" w:cs="Arial"/>
          <w:kern w:val="0"/>
          <w:sz w:val="20"/>
          <w:szCs w:val="20"/>
          <w:lang w:eastAsia="es-MX"/>
          <w14:ligatures w14:val="none"/>
        </w:rPr>
        <w:t>Las construcciones de Centros Asistenciales y Sociales, propiedad de la</w:t>
      </w:r>
      <w:r w:rsidRPr="00D02347">
        <w:rPr>
          <w:rFonts w:ascii="Arial" w:eastAsia="Arial" w:hAnsi="Arial" w:cs="Arial"/>
          <w:b/>
          <w:kern w:val="0"/>
          <w:sz w:val="20"/>
          <w:szCs w:val="20"/>
          <w:lang w:eastAsia="es-MX"/>
          <w14:ligatures w14:val="none"/>
        </w:rPr>
        <w:t xml:space="preserve"> </w:t>
      </w:r>
      <w:r w:rsidRPr="00D02347">
        <w:rPr>
          <w:rFonts w:ascii="Arial" w:eastAsia="Arial" w:hAnsi="Arial" w:cs="Arial"/>
          <w:kern w:val="0"/>
          <w:sz w:val="20"/>
          <w:szCs w:val="20"/>
          <w:lang w:eastAsia="es-MX"/>
          <w14:ligatures w14:val="none"/>
        </w:rPr>
        <w:t>Federación, el Estado o Municipio.</w:t>
      </w:r>
      <w:bookmarkStart w:id="2" w:name="page54"/>
      <w:bookmarkEnd w:id="2"/>
    </w:p>
    <w:p w14:paraId="3E944659"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 xml:space="preserve">III.- </w:t>
      </w:r>
      <w:r w:rsidRPr="00D02347">
        <w:rPr>
          <w:rFonts w:ascii="Arial" w:eastAsia="Arial" w:hAnsi="Arial" w:cs="Arial"/>
          <w:kern w:val="0"/>
          <w:sz w:val="20"/>
          <w:szCs w:val="20"/>
          <w:lang w:eastAsia="es-MX"/>
          <w14:ligatures w14:val="none"/>
        </w:rPr>
        <w:t>La construcción de aceras, fosas sépticas, pozos de absorción, resanes,</w:t>
      </w:r>
      <w:r w:rsidRPr="00D02347">
        <w:rPr>
          <w:rFonts w:ascii="Arial" w:eastAsia="Arial" w:hAnsi="Arial" w:cs="Arial"/>
          <w:b/>
          <w:kern w:val="0"/>
          <w:sz w:val="20"/>
          <w:szCs w:val="20"/>
          <w:lang w:eastAsia="es-MX"/>
          <w14:ligatures w14:val="none"/>
        </w:rPr>
        <w:t xml:space="preserve"> </w:t>
      </w:r>
      <w:r w:rsidRPr="00D02347">
        <w:rPr>
          <w:rFonts w:ascii="Arial" w:eastAsia="Arial" w:hAnsi="Arial" w:cs="Arial"/>
          <w:kern w:val="0"/>
          <w:sz w:val="20"/>
          <w:szCs w:val="20"/>
          <w:lang w:eastAsia="es-MX"/>
          <w14:ligatures w14:val="none"/>
        </w:rPr>
        <w:t>pintura de fachadas y obras de jardinería. Destinadas al mejoramiento de la vivienda.</w:t>
      </w:r>
    </w:p>
    <w:p w14:paraId="595B927B" w14:textId="77777777" w:rsidR="00D02347" w:rsidRPr="00D02347" w:rsidRDefault="00D02347" w:rsidP="00D02347">
      <w:pPr>
        <w:tabs>
          <w:tab w:val="left" w:pos="384"/>
        </w:tabs>
        <w:spacing w:after="0" w:line="360" w:lineRule="auto"/>
        <w:jc w:val="center"/>
        <w:rPr>
          <w:rFonts w:ascii="Arial" w:eastAsia="Arial" w:hAnsi="Arial" w:cs="Arial"/>
          <w:b/>
          <w:kern w:val="0"/>
          <w:sz w:val="20"/>
          <w:szCs w:val="20"/>
          <w:lang w:eastAsia="es-MX"/>
          <w14:ligatures w14:val="none"/>
        </w:rPr>
      </w:pPr>
    </w:p>
    <w:p w14:paraId="290F63D5" w14:textId="77777777" w:rsidR="00D02347" w:rsidRPr="00D02347" w:rsidRDefault="00D02347" w:rsidP="00D02347">
      <w:pPr>
        <w:tabs>
          <w:tab w:val="left" w:pos="384"/>
        </w:tabs>
        <w:spacing w:after="0" w:line="360" w:lineRule="auto"/>
        <w:jc w:val="center"/>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DE LA FACULTAD PARA DISMINUIR LA TARIFA</w:t>
      </w:r>
    </w:p>
    <w:p w14:paraId="4E75B27A" w14:textId="77777777" w:rsidR="00D02347" w:rsidRPr="00D02347" w:rsidRDefault="00D02347" w:rsidP="00D02347">
      <w:pPr>
        <w:tabs>
          <w:tab w:val="left" w:pos="384"/>
        </w:tabs>
        <w:spacing w:after="0" w:line="360" w:lineRule="auto"/>
        <w:jc w:val="center"/>
        <w:rPr>
          <w:rFonts w:ascii="Arial" w:eastAsia="Arial" w:hAnsi="Arial" w:cs="Arial"/>
          <w:b/>
          <w:kern w:val="0"/>
          <w:sz w:val="20"/>
          <w:szCs w:val="20"/>
          <w:lang w:eastAsia="es-MX"/>
          <w14:ligatures w14:val="none"/>
        </w:rPr>
      </w:pPr>
    </w:p>
    <w:p w14:paraId="144CD2D5"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kern w:val="0"/>
          <w:sz w:val="20"/>
          <w:szCs w:val="20"/>
          <w:lang w:eastAsia="es-MX"/>
          <w14:ligatures w14:val="none"/>
        </w:rPr>
        <w:t xml:space="preserve">Artículo 70 </w:t>
      </w:r>
      <w:proofErr w:type="gramStart"/>
      <w:r w:rsidRPr="00D02347">
        <w:rPr>
          <w:rFonts w:ascii="Arial" w:eastAsia="Arial" w:hAnsi="Arial" w:cs="Arial"/>
          <w:b/>
          <w:kern w:val="0"/>
          <w:sz w:val="20"/>
          <w:szCs w:val="20"/>
          <w:lang w:eastAsia="es-MX"/>
          <w14:ligatures w14:val="none"/>
        </w:rPr>
        <w:t>Ter.-</w:t>
      </w:r>
      <w:proofErr w:type="gramEnd"/>
      <w:r w:rsidRPr="00D02347">
        <w:rPr>
          <w:rFonts w:ascii="Arial" w:eastAsia="Arial" w:hAnsi="Arial" w:cs="Arial"/>
          <w:b/>
          <w:kern w:val="0"/>
          <w:sz w:val="20"/>
          <w:szCs w:val="20"/>
          <w:lang w:eastAsia="es-MX"/>
          <w14:ligatures w14:val="none"/>
        </w:rPr>
        <w:t xml:space="preserve"> </w:t>
      </w:r>
      <w:r w:rsidRPr="00D02347">
        <w:rPr>
          <w:rFonts w:ascii="Arial" w:eastAsia="Arial" w:hAnsi="Arial" w:cs="Arial"/>
          <w:kern w:val="0"/>
          <w:sz w:val="20"/>
          <w:szCs w:val="20"/>
          <w:lang w:eastAsia="es-MX"/>
          <w14:ligatures w14:val="none"/>
        </w:rPr>
        <w:t xml:space="preserve">El Tesorero Municipal a solicitud escrita del </w:t>
      </w:r>
      <w:proofErr w:type="gramStart"/>
      <w:r w:rsidRPr="00D02347">
        <w:rPr>
          <w:rFonts w:ascii="Arial" w:eastAsia="Arial" w:hAnsi="Arial" w:cs="Arial"/>
          <w:kern w:val="0"/>
          <w:sz w:val="20"/>
          <w:szCs w:val="20"/>
          <w:lang w:eastAsia="es-MX"/>
          <w14:ligatures w14:val="none"/>
        </w:rPr>
        <w:t>Director</w:t>
      </w:r>
      <w:proofErr w:type="gramEnd"/>
      <w:r w:rsidRPr="00D02347">
        <w:rPr>
          <w:rFonts w:ascii="Arial" w:eastAsia="Arial" w:hAnsi="Arial" w:cs="Arial"/>
          <w:kern w:val="0"/>
          <w:sz w:val="20"/>
          <w:szCs w:val="20"/>
          <w:lang w:eastAsia="es-MX"/>
          <w14:ligatures w14:val="none"/>
        </w:rPr>
        <w:t xml:space="preserve"> de Desarrollo</w:t>
      </w:r>
      <w:r w:rsidRPr="00D02347">
        <w:rPr>
          <w:rFonts w:ascii="Arial" w:eastAsia="Arial" w:hAnsi="Arial" w:cs="Arial"/>
          <w:b/>
          <w:kern w:val="0"/>
          <w:sz w:val="20"/>
          <w:szCs w:val="20"/>
          <w:lang w:eastAsia="es-MX"/>
          <w14:ligatures w14:val="none"/>
        </w:rPr>
        <w:t xml:space="preserve"> </w:t>
      </w:r>
      <w:r w:rsidRPr="00D02347">
        <w:rPr>
          <w:rFonts w:ascii="Arial" w:eastAsia="Arial" w:hAnsi="Arial" w:cs="Arial"/>
          <w:kern w:val="0"/>
          <w:sz w:val="20"/>
          <w:szCs w:val="20"/>
          <w:lang w:eastAsia="es-MX"/>
          <w14:ligatures w14:val="none"/>
        </w:rPr>
        <w:t>Urbano o del Titular de la Dependencia respectiva, podrá disminuir la tarifa a los contribuyentes de ostensible pobreza, que tengan dependientes económicos.</w:t>
      </w:r>
    </w:p>
    <w:p w14:paraId="6240E70E"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p>
    <w:p w14:paraId="6EECEE55"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Se considera que el contribuyente es de ostensible pobreza, en los casos siguientes:</w:t>
      </w:r>
    </w:p>
    <w:p w14:paraId="12802273"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p>
    <w:p w14:paraId="58B65B16" w14:textId="2FA87F28"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kern w:val="0"/>
          <w:sz w:val="20"/>
          <w:szCs w:val="20"/>
          <w:lang w:eastAsia="es-MX"/>
          <w14:ligatures w14:val="none"/>
        </w:rPr>
        <w:t xml:space="preserve">I.- </w:t>
      </w:r>
      <w:r w:rsidRPr="00D02347">
        <w:rPr>
          <w:rFonts w:ascii="Arial" w:eastAsia="Arial" w:hAnsi="Arial" w:cs="Arial"/>
          <w:kern w:val="0"/>
          <w:sz w:val="20"/>
          <w:szCs w:val="20"/>
          <w:lang w:eastAsia="es-MX"/>
          <w14:ligatures w14:val="none"/>
        </w:rPr>
        <w:t>Cuando el ingreso familiar del contribuyente es inferior a una unidad de medida y actualización y el solicitando de la disminución del monto del derecho, tenga algún dependiente económico.</w:t>
      </w:r>
    </w:p>
    <w:p w14:paraId="66D13581"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b/>
          <w:kern w:val="0"/>
          <w:sz w:val="20"/>
          <w:szCs w:val="20"/>
          <w:lang w:eastAsia="es-MX"/>
          <w14:ligatures w14:val="none"/>
        </w:rPr>
        <w:t xml:space="preserve">II.- </w:t>
      </w:r>
      <w:r w:rsidRPr="00D02347">
        <w:rPr>
          <w:rFonts w:ascii="Arial" w:eastAsia="Arial" w:hAnsi="Arial" w:cs="Arial"/>
          <w:kern w:val="0"/>
          <w:sz w:val="20"/>
          <w:szCs w:val="20"/>
          <w:lang w:eastAsia="es-MX"/>
          <w14:ligatures w14:val="none"/>
        </w:rPr>
        <w:t>Cuando el ingreso familiar del contribuyente no exceda de 2 veces la unidad de medida y actualización y los dependientes de él sean más de dos.</w:t>
      </w:r>
    </w:p>
    <w:p w14:paraId="02FE7FE4"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p>
    <w:p w14:paraId="787D0220"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El solicitante de la disminución del monto del derecho deberá justificar a satisfacción de la autoridad, que se encuentra en algunos de los supuestos mencionados.</w:t>
      </w:r>
    </w:p>
    <w:p w14:paraId="6EC77D96"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p>
    <w:p w14:paraId="7629CCEA"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La dependencia competente del Ayuntamiento realizará la investigación socioeconómica de cada solicitante y remitirá un dictamen aprobando o negando la necesidad de la reducción.</w:t>
      </w:r>
      <w:bookmarkStart w:id="3" w:name="page55"/>
      <w:bookmarkEnd w:id="3"/>
    </w:p>
    <w:p w14:paraId="3CA71CBA"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p>
    <w:p w14:paraId="7205DED0"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Un ejemplar del dictamen se anexará al comprobante de ingresos y ambos documentos formarán parte de la cuenta pública que se rendirá al Congreso del Estado de Yucatán.</w:t>
      </w:r>
    </w:p>
    <w:p w14:paraId="6641CA32"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p>
    <w:p w14:paraId="04F6CB17"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r w:rsidRPr="00D02347">
        <w:rPr>
          <w:rFonts w:ascii="Arial" w:eastAsia="Arial" w:hAnsi="Arial" w:cs="Arial"/>
          <w:kern w:val="0"/>
          <w:sz w:val="20"/>
          <w:szCs w:val="20"/>
          <w:lang w:eastAsia="es-MX"/>
          <w14:ligatures w14:val="none"/>
        </w:rPr>
        <w:t>En las oficinas recaudadoras se instalarán cartelones en lugares visibles, informando al público los requisitos y procedimientos para obtener una reducción de los derechos.</w:t>
      </w:r>
    </w:p>
    <w:p w14:paraId="0AD9EC8D"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p>
    <w:p w14:paraId="6554A3BA"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kern w:val="0"/>
          <w:sz w:val="20"/>
          <w:szCs w:val="20"/>
          <w:lang w:eastAsia="es-MX"/>
          <w14:ligatures w14:val="none"/>
        </w:rPr>
        <w:t>Lo dispuesto en este Artículo, no libera a los responsables de las obras o de los actos relacionados, de la obligación de solicitar los permisos o autorizaciones correspondientes.</w:t>
      </w:r>
    </w:p>
    <w:p w14:paraId="7B1A13D9" w14:textId="77777777" w:rsidR="00D02347" w:rsidRPr="00D02347" w:rsidRDefault="00D02347" w:rsidP="00D02347">
      <w:pPr>
        <w:tabs>
          <w:tab w:val="left" w:pos="384"/>
        </w:tabs>
        <w:spacing w:after="0" w:line="360" w:lineRule="auto"/>
        <w:jc w:val="both"/>
        <w:rPr>
          <w:rFonts w:ascii="Arial" w:eastAsia="Arial" w:hAnsi="Arial" w:cs="Arial"/>
          <w:b/>
          <w:kern w:val="0"/>
          <w:sz w:val="20"/>
          <w:szCs w:val="20"/>
          <w:lang w:eastAsia="es-MX"/>
          <w14:ligatures w14:val="none"/>
        </w:rPr>
      </w:pPr>
    </w:p>
    <w:p w14:paraId="327860A5" w14:textId="77777777" w:rsid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kern w:val="0"/>
          <w:sz w:val="20"/>
          <w:szCs w:val="20"/>
          <w:lang w:eastAsia="es-MX"/>
          <w14:ligatures w14:val="none"/>
        </w:rPr>
        <w:t xml:space="preserve">Artículo 70 </w:t>
      </w:r>
      <w:proofErr w:type="gramStart"/>
      <w:r w:rsidRPr="00D02347">
        <w:rPr>
          <w:rFonts w:ascii="Arial" w:eastAsia="Arial" w:hAnsi="Arial" w:cs="Arial"/>
          <w:b/>
          <w:kern w:val="0"/>
          <w:sz w:val="20"/>
          <w:szCs w:val="20"/>
          <w:lang w:eastAsia="es-MX"/>
          <w14:ligatures w14:val="none"/>
        </w:rPr>
        <w:t>Quater.-</w:t>
      </w:r>
      <w:proofErr w:type="gramEnd"/>
      <w:r w:rsidRPr="00D02347">
        <w:rPr>
          <w:rFonts w:ascii="Arial" w:eastAsia="Arial" w:hAnsi="Arial" w:cs="Arial"/>
          <w:b/>
          <w:kern w:val="0"/>
          <w:sz w:val="20"/>
          <w:szCs w:val="20"/>
          <w:lang w:eastAsia="es-MX"/>
          <w14:ligatures w14:val="none"/>
        </w:rPr>
        <w:t xml:space="preserve"> </w:t>
      </w:r>
      <w:r w:rsidRPr="00D02347">
        <w:rPr>
          <w:rFonts w:ascii="Arial" w:eastAsia="Arial" w:hAnsi="Arial" w:cs="Arial"/>
          <w:kern w:val="0"/>
          <w:sz w:val="20"/>
          <w:szCs w:val="20"/>
          <w:lang w:eastAsia="es-MX"/>
          <w14:ligatures w14:val="none"/>
        </w:rPr>
        <w:t>Son responsables solidarios del pago de estos derechos, los</w:t>
      </w:r>
      <w:r w:rsidRPr="00D02347">
        <w:rPr>
          <w:rFonts w:ascii="Arial" w:eastAsia="Arial" w:hAnsi="Arial" w:cs="Arial"/>
          <w:b/>
          <w:kern w:val="0"/>
          <w:sz w:val="20"/>
          <w:szCs w:val="20"/>
          <w:lang w:eastAsia="es-MX"/>
          <w14:ligatures w14:val="none"/>
        </w:rPr>
        <w:t xml:space="preserve"> </w:t>
      </w:r>
      <w:r w:rsidRPr="00D02347">
        <w:rPr>
          <w:rFonts w:ascii="Arial" w:eastAsia="Arial" w:hAnsi="Arial" w:cs="Arial"/>
          <w:kern w:val="0"/>
          <w:sz w:val="20"/>
          <w:szCs w:val="20"/>
          <w:lang w:eastAsia="es-MX"/>
          <w14:ligatures w14:val="none"/>
        </w:rPr>
        <w:t>ingenieros, contratistas, arquitectos y/o encargados de la realización de las obras.</w:t>
      </w:r>
    </w:p>
    <w:p w14:paraId="4B12EB39" w14:textId="77777777" w:rsid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p>
    <w:p w14:paraId="2C1AC90F"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bCs/>
          <w:kern w:val="0"/>
          <w:sz w:val="20"/>
          <w:szCs w:val="20"/>
          <w:lang w:eastAsia="es-MX"/>
          <w14:ligatures w14:val="none"/>
        </w:rPr>
        <w:t>Artículo 93</w:t>
      </w:r>
      <w:r w:rsidRPr="00D02347">
        <w:rPr>
          <w:rFonts w:ascii="Arial" w:eastAsia="Arial" w:hAnsi="Arial" w:cs="Arial"/>
          <w:kern w:val="0"/>
          <w:sz w:val="20"/>
          <w:szCs w:val="20"/>
          <w:lang w:eastAsia="es-MX"/>
          <w14:ligatures w14:val="none"/>
        </w:rPr>
        <w:t>.- Son sujetos de este derecho, las personas físicas o morales que soliciten los servicios de limpia y recolección de basura que preste el Municipio.</w:t>
      </w:r>
    </w:p>
    <w:p w14:paraId="1AA00A83"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p>
    <w:p w14:paraId="08BFF0B3"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bCs/>
          <w:kern w:val="0"/>
          <w:sz w:val="20"/>
          <w:szCs w:val="20"/>
          <w:lang w:eastAsia="es-MX"/>
          <w14:ligatures w14:val="none"/>
        </w:rPr>
        <w:t>Artículo 94</w:t>
      </w:r>
      <w:r w:rsidRPr="00D02347">
        <w:rPr>
          <w:rFonts w:ascii="Arial" w:eastAsia="Arial" w:hAnsi="Arial" w:cs="Arial"/>
          <w:kern w:val="0"/>
          <w:sz w:val="20"/>
          <w:szCs w:val="20"/>
          <w:lang w:eastAsia="es-MX"/>
          <w14:ligatures w14:val="none"/>
        </w:rPr>
        <w:t xml:space="preserve">.- Es objeto de este derecho el servicio de limpia y/o recolección de basura a domicilio o en los lugares que al efecto se establezcan en los Reglamentos Municipales correspondientes, así como la limpieza de predios baldíos que sean aseados por el Ayuntamiento a solicitud del propietario de </w:t>
      </w:r>
      <w:proofErr w:type="gramStart"/>
      <w:r w:rsidRPr="00D02347">
        <w:rPr>
          <w:rFonts w:ascii="Arial" w:eastAsia="Arial" w:hAnsi="Arial" w:cs="Arial"/>
          <w:kern w:val="0"/>
          <w:sz w:val="20"/>
          <w:szCs w:val="20"/>
          <w:lang w:eastAsia="es-MX"/>
          <w14:ligatures w14:val="none"/>
        </w:rPr>
        <w:t>los mismos</w:t>
      </w:r>
      <w:proofErr w:type="gramEnd"/>
      <w:r w:rsidRPr="00D02347">
        <w:rPr>
          <w:rFonts w:ascii="Arial" w:eastAsia="Arial" w:hAnsi="Arial" w:cs="Arial"/>
          <w:kern w:val="0"/>
          <w:sz w:val="20"/>
          <w:szCs w:val="20"/>
          <w:lang w:eastAsia="es-MX"/>
          <w14:ligatures w14:val="none"/>
        </w:rPr>
        <w:t>, fuera de este último caso, se estará a lo dispuesto en la reglamentación municipal respectiva.</w:t>
      </w:r>
    </w:p>
    <w:p w14:paraId="4681C3D7"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p>
    <w:p w14:paraId="7B42ED83" w14:textId="23323638"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bCs/>
          <w:kern w:val="0"/>
          <w:sz w:val="20"/>
          <w:szCs w:val="20"/>
          <w:lang w:eastAsia="es-MX"/>
          <w14:ligatures w14:val="none"/>
        </w:rPr>
        <w:t>Artículo 95</w:t>
      </w:r>
      <w:r w:rsidRPr="00D02347">
        <w:rPr>
          <w:rFonts w:ascii="Arial" w:eastAsia="Arial" w:hAnsi="Arial" w:cs="Arial"/>
          <w:kern w:val="0"/>
          <w:sz w:val="20"/>
          <w:szCs w:val="20"/>
          <w:lang w:eastAsia="es-MX"/>
          <w14:ligatures w14:val="none"/>
        </w:rPr>
        <w:t xml:space="preserve">.- Servirá de base para realizar el cobro del derecho de los servicios de limpieza en terrenos baldíos, por parte del Ayuntamiento lo señalado en La Ley de Ingresos del Municipio de </w:t>
      </w:r>
      <w:r w:rsidR="00C8332A">
        <w:rPr>
          <w:rFonts w:ascii="Arial" w:eastAsia="Arial" w:hAnsi="Arial" w:cs="Arial"/>
          <w:kern w:val="0"/>
          <w:sz w:val="20"/>
          <w:szCs w:val="20"/>
          <w:lang w:eastAsia="es-MX"/>
          <w14:ligatures w14:val="none"/>
        </w:rPr>
        <w:t>Telchac Pueblo</w:t>
      </w:r>
      <w:r w:rsidRPr="00D02347">
        <w:rPr>
          <w:rFonts w:ascii="Arial" w:eastAsia="Arial" w:hAnsi="Arial" w:cs="Arial"/>
          <w:kern w:val="0"/>
          <w:sz w:val="20"/>
          <w:szCs w:val="20"/>
          <w:lang w:eastAsia="es-MX"/>
          <w14:ligatures w14:val="none"/>
        </w:rPr>
        <w:t xml:space="preserve">. </w:t>
      </w:r>
    </w:p>
    <w:p w14:paraId="519EB5B2"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p>
    <w:p w14:paraId="50AD5849" w14:textId="6C8A2A30"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bCs/>
          <w:kern w:val="0"/>
          <w:sz w:val="20"/>
          <w:szCs w:val="20"/>
          <w:lang w:eastAsia="es-MX"/>
          <w14:ligatures w14:val="none"/>
        </w:rPr>
        <w:t>Artículo 96</w:t>
      </w:r>
      <w:r w:rsidRPr="00D02347">
        <w:rPr>
          <w:rFonts w:ascii="Arial" w:eastAsia="Arial" w:hAnsi="Arial" w:cs="Arial"/>
          <w:kern w:val="0"/>
          <w:sz w:val="20"/>
          <w:szCs w:val="20"/>
          <w:lang w:eastAsia="es-MX"/>
          <w14:ligatures w14:val="none"/>
        </w:rPr>
        <w:t xml:space="preserve">.- Por los servicios correspondientes a la recolecta de basura </w:t>
      </w:r>
      <w:r w:rsidR="00C8332A" w:rsidRPr="00D02347">
        <w:rPr>
          <w:rFonts w:ascii="Arial" w:eastAsia="Arial" w:hAnsi="Arial" w:cs="Arial"/>
          <w:kern w:val="0"/>
          <w:sz w:val="20"/>
          <w:szCs w:val="20"/>
          <w:lang w:eastAsia="es-MX"/>
          <w14:ligatures w14:val="none"/>
        </w:rPr>
        <w:t>doméstica</w:t>
      </w:r>
      <w:r w:rsidRPr="00D02347">
        <w:rPr>
          <w:rFonts w:ascii="Arial" w:eastAsia="Arial" w:hAnsi="Arial" w:cs="Arial"/>
          <w:kern w:val="0"/>
          <w:sz w:val="20"/>
          <w:szCs w:val="20"/>
          <w:lang w:eastAsia="es-MX"/>
          <w14:ligatures w14:val="none"/>
        </w:rPr>
        <w:t xml:space="preserve"> y comercial se causará lo señalado en Ley de Ingresos del Municipio de </w:t>
      </w:r>
      <w:r w:rsidR="00C8332A">
        <w:rPr>
          <w:rFonts w:ascii="Arial" w:eastAsia="Arial" w:hAnsi="Arial" w:cs="Arial"/>
          <w:kern w:val="0"/>
          <w:sz w:val="20"/>
          <w:szCs w:val="20"/>
          <w:lang w:eastAsia="es-MX"/>
          <w14:ligatures w14:val="none"/>
        </w:rPr>
        <w:t>Telchac Pueblo</w:t>
      </w:r>
      <w:r w:rsidRPr="00D02347">
        <w:rPr>
          <w:rFonts w:ascii="Arial" w:eastAsia="Arial" w:hAnsi="Arial" w:cs="Arial"/>
          <w:kern w:val="0"/>
          <w:sz w:val="20"/>
          <w:szCs w:val="20"/>
          <w:lang w:eastAsia="es-MX"/>
          <w14:ligatures w14:val="none"/>
        </w:rPr>
        <w:t>.</w:t>
      </w:r>
    </w:p>
    <w:p w14:paraId="2520D491"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p>
    <w:p w14:paraId="778795AA" w14:textId="202643FA"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kern w:val="0"/>
          <w:sz w:val="20"/>
          <w:szCs w:val="20"/>
          <w:lang w:eastAsia="es-MX"/>
          <w14:ligatures w14:val="none"/>
        </w:rPr>
        <w:t xml:space="preserve">El derecho por el uso del relleno sanitario del Municipio de </w:t>
      </w:r>
      <w:r w:rsidR="00C8332A">
        <w:rPr>
          <w:rFonts w:ascii="Arial" w:eastAsia="Arial" w:hAnsi="Arial" w:cs="Arial"/>
          <w:kern w:val="0"/>
          <w:sz w:val="20"/>
          <w:szCs w:val="20"/>
          <w:lang w:eastAsia="es-MX"/>
          <w14:ligatures w14:val="none"/>
        </w:rPr>
        <w:t>Telchac Pueblo</w:t>
      </w:r>
      <w:r w:rsidRPr="00D02347">
        <w:rPr>
          <w:rFonts w:ascii="Arial" w:eastAsia="Arial" w:hAnsi="Arial" w:cs="Arial"/>
          <w:kern w:val="0"/>
          <w:sz w:val="20"/>
          <w:szCs w:val="20"/>
          <w:lang w:eastAsia="es-MX"/>
          <w14:ligatures w14:val="none"/>
        </w:rPr>
        <w:t xml:space="preserve">, para los recolectores, particulares y demás prestadores de este servicio que se encuentren concesionados estarán sujetos a lo señalado en la Ley de Ingresos del Municipio de </w:t>
      </w:r>
      <w:r w:rsidR="00C8332A">
        <w:rPr>
          <w:rFonts w:ascii="Arial" w:eastAsia="Arial" w:hAnsi="Arial" w:cs="Arial"/>
          <w:kern w:val="0"/>
          <w:sz w:val="20"/>
          <w:szCs w:val="20"/>
          <w:lang w:eastAsia="es-MX"/>
          <w14:ligatures w14:val="none"/>
        </w:rPr>
        <w:t>Telchac Pueblo</w:t>
      </w:r>
      <w:r w:rsidRPr="00D02347">
        <w:rPr>
          <w:rFonts w:ascii="Arial" w:eastAsia="Arial" w:hAnsi="Arial" w:cs="Arial"/>
          <w:kern w:val="0"/>
          <w:sz w:val="20"/>
          <w:szCs w:val="20"/>
          <w:lang w:eastAsia="es-MX"/>
          <w14:ligatures w14:val="none"/>
        </w:rPr>
        <w:t>.</w:t>
      </w:r>
    </w:p>
    <w:p w14:paraId="2785968B"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p>
    <w:p w14:paraId="4AED08AB"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r w:rsidRPr="00D02347">
        <w:rPr>
          <w:rFonts w:ascii="Arial" w:eastAsia="Arial" w:hAnsi="Arial" w:cs="Arial"/>
          <w:b/>
          <w:bCs/>
          <w:kern w:val="0"/>
          <w:sz w:val="20"/>
          <w:szCs w:val="20"/>
          <w:lang w:eastAsia="es-MX"/>
          <w14:ligatures w14:val="none"/>
        </w:rPr>
        <w:t>Artículo 97</w:t>
      </w:r>
      <w:r w:rsidRPr="00D02347">
        <w:rPr>
          <w:rFonts w:ascii="Arial" w:eastAsia="Arial" w:hAnsi="Arial" w:cs="Arial"/>
          <w:kern w:val="0"/>
          <w:sz w:val="20"/>
          <w:szCs w:val="20"/>
          <w:lang w:eastAsia="es-MX"/>
          <w14:ligatures w14:val="none"/>
        </w:rPr>
        <w:t>.- El pago se realizará en la caja de la Tesorería Municipal o con la persona que el Ayuntamiento designe.</w:t>
      </w:r>
    </w:p>
    <w:p w14:paraId="02726E7A" w14:textId="77777777" w:rsidR="00D02347" w:rsidRPr="00D02347" w:rsidRDefault="00D02347" w:rsidP="00D02347">
      <w:pPr>
        <w:tabs>
          <w:tab w:val="left" w:pos="384"/>
        </w:tabs>
        <w:spacing w:after="0" w:line="360" w:lineRule="auto"/>
        <w:jc w:val="both"/>
        <w:rPr>
          <w:rFonts w:ascii="Arial" w:eastAsia="Arial" w:hAnsi="Arial" w:cs="Arial"/>
          <w:kern w:val="0"/>
          <w:sz w:val="20"/>
          <w:szCs w:val="20"/>
          <w:lang w:eastAsia="es-MX"/>
          <w14:ligatures w14:val="none"/>
        </w:rPr>
      </w:pPr>
    </w:p>
    <w:p w14:paraId="4C6B94F3" w14:textId="77777777" w:rsidR="007121BB" w:rsidRPr="007121BB" w:rsidRDefault="007121BB" w:rsidP="007121BB">
      <w:pPr>
        <w:spacing w:after="0" w:line="240" w:lineRule="auto"/>
        <w:jc w:val="both"/>
        <w:rPr>
          <w:rFonts w:ascii="Arial" w:eastAsia="Calibri" w:hAnsi="Arial" w:cs="Arial"/>
          <w:bCs/>
          <w:kern w:val="0"/>
          <w:sz w:val="20"/>
          <w:szCs w:val="20"/>
          <w14:ligatures w14:val="none"/>
        </w:rPr>
      </w:pPr>
    </w:p>
    <w:p w14:paraId="563E0C3D" w14:textId="77777777" w:rsidR="007121BB" w:rsidRDefault="007121BB" w:rsidP="007121BB">
      <w:pPr>
        <w:spacing w:after="0" w:line="240" w:lineRule="auto"/>
        <w:jc w:val="center"/>
        <w:rPr>
          <w:rFonts w:ascii="Arial" w:eastAsia="Calibri" w:hAnsi="Arial" w:cs="Arial"/>
          <w:bCs/>
          <w:kern w:val="0"/>
          <w:sz w:val="20"/>
          <w:szCs w:val="20"/>
          <w:lang w:val="en-US"/>
          <w14:ligatures w14:val="none"/>
        </w:rPr>
      </w:pPr>
      <w:r w:rsidRPr="007121BB">
        <w:rPr>
          <w:rFonts w:ascii="Arial" w:eastAsia="Calibri" w:hAnsi="Arial" w:cs="Arial"/>
          <w:bCs/>
          <w:kern w:val="0"/>
          <w:sz w:val="20"/>
          <w:szCs w:val="20"/>
          <w:lang w:val="en-US"/>
          <w14:ligatures w14:val="none"/>
        </w:rPr>
        <w:t>T R A N S I T O R I O S</w:t>
      </w:r>
    </w:p>
    <w:p w14:paraId="4C8D1C6C" w14:textId="735449F2" w:rsidR="00C8332A" w:rsidRPr="007121BB" w:rsidRDefault="00C8332A" w:rsidP="007121BB">
      <w:pPr>
        <w:spacing w:after="0" w:line="240" w:lineRule="auto"/>
        <w:jc w:val="center"/>
        <w:rPr>
          <w:rFonts w:ascii="Arial" w:eastAsia="Calibri" w:hAnsi="Arial" w:cs="Arial"/>
          <w:bCs/>
          <w:kern w:val="0"/>
          <w:sz w:val="20"/>
          <w:szCs w:val="20"/>
          <w:lang w:val="en-US"/>
          <w14:ligatures w14:val="none"/>
        </w:rPr>
      </w:pPr>
    </w:p>
    <w:p w14:paraId="25685176" w14:textId="77777777" w:rsidR="007121BB" w:rsidRPr="007121BB" w:rsidRDefault="007121BB" w:rsidP="007121BB">
      <w:pPr>
        <w:spacing w:after="0" w:line="240" w:lineRule="auto"/>
        <w:jc w:val="both"/>
        <w:rPr>
          <w:rFonts w:ascii="Arial" w:eastAsia="Calibri" w:hAnsi="Arial" w:cs="Arial"/>
          <w:bCs/>
          <w:kern w:val="0"/>
          <w:sz w:val="20"/>
          <w:szCs w:val="20"/>
          <w:lang w:val="en-US"/>
          <w14:ligatures w14:val="none"/>
        </w:rPr>
      </w:pPr>
    </w:p>
    <w:p w14:paraId="2E09D26B" w14:textId="066AEC1E" w:rsidR="007121BB" w:rsidRPr="007121BB" w:rsidRDefault="007121BB" w:rsidP="00C8332A">
      <w:pPr>
        <w:spacing w:after="0" w:line="360" w:lineRule="auto"/>
        <w:jc w:val="both"/>
        <w:rPr>
          <w:rFonts w:ascii="Arial" w:eastAsia="Calibri" w:hAnsi="Arial" w:cs="Arial"/>
          <w:bCs/>
          <w:kern w:val="0"/>
          <w:sz w:val="20"/>
          <w:szCs w:val="20"/>
          <w14:ligatures w14:val="none"/>
        </w:rPr>
      </w:pPr>
      <w:r w:rsidRPr="007121BB">
        <w:rPr>
          <w:rFonts w:ascii="Arial" w:eastAsia="Calibri" w:hAnsi="Arial" w:cs="Arial"/>
          <w:b/>
          <w:kern w:val="0"/>
          <w:sz w:val="20"/>
          <w:szCs w:val="20"/>
          <w14:ligatures w14:val="none"/>
        </w:rPr>
        <w:t>ARTÍCULO PRIMERO. -</w:t>
      </w:r>
      <w:r w:rsidRPr="007121BB">
        <w:rPr>
          <w:rFonts w:ascii="Arial" w:eastAsia="Calibri" w:hAnsi="Arial" w:cs="Arial"/>
          <w:bCs/>
          <w:kern w:val="0"/>
          <w:sz w:val="20"/>
          <w:szCs w:val="20"/>
          <w14:ligatures w14:val="none"/>
        </w:rPr>
        <w:t xml:space="preserve"> Este Decreto entrará en vigor el día uno de enero del año dos mil </w:t>
      </w:r>
      <w:r w:rsidR="00C8332A" w:rsidRPr="007121BB">
        <w:rPr>
          <w:rFonts w:ascii="Arial" w:eastAsia="Calibri" w:hAnsi="Arial" w:cs="Arial"/>
          <w:bCs/>
          <w:kern w:val="0"/>
          <w:sz w:val="20"/>
          <w:szCs w:val="20"/>
          <w14:ligatures w14:val="none"/>
        </w:rPr>
        <w:t>veinti</w:t>
      </w:r>
      <w:r w:rsidR="00C8332A">
        <w:rPr>
          <w:rFonts w:ascii="Arial" w:eastAsia="Calibri" w:hAnsi="Arial" w:cs="Arial"/>
          <w:bCs/>
          <w:kern w:val="0"/>
          <w:sz w:val="20"/>
          <w:szCs w:val="20"/>
          <w14:ligatures w14:val="none"/>
        </w:rPr>
        <w:t>séis</w:t>
      </w:r>
      <w:r w:rsidRPr="007121BB">
        <w:rPr>
          <w:rFonts w:ascii="Arial" w:eastAsia="Calibri" w:hAnsi="Arial" w:cs="Arial"/>
          <w:bCs/>
          <w:kern w:val="0"/>
          <w:sz w:val="20"/>
          <w:szCs w:val="20"/>
          <w14:ligatures w14:val="none"/>
        </w:rPr>
        <w:t>, previa su publicación en el Diario Oficial del Gobierno del Estado de Yucatán.</w:t>
      </w:r>
    </w:p>
    <w:p w14:paraId="49DA0F57" w14:textId="77777777" w:rsidR="007121BB" w:rsidRPr="007121BB" w:rsidRDefault="007121BB" w:rsidP="00C8332A">
      <w:pPr>
        <w:spacing w:after="0" w:line="360" w:lineRule="auto"/>
        <w:jc w:val="both"/>
        <w:rPr>
          <w:rFonts w:ascii="Arial" w:eastAsia="Calibri" w:hAnsi="Arial" w:cs="Arial"/>
          <w:b/>
          <w:kern w:val="0"/>
          <w:sz w:val="20"/>
          <w:szCs w:val="20"/>
          <w14:ligatures w14:val="none"/>
        </w:rPr>
      </w:pPr>
    </w:p>
    <w:p w14:paraId="0A7791C5" w14:textId="77777777" w:rsidR="00C8332A" w:rsidRDefault="00C8332A" w:rsidP="007121BB">
      <w:pPr>
        <w:spacing w:after="0" w:line="240" w:lineRule="auto"/>
        <w:jc w:val="center"/>
        <w:rPr>
          <w:rFonts w:ascii="Arial" w:eastAsia="Calibri" w:hAnsi="Arial" w:cs="Arial"/>
          <w:b/>
          <w:kern w:val="0"/>
          <w:sz w:val="20"/>
          <w:szCs w:val="20"/>
          <w14:ligatures w14:val="none"/>
        </w:rPr>
      </w:pPr>
    </w:p>
    <w:p w14:paraId="6A7B6928" w14:textId="77777777" w:rsidR="00C8332A" w:rsidRDefault="00C8332A" w:rsidP="007121BB">
      <w:pPr>
        <w:spacing w:after="0" w:line="240" w:lineRule="auto"/>
        <w:jc w:val="center"/>
        <w:rPr>
          <w:rFonts w:ascii="Arial" w:eastAsia="Calibri" w:hAnsi="Arial" w:cs="Arial"/>
          <w:b/>
          <w:kern w:val="0"/>
          <w:sz w:val="20"/>
          <w:szCs w:val="20"/>
          <w14:ligatures w14:val="none"/>
        </w:rPr>
      </w:pPr>
    </w:p>
    <w:p w14:paraId="5089DC57" w14:textId="77777777" w:rsidR="00C8332A" w:rsidRDefault="00C8332A" w:rsidP="007121BB">
      <w:pPr>
        <w:spacing w:after="0" w:line="240" w:lineRule="auto"/>
        <w:jc w:val="center"/>
        <w:rPr>
          <w:rFonts w:ascii="Arial" w:eastAsia="Calibri" w:hAnsi="Arial" w:cs="Arial"/>
          <w:b/>
          <w:kern w:val="0"/>
          <w:sz w:val="20"/>
          <w:szCs w:val="20"/>
          <w14:ligatures w14:val="none"/>
        </w:rPr>
      </w:pPr>
    </w:p>
    <w:p w14:paraId="7384F2B6" w14:textId="77777777" w:rsidR="00C8332A" w:rsidRDefault="00C8332A" w:rsidP="007121BB">
      <w:pPr>
        <w:spacing w:after="0" w:line="240" w:lineRule="auto"/>
        <w:jc w:val="center"/>
        <w:rPr>
          <w:rFonts w:ascii="Arial" w:eastAsia="Calibri" w:hAnsi="Arial" w:cs="Arial"/>
          <w:b/>
          <w:kern w:val="0"/>
          <w:sz w:val="20"/>
          <w:szCs w:val="20"/>
          <w14:ligatures w14:val="none"/>
        </w:rPr>
      </w:pPr>
    </w:p>
    <w:p w14:paraId="4D8B467C" w14:textId="53D6D3B7" w:rsidR="007121BB" w:rsidRPr="007121BB" w:rsidRDefault="007121BB" w:rsidP="007121BB">
      <w:pPr>
        <w:spacing w:after="0" w:line="240" w:lineRule="auto"/>
        <w:jc w:val="center"/>
        <w:rPr>
          <w:rFonts w:ascii="Arial" w:eastAsia="Calibri" w:hAnsi="Arial" w:cs="Arial"/>
          <w:b/>
          <w:kern w:val="0"/>
          <w:sz w:val="20"/>
          <w:szCs w:val="20"/>
          <w14:ligatures w14:val="none"/>
        </w:rPr>
      </w:pPr>
      <w:r w:rsidRPr="007121BB">
        <w:rPr>
          <w:rFonts w:ascii="Arial" w:eastAsia="Calibri" w:hAnsi="Arial" w:cs="Arial"/>
          <w:b/>
          <w:kern w:val="0"/>
          <w:sz w:val="20"/>
          <w:szCs w:val="20"/>
          <w14:ligatures w14:val="none"/>
        </w:rPr>
        <w:t>ATENTAMENTE</w:t>
      </w:r>
    </w:p>
    <w:p w14:paraId="731BE0A1" w14:textId="77777777" w:rsidR="007121BB" w:rsidRPr="007121BB" w:rsidRDefault="007121BB" w:rsidP="007121BB">
      <w:pPr>
        <w:spacing w:after="0" w:line="240" w:lineRule="auto"/>
        <w:jc w:val="both"/>
        <w:rPr>
          <w:rFonts w:ascii="Arial" w:eastAsia="Calibri" w:hAnsi="Arial" w:cs="Arial"/>
          <w:b/>
          <w:kern w:val="0"/>
          <w:sz w:val="20"/>
          <w:szCs w:val="20"/>
          <w14:ligatures w14:val="none"/>
        </w:rPr>
      </w:pPr>
    </w:p>
    <w:p w14:paraId="0F857BAC" w14:textId="77777777" w:rsidR="007121BB" w:rsidRDefault="007121BB" w:rsidP="007121BB">
      <w:pPr>
        <w:spacing w:after="0" w:line="240" w:lineRule="auto"/>
        <w:jc w:val="both"/>
        <w:rPr>
          <w:rFonts w:ascii="Arial" w:eastAsia="Calibri" w:hAnsi="Arial" w:cs="Arial"/>
          <w:b/>
          <w:kern w:val="0"/>
          <w:sz w:val="20"/>
          <w:szCs w:val="20"/>
          <w14:ligatures w14:val="none"/>
        </w:rPr>
      </w:pPr>
    </w:p>
    <w:p w14:paraId="7769F249" w14:textId="77777777" w:rsidR="00C8332A" w:rsidRPr="007121BB" w:rsidRDefault="00C8332A" w:rsidP="007121BB">
      <w:pPr>
        <w:spacing w:after="0" w:line="240" w:lineRule="auto"/>
        <w:jc w:val="both"/>
        <w:rPr>
          <w:rFonts w:ascii="Arial" w:eastAsia="Calibri" w:hAnsi="Arial" w:cs="Arial"/>
          <w:b/>
          <w:kern w:val="0"/>
          <w:sz w:val="20"/>
          <w:szCs w:val="20"/>
          <w14:ligatures w14:val="none"/>
        </w:rPr>
      </w:pPr>
    </w:p>
    <w:p w14:paraId="0EE640A4" w14:textId="77777777" w:rsidR="007121BB" w:rsidRPr="007121BB" w:rsidRDefault="007121BB" w:rsidP="007121BB">
      <w:pPr>
        <w:spacing w:after="0" w:line="240" w:lineRule="auto"/>
        <w:jc w:val="both"/>
        <w:rPr>
          <w:rFonts w:ascii="Arial" w:eastAsia="Calibri" w:hAnsi="Arial" w:cs="Arial"/>
          <w:b/>
          <w:kern w:val="0"/>
          <w:sz w:val="20"/>
          <w:szCs w:val="20"/>
          <w14:ligatures w14:val="none"/>
        </w:rPr>
      </w:pPr>
    </w:p>
    <w:p w14:paraId="324A8E2C" w14:textId="7F2612D3" w:rsidR="007121BB" w:rsidRPr="007121BB" w:rsidRDefault="00C8332A" w:rsidP="007121BB">
      <w:pPr>
        <w:spacing w:after="0" w:line="240" w:lineRule="auto"/>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DR</w:t>
      </w:r>
      <w:r w:rsidR="007121BB" w:rsidRPr="007121BB">
        <w:rPr>
          <w:rFonts w:ascii="Arial" w:eastAsia="Calibri" w:hAnsi="Arial" w:cs="Arial"/>
          <w:b/>
          <w:kern w:val="0"/>
          <w:sz w:val="20"/>
          <w:szCs w:val="20"/>
          <w14:ligatures w14:val="none"/>
        </w:rPr>
        <w:t xml:space="preserve">. </w:t>
      </w:r>
      <w:r>
        <w:rPr>
          <w:rFonts w:ascii="Arial" w:eastAsia="Calibri" w:hAnsi="Arial" w:cs="Arial"/>
          <w:b/>
          <w:kern w:val="0"/>
          <w:sz w:val="20"/>
          <w:szCs w:val="20"/>
          <w14:ligatures w14:val="none"/>
        </w:rPr>
        <w:t xml:space="preserve">CARLOS HUMBERTO CABRERA RIVERO               </w:t>
      </w:r>
      <w:r w:rsidR="007121BB" w:rsidRPr="007121BB">
        <w:rPr>
          <w:rFonts w:ascii="Arial" w:eastAsia="Calibri" w:hAnsi="Arial" w:cs="Arial"/>
          <w:b/>
          <w:kern w:val="0"/>
          <w:sz w:val="20"/>
          <w:szCs w:val="20"/>
          <w14:ligatures w14:val="none"/>
        </w:rPr>
        <w:t xml:space="preserve">C. </w:t>
      </w:r>
      <w:r>
        <w:rPr>
          <w:rFonts w:ascii="Arial" w:eastAsia="Calibri" w:hAnsi="Arial" w:cs="Arial"/>
          <w:b/>
          <w:kern w:val="0"/>
          <w:sz w:val="20"/>
          <w:szCs w:val="20"/>
          <w14:ligatures w14:val="none"/>
        </w:rPr>
        <w:t>HECTOR JACOBO LOPEZ LEON</w:t>
      </w:r>
    </w:p>
    <w:p w14:paraId="713D0978" w14:textId="5F6B4CC7" w:rsidR="007121BB" w:rsidRPr="007121BB" w:rsidRDefault="007121BB" w:rsidP="007121BB">
      <w:pPr>
        <w:spacing w:after="0" w:line="240" w:lineRule="auto"/>
        <w:jc w:val="both"/>
        <w:rPr>
          <w:rFonts w:ascii="Arial" w:eastAsia="Calibri" w:hAnsi="Arial" w:cs="Arial"/>
          <w:b/>
          <w:kern w:val="0"/>
          <w:sz w:val="20"/>
          <w:szCs w:val="20"/>
          <w14:ligatures w14:val="none"/>
        </w:rPr>
      </w:pPr>
      <w:r w:rsidRPr="007121BB">
        <w:rPr>
          <w:rFonts w:ascii="Arial" w:eastAsia="Calibri" w:hAnsi="Arial" w:cs="Arial"/>
          <w:b/>
          <w:kern w:val="0"/>
          <w:sz w:val="20"/>
          <w:szCs w:val="20"/>
          <w14:ligatures w14:val="none"/>
        </w:rPr>
        <w:t xml:space="preserve">       </w:t>
      </w:r>
      <w:r w:rsidR="00C8332A">
        <w:rPr>
          <w:rFonts w:ascii="Arial" w:eastAsia="Calibri" w:hAnsi="Arial" w:cs="Arial"/>
          <w:b/>
          <w:kern w:val="0"/>
          <w:sz w:val="20"/>
          <w:szCs w:val="20"/>
          <w14:ligatures w14:val="none"/>
        </w:rPr>
        <w:t xml:space="preserve">      </w:t>
      </w:r>
      <w:r w:rsidRPr="007121BB">
        <w:rPr>
          <w:rFonts w:ascii="Arial" w:eastAsia="Calibri" w:hAnsi="Arial" w:cs="Arial"/>
          <w:b/>
          <w:kern w:val="0"/>
          <w:sz w:val="20"/>
          <w:szCs w:val="20"/>
          <w14:ligatures w14:val="none"/>
        </w:rPr>
        <w:t xml:space="preserve">  PRESIDENTE MUNICIPAL</w:t>
      </w:r>
      <w:r w:rsidRPr="007121BB">
        <w:rPr>
          <w:rFonts w:ascii="Arial" w:eastAsia="Calibri" w:hAnsi="Arial" w:cs="Arial"/>
          <w:b/>
          <w:kern w:val="0"/>
          <w:sz w:val="20"/>
          <w:szCs w:val="20"/>
          <w14:ligatures w14:val="none"/>
        </w:rPr>
        <w:tab/>
      </w:r>
      <w:r w:rsidRPr="007121BB">
        <w:rPr>
          <w:rFonts w:ascii="Arial" w:eastAsia="Calibri" w:hAnsi="Arial" w:cs="Arial"/>
          <w:b/>
          <w:kern w:val="0"/>
          <w:sz w:val="20"/>
          <w:szCs w:val="20"/>
          <w14:ligatures w14:val="none"/>
        </w:rPr>
        <w:tab/>
      </w:r>
      <w:r w:rsidRPr="007121BB">
        <w:rPr>
          <w:rFonts w:ascii="Arial" w:eastAsia="Calibri" w:hAnsi="Arial" w:cs="Arial"/>
          <w:b/>
          <w:kern w:val="0"/>
          <w:sz w:val="20"/>
          <w:szCs w:val="20"/>
          <w14:ligatures w14:val="none"/>
        </w:rPr>
        <w:tab/>
      </w:r>
      <w:r w:rsidRPr="007121BB">
        <w:rPr>
          <w:rFonts w:ascii="Arial" w:eastAsia="Calibri" w:hAnsi="Arial" w:cs="Arial"/>
          <w:b/>
          <w:kern w:val="0"/>
          <w:sz w:val="20"/>
          <w:szCs w:val="20"/>
          <w14:ligatures w14:val="none"/>
        </w:rPr>
        <w:tab/>
        <w:t>SECRETARIO MUNICIPAL</w:t>
      </w:r>
    </w:p>
    <w:p w14:paraId="4DA1387A" w14:textId="77777777" w:rsidR="007121BB" w:rsidRPr="007121BB" w:rsidRDefault="007121BB" w:rsidP="007121BB">
      <w:pPr>
        <w:spacing w:after="0" w:line="240" w:lineRule="auto"/>
        <w:jc w:val="both"/>
        <w:rPr>
          <w:rFonts w:ascii="Arial" w:eastAsia="Calibri" w:hAnsi="Arial" w:cs="Arial"/>
          <w:b/>
          <w:kern w:val="0"/>
          <w:sz w:val="20"/>
          <w:szCs w:val="20"/>
          <w14:ligatures w14:val="none"/>
        </w:rPr>
      </w:pPr>
    </w:p>
    <w:p w14:paraId="3D009223" w14:textId="77777777" w:rsidR="007121BB" w:rsidRPr="007121BB" w:rsidRDefault="007121BB" w:rsidP="007121BB">
      <w:pPr>
        <w:tabs>
          <w:tab w:val="left" w:pos="1149"/>
        </w:tabs>
        <w:spacing w:after="0" w:line="240" w:lineRule="auto"/>
        <w:jc w:val="both"/>
        <w:rPr>
          <w:rFonts w:ascii="Arial" w:eastAsia="Calibri" w:hAnsi="Arial" w:cs="Arial"/>
          <w:bCs/>
          <w:kern w:val="0"/>
          <w:sz w:val="20"/>
          <w:szCs w:val="20"/>
          <w14:ligatures w14:val="none"/>
        </w:rPr>
      </w:pPr>
    </w:p>
    <w:p w14:paraId="3F3E781F" w14:textId="77777777" w:rsidR="007121BB" w:rsidRPr="00C8332A" w:rsidRDefault="007121BB">
      <w:pPr>
        <w:rPr>
          <w:sz w:val="18"/>
          <w:szCs w:val="18"/>
        </w:rPr>
      </w:pPr>
    </w:p>
    <w:sectPr w:rsidR="007121BB" w:rsidRPr="00C833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1F16E9E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2D615CA"/>
    <w:multiLevelType w:val="hybridMultilevel"/>
    <w:tmpl w:val="36CED7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87604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01864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BB"/>
    <w:rsid w:val="007121BB"/>
    <w:rsid w:val="00C02473"/>
    <w:rsid w:val="00C8332A"/>
    <w:rsid w:val="00D02347"/>
    <w:rsid w:val="00D56929"/>
    <w:rsid w:val="00E72B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8432"/>
  <w15:chartTrackingRefBased/>
  <w15:docId w15:val="{AA1677BD-39C4-47DA-884D-BCB0F85C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2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12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121B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121B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121B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121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21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21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21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21B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121B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121B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121B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121B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12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2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2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21BB"/>
    <w:rPr>
      <w:rFonts w:eastAsiaTheme="majorEastAsia" w:cstheme="majorBidi"/>
      <w:color w:val="272727" w:themeColor="text1" w:themeTint="D8"/>
    </w:rPr>
  </w:style>
  <w:style w:type="paragraph" w:styleId="Ttulo">
    <w:name w:val="Title"/>
    <w:basedOn w:val="Normal"/>
    <w:next w:val="Normal"/>
    <w:link w:val="TtuloCar"/>
    <w:uiPriority w:val="10"/>
    <w:qFormat/>
    <w:rsid w:val="00712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2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21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2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21BB"/>
    <w:pPr>
      <w:spacing w:before="160"/>
      <w:jc w:val="center"/>
    </w:pPr>
    <w:rPr>
      <w:i/>
      <w:iCs/>
      <w:color w:val="404040" w:themeColor="text1" w:themeTint="BF"/>
    </w:rPr>
  </w:style>
  <w:style w:type="character" w:customStyle="1" w:styleId="CitaCar">
    <w:name w:val="Cita Car"/>
    <w:basedOn w:val="Fuentedeprrafopredeter"/>
    <w:link w:val="Cita"/>
    <w:uiPriority w:val="29"/>
    <w:rsid w:val="007121BB"/>
    <w:rPr>
      <w:i/>
      <w:iCs/>
      <w:color w:val="404040" w:themeColor="text1" w:themeTint="BF"/>
    </w:rPr>
  </w:style>
  <w:style w:type="paragraph" w:styleId="Prrafodelista">
    <w:name w:val="List Paragraph"/>
    <w:basedOn w:val="Normal"/>
    <w:uiPriority w:val="34"/>
    <w:qFormat/>
    <w:rsid w:val="007121BB"/>
    <w:pPr>
      <w:ind w:left="720"/>
      <w:contextualSpacing/>
    </w:pPr>
  </w:style>
  <w:style w:type="character" w:styleId="nfasisintenso">
    <w:name w:val="Intense Emphasis"/>
    <w:basedOn w:val="Fuentedeprrafopredeter"/>
    <w:uiPriority w:val="21"/>
    <w:qFormat/>
    <w:rsid w:val="007121BB"/>
    <w:rPr>
      <w:i/>
      <w:iCs/>
      <w:color w:val="2F5496" w:themeColor="accent1" w:themeShade="BF"/>
    </w:rPr>
  </w:style>
  <w:style w:type="paragraph" w:styleId="Citadestacada">
    <w:name w:val="Intense Quote"/>
    <w:basedOn w:val="Normal"/>
    <w:next w:val="Normal"/>
    <w:link w:val="CitadestacadaCar"/>
    <w:uiPriority w:val="30"/>
    <w:qFormat/>
    <w:rsid w:val="00712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121BB"/>
    <w:rPr>
      <w:i/>
      <w:iCs/>
      <w:color w:val="2F5496" w:themeColor="accent1" w:themeShade="BF"/>
    </w:rPr>
  </w:style>
  <w:style w:type="character" w:styleId="Referenciaintensa">
    <w:name w:val="Intense Reference"/>
    <w:basedOn w:val="Fuentedeprrafopredeter"/>
    <w:uiPriority w:val="32"/>
    <w:qFormat/>
    <w:rsid w:val="007121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1137</Words>
  <Characters>6109</Characters>
  <Application>Microsoft Office Word</Application>
  <DocSecurity>0</DocSecurity>
  <Lines>135</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Maldonado Quiñones</dc:creator>
  <cp:keywords/>
  <dc:description/>
  <cp:lastModifiedBy>Jaime Maldonado Quiñones</cp:lastModifiedBy>
  <cp:revision>1</cp:revision>
  <dcterms:created xsi:type="dcterms:W3CDTF">2025-11-23T19:02:00Z</dcterms:created>
  <dcterms:modified xsi:type="dcterms:W3CDTF">2025-11-23T19:40:00Z</dcterms:modified>
</cp:coreProperties>
</file>